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F8A1A" w14:textId="77777777" w:rsidR="00380ED0" w:rsidRPr="002D5BAC" w:rsidRDefault="00E2682F" w:rsidP="00E2682F">
      <w:pPr>
        <w:spacing w:line="240" w:lineRule="auto"/>
        <w:ind w:left="446" w:hanging="446"/>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7.</w:t>
      </w:r>
      <w:r>
        <w:rPr>
          <w:rFonts w:ascii="Times New Roman" w:hAnsi="Times New Roman" w:cs="Times New Roman"/>
          <w:b/>
          <w:sz w:val="28"/>
          <w:szCs w:val="28"/>
        </w:rPr>
        <w:tab/>
      </w:r>
      <w:r w:rsidR="00380ED0" w:rsidRPr="002D5BAC">
        <w:rPr>
          <w:rFonts w:ascii="Times New Roman" w:hAnsi="Times New Roman" w:cs="Times New Roman"/>
          <w:b/>
          <w:sz w:val="28"/>
          <w:szCs w:val="28"/>
        </w:rPr>
        <w:t xml:space="preserve">Report of the Portfolio Committee on Public Works </w:t>
      </w:r>
      <w:r w:rsidR="00C06CFD" w:rsidRPr="002D5BAC">
        <w:rPr>
          <w:rFonts w:ascii="Times New Roman" w:hAnsi="Times New Roman" w:cs="Times New Roman"/>
          <w:b/>
          <w:sz w:val="28"/>
          <w:szCs w:val="28"/>
        </w:rPr>
        <w:t xml:space="preserve">and Infrastructure </w:t>
      </w:r>
      <w:r w:rsidR="00380ED0" w:rsidRPr="002D5BAC">
        <w:rPr>
          <w:rFonts w:ascii="Times New Roman" w:hAnsi="Times New Roman" w:cs="Times New Roman"/>
          <w:b/>
          <w:sz w:val="28"/>
          <w:szCs w:val="28"/>
        </w:rPr>
        <w:t xml:space="preserve">on Budget Vote 11: Public Works, the Property Management Trading Entity, and entities reporting to the Minister of Public Works, dated </w:t>
      </w:r>
      <w:r w:rsidR="00825A9F" w:rsidRPr="002D5BAC">
        <w:rPr>
          <w:rFonts w:ascii="Times New Roman" w:hAnsi="Times New Roman" w:cs="Times New Roman"/>
          <w:b/>
          <w:sz w:val="28"/>
          <w:szCs w:val="28"/>
        </w:rPr>
        <w:t>5</w:t>
      </w:r>
      <w:r w:rsidR="00BB33C0" w:rsidRPr="002D5BAC">
        <w:rPr>
          <w:rFonts w:ascii="Times New Roman" w:hAnsi="Times New Roman" w:cs="Times New Roman"/>
          <w:b/>
          <w:sz w:val="28"/>
          <w:szCs w:val="28"/>
        </w:rPr>
        <w:t xml:space="preserve"> </w:t>
      </w:r>
      <w:r w:rsidR="0055021F" w:rsidRPr="002D5BAC">
        <w:rPr>
          <w:rFonts w:ascii="Times New Roman" w:hAnsi="Times New Roman" w:cs="Times New Roman"/>
          <w:b/>
          <w:sz w:val="28"/>
          <w:szCs w:val="28"/>
        </w:rPr>
        <w:t>July 2019</w:t>
      </w:r>
    </w:p>
    <w:p w14:paraId="6241F8BC" w14:textId="77777777" w:rsidR="00380ED0" w:rsidRPr="00661465" w:rsidRDefault="00380ED0" w:rsidP="00CC0781">
      <w:pPr>
        <w:spacing w:after="0" w:line="360" w:lineRule="auto"/>
        <w:jc w:val="both"/>
        <w:rPr>
          <w:rFonts w:ascii="Times New Roman" w:eastAsia="Times New Roman" w:hAnsi="Times New Roman" w:cs="Times New Roman"/>
          <w:spacing w:val="6"/>
          <w:sz w:val="24"/>
          <w:szCs w:val="24"/>
          <w:lang w:val="en-GB" w:eastAsia="en-GB"/>
        </w:rPr>
      </w:pPr>
    </w:p>
    <w:p w14:paraId="17F036B7" w14:textId="77777777" w:rsidR="00380ED0" w:rsidRPr="00661465" w:rsidRDefault="00380ED0"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Portfolio Committee on Public Works</w:t>
      </w:r>
      <w:r w:rsidR="00C06CFD" w:rsidRPr="00661465">
        <w:rPr>
          <w:rFonts w:ascii="Times New Roman" w:hAnsi="Times New Roman" w:cs="Times New Roman"/>
          <w:sz w:val="24"/>
          <w:szCs w:val="24"/>
        </w:rPr>
        <w:t xml:space="preserve"> and Infrastructure</w:t>
      </w:r>
      <w:r w:rsidRPr="00661465">
        <w:rPr>
          <w:rFonts w:ascii="Times New Roman" w:hAnsi="Times New Roman" w:cs="Times New Roman"/>
          <w:sz w:val="24"/>
          <w:szCs w:val="24"/>
        </w:rPr>
        <w:t xml:space="preserve">, having considered the </w:t>
      </w:r>
      <w:r w:rsidR="00BB33C0" w:rsidRPr="00661465">
        <w:rPr>
          <w:rFonts w:ascii="Times New Roman" w:hAnsi="Times New Roman" w:cs="Times New Roman"/>
          <w:sz w:val="24"/>
          <w:szCs w:val="24"/>
        </w:rPr>
        <w:t xml:space="preserve">Annual Performance Plan (APP) and </w:t>
      </w:r>
      <w:r w:rsidR="006F7175" w:rsidRPr="00661465">
        <w:rPr>
          <w:rFonts w:ascii="Times New Roman" w:hAnsi="Times New Roman" w:cs="Times New Roman"/>
          <w:sz w:val="24"/>
          <w:szCs w:val="24"/>
        </w:rPr>
        <w:t>b</w:t>
      </w:r>
      <w:r w:rsidRPr="00661465">
        <w:rPr>
          <w:rFonts w:ascii="Times New Roman" w:hAnsi="Times New Roman" w:cs="Times New Roman"/>
          <w:sz w:val="24"/>
          <w:szCs w:val="24"/>
        </w:rPr>
        <w:t>udget of the Department of Public Works</w:t>
      </w:r>
      <w:r w:rsidR="00FE5AF6" w:rsidRPr="00661465">
        <w:rPr>
          <w:rFonts w:ascii="Times New Roman" w:hAnsi="Times New Roman" w:cs="Times New Roman"/>
          <w:sz w:val="24"/>
          <w:szCs w:val="24"/>
        </w:rPr>
        <w:t xml:space="preserve"> (and Infrastructure)</w:t>
      </w:r>
      <w:r w:rsidR="00FE5AF6" w:rsidRPr="00661465">
        <w:rPr>
          <w:rStyle w:val="FootnoteReference"/>
          <w:rFonts w:ascii="Times New Roman" w:hAnsi="Times New Roman" w:cs="Times New Roman"/>
          <w:sz w:val="24"/>
          <w:szCs w:val="24"/>
        </w:rPr>
        <w:footnoteReference w:id="1"/>
      </w:r>
      <w:r w:rsidRPr="00661465">
        <w:rPr>
          <w:rFonts w:ascii="Times New Roman" w:hAnsi="Times New Roman" w:cs="Times New Roman"/>
          <w:sz w:val="24"/>
          <w:szCs w:val="24"/>
        </w:rPr>
        <w:t>, the Property Management Trading Entity</w:t>
      </w:r>
      <w:r w:rsidR="00A147A0" w:rsidRPr="00661465">
        <w:rPr>
          <w:rFonts w:ascii="Times New Roman" w:hAnsi="Times New Roman" w:cs="Times New Roman"/>
          <w:sz w:val="24"/>
          <w:szCs w:val="24"/>
        </w:rPr>
        <w:t xml:space="preserve"> (</w:t>
      </w:r>
      <w:r w:rsidR="006F7175" w:rsidRPr="00661465">
        <w:rPr>
          <w:rFonts w:ascii="Times New Roman" w:hAnsi="Times New Roman" w:cs="Times New Roman"/>
          <w:sz w:val="24"/>
          <w:szCs w:val="24"/>
        </w:rPr>
        <w:t xml:space="preserve">hereafter, </w:t>
      </w:r>
      <w:r w:rsidR="00A147A0" w:rsidRPr="00661465">
        <w:rPr>
          <w:rFonts w:ascii="Times New Roman" w:hAnsi="Times New Roman" w:cs="Times New Roman"/>
          <w:sz w:val="24"/>
          <w:szCs w:val="24"/>
        </w:rPr>
        <w:t>PMTE)</w:t>
      </w:r>
      <w:r w:rsidRPr="00661465">
        <w:rPr>
          <w:rFonts w:ascii="Times New Roman" w:hAnsi="Times New Roman" w:cs="Times New Roman"/>
          <w:sz w:val="24"/>
          <w:szCs w:val="24"/>
        </w:rPr>
        <w:t>, and the entities reporting to the Minister of Public Works, report</w:t>
      </w:r>
      <w:r w:rsidR="003170EA" w:rsidRPr="00661465">
        <w:rPr>
          <w:rFonts w:ascii="Times New Roman" w:hAnsi="Times New Roman" w:cs="Times New Roman"/>
          <w:sz w:val="24"/>
          <w:szCs w:val="24"/>
        </w:rPr>
        <w:t>s</w:t>
      </w:r>
      <w:r w:rsidRPr="00661465">
        <w:rPr>
          <w:rFonts w:ascii="Times New Roman" w:hAnsi="Times New Roman" w:cs="Times New Roman"/>
          <w:sz w:val="24"/>
          <w:szCs w:val="24"/>
        </w:rPr>
        <w:t xml:space="preserve"> as follows:</w:t>
      </w:r>
    </w:p>
    <w:p w14:paraId="756FCBF7" w14:textId="77777777" w:rsidR="00380ED0" w:rsidRPr="00661465" w:rsidRDefault="00380ED0" w:rsidP="00CC0781">
      <w:pPr>
        <w:spacing w:after="0" w:line="360" w:lineRule="auto"/>
        <w:jc w:val="both"/>
        <w:rPr>
          <w:rFonts w:ascii="Times New Roman" w:eastAsia="Times New Roman" w:hAnsi="Times New Roman" w:cs="Times New Roman"/>
          <w:b/>
          <w:spacing w:val="6"/>
          <w:sz w:val="24"/>
          <w:szCs w:val="24"/>
          <w:lang w:val="en-GB" w:eastAsia="en-GB"/>
        </w:rPr>
      </w:pPr>
    </w:p>
    <w:p w14:paraId="5CF0B97E" w14:textId="77777777" w:rsidR="00380ED0" w:rsidRPr="00661465" w:rsidRDefault="002365AC" w:rsidP="00CC0781">
      <w:pPr>
        <w:spacing w:after="0" w:line="360" w:lineRule="auto"/>
        <w:jc w:val="both"/>
        <w:rPr>
          <w:rFonts w:ascii="Times New Roman" w:eastAsia="Times New Roman" w:hAnsi="Times New Roman" w:cs="Times New Roman"/>
          <w:b/>
          <w:spacing w:val="6"/>
          <w:sz w:val="24"/>
          <w:szCs w:val="24"/>
          <w:lang w:val="en-GB" w:eastAsia="en-GB"/>
        </w:rPr>
      </w:pPr>
      <w:r w:rsidRPr="00661465">
        <w:rPr>
          <w:rFonts w:ascii="Times New Roman" w:eastAsia="Times New Roman" w:hAnsi="Times New Roman" w:cs="Times New Roman"/>
          <w:b/>
          <w:spacing w:val="6"/>
          <w:sz w:val="24"/>
          <w:szCs w:val="24"/>
          <w:lang w:val="en-GB" w:eastAsia="en-GB"/>
        </w:rPr>
        <w:t xml:space="preserve">1. </w:t>
      </w:r>
      <w:r w:rsidR="00380ED0" w:rsidRPr="00661465">
        <w:rPr>
          <w:rFonts w:ascii="Times New Roman" w:eastAsia="Times New Roman" w:hAnsi="Times New Roman" w:cs="Times New Roman"/>
          <w:b/>
          <w:spacing w:val="6"/>
          <w:sz w:val="24"/>
          <w:szCs w:val="24"/>
          <w:lang w:val="en-GB" w:eastAsia="en-GB"/>
        </w:rPr>
        <w:t>Introduction</w:t>
      </w:r>
    </w:p>
    <w:p w14:paraId="1A08ECDE" w14:textId="77777777" w:rsidR="00AD545A" w:rsidRPr="00661465" w:rsidRDefault="00AD545A" w:rsidP="00CC0781">
      <w:pPr>
        <w:spacing w:line="360" w:lineRule="auto"/>
        <w:jc w:val="both"/>
        <w:rPr>
          <w:rFonts w:ascii="Times New Roman" w:hAnsi="Times New Roman" w:cs="Times New Roman"/>
          <w:sz w:val="24"/>
          <w:szCs w:val="24"/>
        </w:rPr>
      </w:pPr>
    </w:p>
    <w:p w14:paraId="6373CF2C" w14:textId="77777777" w:rsidR="00380ED0" w:rsidRPr="00661465" w:rsidRDefault="00380ED0"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Portfolio Committee on Public Works </w:t>
      </w:r>
      <w:r w:rsidR="00351284" w:rsidRPr="00661465">
        <w:rPr>
          <w:rFonts w:ascii="Times New Roman" w:hAnsi="Times New Roman" w:cs="Times New Roman"/>
          <w:sz w:val="24"/>
          <w:szCs w:val="24"/>
        </w:rPr>
        <w:t xml:space="preserve">and Infrastructure </w:t>
      </w:r>
      <w:r w:rsidRPr="00661465">
        <w:rPr>
          <w:rFonts w:ascii="Times New Roman" w:hAnsi="Times New Roman" w:cs="Times New Roman"/>
          <w:sz w:val="24"/>
          <w:szCs w:val="24"/>
        </w:rPr>
        <w:t xml:space="preserve">has </w:t>
      </w:r>
      <w:r w:rsidR="00221DAF" w:rsidRPr="00661465">
        <w:rPr>
          <w:rFonts w:ascii="Times New Roman" w:hAnsi="Times New Roman" w:cs="Times New Roman"/>
          <w:sz w:val="24"/>
          <w:szCs w:val="24"/>
        </w:rPr>
        <w:t xml:space="preserve">the </w:t>
      </w:r>
      <w:r w:rsidRPr="00661465">
        <w:rPr>
          <w:rFonts w:ascii="Times New Roman" w:hAnsi="Times New Roman" w:cs="Times New Roman"/>
          <w:sz w:val="24"/>
          <w:szCs w:val="24"/>
        </w:rPr>
        <w:t xml:space="preserve">responsibility </w:t>
      </w:r>
      <w:r w:rsidR="00221DAF" w:rsidRPr="00661465">
        <w:rPr>
          <w:rFonts w:ascii="Times New Roman" w:hAnsi="Times New Roman" w:cs="Times New Roman"/>
          <w:sz w:val="24"/>
          <w:szCs w:val="24"/>
        </w:rPr>
        <w:t xml:space="preserve">to do oversight </w:t>
      </w:r>
      <w:r w:rsidRPr="00661465">
        <w:rPr>
          <w:rFonts w:ascii="Times New Roman" w:hAnsi="Times New Roman" w:cs="Times New Roman"/>
          <w:sz w:val="24"/>
          <w:szCs w:val="24"/>
        </w:rPr>
        <w:t xml:space="preserve">over the Minister of the Department of Public Works </w:t>
      </w:r>
      <w:r w:rsidR="001268C5" w:rsidRPr="00661465">
        <w:rPr>
          <w:rFonts w:ascii="Times New Roman" w:hAnsi="Times New Roman" w:cs="Times New Roman"/>
          <w:sz w:val="24"/>
          <w:szCs w:val="24"/>
        </w:rPr>
        <w:t xml:space="preserve">and Infrastructure </w:t>
      </w:r>
      <w:r w:rsidR="006F7175" w:rsidRPr="00661465">
        <w:rPr>
          <w:rFonts w:ascii="Times New Roman" w:hAnsi="Times New Roman" w:cs="Times New Roman"/>
          <w:sz w:val="24"/>
          <w:szCs w:val="24"/>
        </w:rPr>
        <w:t>(</w:t>
      </w:r>
      <w:r w:rsidR="003C5E70" w:rsidRPr="00661465">
        <w:rPr>
          <w:rFonts w:ascii="Times New Roman" w:hAnsi="Times New Roman" w:cs="Times New Roman"/>
          <w:sz w:val="24"/>
          <w:szCs w:val="24"/>
        </w:rPr>
        <w:t xml:space="preserve">hereafter, </w:t>
      </w:r>
      <w:r w:rsidR="006F7175" w:rsidRPr="00661465">
        <w:rPr>
          <w:rFonts w:ascii="Times New Roman" w:hAnsi="Times New Roman" w:cs="Times New Roman"/>
          <w:sz w:val="24"/>
          <w:szCs w:val="24"/>
        </w:rPr>
        <w:t xml:space="preserve">DPWI) </w:t>
      </w:r>
      <w:r w:rsidRPr="00661465">
        <w:rPr>
          <w:rFonts w:ascii="Times New Roman" w:hAnsi="Times New Roman" w:cs="Times New Roman"/>
          <w:sz w:val="24"/>
          <w:szCs w:val="24"/>
        </w:rPr>
        <w:t>as policy leader</w:t>
      </w:r>
      <w:r w:rsidR="002105B6" w:rsidRPr="00661465">
        <w:rPr>
          <w:rFonts w:ascii="Times New Roman" w:hAnsi="Times New Roman" w:cs="Times New Roman"/>
          <w:sz w:val="24"/>
          <w:szCs w:val="24"/>
        </w:rPr>
        <w:t xml:space="preserve"> of the DPW</w:t>
      </w:r>
      <w:r w:rsidR="00D5747E" w:rsidRPr="00661465">
        <w:rPr>
          <w:rFonts w:ascii="Times New Roman" w:hAnsi="Times New Roman" w:cs="Times New Roman"/>
          <w:sz w:val="24"/>
          <w:szCs w:val="24"/>
        </w:rPr>
        <w:t>I</w:t>
      </w:r>
      <w:r w:rsidR="002105B6" w:rsidRPr="00661465">
        <w:rPr>
          <w:rFonts w:ascii="Times New Roman" w:hAnsi="Times New Roman" w:cs="Times New Roman"/>
          <w:sz w:val="24"/>
          <w:szCs w:val="24"/>
        </w:rPr>
        <w:t xml:space="preserve"> and PMTE. In addition, it exercises oversight over</w:t>
      </w:r>
      <w:r w:rsidRPr="00661465">
        <w:rPr>
          <w:rFonts w:ascii="Times New Roman" w:hAnsi="Times New Roman" w:cs="Times New Roman"/>
          <w:sz w:val="24"/>
          <w:szCs w:val="24"/>
        </w:rPr>
        <w:t xml:space="preserve"> the entities that report to the Minister, namely the Independent Development Trust (IDT), the Construction Industry Development Board (CIDB), Agrément South Africa (ASA), and the Council for the B</w:t>
      </w:r>
      <w:r w:rsidR="00661465">
        <w:rPr>
          <w:rFonts w:ascii="Times New Roman" w:hAnsi="Times New Roman" w:cs="Times New Roman"/>
          <w:sz w:val="24"/>
          <w:szCs w:val="24"/>
        </w:rPr>
        <w:t>uilt Environment (CBE).</w:t>
      </w:r>
    </w:p>
    <w:p w14:paraId="6CDFB29C" w14:textId="77777777" w:rsidR="00380ED0" w:rsidRPr="00661465" w:rsidRDefault="001525C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In order to do its oversight, t</w:t>
      </w:r>
      <w:r w:rsidR="00380ED0" w:rsidRPr="00661465">
        <w:rPr>
          <w:rFonts w:ascii="Times New Roman" w:hAnsi="Times New Roman" w:cs="Times New Roman"/>
          <w:sz w:val="24"/>
          <w:szCs w:val="24"/>
        </w:rPr>
        <w:t xml:space="preserve">he </w:t>
      </w:r>
      <w:r w:rsidR="00DC21AC" w:rsidRPr="00661465">
        <w:rPr>
          <w:rFonts w:ascii="Times New Roman" w:hAnsi="Times New Roman" w:cs="Times New Roman"/>
          <w:sz w:val="24"/>
          <w:szCs w:val="24"/>
        </w:rPr>
        <w:t>c</w:t>
      </w:r>
      <w:r w:rsidR="00380ED0" w:rsidRPr="00661465">
        <w:rPr>
          <w:rFonts w:ascii="Times New Roman" w:hAnsi="Times New Roman" w:cs="Times New Roman"/>
          <w:sz w:val="24"/>
          <w:szCs w:val="24"/>
        </w:rPr>
        <w:t>ommittee met with the Minister, Deputy Minister and the senior management teams</w:t>
      </w:r>
      <w:r w:rsidR="00A147A0" w:rsidRPr="00661465">
        <w:rPr>
          <w:rFonts w:ascii="Times New Roman" w:hAnsi="Times New Roman" w:cs="Times New Roman"/>
          <w:sz w:val="24"/>
          <w:szCs w:val="24"/>
        </w:rPr>
        <w:t xml:space="preserve"> of the DPWI, PMTE</w:t>
      </w:r>
      <w:r w:rsidR="0005129A" w:rsidRPr="00661465">
        <w:rPr>
          <w:rFonts w:ascii="Times New Roman" w:hAnsi="Times New Roman" w:cs="Times New Roman"/>
          <w:sz w:val="24"/>
          <w:szCs w:val="24"/>
        </w:rPr>
        <w:t>,</w:t>
      </w:r>
      <w:r w:rsidR="00380ED0" w:rsidRPr="00661465">
        <w:rPr>
          <w:rFonts w:ascii="Times New Roman" w:hAnsi="Times New Roman" w:cs="Times New Roman"/>
          <w:sz w:val="24"/>
          <w:szCs w:val="24"/>
        </w:rPr>
        <w:t xml:space="preserve"> and boards </w:t>
      </w:r>
      <w:r w:rsidR="0005129A" w:rsidRPr="00661465">
        <w:rPr>
          <w:rFonts w:ascii="Times New Roman" w:hAnsi="Times New Roman" w:cs="Times New Roman"/>
          <w:sz w:val="24"/>
          <w:szCs w:val="24"/>
        </w:rPr>
        <w:t xml:space="preserve">of </w:t>
      </w:r>
      <w:r w:rsidR="00003C8C" w:rsidRPr="00661465">
        <w:rPr>
          <w:rFonts w:ascii="Times New Roman" w:hAnsi="Times New Roman" w:cs="Times New Roman"/>
          <w:sz w:val="24"/>
          <w:szCs w:val="24"/>
        </w:rPr>
        <w:t xml:space="preserve">the mentioned </w:t>
      </w:r>
      <w:r w:rsidR="0005129A" w:rsidRPr="00661465">
        <w:rPr>
          <w:rFonts w:ascii="Times New Roman" w:hAnsi="Times New Roman" w:cs="Times New Roman"/>
          <w:sz w:val="24"/>
          <w:szCs w:val="24"/>
        </w:rPr>
        <w:t>entities</w:t>
      </w:r>
      <w:r w:rsidR="00A147A0" w:rsidRPr="00661465">
        <w:rPr>
          <w:rFonts w:ascii="Times New Roman" w:hAnsi="Times New Roman" w:cs="Times New Roman"/>
          <w:sz w:val="24"/>
          <w:szCs w:val="24"/>
        </w:rPr>
        <w:t xml:space="preserve"> in public meetings held on </w:t>
      </w:r>
      <w:r w:rsidR="0000389A">
        <w:rPr>
          <w:rFonts w:ascii="Times New Roman" w:hAnsi="Times New Roman" w:cs="Times New Roman"/>
          <w:sz w:val="24"/>
          <w:szCs w:val="24"/>
        </w:rPr>
        <w:t>2 and 3</w:t>
      </w:r>
      <w:r w:rsidR="00A147A0" w:rsidRPr="00661465">
        <w:rPr>
          <w:rFonts w:ascii="Times New Roman" w:hAnsi="Times New Roman" w:cs="Times New Roman"/>
          <w:sz w:val="24"/>
          <w:szCs w:val="24"/>
        </w:rPr>
        <w:t xml:space="preserve"> July 2019</w:t>
      </w:r>
      <w:r w:rsidR="0005129A" w:rsidRPr="00661465">
        <w:rPr>
          <w:rFonts w:ascii="Times New Roman" w:hAnsi="Times New Roman" w:cs="Times New Roman"/>
          <w:sz w:val="24"/>
          <w:szCs w:val="24"/>
        </w:rPr>
        <w:t xml:space="preserve">. </w:t>
      </w:r>
    </w:p>
    <w:p w14:paraId="5CD3EC87" w14:textId="77777777" w:rsidR="00380ED0" w:rsidRPr="00661465" w:rsidRDefault="000A7ADB" w:rsidP="00CC0781">
      <w:pPr>
        <w:tabs>
          <w:tab w:val="left" w:pos="3894"/>
        </w:tabs>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ab/>
      </w:r>
    </w:p>
    <w:p w14:paraId="4925D993" w14:textId="77777777" w:rsidR="00BA01E7" w:rsidRPr="00661465" w:rsidRDefault="00BA01E7" w:rsidP="00AD545A">
      <w:pPr>
        <w:pStyle w:val="ListParagraph"/>
        <w:numPr>
          <w:ilvl w:val="1"/>
          <w:numId w:val="43"/>
        </w:numPr>
        <w:spacing w:line="360" w:lineRule="auto"/>
        <w:jc w:val="both"/>
        <w:rPr>
          <w:b/>
          <w:spacing w:val="6"/>
          <w:lang w:val="en-GB" w:eastAsia="en-GB"/>
        </w:rPr>
      </w:pPr>
      <w:r w:rsidRPr="00661465">
        <w:rPr>
          <w:b/>
          <w:spacing w:val="6"/>
          <w:lang w:val="en-GB" w:eastAsia="en-GB"/>
        </w:rPr>
        <w:t>The mandate</w:t>
      </w:r>
    </w:p>
    <w:p w14:paraId="4C18B0C5" w14:textId="77777777" w:rsidR="00AD545A" w:rsidRPr="00661465" w:rsidRDefault="00AD545A" w:rsidP="00AD545A">
      <w:pPr>
        <w:pStyle w:val="ListParagraph"/>
        <w:spacing w:line="360" w:lineRule="auto"/>
        <w:ind w:left="432"/>
        <w:jc w:val="both"/>
        <w:rPr>
          <w:b/>
          <w:spacing w:val="6"/>
          <w:lang w:val="en-GB" w:eastAsia="en-GB"/>
        </w:rPr>
      </w:pPr>
    </w:p>
    <w:p w14:paraId="6A4263A2" w14:textId="77777777" w:rsidR="00380ED0" w:rsidRPr="00661465" w:rsidRDefault="00751EAE" w:rsidP="00CC0781">
      <w:p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spacing w:val="6"/>
          <w:sz w:val="24"/>
          <w:szCs w:val="24"/>
          <w:lang w:val="en-GB" w:eastAsia="en-GB"/>
        </w:rPr>
        <w:t xml:space="preserve">The Constitution of the Republic of South Africa, 1996, and the Government Immovable Asset Management Act (No. 19 of 2007) </w:t>
      </w:r>
      <w:r w:rsidR="00081A21" w:rsidRPr="00661465">
        <w:rPr>
          <w:rFonts w:ascii="Times New Roman" w:eastAsia="Times New Roman" w:hAnsi="Times New Roman" w:cs="Times New Roman"/>
          <w:spacing w:val="6"/>
          <w:sz w:val="24"/>
          <w:szCs w:val="24"/>
          <w:lang w:val="en-GB" w:eastAsia="en-GB"/>
        </w:rPr>
        <w:t xml:space="preserve">(hereafter, GIAMA) </w:t>
      </w:r>
      <w:r w:rsidRPr="00661465">
        <w:rPr>
          <w:rFonts w:ascii="Times New Roman" w:eastAsia="Times New Roman" w:hAnsi="Times New Roman" w:cs="Times New Roman"/>
          <w:spacing w:val="6"/>
          <w:sz w:val="24"/>
          <w:szCs w:val="24"/>
          <w:lang w:val="en-GB" w:eastAsia="en-GB"/>
        </w:rPr>
        <w:t>describes the</w:t>
      </w:r>
      <w:r w:rsidR="00380ED0" w:rsidRPr="00661465">
        <w:rPr>
          <w:rFonts w:ascii="Times New Roman" w:eastAsia="Times New Roman" w:hAnsi="Times New Roman" w:cs="Times New Roman"/>
          <w:spacing w:val="6"/>
          <w:sz w:val="24"/>
          <w:szCs w:val="24"/>
          <w:lang w:val="en-GB" w:eastAsia="en-GB"/>
        </w:rPr>
        <w:t xml:space="preserve"> mandate of the </w:t>
      </w:r>
      <w:r w:rsidR="00D5747E" w:rsidRPr="00661465">
        <w:rPr>
          <w:rFonts w:ascii="Times New Roman" w:eastAsia="Times New Roman" w:hAnsi="Times New Roman" w:cs="Times New Roman"/>
          <w:spacing w:val="6"/>
          <w:sz w:val="24"/>
          <w:szCs w:val="24"/>
          <w:lang w:val="en-GB" w:eastAsia="en-GB"/>
        </w:rPr>
        <w:t xml:space="preserve">DPWI </w:t>
      </w:r>
      <w:r w:rsidRPr="00661465">
        <w:rPr>
          <w:rFonts w:ascii="Times New Roman" w:eastAsia="Times New Roman" w:hAnsi="Times New Roman" w:cs="Times New Roman"/>
          <w:spacing w:val="6"/>
          <w:sz w:val="24"/>
          <w:szCs w:val="24"/>
          <w:lang w:val="en-GB" w:eastAsia="en-GB"/>
        </w:rPr>
        <w:t>and</w:t>
      </w:r>
      <w:r w:rsidR="00380ED0" w:rsidRPr="00661465">
        <w:rPr>
          <w:rFonts w:ascii="Times New Roman" w:eastAsia="Times New Roman" w:hAnsi="Times New Roman" w:cs="Times New Roman"/>
          <w:spacing w:val="6"/>
          <w:sz w:val="24"/>
          <w:szCs w:val="24"/>
          <w:lang w:val="en-GB" w:eastAsia="en-GB"/>
        </w:rPr>
        <w:t xml:space="preserve"> describes </w:t>
      </w:r>
      <w:r w:rsidR="0056438C" w:rsidRPr="00661465">
        <w:rPr>
          <w:rFonts w:ascii="Times New Roman" w:eastAsia="Times New Roman" w:hAnsi="Times New Roman" w:cs="Times New Roman"/>
          <w:spacing w:val="6"/>
          <w:sz w:val="24"/>
          <w:szCs w:val="24"/>
          <w:lang w:val="en-GB" w:eastAsia="en-GB"/>
        </w:rPr>
        <w:t>it</w:t>
      </w:r>
      <w:r w:rsidR="00380ED0" w:rsidRPr="00661465">
        <w:rPr>
          <w:rFonts w:ascii="Times New Roman" w:eastAsia="Times New Roman" w:hAnsi="Times New Roman" w:cs="Times New Roman"/>
          <w:spacing w:val="6"/>
          <w:sz w:val="24"/>
          <w:szCs w:val="24"/>
          <w:lang w:val="en-GB" w:eastAsia="en-GB"/>
        </w:rPr>
        <w:t xml:space="preserve"> as </w:t>
      </w:r>
      <w:r w:rsidR="00380ED0" w:rsidRPr="00661465">
        <w:rPr>
          <w:rFonts w:ascii="Times New Roman" w:eastAsia="Times New Roman" w:hAnsi="Times New Roman" w:cs="Times New Roman"/>
          <w:color w:val="000000"/>
          <w:spacing w:val="6"/>
          <w:sz w:val="24"/>
          <w:szCs w:val="24"/>
          <w:lang w:val="en-GB" w:eastAsia="en-GB"/>
        </w:rPr>
        <w:t>the custodian and portfolio manager of government’s immovable assets.</w:t>
      </w:r>
      <w:r w:rsidR="00066B00" w:rsidRPr="00661465">
        <w:rPr>
          <w:rFonts w:ascii="Times New Roman" w:eastAsia="Times New Roman" w:hAnsi="Times New Roman" w:cs="Times New Roman"/>
          <w:color w:val="000000"/>
          <w:spacing w:val="6"/>
          <w:sz w:val="24"/>
          <w:szCs w:val="24"/>
          <w:lang w:val="en-GB" w:eastAsia="en-GB"/>
        </w:rPr>
        <w:t xml:space="preserve"> </w:t>
      </w:r>
    </w:p>
    <w:p w14:paraId="0FF5378A" w14:textId="77777777" w:rsidR="00AD545A" w:rsidRPr="00661465" w:rsidRDefault="008E1243"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As part of its turnaround strategy, in the 2015/16 financial year, the Minister of Public Works</w:t>
      </w:r>
      <w:r w:rsidR="00380ED0" w:rsidRPr="00661465">
        <w:rPr>
          <w:rFonts w:ascii="Times New Roman" w:hAnsi="Times New Roman" w:cs="Times New Roman"/>
          <w:sz w:val="24"/>
          <w:szCs w:val="24"/>
        </w:rPr>
        <w:t xml:space="preserve"> </w:t>
      </w:r>
      <w:r w:rsidR="006A6D7D" w:rsidRPr="00661465">
        <w:rPr>
          <w:rFonts w:ascii="Times New Roman" w:hAnsi="Times New Roman" w:cs="Times New Roman"/>
          <w:sz w:val="24"/>
          <w:szCs w:val="24"/>
        </w:rPr>
        <w:t>initiated</w:t>
      </w:r>
      <w:r w:rsidR="00380ED0" w:rsidRPr="00661465">
        <w:rPr>
          <w:rFonts w:ascii="Times New Roman" w:hAnsi="Times New Roman" w:cs="Times New Roman"/>
          <w:sz w:val="24"/>
          <w:szCs w:val="24"/>
        </w:rPr>
        <w:t xml:space="preserve"> a shift </w:t>
      </w:r>
      <w:r w:rsidR="007E7472" w:rsidRPr="00661465">
        <w:rPr>
          <w:rFonts w:ascii="Times New Roman" w:hAnsi="Times New Roman" w:cs="Times New Roman"/>
          <w:sz w:val="24"/>
          <w:szCs w:val="24"/>
        </w:rPr>
        <w:t>in the focus of the</w:t>
      </w:r>
      <w:r w:rsidR="00380ED0" w:rsidRPr="00661465">
        <w:rPr>
          <w:rFonts w:ascii="Times New Roman" w:hAnsi="Times New Roman" w:cs="Times New Roman"/>
          <w:sz w:val="24"/>
          <w:szCs w:val="24"/>
        </w:rPr>
        <w:t xml:space="preserve"> role</w:t>
      </w:r>
      <w:r w:rsidR="007E7472" w:rsidRPr="00661465">
        <w:rPr>
          <w:rFonts w:ascii="Times New Roman" w:hAnsi="Times New Roman" w:cs="Times New Roman"/>
          <w:sz w:val="24"/>
          <w:szCs w:val="24"/>
        </w:rPr>
        <w:t xml:space="preserve"> of the DPW</w:t>
      </w:r>
      <w:r w:rsidRPr="00661465">
        <w:rPr>
          <w:rFonts w:ascii="Times New Roman" w:hAnsi="Times New Roman" w:cs="Times New Roman"/>
          <w:sz w:val="24"/>
          <w:szCs w:val="24"/>
        </w:rPr>
        <w:t>I</w:t>
      </w:r>
      <w:r w:rsidR="00380ED0" w:rsidRPr="00661465">
        <w:rPr>
          <w:rFonts w:ascii="Times New Roman" w:hAnsi="Times New Roman" w:cs="Times New Roman"/>
          <w:sz w:val="24"/>
          <w:szCs w:val="24"/>
        </w:rPr>
        <w:t xml:space="preserve">. </w:t>
      </w:r>
      <w:r w:rsidRPr="00661465">
        <w:rPr>
          <w:rFonts w:ascii="Times New Roman" w:hAnsi="Times New Roman" w:cs="Times New Roman"/>
          <w:sz w:val="24"/>
          <w:szCs w:val="24"/>
        </w:rPr>
        <w:t>The practical implementation of the mandate has b</w:t>
      </w:r>
      <w:r w:rsidR="006F7175" w:rsidRPr="00661465">
        <w:rPr>
          <w:rFonts w:ascii="Times New Roman" w:hAnsi="Times New Roman" w:cs="Times New Roman"/>
          <w:sz w:val="24"/>
          <w:szCs w:val="24"/>
        </w:rPr>
        <w:t>een shifted to the PMTE</w:t>
      </w:r>
      <w:r w:rsidR="00A97558" w:rsidRPr="00661465">
        <w:rPr>
          <w:rFonts w:ascii="Times New Roman" w:hAnsi="Times New Roman" w:cs="Times New Roman"/>
          <w:sz w:val="24"/>
          <w:szCs w:val="24"/>
        </w:rPr>
        <w:t>.</w:t>
      </w:r>
      <w:r w:rsidRPr="00661465">
        <w:rPr>
          <w:rFonts w:ascii="Times New Roman" w:hAnsi="Times New Roman" w:cs="Times New Roman"/>
          <w:sz w:val="24"/>
          <w:szCs w:val="24"/>
        </w:rPr>
        <w:t xml:space="preserve"> </w:t>
      </w:r>
      <w:r w:rsidR="00A97558" w:rsidRPr="00661465">
        <w:rPr>
          <w:rFonts w:ascii="Times New Roman" w:hAnsi="Times New Roman" w:cs="Times New Roman"/>
          <w:sz w:val="24"/>
          <w:szCs w:val="24"/>
        </w:rPr>
        <w:t>T</w:t>
      </w:r>
      <w:r w:rsidR="0005304F" w:rsidRPr="00661465">
        <w:rPr>
          <w:rFonts w:ascii="Times New Roman" w:hAnsi="Times New Roman" w:cs="Times New Roman"/>
          <w:sz w:val="24"/>
          <w:szCs w:val="24"/>
        </w:rPr>
        <w:t>h</w:t>
      </w:r>
      <w:r w:rsidR="001525C2" w:rsidRPr="00661465">
        <w:rPr>
          <w:rFonts w:ascii="Times New Roman" w:hAnsi="Times New Roman" w:cs="Times New Roman"/>
          <w:sz w:val="24"/>
          <w:szCs w:val="24"/>
        </w:rPr>
        <w:t>is shift allows the</w:t>
      </w:r>
      <w:r w:rsidR="007E7472" w:rsidRPr="00661465">
        <w:rPr>
          <w:rFonts w:ascii="Times New Roman" w:hAnsi="Times New Roman" w:cs="Times New Roman"/>
          <w:sz w:val="24"/>
          <w:szCs w:val="24"/>
        </w:rPr>
        <w:t xml:space="preserve"> DPW</w:t>
      </w:r>
      <w:r w:rsidR="00A97558" w:rsidRPr="00661465">
        <w:rPr>
          <w:rFonts w:ascii="Times New Roman" w:hAnsi="Times New Roman" w:cs="Times New Roman"/>
          <w:sz w:val="24"/>
          <w:szCs w:val="24"/>
        </w:rPr>
        <w:t>I</w:t>
      </w:r>
      <w:r w:rsidR="00380ED0" w:rsidRPr="00661465">
        <w:rPr>
          <w:rFonts w:ascii="Times New Roman" w:hAnsi="Times New Roman" w:cs="Times New Roman"/>
          <w:sz w:val="24"/>
          <w:szCs w:val="24"/>
        </w:rPr>
        <w:t xml:space="preserve"> </w:t>
      </w:r>
      <w:r w:rsidR="001525C2" w:rsidRPr="00661465">
        <w:rPr>
          <w:rFonts w:ascii="Times New Roman" w:hAnsi="Times New Roman" w:cs="Times New Roman"/>
          <w:sz w:val="24"/>
          <w:szCs w:val="24"/>
        </w:rPr>
        <w:t xml:space="preserve">to </w:t>
      </w:r>
      <w:r w:rsidR="00380ED0" w:rsidRPr="00661465">
        <w:rPr>
          <w:rFonts w:ascii="Times New Roman" w:hAnsi="Times New Roman" w:cs="Times New Roman"/>
          <w:sz w:val="24"/>
          <w:szCs w:val="24"/>
        </w:rPr>
        <w:t>focus on</w:t>
      </w:r>
      <w:r w:rsidR="001525C2" w:rsidRPr="00661465">
        <w:rPr>
          <w:rFonts w:ascii="Times New Roman" w:hAnsi="Times New Roman" w:cs="Times New Roman"/>
          <w:sz w:val="24"/>
          <w:szCs w:val="24"/>
        </w:rPr>
        <w:t>:</w:t>
      </w:r>
    </w:p>
    <w:p w14:paraId="4D605C02" w14:textId="77777777" w:rsidR="001525C2" w:rsidRPr="00661465" w:rsidRDefault="00380ED0" w:rsidP="001525C2">
      <w:pPr>
        <w:pStyle w:val="ListParagraph"/>
        <w:numPr>
          <w:ilvl w:val="0"/>
          <w:numId w:val="40"/>
        </w:numPr>
        <w:autoSpaceDE w:val="0"/>
        <w:autoSpaceDN w:val="0"/>
        <w:adjustRightInd w:val="0"/>
        <w:spacing w:line="360" w:lineRule="auto"/>
        <w:jc w:val="both"/>
      </w:pPr>
      <w:r w:rsidRPr="00661465">
        <w:lastRenderedPageBreak/>
        <w:t xml:space="preserve">policy formulation, </w:t>
      </w:r>
    </w:p>
    <w:p w14:paraId="04B69F62" w14:textId="77777777" w:rsidR="001525C2" w:rsidRPr="00661465" w:rsidRDefault="001525C2" w:rsidP="001525C2">
      <w:pPr>
        <w:pStyle w:val="ListParagraph"/>
        <w:numPr>
          <w:ilvl w:val="0"/>
          <w:numId w:val="40"/>
        </w:numPr>
        <w:autoSpaceDE w:val="0"/>
        <w:autoSpaceDN w:val="0"/>
        <w:adjustRightInd w:val="0"/>
        <w:spacing w:line="360" w:lineRule="auto"/>
        <w:jc w:val="both"/>
      </w:pPr>
      <w:r w:rsidRPr="00661465">
        <w:t xml:space="preserve">the </w:t>
      </w:r>
      <w:r w:rsidR="004D2ACF" w:rsidRPr="00661465">
        <w:t>set</w:t>
      </w:r>
      <w:r w:rsidRPr="00661465">
        <w:t>ting</w:t>
      </w:r>
      <w:r w:rsidR="004D2ACF" w:rsidRPr="00661465">
        <w:t xml:space="preserve"> </w:t>
      </w:r>
      <w:r w:rsidRPr="00661465">
        <w:t xml:space="preserve">of </w:t>
      </w:r>
      <w:r w:rsidR="004D2ACF" w:rsidRPr="00661465">
        <w:t xml:space="preserve">standards for the management of immovable assets, </w:t>
      </w:r>
    </w:p>
    <w:p w14:paraId="6D0D203B" w14:textId="77777777" w:rsidR="001525C2" w:rsidRPr="00661465" w:rsidRDefault="00D5747E" w:rsidP="001525C2">
      <w:pPr>
        <w:pStyle w:val="ListParagraph"/>
        <w:numPr>
          <w:ilvl w:val="0"/>
          <w:numId w:val="40"/>
        </w:numPr>
        <w:autoSpaceDE w:val="0"/>
        <w:autoSpaceDN w:val="0"/>
        <w:adjustRightInd w:val="0"/>
        <w:spacing w:line="360" w:lineRule="auto"/>
        <w:jc w:val="both"/>
      </w:pPr>
      <w:r w:rsidRPr="00661465">
        <w:t xml:space="preserve">maintaining </w:t>
      </w:r>
      <w:r w:rsidR="00EB3EE3" w:rsidRPr="00661465">
        <w:t xml:space="preserve">intergovernmental </w:t>
      </w:r>
      <w:r w:rsidR="004D2ACF" w:rsidRPr="00661465">
        <w:t xml:space="preserve">relationships with user/client departments, </w:t>
      </w:r>
    </w:p>
    <w:p w14:paraId="2B9A6907" w14:textId="77777777" w:rsidR="00547D27" w:rsidRPr="00661465" w:rsidRDefault="0005304F" w:rsidP="001525C2">
      <w:pPr>
        <w:pStyle w:val="ListParagraph"/>
        <w:numPr>
          <w:ilvl w:val="0"/>
          <w:numId w:val="40"/>
        </w:numPr>
        <w:autoSpaceDE w:val="0"/>
        <w:autoSpaceDN w:val="0"/>
        <w:adjustRightInd w:val="0"/>
        <w:spacing w:line="360" w:lineRule="auto"/>
        <w:jc w:val="both"/>
      </w:pPr>
      <w:r w:rsidRPr="00661465">
        <w:t>manag</w:t>
      </w:r>
      <w:r w:rsidR="001525C2" w:rsidRPr="00661465">
        <w:t>ing</w:t>
      </w:r>
      <w:r w:rsidRPr="00661465">
        <w:t xml:space="preserve"> </w:t>
      </w:r>
      <w:r w:rsidR="004D2ACF" w:rsidRPr="00661465">
        <w:t xml:space="preserve">the </w:t>
      </w:r>
      <w:r w:rsidR="00380ED0" w:rsidRPr="00661465">
        <w:t>coordinatio</w:t>
      </w:r>
      <w:r w:rsidR="00547D27" w:rsidRPr="00661465">
        <w:t>n, standardisation, and</w:t>
      </w:r>
      <w:r w:rsidR="00380ED0" w:rsidRPr="00661465">
        <w:t xml:space="preserve"> regulation relating to</w:t>
      </w:r>
      <w:r w:rsidR="007E7472" w:rsidRPr="00661465">
        <w:t xml:space="preserve"> the provision of accommodation, </w:t>
      </w:r>
      <w:r w:rsidR="00380ED0" w:rsidRPr="00661465">
        <w:t xml:space="preserve">and </w:t>
      </w:r>
      <w:r w:rsidR="00EB3EE3" w:rsidRPr="00661465">
        <w:t xml:space="preserve">public employment programmes, and </w:t>
      </w:r>
      <w:r w:rsidR="00380ED0" w:rsidRPr="00661465">
        <w:t xml:space="preserve">expert built environment services to </w:t>
      </w:r>
      <w:r w:rsidR="004D2ACF" w:rsidRPr="00661465">
        <w:t>user/</w:t>
      </w:r>
      <w:r w:rsidR="00380ED0" w:rsidRPr="00661465">
        <w:t>client departments</w:t>
      </w:r>
      <w:r w:rsidR="00547D27" w:rsidRPr="00661465">
        <w:t>,</w:t>
      </w:r>
    </w:p>
    <w:p w14:paraId="5DBBF31B" w14:textId="77777777" w:rsidR="00081A21" w:rsidRPr="00661465" w:rsidRDefault="00547D27" w:rsidP="001525C2">
      <w:pPr>
        <w:pStyle w:val="ListParagraph"/>
        <w:numPr>
          <w:ilvl w:val="0"/>
          <w:numId w:val="40"/>
        </w:numPr>
        <w:autoSpaceDE w:val="0"/>
        <w:autoSpaceDN w:val="0"/>
        <w:adjustRightInd w:val="0"/>
        <w:spacing w:line="360" w:lineRule="auto"/>
        <w:jc w:val="both"/>
      </w:pPr>
      <w:r w:rsidRPr="00661465">
        <w:t>importantly, DPWI and PMTE has an oversight role over the standards and regulation that the Minister of Public Works and Infrastructure makes as leader of the functions that Schedule 4 of the Constitution confers to national, provincial departments of public works and infrastructure, and municipalities that also play these implementation roles.</w:t>
      </w:r>
      <w:r w:rsidR="00380ED0" w:rsidRPr="00661465">
        <w:t xml:space="preserve"> </w:t>
      </w:r>
    </w:p>
    <w:p w14:paraId="0E6A2A2E" w14:textId="77777777" w:rsidR="00081A21" w:rsidRPr="00661465" w:rsidRDefault="00081A21" w:rsidP="00CC0781">
      <w:pPr>
        <w:autoSpaceDE w:val="0"/>
        <w:autoSpaceDN w:val="0"/>
        <w:adjustRightInd w:val="0"/>
        <w:spacing w:after="0" w:line="360" w:lineRule="auto"/>
        <w:jc w:val="both"/>
        <w:rPr>
          <w:rFonts w:ascii="Times New Roman" w:hAnsi="Times New Roman" w:cs="Times New Roman"/>
          <w:sz w:val="24"/>
          <w:szCs w:val="24"/>
        </w:rPr>
      </w:pPr>
    </w:p>
    <w:p w14:paraId="19E0D23F" w14:textId="77777777" w:rsidR="00F011DA" w:rsidRPr="00661465" w:rsidRDefault="00155231"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With the mentioned split of functions, t</w:t>
      </w:r>
      <w:r w:rsidR="00081A21" w:rsidRPr="00661465">
        <w:rPr>
          <w:rFonts w:ascii="Times New Roman" w:hAnsi="Times New Roman" w:cs="Times New Roman"/>
          <w:sz w:val="24"/>
          <w:szCs w:val="24"/>
        </w:rPr>
        <w:t>he PMTE implements the main mandate of the DPW</w:t>
      </w:r>
      <w:r w:rsidR="00766062" w:rsidRPr="00661465">
        <w:rPr>
          <w:rFonts w:ascii="Times New Roman" w:hAnsi="Times New Roman" w:cs="Times New Roman"/>
          <w:sz w:val="24"/>
          <w:szCs w:val="24"/>
        </w:rPr>
        <w:t>I</w:t>
      </w:r>
      <w:r w:rsidR="00E67A02" w:rsidRPr="00661465">
        <w:rPr>
          <w:rFonts w:ascii="Times New Roman" w:hAnsi="Times New Roman" w:cs="Times New Roman"/>
          <w:sz w:val="24"/>
          <w:szCs w:val="24"/>
        </w:rPr>
        <w:t xml:space="preserve"> to manage immovable properties and</w:t>
      </w:r>
      <w:r w:rsidR="00081A21" w:rsidRPr="00661465">
        <w:rPr>
          <w:rFonts w:ascii="Times New Roman" w:hAnsi="Times New Roman" w:cs="Times New Roman"/>
          <w:sz w:val="24"/>
          <w:szCs w:val="24"/>
        </w:rPr>
        <w:t xml:space="preserve"> the accommodation needs of client departments </w:t>
      </w:r>
      <w:r w:rsidR="001C4E0F" w:rsidRPr="00661465">
        <w:rPr>
          <w:rFonts w:ascii="Times New Roman" w:hAnsi="Times New Roman" w:cs="Times New Roman"/>
          <w:sz w:val="24"/>
          <w:szCs w:val="24"/>
        </w:rPr>
        <w:t>by</w:t>
      </w:r>
      <w:r w:rsidR="00081A21" w:rsidRPr="00661465">
        <w:rPr>
          <w:rFonts w:ascii="Times New Roman" w:hAnsi="Times New Roman" w:cs="Times New Roman"/>
          <w:sz w:val="24"/>
          <w:szCs w:val="24"/>
        </w:rPr>
        <w:t xml:space="preserve"> implement</w:t>
      </w:r>
      <w:r w:rsidR="001C4E0F" w:rsidRPr="00661465">
        <w:rPr>
          <w:rFonts w:ascii="Times New Roman" w:hAnsi="Times New Roman" w:cs="Times New Roman"/>
          <w:sz w:val="24"/>
          <w:szCs w:val="24"/>
        </w:rPr>
        <w:t>ing</w:t>
      </w:r>
      <w:r w:rsidR="00081A21" w:rsidRPr="00661465">
        <w:rPr>
          <w:rFonts w:ascii="Times New Roman" w:hAnsi="Times New Roman" w:cs="Times New Roman"/>
          <w:sz w:val="24"/>
          <w:szCs w:val="24"/>
        </w:rPr>
        <w:t xml:space="preserve"> the GIAMA</w:t>
      </w:r>
      <w:r w:rsidR="003E390F" w:rsidRPr="00661465">
        <w:rPr>
          <w:rFonts w:ascii="Times New Roman" w:hAnsi="Times New Roman" w:cs="Times New Roman"/>
          <w:sz w:val="24"/>
          <w:szCs w:val="24"/>
        </w:rPr>
        <w:t>. The GIAMA</w:t>
      </w:r>
      <w:r w:rsidR="00081A21" w:rsidRPr="00661465">
        <w:rPr>
          <w:rFonts w:ascii="Times New Roman" w:hAnsi="Times New Roman" w:cs="Times New Roman"/>
          <w:sz w:val="24"/>
          <w:szCs w:val="24"/>
        </w:rPr>
        <w:t xml:space="preserve"> </w:t>
      </w:r>
      <w:r w:rsidR="007B1280" w:rsidRPr="00661465">
        <w:rPr>
          <w:rFonts w:ascii="Times New Roman" w:hAnsi="Times New Roman" w:cs="Times New Roman"/>
          <w:sz w:val="24"/>
          <w:szCs w:val="24"/>
        </w:rPr>
        <w:t>puts in place “a uniform immovable asset management framework to promote</w:t>
      </w:r>
      <w:r w:rsidR="00F011DA" w:rsidRPr="00661465">
        <w:rPr>
          <w:rFonts w:ascii="Times New Roman" w:hAnsi="Times New Roman" w:cs="Times New Roman"/>
          <w:sz w:val="24"/>
          <w:szCs w:val="24"/>
        </w:rPr>
        <w:t xml:space="preserve"> </w:t>
      </w:r>
      <w:r w:rsidR="007B1280" w:rsidRPr="00661465">
        <w:rPr>
          <w:rFonts w:ascii="Times New Roman" w:hAnsi="Times New Roman" w:cs="Times New Roman"/>
          <w:sz w:val="24"/>
          <w:szCs w:val="24"/>
        </w:rPr>
        <w:t>accountability and transparency within government.”</w:t>
      </w:r>
      <w:r w:rsidR="007B1280" w:rsidRPr="00661465">
        <w:rPr>
          <w:rStyle w:val="FootnoteReference"/>
          <w:rFonts w:ascii="Times New Roman" w:hAnsi="Times New Roman" w:cs="Times New Roman"/>
          <w:sz w:val="24"/>
          <w:szCs w:val="24"/>
        </w:rPr>
        <w:footnoteReference w:id="2"/>
      </w:r>
      <w:r w:rsidR="007B1280" w:rsidRPr="00661465">
        <w:rPr>
          <w:rFonts w:ascii="Times New Roman" w:hAnsi="Times New Roman" w:cs="Times New Roman"/>
          <w:sz w:val="24"/>
          <w:szCs w:val="24"/>
        </w:rPr>
        <w:t xml:space="preserve"> </w:t>
      </w:r>
      <w:r w:rsidR="00F011DA" w:rsidRPr="00661465">
        <w:rPr>
          <w:rFonts w:ascii="Times New Roman" w:hAnsi="Times New Roman" w:cs="Times New Roman"/>
          <w:sz w:val="24"/>
          <w:szCs w:val="24"/>
        </w:rPr>
        <w:t xml:space="preserve">The Act defines all national and provincial departments </w:t>
      </w:r>
      <w:r w:rsidR="00E67A02" w:rsidRPr="00661465">
        <w:rPr>
          <w:rFonts w:ascii="Times New Roman" w:hAnsi="Times New Roman" w:cs="Times New Roman"/>
          <w:sz w:val="24"/>
          <w:szCs w:val="24"/>
        </w:rPr>
        <w:t>as “user(s)” or clients of the DPW and PMTE’s that</w:t>
      </w:r>
      <w:r w:rsidR="00F011DA" w:rsidRPr="00661465">
        <w:rPr>
          <w:rFonts w:ascii="Times New Roman" w:hAnsi="Times New Roman" w:cs="Times New Roman"/>
          <w:sz w:val="24"/>
          <w:szCs w:val="24"/>
        </w:rPr>
        <w:t xml:space="preserve"> </w:t>
      </w:r>
      <w:r w:rsidR="00E67A02" w:rsidRPr="00661465">
        <w:rPr>
          <w:rFonts w:ascii="Times New Roman" w:hAnsi="Times New Roman" w:cs="Times New Roman"/>
          <w:sz w:val="24"/>
          <w:szCs w:val="24"/>
        </w:rPr>
        <w:t>“uses or intends to use an immovable asset in support of its service delivery objectives and includes a custodian in relation to an immovable asset that it occupies or intends to occupy,”</w:t>
      </w:r>
      <w:r w:rsidR="00DF3696" w:rsidRPr="00661465">
        <w:rPr>
          <w:rStyle w:val="FootnoteReference"/>
          <w:rFonts w:ascii="Times New Roman" w:hAnsi="Times New Roman" w:cs="Times New Roman"/>
          <w:sz w:val="24"/>
          <w:szCs w:val="24"/>
        </w:rPr>
        <w:footnoteReference w:id="3"/>
      </w:r>
      <w:r w:rsidR="00E67A02" w:rsidRPr="00661465">
        <w:rPr>
          <w:rFonts w:ascii="Times New Roman" w:hAnsi="Times New Roman" w:cs="Times New Roman"/>
          <w:sz w:val="24"/>
          <w:szCs w:val="24"/>
        </w:rPr>
        <w:t xml:space="preserve">. </w:t>
      </w:r>
      <w:r w:rsidR="00DF3696" w:rsidRPr="00661465">
        <w:rPr>
          <w:rFonts w:ascii="Times New Roman" w:hAnsi="Times New Roman" w:cs="Times New Roman"/>
          <w:sz w:val="24"/>
          <w:szCs w:val="24"/>
        </w:rPr>
        <w:t xml:space="preserve">The GIAMA stresses </w:t>
      </w:r>
      <w:r w:rsidR="00081A21" w:rsidRPr="00661465">
        <w:rPr>
          <w:rFonts w:ascii="Times New Roman" w:hAnsi="Times New Roman" w:cs="Times New Roman"/>
          <w:sz w:val="24"/>
          <w:szCs w:val="24"/>
        </w:rPr>
        <w:t xml:space="preserve">that </w:t>
      </w:r>
      <w:r w:rsidR="00DF3696" w:rsidRPr="00661465">
        <w:rPr>
          <w:rFonts w:ascii="Times New Roman" w:hAnsi="Times New Roman" w:cs="Times New Roman"/>
          <w:sz w:val="24"/>
          <w:szCs w:val="24"/>
        </w:rPr>
        <w:t>immovable assets must be “kept operational to function in a manner that supports efficient service delivery”</w:t>
      </w:r>
      <w:r w:rsidR="00DF3696" w:rsidRPr="00661465">
        <w:rPr>
          <w:rStyle w:val="FootnoteReference"/>
          <w:rFonts w:ascii="Times New Roman" w:hAnsi="Times New Roman" w:cs="Times New Roman"/>
          <w:sz w:val="24"/>
          <w:szCs w:val="24"/>
        </w:rPr>
        <w:footnoteReference w:id="4"/>
      </w:r>
      <w:r w:rsidR="00504321" w:rsidRPr="00661465">
        <w:rPr>
          <w:rFonts w:ascii="Times New Roman" w:hAnsi="Times New Roman" w:cs="Times New Roman"/>
          <w:sz w:val="24"/>
          <w:szCs w:val="24"/>
        </w:rPr>
        <w:t xml:space="preserve">; </w:t>
      </w:r>
      <w:r w:rsidR="008775FF" w:rsidRPr="00661465">
        <w:rPr>
          <w:rFonts w:ascii="Times New Roman" w:hAnsi="Times New Roman" w:cs="Times New Roman"/>
          <w:sz w:val="24"/>
          <w:szCs w:val="24"/>
        </w:rPr>
        <w:t xml:space="preserve">that the accounting officer of each department must prepare a user immovable </w:t>
      </w:r>
      <w:r w:rsidR="00081A21" w:rsidRPr="00661465">
        <w:rPr>
          <w:rFonts w:ascii="Times New Roman" w:hAnsi="Times New Roman" w:cs="Times New Roman"/>
          <w:sz w:val="24"/>
          <w:szCs w:val="24"/>
        </w:rPr>
        <w:t xml:space="preserve">asset management plan </w:t>
      </w:r>
      <w:r w:rsidR="008775FF" w:rsidRPr="00661465">
        <w:rPr>
          <w:rFonts w:ascii="Times New Roman" w:hAnsi="Times New Roman" w:cs="Times New Roman"/>
          <w:sz w:val="24"/>
          <w:szCs w:val="24"/>
        </w:rPr>
        <w:t xml:space="preserve">(UIAMP) </w:t>
      </w:r>
      <w:r w:rsidR="00081A21" w:rsidRPr="00661465">
        <w:rPr>
          <w:rFonts w:ascii="Times New Roman" w:hAnsi="Times New Roman" w:cs="Times New Roman"/>
          <w:sz w:val="24"/>
          <w:szCs w:val="24"/>
        </w:rPr>
        <w:t xml:space="preserve">and custodian </w:t>
      </w:r>
      <w:r w:rsidR="008775FF" w:rsidRPr="00661465">
        <w:rPr>
          <w:rFonts w:ascii="Times New Roman" w:hAnsi="Times New Roman" w:cs="Times New Roman"/>
          <w:sz w:val="24"/>
          <w:szCs w:val="24"/>
        </w:rPr>
        <w:t xml:space="preserve">immovable </w:t>
      </w:r>
      <w:r w:rsidR="00081A21" w:rsidRPr="00661465">
        <w:rPr>
          <w:rFonts w:ascii="Times New Roman" w:hAnsi="Times New Roman" w:cs="Times New Roman"/>
          <w:sz w:val="24"/>
          <w:szCs w:val="24"/>
        </w:rPr>
        <w:t xml:space="preserve">asset management plan </w:t>
      </w:r>
      <w:r w:rsidR="007B1280" w:rsidRPr="00661465">
        <w:rPr>
          <w:rFonts w:ascii="Times New Roman" w:hAnsi="Times New Roman" w:cs="Times New Roman"/>
          <w:sz w:val="24"/>
          <w:szCs w:val="24"/>
        </w:rPr>
        <w:t>(C</w:t>
      </w:r>
      <w:r w:rsidR="008775FF" w:rsidRPr="00661465">
        <w:rPr>
          <w:rFonts w:ascii="Times New Roman" w:hAnsi="Times New Roman" w:cs="Times New Roman"/>
          <w:sz w:val="24"/>
          <w:szCs w:val="24"/>
        </w:rPr>
        <w:t>I</w:t>
      </w:r>
      <w:r w:rsidR="007B1280" w:rsidRPr="00661465">
        <w:rPr>
          <w:rFonts w:ascii="Times New Roman" w:hAnsi="Times New Roman" w:cs="Times New Roman"/>
          <w:sz w:val="24"/>
          <w:szCs w:val="24"/>
        </w:rPr>
        <w:t xml:space="preserve">AMP) </w:t>
      </w:r>
      <w:r w:rsidR="008775FF" w:rsidRPr="00661465">
        <w:rPr>
          <w:rFonts w:ascii="Times New Roman" w:hAnsi="Times New Roman" w:cs="Times New Roman"/>
          <w:sz w:val="24"/>
          <w:szCs w:val="24"/>
        </w:rPr>
        <w:t>that adheres to the principles or further principles that the Act stipulates.</w:t>
      </w:r>
      <w:r w:rsidR="00081A21" w:rsidRPr="00661465">
        <w:rPr>
          <w:rFonts w:ascii="Times New Roman" w:hAnsi="Times New Roman" w:cs="Times New Roman"/>
          <w:sz w:val="24"/>
          <w:szCs w:val="24"/>
        </w:rPr>
        <w:t xml:space="preserve"> </w:t>
      </w:r>
    </w:p>
    <w:p w14:paraId="60EE82D1" w14:textId="77777777" w:rsidR="00F011DA" w:rsidRPr="00661465" w:rsidRDefault="00F011DA" w:rsidP="00CC0781">
      <w:pPr>
        <w:autoSpaceDE w:val="0"/>
        <w:autoSpaceDN w:val="0"/>
        <w:adjustRightInd w:val="0"/>
        <w:spacing w:after="0" w:line="360" w:lineRule="auto"/>
        <w:jc w:val="both"/>
        <w:rPr>
          <w:rFonts w:ascii="Times New Roman" w:hAnsi="Times New Roman" w:cs="Times New Roman"/>
          <w:sz w:val="24"/>
          <w:szCs w:val="24"/>
        </w:rPr>
      </w:pPr>
    </w:p>
    <w:p w14:paraId="391D7427" w14:textId="77777777" w:rsidR="00817FF2" w:rsidRPr="00661465" w:rsidRDefault="00081A21"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PMTE also manages the Immovable Asset Register </w:t>
      </w:r>
      <w:r w:rsidR="00E5339A" w:rsidRPr="00661465">
        <w:rPr>
          <w:rFonts w:ascii="Times New Roman" w:hAnsi="Times New Roman" w:cs="Times New Roman"/>
          <w:sz w:val="24"/>
          <w:szCs w:val="24"/>
        </w:rPr>
        <w:t xml:space="preserve">(IAR) </w:t>
      </w:r>
      <w:r w:rsidRPr="00661465">
        <w:rPr>
          <w:rFonts w:ascii="Times New Roman" w:hAnsi="Times New Roman" w:cs="Times New Roman"/>
          <w:sz w:val="24"/>
          <w:szCs w:val="24"/>
        </w:rPr>
        <w:t>that records all immovable assets</w:t>
      </w:r>
      <w:r w:rsidR="0041107D" w:rsidRPr="00661465">
        <w:rPr>
          <w:rFonts w:ascii="Times New Roman" w:hAnsi="Times New Roman" w:cs="Times New Roman"/>
          <w:sz w:val="24"/>
          <w:szCs w:val="24"/>
        </w:rPr>
        <w:t xml:space="preserve"> in line with the principles, best practice</w:t>
      </w:r>
      <w:r w:rsidRPr="00661465">
        <w:rPr>
          <w:rFonts w:ascii="Times New Roman" w:hAnsi="Times New Roman" w:cs="Times New Roman"/>
          <w:sz w:val="24"/>
          <w:szCs w:val="24"/>
        </w:rPr>
        <w:t>,</w:t>
      </w:r>
      <w:r w:rsidR="0041107D" w:rsidRPr="00661465">
        <w:rPr>
          <w:rFonts w:ascii="Times New Roman" w:hAnsi="Times New Roman" w:cs="Times New Roman"/>
          <w:sz w:val="24"/>
          <w:szCs w:val="24"/>
        </w:rPr>
        <w:t xml:space="preserve"> and uniform immovable </w:t>
      </w:r>
      <w:r w:rsidR="004308BE" w:rsidRPr="00661465">
        <w:rPr>
          <w:rFonts w:ascii="Times New Roman" w:hAnsi="Times New Roman" w:cs="Times New Roman"/>
          <w:sz w:val="24"/>
          <w:szCs w:val="24"/>
        </w:rPr>
        <w:t>asset framework</w:t>
      </w:r>
      <w:r w:rsidR="0041107D" w:rsidRPr="00661465">
        <w:rPr>
          <w:rFonts w:ascii="Times New Roman" w:hAnsi="Times New Roman" w:cs="Times New Roman"/>
          <w:sz w:val="24"/>
          <w:szCs w:val="24"/>
        </w:rPr>
        <w:t xml:space="preserve"> for the government as set out in the GI</w:t>
      </w:r>
      <w:r w:rsidR="00372976" w:rsidRPr="00661465">
        <w:rPr>
          <w:rFonts w:ascii="Times New Roman" w:hAnsi="Times New Roman" w:cs="Times New Roman"/>
          <w:sz w:val="24"/>
          <w:szCs w:val="24"/>
        </w:rPr>
        <w:t>A</w:t>
      </w:r>
      <w:r w:rsidR="0041107D" w:rsidRPr="00661465">
        <w:rPr>
          <w:rFonts w:ascii="Times New Roman" w:hAnsi="Times New Roman" w:cs="Times New Roman"/>
          <w:sz w:val="24"/>
          <w:szCs w:val="24"/>
        </w:rPr>
        <w:t xml:space="preserve">MA, sections 7, and 13(1)(d)(i) to (vi). These set out the whole life cycle of </w:t>
      </w:r>
      <w:r w:rsidR="009750B9" w:rsidRPr="00661465">
        <w:rPr>
          <w:rFonts w:ascii="Times New Roman" w:hAnsi="Times New Roman" w:cs="Times New Roman"/>
          <w:sz w:val="24"/>
          <w:szCs w:val="24"/>
        </w:rPr>
        <w:t>each</w:t>
      </w:r>
      <w:r w:rsidR="0041107D" w:rsidRPr="00661465">
        <w:rPr>
          <w:rFonts w:ascii="Times New Roman" w:hAnsi="Times New Roman" w:cs="Times New Roman"/>
          <w:sz w:val="24"/>
          <w:szCs w:val="24"/>
        </w:rPr>
        <w:t xml:space="preserve"> immovable asset from </w:t>
      </w:r>
      <w:r w:rsidRPr="00661465">
        <w:rPr>
          <w:rFonts w:ascii="Times New Roman" w:hAnsi="Times New Roman" w:cs="Times New Roman"/>
          <w:sz w:val="24"/>
          <w:szCs w:val="24"/>
        </w:rPr>
        <w:t xml:space="preserve">acquisition, </w:t>
      </w:r>
      <w:r w:rsidR="0041107D" w:rsidRPr="00661465">
        <w:rPr>
          <w:rFonts w:ascii="Times New Roman" w:hAnsi="Times New Roman" w:cs="Times New Roman"/>
          <w:sz w:val="24"/>
          <w:szCs w:val="24"/>
        </w:rPr>
        <w:t xml:space="preserve">the </w:t>
      </w:r>
      <w:r w:rsidRPr="00661465">
        <w:rPr>
          <w:rFonts w:ascii="Times New Roman" w:hAnsi="Times New Roman" w:cs="Times New Roman"/>
          <w:sz w:val="24"/>
          <w:szCs w:val="24"/>
        </w:rPr>
        <w:t xml:space="preserve">maintenance, </w:t>
      </w:r>
      <w:r w:rsidR="0041107D" w:rsidRPr="00661465">
        <w:rPr>
          <w:rFonts w:ascii="Times New Roman" w:hAnsi="Times New Roman" w:cs="Times New Roman"/>
          <w:sz w:val="24"/>
          <w:szCs w:val="24"/>
        </w:rPr>
        <w:t xml:space="preserve">to </w:t>
      </w:r>
      <w:r w:rsidR="009750B9" w:rsidRPr="00661465">
        <w:rPr>
          <w:rFonts w:ascii="Times New Roman" w:hAnsi="Times New Roman" w:cs="Times New Roman"/>
          <w:sz w:val="24"/>
          <w:szCs w:val="24"/>
        </w:rPr>
        <w:t xml:space="preserve">its </w:t>
      </w:r>
      <w:r w:rsidR="00E5339A" w:rsidRPr="00661465">
        <w:rPr>
          <w:rFonts w:ascii="Times New Roman" w:hAnsi="Times New Roman" w:cs="Times New Roman"/>
          <w:sz w:val="24"/>
          <w:szCs w:val="24"/>
        </w:rPr>
        <w:t>disposal.</w:t>
      </w:r>
      <w:r w:rsidR="00D9623F" w:rsidRPr="00661465">
        <w:rPr>
          <w:rFonts w:ascii="Times New Roman" w:hAnsi="Times New Roman" w:cs="Times New Roman"/>
          <w:sz w:val="24"/>
          <w:szCs w:val="24"/>
        </w:rPr>
        <w:t xml:space="preserve"> Note that without the UIAMP and CIAMP of every immovable property being in place at </w:t>
      </w:r>
      <w:r w:rsidR="00D9623F" w:rsidRPr="00661465">
        <w:rPr>
          <w:rFonts w:ascii="Times New Roman" w:hAnsi="Times New Roman" w:cs="Times New Roman"/>
          <w:sz w:val="24"/>
          <w:szCs w:val="24"/>
        </w:rPr>
        <w:lastRenderedPageBreak/>
        <w:t xml:space="preserve">municipal, provincial and national levels, the IAR cannot be </w:t>
      </w:r>
      <w:r w:rsidR="00422B69" w:rsidRPr="00661465">
        <w:rPr>
          <w:rFonts w:ascii="Times New Roman" w:hAnsi="Times New Roman" w:cs="Times New Roman"/>
          <w:sz w:val="24"/>
          <w:szCs w:val="24"/>
        </w:rPr>
        <w:t xml:space="preserve">claimed to be </w:t>
      </w:r>
      <w:r w:rsidR="00D9623F" w:rsidRPr="00661465">
        <w:rPr>
          <w:rFonts w:ascii="Times New Roman" w:hAnsi="Times New Roman" w:cs="Times New Roman"/>
          <w:sz w:val="24"/>
          <w:szCs w:val="24"/>
        </w:rPr>
        <w:t xml:space="preserve">complete. UIAMPs and CIAMPs can be viewed as the building blocks of the IAR. </w:t>
      </w:r>
    </w:p>
    <w:p w14:paraId="39FDC90C" w14:textId="77777777" w:rsidR="00817FF2" w:rsidRPr="00661465" w:rsidRDefault="00817FF2" w:rsidP="00CC0781">
      <w:pPr>
        <w:autoSpaceDE w:val="0"/>
        <w:autoSpaceDN w:val="0"/>
        <w:adjustRightInd w:val="0"/>
        <w:spacing w:after="0" w:line="360" w:lineRule="auto"/>
        <w:jc w:val="both"/>
        <w:rPr>
          <w:rFonts w:ascii="Times New Roman" w:hAnsi="Times New Roman" w:cs="Times New Roman"/>
          <w:sz w:val="24"/>
          <w:szCs w:val="24"/>
        </w:rPr>
      </w:pPr>
    </w:p>
    <w:p w14:paraId="581692C5" w14:textId="77777777" w:rsidR="00E5339A" w:rsidRPr="00661465" w:rsidRDefault="00E5339A"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The IAR needs to be monitored and updated regularly to ensure that it provides a true record of government’s immovable assets. This necessitates</w:t>
      </w:r>
      <w:r w:rsidR="0041107D" w:rsidRPr="00661465">
        <w:rPr>
          <w:rFonts w:ascii="Times New Roman" w:hAnsi="Times New Roman" w:cs="Times New Roman"/>
          <w:sz w:val="24"/>
          <w:szCs w:val="24"/>
        </w:rPr>
        <w:t xml:space="preserve"> uniform,</w:t>
      </w:r>
      <w:r w:rsidRPr="00661465">
        <w:rPr>
          <w:rFonts w:ascii="Times New Roman" w:hAnsi="Times New Roman" w:cs="Times New Roman"/>
          <w:sz w:val="24"/>
          <w:szCs w:val="24"/>
        </w:rPr>
        <w:t xml:space="preserve"> standardised methods of monitoring provincial, municipal and national immovable asset registers to reconcile properties across the three levels of government. In addition, it means keeping a check on the status and condition of properties and immovable assets that </w:t>
      </w:r>
      <w:r w:rsidR="00EB3072" w:rsidRPr="00661465">
        <w:rPr>
          <w:rFonts w:ascii="Times New Roman" w:hAnsi="Times New Roman" w:cs="Times New Roman"/>
          <w:sz w:val="24"/>
          <w:szCs w:val="24"/>
        </w:rPr>
        <w:t xml:space="preserve">other departments including </w:t>
      </w:r>
      <w:r w:rsidR="00C629C4" w:rsidRPr="00661465">
        <w:rPr>
          <w:rFonts w:ascii="Times New Roman" w:hAnsi="Times New Roman" w:cs="Times New Roman"/>
          <w:sz w:val="24"/>
          <w:szCs w:val="24"/>
        </w:rPr>
        <w:t xml:space="preserve">those that </w:t>
      </w:r>
      <w:r w:rsidRPr="00661465">
        <w:rPr>
          <w:rFonts w:ascii="Times New Roman" w:hAnsi="Times New Roman" w:cs="Times New Roman"/>
          <w:sz w:val="24"/>
          <w:szCs w:val="24"/>
        </w:rPr>
        <w:t xml:space="preserve">the Department of International Relations and Cooperation (DIRCO) uses at South African missions in foreign countries. </w:t>
      </w:r>
    </w:p>
    <w:p w14:paraId="75097F5B" w14:textId="77777777" w:rsidR="00E5339A" w:rsidRPr="00661465" w:rsidRDefault="00E5339A" w:rsidP="00CC0781">
      <w:pPr>
        <w:autoSpaceDE w:val="0"/>
        <w:autoSpaceDN w:val="0"/>
        <w:adjustRightInd w:val="0"/>
        <w:spacing w:after="0" w:line="360" w:lineRule="auto"/>
        <w:jc w:val="both"/>
        <w:rPr>
          <w:rFonts w:ascii="Times New Roman" w:hAnsi="Times New Roman" w:cs="Times New Roman"/>
          <w:sz w:val="24"/>
          <w:szCs w:val="24"/>
        </w:rPr>
      </w:pPr>
    </w:p>
    <w:p w14:paraId="0867C690" w14:textId="77777777" w:rsidR="002974CC" w:rsidRPr="00661465" w:rsidRDefault="003D3747"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trading and investment function of the PMTE requires more attention. </w:t>
      </w:r>
      <w:r w:rsidR="00DA4C55" w:rsidRPr="00661465">
        <w:rPr>
          <w:rFonts w:ascii="Times New Roman" w:hAnsi="Times New Roman" w:cs="Times New Roman"/>
          <w:sz w:val="24"/>
          <w:szCs w:val="24"/>
        </w:rPr>
        <w:t xml:space="preserve">As a precursor that forms the basis of a brief unpacking of the trading and investment challenge that the PMTE faces, we briefly refer to how Members of the Committee, during </w:t>
      </w:r>
      <w:r w:rsidR="001F5B61" w:rsidRPr="00661465">
        <w:rPr>
          <w:rFonts w:ascii="Times New Roman" w:hAnsi="Times New Roman" w:cs="Times New Roman"/>
          <w:sz w:val="24"/>
          <w:szCs w:val="24"/>
        </w:rPr>
        <w:t>deliberations, robustly engaged the PMTE and the DPWI on the</w:t>
      </w:r>
      <w:r w:rsidR="002974CC" w:rsidRPr="00661465">
        <w:rPr>
          <w:rFonts w:ascii="Times New Roman" w:hAnsi="Times New Roman" w:cs="Times New Roman"/>
          <w:sz w:val="24"/>
          <w:szCs w:val="24"/>
        </w:rPr>
        <w:t xml:space="preserve"> need to manage the IAR</w:t>
      </w:r>
      <w:r w:rsidR="00536C29" w:rsidRPr="00661465">
        <w:rPr>
          <w:rFonts w:ascii="Times New Roman" w:hAnsi="Times New Roman" w:cs="Times New Roman"/>
          <w:sz w:val="24"/>
          <w:szCs w:val="24"/>
        </w:rPr>
        <w:t xml:space="preserve"> more effectively. They made it crystal clear that this is much needed</w:t>
      </w:r>
      <w:r w:rsidR="002974CC" w:rsidRPr="00661465">
        <w:rPr>
          <w:rFonts w:ascii="Times New Roman" w:hAnsi="Times New Roman" w:cs="Times New Roman"/>
          <w:sz w:val="24"/>
          <w:szCs w:val="24"/>
        </w:rPr>
        <w:t xml:space="preserve"> so that </w:t>
      </w:r>
      <w:r w:rsidR="00536C29" w:rsidRPr="00661465">
        <w:rPr>
          <w:rFonts w:ascii="Times New Roman" w:hAnsi="Times New Roman" w:cs="Times New Roman"/>
          <w:sz w:val="24"/>
          <w:szCs w:val="24"/>
        </w:rPr>
        <w:t>the PMTE</w:t>
      </w:r>
      <w:r w:rsidR="002974CC" w:rsidRPr="00661465">
        <w:rPr>
          <w:rFonts w:ascii="Times New Roman" w:hAnsi="Times New Roman" w:cs="Times New Roman"/>
          <w:sz w:val="24"/>
          <w:szCs w:val="24"/>
        </w:rPr>
        <w:t xml:space="preserve"> has the required knowledge of ownership, occupation, </w:t>
      </w:r>
      <w:r w:rsidR="00B63A39" w:rsidRPr="00661465">
        <w:rPr>
          <w:rFonts w:ascii="Times New Roman" w:hAnsi="Times New Roman" w:cs="Times New Roman"/>
          <w:sz w:val="24"/>
          <w:szCs w:val="24"/>
        </w:rPr>
        <w:t xml:space="preserve">maintenance </w:t>
      </w:r>
      <w:r w:rsidR="002974CC" w:rsidRPr="00661465">
        <w:rPr>
          <w:rFonts w:ascii="Times New Roman" w:hAnsi="Times New Roman" w:cs="Times New Roman"/>
          <w:sz w:val="24"/>
          <w:szCs w:val="24"/>
        </w:rPr>
        <w:t>stat</w:t>
      </w:r>
      <w:r w:rsidR="00B63A39" w:rsidRPr="00661465">
        <w:rPr>
          <w:rFonts w:ascii="Times New Roman" w:hAnsi="Times New Roman" w:cs="Times New Roman"/>
          <w:sz w:val="24"/>
          <w:szCs w:val="24"/>
        </w:rPr>
        <w:t>us</w:t>
      </w:r>
      <w:r w:rsidR="002974CC" w:rsidRPr="00661465">
        <w:rPr>
          <w:rFonts w:ascii="Times New Roman" w:hAnsi="Times New Roman" w:cs="Times New Roman"/>
          <w:sz w:val="24"/>
          <w:szCs w:val="24"/>
        </w:rPr>
        <w:t xml:space="preserve">, and security of government immovable properties. </w:t>
      </w:r>
    </w:p>
    <w:p w14:paraId="10394993" w14:textId="77777777" w:rsidR="002974CC" w:rsidRPr="00661465" w:rsidRDefault="002974CC" w:rsidP="00CC0781">
      <w:pPr>
        <w:autoSpaceDE w:val="0"/>
        <w:autoSpaceDN w:val="0"/>
        <w:adjustRightInd w:val="0"/>
        <w:spacing w:after="0" w:line="360" w:lineRule="auto"/>
        <w:jc w:val="both"/>
        <w:rPr>
          <w:rFonts w:ascii="Times New Roman" w:hAnsi="Times New Roman" w:cs="Times New Roman"/>
          <w:sz w:val="24"/>
          <w:szCs w:val="24"/>
        </w:rPr>
      </w:pPr>
    </w:p>
    <w:p w14:paraId="00C835EB" w14:textId="77777777" w:rsidR="003C47BE" w:rsidRPr="00661465" w:rsidRDefault="002974CC"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They did this in the light of the policy needs expressed before and during the last </w:t>
      </w:r>
      <w:r w:rsidR="003C47BE" w:rsidRPr="00661465">
        <w:rPr>
          <w:rFonts w:ascii="Times New Roman" w:hAnsi="Times New Roman" w:cs="Times New Roman"/>
          <w:sz w:val="24"/>
          <w:szCs w:val="24"/>
        </w:rPr>
        <w:t>elections,</w:t>
      </w:r>
      <w:r w:rsidRPr="00661465">
        <w:rPr>
          <w:rFonts w:ascii="Times New Roman" w:hAnsi="Times New Roman" w:cs="Times New Roman"/>
          <w:sz w:val="24"/>
          <w:szCs w:val="24"/>
        </w:rPr>
        <w:t xml:space="preserve"> that informs government’s work for the next five years. </w:t>
      </w:r>
    </w:p>
    <w:p w14:paraId="1BC91D9D" w14:textId="77777777" w:rsidR="003C47BE" w:rsidRPr="00661465" w:rsidRDefault="003C47BE" w:rsidP="00CC0781">
      <w:pPr>
        <w:autoSpaceDE w:val="0"/>
        <w:autoSpaceDN w:val="0"/>
        <w:adjustRightInd w:val="0"/>
        <w:spacing w:after="0" w:line="360" w:lineRule="auto"/>
        <w:jc w:val="both"/>
        <w:rPr>
          <w:rFonts w:ascii="Times New Roman" w:hAnsi="Times New Roman" w:cs="Times New Roman"/>
          <w:sz w:val="24"/>
          <w:szCs w:val="24"/>
        </w:rPr>
      </w:pPr>
    </w:p>
    <w:p w14:paraId="0D81CE15" w14:textId="77777777" w:rsidR="002974CC" w:rsidRPr="00661465" w:rsidRDefault="002974CC"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These </w:t>
      </w:r>
      <w:r w:rsidR="008449E5" w:rsidRPr="00661465">
        <w:rPr>
          <w:rFonts w:ascii="Times New Roman" w:hAnsi="Times New Roman" w:cs="Times New Roman"/>
          <w:sz w:val="24"/>
          <w:szCs w:val="24"/>
        </w:rPr>
        <w:t>needs</w:t>
      </w:r>
      <w:r w:rsidRPr="00661465">
        <w:rPr>
          <w:rFonts w:ascii="Times New Roman" w:hAnsi="Times New Roman" w:cs="Times New Roman"/>
          <w:sz w:val="24"/>
          <w:szCs w:val="24"/>
        </w:rPr>
        <w:t xml:space="preserve"> exist </w:t>
      </w:r>
      <w:r w:rsidR="008449E5" w:rsidRPr="00661465">
        <w:rPr>
          <w:rFonts w:ascii="Times New Roman" w:hAnsi="Times New Roman" w:cs="Times New Roman"/>
          <w:sz w:val="24"/>
          <w:szCs w:val="24"/>
        </w:rPr>
        <w:t xml:space="preserve">throughout the country </w:t>
      </w:r>
      <w:r w:rsidRPr="00661465">
        <w:rPr>
          <w:rFonts w:ascii="Times New Roman" w:hAnsi="Times New Roman" w:cs="Times New Roman"/>
          <w:sz w:val="24"/>
          <w:szCs w:val="24"/>
        </w:rPr>
        <w:t>for:</w:t>
      </w:r>
    </w:p>
    <w:p w14:paraId="47CBA387" w14:textId="77777777" w:rsidR="002974CC" w:rsidRPr="00661465" w:rsidRDefault="002974CC" w:rsidP="002974CC">
      <w:pPr>
        <w:pStyle w:val="ListParagraph"/>
        <w:numPr>
          <w:ilvl w:val="0"/>
          <w:numId w:val="41"/>
        </w:numPr>
        <w:autoSpaceDE w:val="0"/>
        <w:autoSpaceDN w:val="0"/>
        <w:adjustRightInd w:val="0"/>
        <w:spacing w:line="360" w:lineRule="auto"/>
        <w:jc w:val="both"/>
      </w:pPr>
      <w:r w:rsidRPr="00661465">
        <w:t>vacant land for agricultural, and economic development;</w:t>
      </w:r>
    </w:p>
    <w:p w14:paraId="6A4D5476" w14:textId="77777777" w:rsidR="002974CC" w:rsidRPr="00661465" w:rsidRDefault="002974CC" w:rsidP="002974CC">
      <w:pPr>
        <w:pStyle w:val="ListParagraph"/>
        <w:numPr>
          <w:ilvl w:val="0"/>
          <w:numId w:val="41"/>
        </w:numPr>
        <w:autoSpaceDE w:val="0"/>
        <w:autoSpaceDN w:val="0"/>
        <w:adjustRightInd w:val="0"/>
        <w:spacing w:line="360" w:lineRule="auto"/>
        <w:jc w:val="both"/>
      </w:pPr>
      <w:r w:rsidRPr="00661465">
        <w:t xml:space="preserve">integrated human settlement in all villages, towns, and cities; </w:t>
      </w:r>
    </w:p>
    <w:p w14:paraId="33AE0FEE" w14:textId="77777777" w:rsidR="00486F0A" w:rsidRPr="00661465" w:rsidRDefault="00486F0A" w:rsidP="002974CC">
      <w:pPr>
        <w:pStyle w:val="ListParagraph"/>
        <w:numPr>
          <w:ilvl w:val="0"/>
          <w:numId w:val="41"/>
        </w:numPr>
        <w:autoSpaceDE w:val="0"/>
        <w:autoSpaceDN w:val="0"/>
        <w:adjustRightInd w:val="0"/>
        <w:spacing w:line="360" w:lineRule="auto"/>
        <w:jc w:val="both"/>
      </w:pPr>
      <w:r w:rsidRPr="00661465">
        <w:t>social development that lags behind in previously neglected rural areas, and townships, that are spread across the country;</w:t>
      </w:r>
    </w:p>
    <w:p w14:paraId="37A5E7DE" w14:textId="77777777" w:rsidR="00486F0A" w:rsidRPr="00661465" w:rsidRDefault="00486F0A" w:rsidP="002974CC">
      <w:pPr>
        <w:pStyle w:val="ListParagraph"/>
        <w:numPr>
          <w:ilvl w:val="0"/>
          <w:numId w:val="41"/>
        </w:numPr>
        <w:autoSpaceDE w:val="0"/>
        <w:autoSpaceDN w:val="0"/>
        <w:adjustRightInd w:val="0"/>
        <w:spacing w:line="360" w:lineRule="auto"/>
        <w:jc w:val="both"/>
      </w:pPr>
      <w:r w:rsidRPr="00661465">
        <w:t xml:space="preserve">security needs that are urgent in underdeveloped parts of villages, towns and cities and cause people to live in fear – often because government’s immovable properties in underdeveloped parts of our country are not secured and maintained. </w:t>
      </w:r>
    </w:p>
    <w:p w14:paraId="72BCF148" w14:textId="77777777" w:rsidR="000C4614" w:rsidRPr="00661465" w:rsidRDefault="000C4614" w:rsidP="0048456D">
      <w:pPr>
        <w:autoSpaceDE w:val="0"/>
        <w:autoSpaceDN w:val="0"/>
        <w:adjustRightInd w:val="0"/>
        <w:spacing w:line="360" w:lineRule="auto"/>
        <w:jc w:val="both"/>
        <w:rPr>
          <w:rFonts w:ascii="Times New Roman" w:hAnsi="Times New Roman" w:cs="Times New Roman"/>
          <w:sz w:val="24"/>
          <w:szCs w:val="24"/>
        </w:rPr>
      </w:pPr>
    </w:p>
    <w:p w14:paraId="55815BDA" w14:textId="77777777" w:rsidR="00693D34" w:rsidRPr="00661465" w:rsidRDefault="00E5339A" w:rsidP="0048456D">
      <w:pPr>
        <w:autoSpaceDE w:val="0"/>
        <w:autoSpaceDN w:val="0"/>
        <w:adjustRightInd w:val="0"/>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lastRenderedPageBreak/>
        <w:t xml:space="preserve">A correctly updated IAR </w:t>
      </w:r>
      <w:r w:rsidR="003816D3" w:rsidRPr="00661465">
        <w:rPr>
          <w:rFonts w:ascii="Times New Roman" w:hAnsi="Times New Roman" w:cs="Times New Roman"/>
          <w:sz w:val="24"/>
          <w:szCs w:val="24"/>
        </w:rPr>
        <w:t>is</w:t>
      </w:r>
      <w:r w:rsidRPr="00661465">
        <w:rPr>
          <w:rFonts w:ascii="Times New Roman" w:hAnsi="Times New Roman" w:cs="Times New Roman"/>
          <w:sz w:val="24"/>
          <w:szCs w:val="24"/>
        </w:rPr>
        <w:t xml:space="preserve"> the foundation of the trading </w:t>
      </w:r>
      <w:r w:rsidR="00286E74" w:rsidRPr="00661465">
        <w:rPr>
          <w:rFonts w:ascii="Times New Roman" w:hAnsi="Times New Roman" w:cs="Times New Roman"/>
          <w:sz w:val="24"/>
          <w:szCs w:val="24"/>
        </w:rPr>
        <w:t xml:space="preserve">and investment </w:t>
      </w:r>
      <w:r w:rsidR="003D3747" w:rsidRPr="00661465">
        <w:rPr>
          <w:rFonts w:ascii="Times New Roman" w:hAnsi="Times New Roman" w:cs="Times New Roman"/>
          <w:sz w:val="24"/>
          <w:szCs w:val="24"/>
        </w:rPr>
        <w:t>function</w:t>
      </w:r>
      <w:r w:rsidRPr="00661465">
        <w:rPr>
          <w:rFonts w:ascii="Times New Roman" w:hAnsi="Times New Roman" w:cs="Times New Roman"/>
          <w:sz w:val="24"/>
          <w:szCs w:val="24"/>
        </w:rPr>
        <w:t xml:space="preserve">. </w:t>
      </w:r>
      <w:r w:rsidR="00E00CA2" w:rsidRPr="00661465">
        <w:rPr>
          <w:rFonts w:ascii="Times New Roman" w:hAnsi="Times New Roman" w:cs="Times New Roman"/>
          <w:sz w:val="24"/>
          <w:szCs w:val="24"/>
        </w:rPr>
        <w:t xml:space="preserve">The PMTE should be able to calculate and employ the </w:t>
      </w:r>
      <w:r w:rsidR="00C629C4" w:rsidRPr="00661465">
        <w:rPr>
          <w:rFonts w:ascii="Times New Roman" w:hAnsi="Times New Roman" w:cs="Times New Roman"/>
          <w:sz w:val="24"/>
          <w:szCs w:val="24"/>
        </w:rPr>
        <w:t xml:space="preserve">“best </w:t>
      </w:r>
      <w:r w:rsidR="00E00CA2" w:rsidRPr="00661465">
        <w:rPr>
          <w:rFonts w:ascii="Times New Roman" w:hAnsi="Times New Roman" w:cs="Times New Roman"/>
          <w:sz w:val="24"/>
          <w:szCs w:val="24"/>
        </w:rPr>
        <w:t>value</w:t>
      </w:r>
      <w:r w:rsidR="00C629C4" w:rsidRPr="00661465">
        <w:rPr>
          <w:rFonts w:ascii="Times New Roman" w:hAnsi="Times New Roman" w:cs="Times New Roman"/>
          <w:sz w:val="24"/>
          <w:szCs w:val="24"/>
        </w:rPr>
        <w:t xml:space="preserve"> for money”</w:t>
      </w:r>
      <w:r w:rsidR="00A24CEA" w:rsidRPr="00661465">
        <w:rPr>
          <w:rStyle w:val="FootnoteReference"/>
          <w:rFonts w:ascii="Times New Roman" w:hAnsi="Times New Roman" w:cs="Times New Roman"/>
          <w:sz w:val="24"/>
          <w:szCs w:val="24"/>
        </w:rPr>
        <w:footnoteReference w:id="5"/>
      </w:r>
      <w:r w:rsidR="008C7A16" w:rsidRPr="00661465">
        <w:rPr>
          <w:rFonts w:ascii="Times New Roman" w:hAnsi="Times New Roman" w:cs="Times New Roman"/>
          <w:sz w:val="24"/>
          <w:szCs w:val="24"/>
        </w:rPr>
        <w:t xml:space="preserve"> </w:t>
      </w:r>
      <w:r w:rsidR="00C629C4" w:rsidRPr="00661465">
        <w:rPr>
          <w:rFonts w:ascii="Times New Roman" w:hAnsi="Times New Roman" w:cs="Times New Roman"/>
          <w:sz w:val="24"/>
          <w:szCs w:val="24"/>
        </w:rPr>
        <w:t>as defined in the GIAMA as “the optimisation of the return on investment in respect of an immovable asset in relation to functional, financ</w:t>
      </w:r>
      <w:r w:rsidR="004300D5" w:rsidRPr="00661465">
        <w:rPr>
          <w:rFonts w:ascii="Times New Roman" w:hAnsi="Times New Roman" w:cs="Times New Roman"/>
          <w:sz w:val="24"/>
          <w:szCs w:val="24"/>
        </w:rPr>
        <w:t>ial, economic and social return</w:t>
      </w:r>
      <w:r w:rsidR="00C629C4" w:rsidRPr="00661465">
        <w:rPr>
          <w:rFonts w:ascii="Times New Roman" w:hAnsi="Times New Roman" w:cs="Times New Roman"/>
          <w:sz w:val="24"/>
          <w:szCs w:val="24"/>
        </w:rPr>
        <w:t>”</w:t>
      </w:r>
      <w:r w:rsidR="008C7A16" w:rsidRPr="00661465">
        <w:rPr>
          <w:rFonts w:ascii="Times New Roman" w:hAnsi="Times New Roman" w:cs="Times New Roman"/>
          <w:sz w:val="24"/>
          <w:szCs w:val="24"/>
        </w:rPr>
        <w:t xml:space="preserve">. </w:t>
      </w:r>
      <w:r w:rsidR="00EB3EE3" w:rsidRPr="00661465">
        <w:rPr>
          <w:rFonts w:ascii="Times New Roman" w:hAnsi="Times New Roman" w:cs="Times New Roman"/>
          <w:sz w:val="24"/>
          <w:szCs w:val="24"/>
        </w:rPr>
        <w:t>One of the tasks of the PMTE is to u</w:t>
      </w:r>
      <w:r w:rsidR="00E00CA2" w:rsidRPr="00661465">
        <w:rPr>
          <w:rFonts w:ascii="Times New Roman" w:hAnsi="Times New Roman" w:cs="Times New Roman"/>
          <w:sz w:val="24"/>
          <w:szCs w:val="24"/>
        </w:rPr>
        <w:t>nlock</w:t>
      </w:r>
      <w:r w:rsidR="008C7A16" w:rsidRPr="00661465">
        <w:rPr>
          <w:rFonts w:ascii="Times New Roman" w:hAnsi="Times New Roman" w:cs="Times New Roman"/>
          <w:sz w:val="24"/>
          <w:szCs w:val="24"/>
        </w:rPr>
        <w:t xml:space="preserve"> the financial value of the immovable assets held by government to the maximum be</w:t>
      </w:r>
      <w:r w:rsidR="00E00CA2" w:rsidRPr="00661465">
        <w:rPr>
          <w:rFonts w:ascii="Times New Roman" w:hAnsi="Times New Roman" w:cs="Times New Roman"/>
          <w:sz w:val="24"/>
          <w:szCs w:val="24"/>
        </w:rPr>
        <w:t>nefit for the country</w:t>
      </w:r>
      <w:r w:rsidR="004D39C8" w:rsidRPr="00661465">
        <w:rPr>
          <w:rFonts w:ascii="Times New Roman" w:hAnsi="Times New Roman" w:cs="Times New Roman"/>
          <w:sz w:val="24"/>
          <w:szCs w:val="24"/>
        </w:rPr>
        <w:t xml:space="preserve">. </w:t>
      </w:r>
    </w:p>
    <w:p w14:paraId="5EADAE68" w14:textId="77777777" w:rsidR="005E3CB9" w:rsidRPr="00661465" w:rsidRDefault="004D39C8" w:rsidP="0048456D">
      <w:pPr>
        <w:autoSpaceDE w:val="0"/>
        <w:autoSpaceDN w:val="0"/>
        <w:adjustRightInd w:val="0"/>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This</w:t>
      </w:r>
      <w:r w:rsidR="008C7A16" w:rsidRPr="00661465">
        <w:rPr>
          <w:rFonts w:ascii="Times New Roman" w:hAnsi="Times New Roman" w:cs="Times New Roman"/>
          <w:sz w:val="24"/>
          <w:szCs w:val="24"/>
        </w:rPr>
        <w:t xml:space="preserve"> </w:t>
      </w:r>
      <w:r w:rsidR="009706E1" w:rsidRPr="00661465">
        <w:rPr>
          <w:rFonts w:ascii="Times New Roman" w:hAnsi="Times New Roman" w:cs="Times New Roman"/>
          <w:sz w:val="24"/>
          <w:szCs w:val="24"/>
        </w:rPr>
        <w:t>has</w:t>
      </w:r>
      <w:r w:rsidR="00E00CA2" w:rsidRPr="00661465">
        <w:rPr>
          <w:rFonts w:ascii="Times New Roman" w:hAnsi="Times New Roman" w:cs="Times New Roman"/>
          <w:sz w:val="24"/>
          <w:szCs w:val="24"/>
        </w:rPr>
        <w:t xml:space="preserve"> yet </w:t>
      </w:r>
      <w:r w:rsidR="009706E1" w:rsidRPr="00661465">
        <w:rPr>
          <w:rFonts w:ascii="Times New Roman" w:hAnsi="Times New Roman" w:cs="Times New Roman"/>
          <w:sz w:val="24"/>
          <w:szCs w:val="24"/>
        </w:rPr>
        <w:t xml:space="preserve">to </w:t>
      </w:r>
      <w:r w:rsidR="00E00CA2" w:rsidRPr="00661465">
        <w:rPr>
          <w:rFonts w:ascii="Times New Roman" w:hAnsi="Times New Roman" w:cs="Times New Roman"/>
          <w:sz w:val="24"/>
          <w:szCs w:val="24"/>
        </w:rPr>
        <w:t>be fully realised since the PMTE’s operationalisation in 201</w:t>
      </w:r>
      <w:r w:rsidR="0077190D" w:rsidRPr="00661465">
        <w:rPr>
          <w:rFonts w:ascii="Times New Roman" w:hAnsi="Times New Roman" w:cs="Times New Roman"/>
          <w:sz w:val="24"/>
          <w:szCs w:val="24"/>
        </w:rPr>
        <w:t>5/16</w:t>
      </w:r>
      <w:r w:rsidR="00E00CA2" w:rsidRPr="00661465">
        <w:rPr>
          <w:rFonts w:ascii="Times New Roman" w:hAnsi="Times New Roman" w:cs="Times New Roman"/>
          <w:sz w:val="24"/>
          <w:szCs w:val="24"/>
        </w:rPr>
        <w:t xml:space="preserve">.  </w:t>
      </w:r>
      <w:r w:rsidR="005E3CB9" w:rsidRPr="00661465">
        <w:rPr>
          <w:rFonts w:ascii="Times New Roman" w:hAnsi="Times New Roman" w:cs="Times New Roman"/>
          <w:sz w:val="24"/>
          <w:szCs w:val="24"/>
        </w:rPr>
        <w:t xml:space="preserve">This is an important precursor to utilising the value locked within </w:t>
      </w:r>
      <w:r w:rsidR="0037664A" w:rsidRPr="00661465">
        <w:rPr>
          <w:rFonts w:ascii="Times New Roman" w:hAnsi="Times New Roman" w:cs="Times New Roman"/>
          <w:sz w:val="24"/>
          <w:szCs w:val="24"/>
        </w:rPr>
        <w:t>the IAR</w:t>
      </w:r>
      <w:r w:rsidR="005E3CB9" w:rsidRPr="00661465">
        <w:rPr>
          <w:rFonts w:ascii="Times New Roman" w:hAnsi="Times New Roman" w:cs="Times New Roman"/>
          <w:sz w:val="24"/>
          <w:szCs w:val="24"/>
        </w:rPr>
        <w:t xml:space="preserve"> so that the PMTE can be less dependent on the allocated budget to the DPW</w:t>
      </w:r>
      <w:r w:rsidR="00693D34" w:rsidRPr="00661465">
        <w:rPr>
          <w:rFonts w:ascii="Times New Roman" w:hAnsi="Times New Roman" w:cs="Times New Roman"/>
          <w:sz w:val="24"/>
          <w:szCs w:val="24"/>
        </w:rPr>
        <w:t>I</w:t>
      </w:r>
      <w:r w:rsidR="005E3CB9" w:rsidRPr="00661465">
        <w:rPr>
          <w:rFonts w:ascii="Times New Roman" w:hAnsi="Times New Roman" w:cs="Times New Roman"/>
          <w:sz w:val="24"/>
          <w:szCs w:val="24"/>
        </w:rPr>
        <w:t xml:space="preserve">, and </w:t>
      </w:r>
      <w:r w:rsidR="0037664A" w:rsidRPr="00661465">
        <w:rPr>
          <w:rFonts w:ascii="Times New Roman" w:hAnsi="Times New Roman" w:cs="Times New Roman"/>
          <w:sz w:val="24"/>
          <w:szCs w:val="24"/>
        </w:rPr>
        <w:t xml:space="preserve">can </w:t>
      </w:r>
      <w:r w:rsidR="005E3CB9" w:rsidRPr="00661465">
        <w:rPr>
          <w:rFonts w:ascii="Times New Roman" w:hAnsi="Times New Roman" w:cs="Times New Roman"/>
          <w:sz w:val="24"/>
          <w:szCs w:val="24"/>
        </w:rPr>
        <w:t>generat</w:t>
      </w:r>
      <w:r w:rsidR="007D4A51" w:rsidRPr="00661465">
        <w:rPr>
          <w:rFonts w:ascii="Times New Roman" w:hAnsi="Times New Roman" w:cs="Times New Roman"/>
          <w:sz w:val="24"/>
          <w:szCs w:val="24"/>
        </w:rPr>
        <w:t>e</w:t>
      </w:r>
      <w:r w:rsidR="005E3CB9" w:rsidRPr="00661465">
        <w:rPr>
          <w:rFonts w:ascii="Times New Roman" w:hAnsi="Times New Roman" w:cs="Times New Roman"/>
          <w:sz w:val="24"/>
          <w:szCs w:val="24"/>
        </w:rPr>
        <w:t xml:space="preserve"> funding through its </w:t>
      </w:r>
      <w:r w:rsidR="007D4A51" w:rsidRPr="00661465">
        <w:rPr>
          <w:rFonts w:ascii="Times New Roman" w:hAnsi="Times New Roman" w:cs="Times New Roman"/>
          <w:sz w:val="24"/>
          <w:szCs w:val="24"/>
        </w:rPr>
        <w:t>optimal functioning</w:t>
      </w:r>
      <w:r w:rsidR="005E3CB9" w:rsidRPr="00661465">
        <w:rPr>
          <w:rFonts w:ascii="Times New Roman" w:hAnsi="Times New Roman" w:cs="Times New Roman"/>
          <w:sz w:val="24"/>
          <w:szCs w:val="24"/>
        </w:rPr>
        <w:t>. The PMTE faces challenges in this regard which will be further dealt with in the relevant sections of this report.</w:t>
      </w:r>
    </w:p>
    <w:p w14:paraId="4808C16B" w14:textId="77777777" w:rsidR="00CD58F4" w:rsidRPr="00661465" w:rsidRDefault="00CD58F4" w:rsidP="00CC0781">
      <w:pPr>
        <w:autoSpaceDE w:val="0"/>
        <w:autoSpaceDN w:val="0"/>
        <w:adjustRightInd w:val="0"/>
        <w:spacing w:after="0" w:line="360" w:lineRule="auto"/>
        <w:jc w:val="both"/>
        <w:rPr>
          <w:rFonts w:ascii="Times New Roman" w:hAnsi="Times New Roman" w:cs="Times New Roman"/>
          <w:sz w:val="24"/>
          <w:szCs w:val="24"/>
        </w:rPr>
      </w:pPr>
    </w:p>
    <w:p w14:paraId="12F10675" w14:textId="77777777" w:rsidR="007D4A51" w:rsidRPr="00661465" w:rsidRDefault="002365AC" w:rsidP="00CC0781">
      <w:pPr>
        <w:autoSpaceDE w:val="0"/>
        <w:autoSpaceDN w:val="0"/>
        <w:adjustRightInd w:val="0"/>
        <w:spacing w:after="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 xml:space="preserve">1.2. </w:t>
      </w:r>
      <w:r w:rsidR="00A21C73" w:rsidRPr="00661465">
        <w:rPr>
          <w:rFonts w:ascii="Times New Roman" w:hAnsi="Times New Roman" w:cs="Times New Roman"/>
          <w:b/>
          <w:sz w:val="24"/>
          <w:szCs w:val="24"/>
        </w:rPr>
        <w:t xml:space="preserve">A </w:t>
      </w:r>
      <w:r w:rsidR="007D4A51" w:rsidRPr="00661465">
        <w:rPr>
          <w:rFonts w:ascii="Times New Roman" w:hAnsi="Times New Roman" w:cs="Times New Roman"/>
          <w:b/>
          <w:sz w:val="24"/>
          <w:szCs w:val="24"/>
        </w:rPr>
        <w:t xml:space="preserve">Weakened </w:t>
      </w:r>
      <w:r w:rsidR="00A21C73" w:rsidRPr="00661465">
        <w:rPr>
          <w:rFonts w:ascii="Times New Roman" w:hAnsi="Times New Roman" w:cs="Times New Roman"/>
          <w:b/>
          <w:sz w:val="24"/>
          <w:szCs w:val="24"/>
        </w:rPr>
        <w:t>M</w:t>
      </w:r>
      <w:r w:rsidR="007D4A51" w:rsidRPr="00661465">
        <w:rPr>
          <w:rFonts w:ascii="Times New Roman" w:hAnsi="Times New Roman" w:cs="Times New Roman"/>
          <w:b/>
          <w:sz w:val="24"/>
          <w:szCs w:val="24"/>
        </w:rPr>
        <w:t>andate</w:t>
      </w:r>
    </w:p>
    <w:p w14:paraId="43916F26" w14:textId="77777777" w:rsidR="00AD545A" w:rsidRPr="00661465" w:rsidRDefault="00AD545A" w:rsidP="00CC0781">
      <w:pPr>
        <w:autoSpaceDE w:val="0"/>
        <w:autoSpaceDN w:val="0"/>
        <w:adjustRightInd w:val="0"/>
        <w:spacing w:after="0" w:line="360" w:lineRule="auto"/>
        <w:jc w:val="both"/>
        <w:rPr>
          <w:rFonts w:ascii="Times New Roman" w:hAnsi="Times New Roman" w:cs="Times New Roman"/>
          <w:sz w:val="24"/>
          <w:szCs w:val="24"/>
        </w:rPr>
      </w:pPr>
    </w:p>
    <w:p w14:paraId="3D61EAEF" w14:textId="77777777" w:rsidR="00A2505F" w:rsidRPr="00661465" w:rsidRDefault="00CD58F4"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Before moving to </w:t>
      </w:r>
      <w:r w:rsidR="00FD75D8" w:rsidRPr="00661465">
        <w:rPr>
          <w:rFonts w:ascii="Times New Roman" w:hAnsi="Times New Roman" w:cs="Times New Roman"/>
          <w:sz w:val="24"/>
          <w:szCs w:val="24"/>
        </w:rPr>
        <w:t>further</w:t>
      </w:r>
      <w:r w:rsidRPr="00661465">
        <w:rPr>
          <w:rFonts w:ascii="Times New Roman" w:hAnsi="Times New Roman" w:cs="Times New Roman"/>
          <w:sz w:val="24"/>
          <w:szCs w:val="24"/>
        </w:rPr>
        <w:t xml:space="preserve"> policies that stipulate what the allocated budget </w:t>
      </w:r>
      <w:r w:rsidR="00D215F1" w:rsidRPr="00661465">
        <w:rPr>
          <w:rFonts w:ascii="Times New Roman" w:hAnsi="Times New Roman" w:cs="Times New Roman"/>
          <w:sz w:val="24"/>
          <w:szCs w:val="24"/>
        </w:rPr>
        <w:t>will</w:t>
      </w:r>
      <w:r w:rsidRPr="00661465">
        <w:rPr>
          <w:rFonts w:ascii="Times New Roman" w:hAnsi="Times New Roman" w:cs="Times New Roman"/>
          <w:sz w:val="24"/>
          <w:szCs w:val="24"/>
        </w:rPr>
        <w:t xml:space="preserve"> be used on, it must be noted that the DPW</w:t>
      </w:r>
      <w:r w:rsidR="002366E1" w:rsidRPr="00661465">
        <w:rPr>
          <w:rFonts w:ascii="Times New Roman" w:hAnsi="Times New Roman" w:cs="Times New Roman"/>
          <w:sz w:val="24"/>
          <w:szCs w:val="24"/>
        </w:rPr>
        <w:t>I</w:t>
      </w:r>
      <w:r w:rsidRPr="00661465">
        <w:rPr>
          <w:rFonts w:ascii="Times New Roman" w:hAnsi="Times New Roman" w:cs="Times New Roman"/>
          <w:sz w:val="24"/>
          <w:szCs w:val="24"/>
        </w:rPr>
        <w:t xml:space="preserve"> has been somewhat weakened in terms of its mandate. </w:t>
      </w:r>
    </w:p>
    <w:p w14:paraId="707E9C67" w14:textId="77777777" w:rsidR="00A2505F" w:rsidRPr="00661465" w:rsidRDefault="00A2505F" w:rsidP="00CC0781">
      <w:pPr>
        <w:autoSpaceDE w:val="0"/>
        <w:autoSpaceDN w:val="0"/>
        <w:adjustRightInd w:val="0"/>
        <w:spacing w:after="0" w:line="360" w:lineRule="auto"/>
        <w:jc w:val="both"/>
        <w:rPr>
          <w:rFonts w:ascii="Times New Roman" w:hAnsi="Times New Roman" w:cs="Times New Roman"/>
          <w:sz w:val="24"/>
          <w:szCs w:val="24"/>
        </w:rPr>
      </w:pPr>
    </w:p>
    <w:p w14:paraId="4443037E" w14:textId="77777777" w:rsidR="00A2505F" w:rsidRPr="00661465" w:rsidRDefault="00CD58F4"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This is </w:t>
      </w:r>
      <w:r w:rsidR="00832421" w:rsidRPr="00661465">
        <w:rPr>
          <w:rFonts w:ascii="Times New Roman" w:hAnsi="Times New Roman" w:cs="Times New Roman"/>
          <w:sz w:val="24"/>
          <w:szCs w:val="24"/>
        </w:rPr>
        <w:t xml:space="preserve">partly </w:t>
      </w:r>
      <w:r w:rsidRPr="00661465">
        <w:rPr>
          <w:rFonts w:ascii="Times New Roman" w:hAnsi="Times New Roman" w:cs="Times New Roman"/>
          <w:sz w:val="24"/>
          <w:szCs w:val="24"/>
        </w:rPr>
        <w:t>due to</w:t>
      </w:r>
      <w:r w:rsidR="002366E1" w:rsidRPr="00661465">
        <w:rPr>
          <w:rFonts w:ascii="Times New Roman" w:hAnsi="Times New Roman" w:cs="Times New Roman"/>
          <w:sz w:val="24"/>
          <w:szCs w:val="24"/>
        </w:rPr>
        <w:t>,</w:t>
      </w:r>
      <w:r w:rsidRPr="00661465">
        <w:rPr>
          <w:rFonts w:ascii="Times New Roman" w:hAnsi="Times New Roman" w:cs="Times New Roman"/>
          <w:sz w:val="24"/>
          <w:szCs w:val="24"/>
        </w:rPr>
        <w:t xml:space="preserve"> </w:t>
      </w:r>
      <w:r w:rsidR="00832421" w:rsidRPr="00661465">
        <w:rPr>
          <w:rFonts w:ascii="Times New Roman" w:hAnsi="Times New Roman" w:cs="Times New Roman"/>
          <w:sz w:val="24"/>
          <w:szCs w:val="24"/>
        </w:rPr>
        <w:t>firstly, the absence of legislation that gives the DPW as ‘landlord of the state’ the necessary powers</w:t>
      </w:r>
      <w:r w:rsidR="004756E3" w:rsidRPr="00661465">
        <w:rPr>
          <w:rFonts w:ascii="Times New Roman" w:hAnsi="Times New Roman" w:cs="Times New Roman"/>
          <w:sz w:val="24"/>
          <w:szCs w:val="24"/>
        </w:rPr>
        <w:t>. These are powers that it requires</w:t>
      </w:r>
      <w:r w:rsidR="00832421" w:rsidRPr="00661465">
        <w:rPr>
          <w:rFonts w:ascii="Times New Roman" w:hAnsi="Times New Roman" w:cs="Times New Roman"/>
          <w:sz w:val="24"/>
          <w:szCs w:val="24"/>
        </w:rPr>
        <w:t xml:space="preserve"> to act decisively</w:t>
      </w:r>
      <w:r w:rsidR="004C7619" w:rsidRPr="00661465">
        <w:rPr>
          <w:rFonts w:ascii="Times New Roman" w:hAnsi="Times New Roman" w:cs="Times New Roman"/>
          <w:sz w:val="24"/>
          <w:szCs w:val="24"/>
        </w:rPr>
        <w:t>,</w:t>
      </w:r>
      <w:r w:rsidR="00832421" w:rsidRPr="00661465">
        <w:rPr>
          <w:rFonts w:ascii="Times New Roman" w:hAnsi="Times New Roman" w:cs="Times New Roman"/>
          <w:sz w:val="24"/>
          <w:szCs w:val="24"/>
        </w:rPr>
        <w:t xml:space="preserve"> with enforceable powers</w:t>
      </w:r>
      <w:r w:rsidR="004C7619" w:rsidRPr="00661465">
        <w:rPr>
          <w:rFonts w:ascii="Times New Roman" w:hAnsi="Times New Roman" w:cs="Times New Roman"/>
          <w:sz w:val="24"/>
          <w:szCs w:val="24"/>
        </w:rPr>
        <w:t>,</w:t>
      </w:r>
      <w:r w:rsidR="00832421" w:rsidRPr="00661465">
        <w:rPr>
          <w:rFonts w:ascii="Times New Roman" w:hAnsi="Times New Roman" w:cs="Times New Roman"/>
          <w:sz w:val="24"/>
          <w:szCs w:val="24"/>
        </w:rPr>
        <w:t xml:space="preserve"> to ensure compliance to the GIAMA</w:t>
      </w:r>
      <w:r w:rsidR="004C7619" w:rsidRPr="00661465">
        <w:rPr>
          <w:rFonts w:ascii="Times New Roman" w:hAnsi="Times New Roman" w:cs="Times New Roman"/>
          <w:sz w:val="24"/>
          <w:szCs w:val="24"/>
        </w:rPr>
        <w:t>. A strengthened mandate becomes more urgent in the light of</w:t>
      </w:r>
      <w:r w:rsidR="00832421" w:rsidRPr="00661465">
        <w:rPr>
          <w:rFonts w:ascii="Times New Roman" w:hAnsi="Times New Roman" w:cs="Times New Roman"/>
          <w:sz w:val="24"/>
          <w:szCs w:val="24"/>
        </w:rPr>
        <w:t xml:space="preserve"> </w:t>
      </w:r>
      <w:r w:rsidR="004C7619" w:rsidRPr="00661465">
        <w:rPr>
          <w:rFonts w:ascii="Times New Roman" w:hAnsi="Times New Roman" w:cs="Times New Roman"/>
          <w:sz w:val="24"/>
          <w:szCs w:val="24"/>
        </w:rPr>
        <w:t xml:space="preserve">service3 delivery </w:t>
      </w:r>
      <w:r w:rsidR="00832421" w:rsidRPr="00661465">
        <w:rPr>
          <w:rFonts w:ascii="Times New Roman" w:hAnsi="Times New Roman" w:cs="Times New Roman"/>
          <w:sz w:val="24"/>
          <w:szCs w:val="24"/>
        </w:rPr>
        <w:t xml:space="preserve">departments </w:t>
      </w:r>
      <w:r w:rsidR="004C7619" w:rsidRPr="00661465">
        <w:rPr>
          <w:rFonts w:ascii="Times New Roman" w:hAnsi="Times New Roman" w:cs="Times New Roman"/>
          <w:sz w:val="24"/>
          <w:szCs w:val="24"/>
        </w:rPr>
        <w:t>setting</w:t>
      </w:r>
      <w:r w:rsidR="00832421" w:rsidRPr="00661465">
        <w:rPr>
          <w:rFonts w:ascii="Times New Roman" w:hAnsi="Times New Roman" w:cs="Times New Roman"/>
          <w:sz w:val="24"/>
          <w:szCs w:val="24"/>
        </w:rPr>
        <w:t xml:space="preserve"> up their own maintenance and construction programmes that </w:t>
      </w:r>
      <w:r w:rsidR="004C7619" w:rsidRPr="00661465">
        <w:rPr>
          <w:rFonts w:ascii="Times New Roman" w:hAnsi="Times New Roman" w:cs="Times New Roman"/>
          <w:sz w:val="24"/>
          <w:szCs w:val="24"/>
        </w:rPr>
        <w:t xml:space="preserve">further </w:t>
      </w:r>
      <w:r w:rsidR="00832421" w:rsidRPr="00661465">
        <w:rPr>
          <w:rFonts w:ascii="Times New Roman" w:hAnsi="Times New Roman" w:cs="Times New Roman"/>
          <w:sz w:val="24"/>
          <w:szCs w:val="24"/>
        </w:rPr>
        <w:t>weakens the DPW</w:t>
      </w:r>
      <w:r w:rsidR="004C7619" w:rsidRPr="00661465">
        <w:rPr>
          <w:rFonts w:ascii="Times New Roman" w:hAnsi="Times New Roman" w:cs="Times New Roman"/>
          <w:sz w:val="24"/>
          <w:szCs w:val="24"/>
        </w:rPr>
        <w:t>I</w:t>
      </w:r>
      <w:r w:rsidR="00832421" w:rsidRPr="00661465">
        <w:rPr>
          <w:rFonts w:ascii="Times New Roman" w:hAnsi="Times New Roman" w:cs="Times New Roman"/>
          <w:sz w:val="24"/>
          <w:szCs w:val="24"/>
        </w:rPr>
        <w:t xml:space="preserve"> mandate. </w:t>
      </w:r>
      <w:r w:rsidR="004C7619" w:rsidRPr="00661465">
        <w:rPr>
          <w:rFonts w:ascii="Times New Roman" w:hAnsi="Times New Roman" w:cs="Times New Roman"/>
          <w:sz w:val="24"/>
          <w:szCs w:val="24"/>
        </w:rPr>
        <w:t>In addition, during deliberations, the I</w:t>
      </w:r>
      <w:r w:rsidR="00980C9A">
        <w:rPr>
          <w:rFonts w:ascii="Times New Roman" w:hAnsi="Times New Roman" w:cs="Times New Roman"/>
          <w:sz w:val="24"/>
          <w:szCs w:val="24"/>
        </w:rPr>
        <w:t>DT</w:t>
      </w:r>
      <w:r w:rsidR="004C7619" w:rsidRPr="00661465">
        <w:rPr>
          <w:rFonts w:ascii="Times New Roman" w:hAnsi="Times New Roman" w:cs="Times New Roman"/>
          <w:sz w:val="24"/>
          <w:szCs w:val="24"/>
        </w:rPr>
        <w:t xml:space="preserve"> reported that other government agencies were increasingly playing construction project management and maintenance functions that is the mandate of government’s public works family.</w:t>
      </w:r>
    </w:p>
    <w:p w14:paraId="59E9DE26" w14:textId="77777777" w:rsidR="00A2505F" w:rsidRPr="00661465" w:rsidRDefault="00A2505F" w:rsidP="00CC0781">
      <w:pPr>
        <w:autoSpaceDE w:val="0"/>
        <w:autoSpaceDN w:val="0"/>
        <w:adjustRightInd w:val="0"/>
        <w:spacing w:after="0" w:line="360" w:lineRule="auto"/>
        <w:jc w:val="both"/>
        <w:rPr>
          <w:rFonts w:ascii="Times New Roman" w:hAnsi="Times New Roman" w:cs="Times New Roman"/>
          <w:sz w:val="24"/>
          <w:szCs w:val="24"/>
        </w:rPr>
      </w:pPr>
    </w:p>
    <w:p w14:paraId="7BFC4ECA" w14:textId="77777777" w:rsidR="00832421" w:rsidRPr="00661465" w:rsidRDefault="00832421"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Secondly</w:t>
      </w:r>
      <w:r w:rsidR="00AC0ECE" w:rsidRPr="00661465">
        <w:rPr>
          <w:rFonts w:ascii="Times New Roman" w:hAnsi="Times New Roman" w:cs="Times New Roman"/>
          <w:sz w:val="24"/>
          <w:szCs w:val="24"/>
        </w:rPr>
        <w:t>,</w:t>
      </w:r>
      <w:r w:rsidRPr="00661465">
        <w:rPr>
          <w:rFonts w:ascii="Times New Roman" w:hAnsi="Times New Roman" w:cs="Times New Roman"/>
          <w:sz w:val="24"/>
          <w:szCs w:val="24"/>
        </w:rPr>
        <w:t xml:space="preserve"> </w:t>
      </w:r>
      <w:r w:rsidR="00AC0ECE" w:rsidRPr="00661465">
        <w:rPr>
          <w:rFonts w:ascii="Times New Roman" w:hAnsi="Times New Roman" w:cs="Times New Roman"/>
          <w:sz w:val="24"/>
          <w:szCs w:val="24"/>
        </w:rPr>
        <w:t>the weakened mandate is due to the DPW</w:t>
      </w:r>
      <w:r w:rsidR="00012EED">
        <w:rPr>
          <w:rFonts w:ascii="Times New Roman" w:hAnsi="Times New Roman" w:cs="Times New Roman"/>
          <w:sz w:val="24"/>
          <w:szCs w:val="24"/>
        </w:rPr>
        <w:t>I</w:t>
      </w:r>
      <w:r w:rsidR="00AC0ECE" w:rsidRPr="00661465">
        <w:rPr>
          <w:rFonts w:ascii="Times New Roman" w:hAnsi="Times New Roman" w:cs="Times New Roman"/>
          <w:sz w:val="24"/>
          <w:szCs w:val="24"/>
        </w:rPr>
        <w:t xml:space="preserve"> not completing the</w:t>
      </w:r>
      <w:r w:rsidR="00CD58F4" w:rsidRPr="00661465">
        <w:rPr>
          <w:rFonts w:ascii="Times New Roman" w:hAnsi="Times New Roman" w:cs="Times New Roman"/>
          <w:sz w:val="24"/>
          <w:szCs w:val="24"/>
        </w:rPr>
        <w:t xml:space="preserve"> review </w:t>
      </w:r>
      <w:r w:rsidR="00A2505F" w:rsidRPr="00661465">
        <w:rPr>
          <w:rFonts w:ascii="Times New Roman" w:hAnsi="Times New Roman" w:cs="Times New Roman"/>
          <w:sz w:val="24"/>
          <w:szCs w:val="24"/>
        </w:rPr>
        <w:t xml:space="preserve">of </w:t>
      </w:r>
      <w:r w:rsidR="00CD58F4" w:rsidRPr="00661465">
        <w:rPr>
          <w:rFonts w:ascii="Times New Roman" w:hAnsi="Times New Roman" w:cs="Times New Roman"/>
          <w:sz w:val="24"/>
          <w:szCs w:val="24"/>
        </w:rPr>
        <w:t>the public works white papers 1997 and 1999</w:t>
      </w:r>
      <w:r w:rsidR="00A34AF1" w:rsidRPr="00661465">
        <w:rPr>
          <w:rStyle w:val="FootnoteReference"/>
          <w:rFonts w:ascii="Times New Roman" w:hAnsi="Times New Roman" w:cs="Times New Roman"/>
          <w:sz w:val="24"/>
          <w:szCs w:val="24"/>
        </w:rPr>
        <w:footnoteReference w:id="6"/>
      </w:r>
      <w:r w:rsidR="00AC0ECE" w:rsidRPr="00661465">
        <w:rPr>
          <w:rFonts w:ascii="Times New Roman" w:hAnsi="Times New Roman" w:cs="Times New Roman"/>
          <w:sz w:val="24"/>
          <w:szCs w:val="24"/>
        </w:rPr>
        <w:t xml:space="preserve"> within the </w:t>
      </w:r>
      <w:r w:rsidR="0078516C" w:rsidRPr="00661465">
        <w:rPr>
          <w:rFonts w:ascii="Times New Roman" w:hAnsi="Times New Roman" w:cs="Times New Roman"/>
          <w:sz w:val="24"/>
          <w:szCs w:val="24"/>
        </w:rPr>
        <w:t xml:space="preserve">MTSF </w:t>
      </w:r>
      <w:r w:rsidR="00284D01" w:rsidRPr="00661465">
        <w:rPr>
          <w:rFonts w:ascii="Times New Roman" w:hAnsi="Times New Roman" w:cs="Times New Roman"/>
          <w:sz w:val="24"/>
          <w:szCs w:val="24"/>
        </w:rPr>
        <w:t xml:space="preserve">period </w:t>
      </w:r>
      <w:r w:rsidR="0078516C" w:rsidRPr="00661465">
        <w:rPr>
          <w:rFonts w:ascii="Times New Roman" w:hAnsi="Times New Roman" w:cs="Times New Roman"/>
          <w:sz w:val="24"/>
          <w:szCs w:val="24"/>
        </w:rPr>
        <w:t xml:space="preserve">of </w:t>
      </w:r>
      <w:r w:rsidR="00AC0ECE" w:rsidRPr="00661465">
        <w:rPr>
          <w:rFonts w:ascii="Times New Roman" w:hAnsi="Times New Roman" w:cs="Times New Roman"/>
          <w:sz w:val="24"/>
          <w:szCs w:val="24"/>
        </w:rPr>
        <w:t>2014-2019</w:t>
      </w:r>
      <w:r w:rsidR="00CD58F4" w:rsidRPr="00661465">
        <w:rPr>
          <w:rFonts w:ascii="Times New Roman" w:hAnsi="Times New Roman" w:cs="Times New Roman"/>
          <w:sz w:val="24"/>
          <w:szCs w:val="24"/>
        </w:rPr>
        <w:t xml:space="preserve">. This </w:t>
      </w:r>
      <w:r w:rsidR="00AC0ECE" w:rsidRPr="00661465">
        <w:rPr>
          <w:rFonts w:ascii="Times New Roman" w:hAnsi="Times New Roman" w:cs="Times New Roman"/>
          <w:sz w:val="24"/>
          <w:szCs w:val="24"/>
        </w:rPr>
        <w:t>strengthened the phenomenon of other departments setting up their own construction and maintenance programmes</w:t>
      </w:r>
      <w:r w:rsidR="002366E1" w:rsidRPr="00661465">
        <w:rPr>
          <w:rFonts w:ascii="Times New Roman" w:hAnsi="Times New Roman" w:cs="Times New Roman"/>
          <w:sz w:val="24"/>
          <w:szCs w:val="24"/>
        </w:rPr>
        <w:t xml:space="preserve"> and by so doing, eroding and weakening the actual mandate of the DPWI</w:t>
      </w:r>
      <w:r w:rsidR="00AC0ECE" w:rsidRPr="00661465">
        <w:rPr>
          <w:rFonts w:ascii="Times New Roman" w:hAnsi="Times New Roman" w:cs="Times New Roman"/>
          <w:sz w:val="24"/>
          <w:szCs w:val="24"/>
        </w:rPr>
        <w:t xml:space="preserve">. This </w:t>
      </w:r>
      <w:r w:rsidR="00AC0ECE" w:rsidRPr="00661465">
        <w:rPr>
          <w:rFonts w:ascii="Times New Roman" w:hAnsi="Times New Roman" w:cs="Times New Roman"/>
          <w:sz w:val="24"/>
          <w:szCs w:val="24"/>
        </w:rPr>
        <w:lastRenderedPageBreak/>
        <w:t xml:space="preserve">policy </w:t>
      </w:r>
      <w:r w:rsidR="00CD58F4" w:rsidRPr="00661465">
        <w:rPr>
          <w:rFonts w:ascii="Times New Roman" w:hAnsi="Times New Roman" w:cs="Times New Roman"/>
          <w:sz w:val="24"/>
          <w:szCs w:val="24"/>
        </w:rPr>
        <w:t xml:space="preserve">task </w:t>
      </w:r>
      <w:r w:rsidR="008977C7" w:rsidRPr="00661465">
        <w:rPr>
          <w:rFonts w:ascii="Times New Roman" w:hAnsi="Times New Roman" w:cs="Times New Roman"/>
          <w:sz w:val="24"/>
          <w:szCs w:val="24"/>
        </w:rPr>
        <w:t xml:space="preserve">was </w:t>
      </w:r>
      <w:r w:rsidR="00AC0ECE" w:rsidRPr="00661465">
        <w:rPr>
          <w:rFonts w:ascii="Times New Roman" w:hAnsi="Times New Roman" w:cs="Times New Roman"/>
          <w:sz w:val="24"/>
          <w:szCs w:val="24"/>
        </w:rPr>
        <w:t>the duty of the bureaucratic team who worked in</w:t>
      </w:r>
      <w:r w:rsidR="008977C7" w:rsidRPr="00661465">
        <w:rPr>
          <w:rFonts w:ascii="Times New Roman" w:hAnsi="Times New Roman" w:cs="Times New Roman"/>
          <w:sz w:val="24"/>
          <w:szCs w:val="24"/>
        </w:rPr>
        <w:t xml:space="preserve"> programme 4, </w:t>
      </w:r>
      <w:r w:rsidR="00735F0C" w:rsidRPr="00661465">
        <w:rPr>
          <w:rFonts w:ascii="Times New Roman" w:hAnsi="Times New Roman" w:cs="Times New Roman"/>
          <w:sz w:val="24"/>
          <w:szCs w:val="24"/>
        </w:rPr>
        <w:t>Property and Construction Industry Policy and Research</w:t>
      </w:r>
      <w:r w:rsidRPr="00661465">
        <w:rPr>
          <w:rFonts w:ascii="Times New Roman" w:hAnsi="Times New Roman" w:cs="Times New Roman"/>
          <w:sz w:val="24"/>
          <w:szCs w:val="24"/>
        </w:rPr>
        <w:t>. I</w:t>
      </w:r>
      <w:r w:rsidR="00A34AF1" w:rsidRPr="00661465">
        <w:rPr>
          <w:rFonts w:ascii="Times New Roman" w:hAnsi="Times New Roman" w:cs="Times New Roman"/>
          <w:sz w:val="24"/>
          <w:szCs w:val="24"/>
        </w:rPr>
        <w:t xml:space="preserve">n each annual performance plan (APP) </w:t>
      </w:r>
      <w:r w:rsidR="00504EEE" w:rsidRPr="00661465">
        <w:rPr>
          <w:rFonts w:ascii="Times New Roman" w:hAnsi="Times New Roman" w:cs="Times New Roman"/>
          <w:sz w:val="24"/>
          <w:szCs w:val="24"/>
        </w:rPr>
        <w:t>that stretched across</w:t>
      </w:r>
      <w:r w:rsidR="00A34AF1" w:rsidRPr="00661465">
        <w:rPr>
          <w:rFonts w:ascii="Times New Roman" w:hAnsi="Times New Roman" w:cs="Times New Roman"/>
          <w:sz w:val="24"/>
          <w:szCs w:val="24"/>
        </w:rPr>
        <w:t xml:space="preserve"> the term</w:t>
      </w:r>
      <w:r w:rsidR="00735F0C" w:rsidRPr="00661465">
        <w:rPr>
          <w:rFonts w:ascii="Times New Roman" w:hAnsi="Times New Roman" w:cs="Times New Roman"/>
          <w:sz w:val="24"/>
          <w:szCs w:val="24"/>
        </w:rPr>
        <w:t xml:space="preserve">, the management reported that it faced capacity problems, that it had to stretch its completion targets, until </w:t>
      </w:r>
      <w:r w:rsidRPr="00661465">
        <w:rPr>
          <w:rFonts w:ascii="Times New Roman" w:hAnsi="Times New Roman" w:cs="Times New Roman"/>
          <w:sz w:val="24"/>
          <w:szCs w:val="24"/>
        </w:rPr>
        <w:t xml:space="preserve">eventually, </w:t>
      </w:r>
      <w:r w:rsidR="00735F0C" w:rsidRPr="00661465">
        <w:rPr>
          <w:rFonts w:ascii="Times New Roman" w:hAnsi="Times New Roman" w:cs="Times New Roman"/>
          <w:sz w:val="24"/>
          <w:szCs w:val="24"/>
        </w:rPr>
        <w:t xml:space="preserve">late in the 2017/18 financial year it stated that it would be achieved </w:t>
      </w:r>
      <w:r w:rsidRPr="00661465">
        <w:rPr>
          <w:rFonts w:ascii="Times New Roman" w:hAnsi="Times New Roman" w:cs="Times New Roman"/>
          <w:sz w:val="24"/>
          <w:szCs w:val="24"/>
        </w:rPr>
        <w:t xml:space="preserve">only </w:t>
      </w:r>
      <w:r w:rsidR="00735F0C" w:rsidRPr="00661465">
        <w:rPr>
          <w:rFonts w:ascii="Times New Roman" w:hAnsi="Times New Roman" w:cs="Times New Roman"/>
          <w:sz w:val="24"/>
          <w:szCs w:val="24"/>
        </w:rPr>
        <w:t>in the 2019/20 financial year</w:t>
      </w:r>
      <w:r w:rsidRPr="00661465">
        <w:rPr>
          <w:rFonts w:ascii="Times New Roman" w:hAnsi="Times New Roman" w:cs="Times New Roman"/>
          <w:sz w:val="24"/>
          <w:szCs w:val="24"/>
        </w:rPr>
        <w:t xml:space="preserve"> – outside of the five-year term</w:t>
      </w:r>
      <w:r w:rsidR="00A34AF1" w:rsidRPr="00661465">
        <w:rPr>
          <w:rFonts w:ascii="Times New Roman" w:hAnsi="Times New Roman" w:cs="Times New Roman"/>
          <w:sz w:val="24"/>
          <w:szCs w:val="24"/>
        </w:rPr>
        <w:t>.</w:t>
      </w:r>
      <w:r w:rsidR="00786F37" w:rsidRPr="00661465">
        <w:rPr>
          <w:rFonts w:ascii="Times New Roman" w:hAnsi="Times New Roman" w:cs="Times New Roman"/>
          <w:sz w:val="24"/>
          <w:szCs w:val="24"/>
        </w:rPr>
        <w:t xml:space="preserve"> </w:t>
      </w:r>
      <w:r w:rsidR="009D4B87" w:rsidRPr="00661465">
        <w:rPr>
          <w:rFonts w:ascii="Times New Roman" w:hAnsi="Times New Roman" w:cs="Times New Roman"/>
          <w:sz w:val="24"/>
          <w:szCs w:val="24"/>
        </w:rPr>
        <w:t>This Portfolio Committee recorded its unhappiness in its Budgetary Review and Recommendation Reports that stretched across the 2014-19 administrative term but nothing concrete emerged from the DPW</w:t>
      </w:r>
      <w:r w:rsidR="00012EED">
        <w:rPr>
          <w:rFonts w:ascii="Times New Roman" w:hAnsi="Times New Roman" w:cs="Times New Roman"/>
          <w:sz w:val="24"/>
          <w:szCs w:val="24"/>
        </w:rPr>
        <w:t>I</w:t>
      </w:r>
      <w:r w:rsidR="009D4B87" w:rsidRPr="00661465">
        <w:rPr>
          <w:rFonts w:ascii="Times New Roman" w:hAnsi="Times New Roman" w:cs="Times New Roman"/>
          <w:sz w:val="24"/>
          <w:szCs w:val="24"/>
        </w:rPr>
        <w:t xml:space="preserve"> to address the matter decisively.</w:t>
      </w:r>
    </w:p>
    <w:p w14:paraId="1967864F" w14:textId="77777777" w:rsidR="00832421" w:rsidRPr="00661465" w:rsidRDefault="00832421" w:rsidP="00CC0781">
      <w:pPr>
        <w:autoSpaceDE w:val="0"/>
        <w:autoSpaceDN w:val="0"/>
        <w:adjustRightInd w:val="0"/>
        <w:spacing w:after="0" w:line="360" w:lineRule="auto"/>
        <w:jc w:val="both"/>
        <w:rPr>
          <w:rFonts w:ascii="Times New Roman" w:hAnsi="Times New Roman" w:cs="Times New Roman"/>
          <w:sz w:val="24"/>
          <w:szCs w:val="24"/>
        </w:rPr>
      </w:pPr>
    </w:p>
    <w:p w14:paraId="33983FF8" w14:textId="77777777" w:rsidR="00832421" w:rsidRPr="00661465" w:rsidRDefault="002365AC" w:rsidP="00CC0781">
      <w:pPr>
        <w:autoSpaceDE w:val="0"/>
        <w:autoSpaceDN w:val="0"/>
        <w:adjustRightInd w:val="0"/>
        <w:spacing w:after="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 xml:space="preserve">1.3. </w:t>
      </w:r>
      <w:r w:rsidR="00E10AC2" w:rsidRPr="00661465">
        <w:rPr>
          <w:rFonts w:ascii="Times New Roman" w:hAnsi="Times New Roman" w:cs="Times New Roman"/>
          <w:b/>
          <w:sz w:val="24"/>
          <w:szCs w:val="24"/>
        </w:rPr>
        <w:t>Addressing the policy and mandate weakness</w:t>
      </w:r>
    </w:p>
    <w:p w14:paraId="72DADA91" w14:textId="77777777" w:rsidR="00AD545A" w:rsidRPr="00661465" w:rsidRDefault="00AD545A" w:rsidP="00CC0781">
      <w:pPr>
        <w:autoSpaceDE w:val="0"/>
        <w:autoSpaceDN w:val="0"/>
        <w:adjustRightInd w:val="0"/>
        <w:spacing w:after="0" w:line="360" w:lineRule="auto"/>
        <w:jc w:val="both"/>
        <w:rPr>
          <w:rFonts w:ascii="Times New Roman" w:hAnsi="Times New Roman" w:cs="Times New Roman"/>
          <w:sz w:val="24"/>
          <w:szCs w:val="24"/>
        </w:rPr>
      </w:pPr>
    </w:p>
    <w:p w14:paraId="50FFE5D6" w14:textId="77777777" w:rsidR="00D215F1" w:rsidRPr="00661465" w:rsidRDefault="00786F37" w:rsidP="00CC0781">
      <w:pPr>
        <w:autoSpaceDE w:val="0"/>
        <w:autoSpaceDN w:val="0"/>
        <w:adjustRightInd w:val="0"/>
        <w:spacing w:after="0" w:line="360" w:lineRule="auto"/>
        <w:jc w:val="both"/>
        <w:rPr>
          <w:rFonts w:ascii="Times New Roman" w:eastAsia="Times New Roman" w:hAnsi="Times New Roman" w:cs="Times New Roman"/>
          <w:sz w:val="24"/>
          <w:szCs w:val="24"/>
        </w:rPr>
      </w:pPr>
      <w:r w:rsidRPr="00661465">
        <w:rPr>
          <w:rFonts w:ascii="Times New Roman" w:hAnsi="Times New Roman" w:cs="Times New Roman"/>
          <w:sz w:val="24"/>
          <w:szCs w:val="24"/>
        </w:rPr>
        <w:t>The white paper entitled “</w:t>
      </w:r>
      <w:r w:rsidRPr="00661465">
        <w:rPr>
          <w:rFonts w:ascii="Times New Roman" w:eastAsia="Times New Roman" w:hAnsi="Times New Roman" w:cs="Times New Roman"/>
          <w:sz w:val="24"/>
          <w:szCs w:val="24"/>
        </w:rPr>
        <w:t>Public Works, Towards the 21st Century</w:t>
      </w:r>
      <w:r w:rsidR="004C76FA" w:rsidRPr="00661465">
        <w:rPr>
          <w:rFonts w:ascii="Times New Roman" w:eastAsia="Times New Roman" w:hAnsi="Times New Roman" w:cs="Times New Roman"/>
          <w:sz w:val="24"/>
          <w:szCs w:val="24"/>
        </w:rPr>
        <w:t>”</w:t>
      </w:r>
      <w:r w:rsidRPr="00661465">
        <w:rPr>
          <w:rFonts w:ascii="Times New Roman" w:eastAsia="Times New Roman" w:hAnsi="Times New Roman" w:cs="Times New Roman"/>
          <w:sz w:val="24"/>
          <w:szCs w:val="24"/>
        </w:rPr>
        <w:t>, was planned to lead to a draft bill that would have spelled out the mandate of the department so tha</w:t>
      </w:r>
      <w:r w:rsidR="00E10AC2" w:rsidRPr="00661465">
        <w:rPr>
          <w:rFonts w:ascii="Times New Roman" w:eastAsia="Times New Roman" w:hAnsi="Times New Roman" w:cs="Times New Roman"/>
          <w:sz w:val="24"/>
          <w:szCs w:val="24"/>
        </w:rPr>
        <w:t>t it was able to set standards and</w:t>
      </w:r>
      <w:r w:rsidR="008D2B04" w:rsidRPr="00661465">
        <w:rPr>
          <w:rFonts w:ascii="Times New Roman" w:eastAsia="Times New Roman" w:hAnsi="Times New Roman" w:cs="Times New Roman"/>
          <w:sz w:val="24"/>
          <w:szCs w:val="24"/>
        </w:rPr>
        <w:t xml:space="preserve"> </w:t>
      </w:r>
      <w:r w:rsidRPr="00661465">
        <w:rPr>
          <w:rFonts w:ascii="Times New Roman" w:eastAsia="Times New Roman" w:hAnsi="Times New Roman" w:cs="Times New Roman"/>
          <w:sz w:val="24"/>
          <w:szCs w:val="24"/>
        </w:rPr>
        <w:t xml:space="preserve">regulate its role of landlord of the state with the powers that it required to collect management and maintenance fees. Without it, the </w:t>
      </w:r>
      <w:r w:rsidR="009B3BB9" w:rsidRPr="00661465">
        <w:rPr>
          <w:rFonts w:ascii="Times New Roman" w:eastAsia="Times New Roman" w:hAnsi="Times New Roman" w:cs="Times New Roman"/>
          <w:sz w:val="24"/>
          <w:szCs w:val="24"/>
        </w:rPr>
        <w:t>PMTE, the DPW</w:t>
      </w:r>
      <w:r w:rsidR="00012EED">
        <w:rPr>
          <w:rFonts w:ascii="Times New Roman" w:eastAsia="Times New Roman" w:hAnsi="Times New Roman" w:cs="Times New Roman"/>
          <w:sz w:val="24"/>
          <w:szCs w:val="24"/>
        </w:rPr>
        <w:t>I</w:t>
      </w:r>
      <w:r w:rsidR="009B3BB9" w:rsidRPr="00661465">
        <w:rPr>
          <w:rFonts w:ascii="Times New Roman" w:eastAsia="Times New Roman" w:hAnsi="Times New Roman" w:cs="Times New Roman"/>
          <w:sz w:val="24"/>
          <w:szCs w:val="24"/>
        </w:rPr>
        <w:t>,</w:t>
      </w:r>
      <w:r w:rsidRPr="00661465">
        <w:rPr>
          <w:rFonts w:ascii="Times New Roman" w:eastAsia="Times New Roman" w:hAnsi="Times New Roman" w:cs="Times New Roman"/>
          <w:sz w:val="24"/>
          <w:szCs w:val="24"/>
        </w:rPr>
        <w:t xml:space="preserve"> and the Independent Development Trust (IDT)</w:t>
      </w:r>
      <w:r w:rsidR="009B3BB9" w:rsidRPr="00661465">
        <w:rPr>
          <w:rFonts w:ascii="Times New Roman" w:eastAsia="Times New Roman" w:hAnsi="Times New Roman" w:cs="Times New Roman"/>
          <w:sz w:val="24"/>
          <w:szCs w:val="24"/>
        </w:rPr>
        <w:t xml:space="preserve"> </w:t>
      </w:r>
      <w:r w:rsidR="003C2424" w:rsidRPr="00661465">
        <w:rPr>
          <w:rFonts w:ascii="Times New Roman" w:eastAsia="Times New Roman" w:hAnsi="Times New Roman" w:cs="Times New Roman"/>
          <w:sz w:val="24"/>
          <w:szCs w:val="24"/>
        </w:rPr>
        <w:t xml:space="preserve">continue to </w:t>
      </w:r>
      <w:r w:rsidR="009B3BB9" w:rsidRPr="00661465">
        <w:rPr>
          <w:rFonts w:ascii="Times New Roman" w:eastAsia="Times New Roman" w:hAnsi="Times New Roman" w:cs="Times New Roman"/>
          <w:sz w:val="24"/>
          <w:szCs w:val="24"/>
        </w:rPr>
        <w:t>spend</w:t>
      </w:r>
      <w:r w:rsidRPr="00661465">
        <w:rPr>
          <w:rFonts w:ascii="Times New Roman" w:eastAsia="Times New Roman" w:hAnsi="Times New Roman" w:cs="Times New Roman"/>
          <w:sz w:val="24"/>
          <w:szCs w:val="24"/>
        </w:rPr>
        <w:t xml:space="preserve"> funds without being able to recover it </w:t>
      </w:r>
      <w:r w:rsidR="00A604C1" w:rsidRPr="00661465">
        <w:rPr>
          <w:rFonts w:ascii="Times New Roman" w:eastAsia="Times New Roman" w:hAnsi="Times New Roman" w:cs="Times New Roman"/>
          <w:sz w:val="24"/>
          <w:szCs w:val="24"/>
        </w:rPr>
        <w:t xml:space="preserve">sufficiently enough </w:t>
      </w:r>
      <w:r w:rsidRPr="00661465">
        <w:rPr>
          <w:rFonts w:ascii="Times New Roman" w:eastAsia="Times New Roman" w:hAnsi="Times New Roman" w:cs="Times New Roman"/>
          <w:sz w:val="24"/>
          <w:szCs w:val="24"/>
        </w:rPr>
        <w:t>from client or user departments</w:t>
      </w:r>
      <w:r w:rsidR="00D215F1" w:rsidRPr="00661465">
        <w:rPr>
          <w:rFonts w:ascii="Times New Roman" w:eastAsia="Times New Roman" w:hAnsi="Times New Roman" w:cs="Times New Roman"/>
          <w:sz w:val="24"/>
          <w:szCs w:val="24"/>
        </w:rPr>
        <w:t xml:space="preserve"> – in the case of the IDT, its failure to recover management fees for completed social infrastructure projects is an on-going crisis that threatens its operability as an entity</w:t>
      </w:r>
      <w:r w:rsidRPr="00661465">
        <w:rPr>
          <w:rFonts w:ascii="Times New Roman" w:eastAsia="Times New Roman" w:hAnsi="Times New Roman" w:cs="Times New Roman"/>
          <w:sz w:val="24"/>
          <w:szCs w:val="24"/>
        </w:rPr>
        <w:t>.</w:t>
      </w:r>
      <w:r w:rsidR="008363AC" w:rsidRPr="00661465">
        <w:rPr>
          <w:rFonts w:ascii="Times New Roman" w:eastAsia="Times New Roman" w:hAnsi="Times New Roman" w:cs="Times New Roman"/>
          <w:sz w:val="24"/>
          <w:szCs w:val="24"/>
        </w:rPr>
        <w:t xml:space="preserve"> </w:t>
      </w:r>
    </w:p>
    <w:p w14:paraId="042111A5" w14:textId="77777777" w:rsidR="00D215F1" w:rsidRPr="00661465" w:rsidRDefault="00D215F1" w:rsidP="00CC0781">
      <w:pPr>
        <w:autoSpaceDE w:val="0"/>
        <w:autoSpaceDN w:val="0"/>
        <w:adjustRightInd w:val="0"/>
        <w:spacing w:after="0" w:line="360" w:lineRule="auto"/>
        <w:jc w:val="both"/>
        <w:rPr>
          <w:rFonts w:ascii="Times New Roman" w:eastAsia="Times New Roman" w:hAnsi="Times New Roman" w:cs="Times New Roman"/>
          <w:sz w:val="24"/>
          <w:szCs w:val="24"/>
        </w:rPr>
      </w:pPr>
    </w:p>
    <w:p w14:paraId="03AEA4B0" w14:textId="77777777" w:rsidR="00CD58F4" w:rsidRPr="00661465" w:rsidRDefault="008363AC" w:rsidP="00CC0781">
      <w:pPr>
        <w:autoSpaceDE w:val="0"/>
        <w:autoSpaceDN w:val="0"/>
        <w:adjustRightInd w:val="0"/>
        <w:spacing w:after="0" w:line="360" w:lineRule="auto"/>
        <w:jc w:val="both"/>
        <w:rPr>
          <w:rFonts w:ascii="Times New Roman" w:hAnsi="Times New Roman" w:cs="Times New Roman"/>
          <w:sz w:val="24"/>
          <w:szCs w:val="24"/>
        </w:rPr>
      </w:pPr>
      <w:r w:rsidRPr="00661465">
        <w:rPr>
          <w:rFonts w:ascii="Times New Roman" w:eastAsia="Times New Roman" w:hAnsi="Times New Roman" w:cs="Times New Roman"/>
          <w:sz w:val="24"/>
          <w:szCs w:val="24"/>
        </w:rPr>
        <w:t xml:space="preserve">The second white </w:t>
      </w:r>
      <w:r w:rsidR="00251210" w:rsidRPr="00661465">
        <w:rPr>
          <w:rFonts w:ascii="Times New Roman" w:eastAsia="Times New Roman" w:hAnsi="Times New Roman" w:cs="Times New Roman"/>
          <w:sz w:val="24"/>
          <w:szCs w:val="24"/>
        </w:rPr>
        <w:t>paper</w:t>
      </w:r>
      <w:r w:rsidRPr="00661465">
        <w:rPr>
          <w:rFonts w:ascii="Times New Roman" w:eastAsia="Times New Roman" w:hAnsi="Times New Roman" w:cs="Times New Roman"/>
          <w:sz w:val="24"/>
          <w:szCs w:val="24"/>
        </w:rPr>
        <w:t xml:space="preserve"> </w:t>
      </w:r>
      <w:r w:rsidR="002E20AC" w:rsidRPr="00661465">
        <w:rPr>
          <w:rFonts w:ascii="Times New Roman" w:eastAsia="Times New Roman" w:hAnsi="Times New Roman" w:cs="Times New Roman"/>
          <w:sz w:val="24"/>
          <w:szCs w:val="24"/>
        </w:rPr>
        <w:t>would have resulted in two pieces of legislation</w:t>
      </w:r>
      <w:r w:rsidR="00A604C1" w:rsidRPr="00661465">
        <w:rPr>
          <w:rFonts w:ascii="Times New Roman" w:eastAsia="Times New Roman" w:hAnsi="Times New Roman" w:cs="Times New Roman"/>
          <w:sz w:val="24"/>
          <w:szCs w:val="24"/>
        </w:rPr>
        <w:t xml:space="preserve">, </w:t>
      </w:r>
      <w:r w:rsidR="00251210" w:rsidRPr="00661465">
        <w:rPr>
          <w:rFonts w:ascii="Times New Roman" w:eastAsia="Times New Roman" w:hAnsi="Times New Roman" w:cs="Times New Roman"/>
          <w:sz w:val="24"/>
          <w:szCs w:val="24"/>
        </w:rPr>
        <w:t>which would have been amendments to legislation that guide the focus, organisations and work of the</w:t>
      </w:r>
      <w:r w:rsidR="00A604C1" w:rsidRPr="00661465">
        <w:rPr>
          <w:rFonts w:ascii="Times New Roman" w:eastAsia="Times New Roman" w:hAnsi="Times New Roman" w:cs="Times New Roman"/>
          <w:sz w:val="24"/>
          <w:szCs w:val="24"/>
        </w:rPr>
        <w:t xml:space="preserve"> Construction Industry Development Board (CIDB), and</w:t>
      </w:r>
      <w:r w:rsidR="002E20AC" w:rsidRPr="00661465">
        <w:rPr>
          <w:rFonts w:ascii="Times New Roman" w:eastAsia="Times New Roman" w:hAnsi="Times New Roman" w:cs="Times New Roman"/>
          <w:sz w:val="24"/>
          <w:szCs w:val="24"/>
        </w:rPr>
        <w:t xml:space="preserve"> </w:t>
      </w:r>
      <w:r w:rsidR="00A604C1" w:rsidRPr="00661465">
        <w:rPr>
          <w:rFonts w:ascii="Times New Roman" w:eastAsia="Times New Roman" w:hAnsi="Times New Roman" w:cs="Times New Roman"/>
          <w:sz w:val="24"/>
          <w:szCs w:val="24"/>
        </w:rPr>
        <w:t>the Council for the Built Environment (CBE)</w:t>
      </w:r>
      <w:r w:rsidR="00251210" w:rsidRPr="00661465">
        <w:rPr>
          <w:rFonts w:ascii="Times New Roman" w:eastAsia="Times New Roman" w:hAnsi="Times New Roman" w:cs="Times New Roman"/>
          <w:sz w:val="24"/>
          <w:szCs w:val="24"/>
        </w:rPr>
        <w:t>. These would have been</w:t>
      </w:r>
      <w:r w:rsidR="00A604C1" w:rsidRPr="00661465">
        <w:rPr>
          <w:rFonts w:ascii="Times New Roman" w:eastAsia="Times New Roman" w:hAnsi="Times New Roman" w:cs="Times New Roman"/>
          <w:sz w:val="24"/>
          <w:szCs w:val="24"/>
        </w:rPr>
        <w:t xml:space="preserve"> draft bills </w:t>
      </w:r>
      <w:r w:rsidRPr="00661465">
        <w:rPr>
          <w:rFonts w:ascii="Times New Roman" w:eastAsia="Times New Roman" w:hAnsi="Times New Roman" w:cs="Times New Roman"/>
          <w:sz w:val="24"/>
          <w:szCs w:val="24"/>
        </w:rPr>
        <w:t xml:space="preserve">that </w:t>
      </w:r>
      <w:r w:rsidR="00A604C1" w:rsidRPr="00661465">
        <w:rPr>
          <w:rFonts w:ascii="Times New Roman" w:eastAsia="Times New Roman" w:hAnsi="Times New Roman" w:cs="Times New Roman"/>
          <w:sz w:val="24"/>
          <w:szCs w:val="24"/>
        </w:rPr>
        <w:t>would have set</w:t>
      </w:r>
      <w:r w:rsidRPr="00661465">
        <w:rPr>
          <w:rFonts w:ascii="Times New Roman" w:eastAsia="Times New Roman" w:hAnsi="Times New Roman" w:cs="Times New Roman"/>
          <w:sz w:val="24"/>
          <w:szCs w:val="24"/>
        </w:rPr>
        <w:t xml:space="preserve"> out </w:t>
      </w:r>
      <w:r w:rsidR="007C584A" w:rsidRPr="00661465">
        <w:rPr>
          <w:rFonts w:ascii="Times New Roman" w:eastAsia="Times New Roman" w:hAnsi="Times New Roman" w:cs="Times New Roman"/>
          <w:sz w:val="24"/>
          <w:szCs w:val="24"/>
        </w:rPr>
        <w:t xml:space="preserve">functions and </w:t>
      </w:r>
      <w:r w:rsidRPr="00661465">
        <w:rPr>
          <w:rFonts w:ascii="Times New Roman" w:eastAsia="Times New Roman" w:hAnsi="Times New Roman" w:cs="Times New Roman"/>
          <w:sz w:val="24"/>
          <w:szCs w:val="24"/>
        </w:rPr>
        <w:t xml:space="preserve">powers </w:t>
      </w:r>
      <w:r w:rsidR="00251210" w:rsidRPr="00661465">
        <w:rPr>
          <w:rFonts w:ascii="Times New Roman" w:eastAsia="Times New Roman" w:hAnsi="Times New Roman" w:cs="Times New Roman"/>
          <w:sz w:val="24"/>
          <w:szCs w:val="24"/>
        </w:rPr>
        <w:t xml:space="preserve">of each entity </w:t>
      </w:r>
      <w:r w:rsidR="007C584A" w:rsidRPr="00661465">
        <w:rPr>
          <w:rFonts w:ascii="Times New Roman" w:eastAsia="Times New Roman" w:hAnsi="Times New Roman" w:cs="Times New Roman"/>
          <w:sz w:val="24"/>
          <w:szCs w:val="24"/>
        </w:rPr>
        <w:t>to address their respective roles in</w:t>
      </w:r>
      <w:r w:rsidR="00341FD3" w:rsidRPr="00661465">
        <w:rPr>
          <w:rFonts w:ascii="Times New Roman" w:eastAsia="Times New Roman" w:hAnsi="Times New Roman" w:cs="Times New Roman"/>
          <w:sz w:val="24"/>
          <w:szCs w:val="24"/>
        </w:rPr>
        <w:t xml:space="preserve"> transforming </w:t>
      </w:r>
      <w:r w:rsidR="00221EEF" w:rsidRPr="00661465">
        <w:rPr>
          <w:rFonts w:ascii="Times New Roman" w:eastAsia="Times New Roman" w:hAnsi="Times New Roman" w:cs="Times New Roman"/>
          <w:sz w:val="24"/>
          <w:szCs w:val="24"/>
        </w:rPr>
        <w:t xml:space="preserve">respectively the construction industry, and </w:t>
      </w:r>
      <w:r w:rsidR="00341FD3" w:rsidRPr="00661465">
        <w:rPr>
          <w:rFonts w:ascii="Times New Roman" w:eastAsia="Times New Roman" w:hAnsi="Times New Roman" w:cs="Times New Roman"/>
          <w:sz w:val="24"/>
          <w:szCs w:val="24"/>
        </w:rPr>
        <w:t>the professional built environment sector</w:t>
      </w:r>
      <w:r w:rsidR="007C584A" w:rsidRPr="00661465">
        <w:rPr>
          <w:rFonts w:ascii="Times New Roman" w:eastAsia="Times New Roman" w:hAnsi="Times New Roman" w:cs="Times New Roman"/>
          <w:sz w:val="24"/>
          <w:szCs w:val="24"/>
        </w:rPr>
        <w:t xml:space="preserve"> as per </w:t>
      </w:r>
      <w:r w:rsidR="00221EEF" w:rsidRPr="00661465">
        <w:rPr>
          <w:rFonts w:ascii="Times New Roman" w:eastAsia="Times New Roman" w:hAnsi="Times New Roman" w:cs="Times New Roman"/>
          <w:sz w:val="24"/>
          <w:szCs w:val="24"/>
        </w:rPr>
        <w:t xml:space="preserve">government’s policy as driven by </w:t>
      </w:r>
      <w:r w:rsidR="007C584A" w:rsidRPr="00661465">
        <w:rPr>
          <w:rFonts w:ascii="Times New Roman" w:eastAsia="Times New Roman" w:hAnsi="Times New Roman" w:cs="Times New Roman"/>
          <w:sz w:val="24"/>
          <w:szCs w:val="24"/>
        </w:rPr>
        <w:t>the Minister</w:t>
      </w:r>
      <w:r w:rsidR="00221EEF" w:rsidRPr="00661465">
        <w:rPr>
          <w:rFonts w:ascii="Times New Roman" w:eastAsia="Times New Roman" w:hAnsi="Times New Roman" w:cs="Times New Roman"/>
          <w:sz w:val="24"/>
          <w:szCs w:val="24"/>
        </w:rPr>
        <w:t xml:space="preserve"> of Public Works</w:t>
      </w:r>
      <w:r w:rsidR="00341FD3" w:rsidRPr="00661465">
        <w:rPr>
          <w:rFonts w:ascii="Times New Roman" w:eastAsia="Times New Roman" w:hAnsi="Times New Roman" w:cs="Times New Roman"/>
          <w:sz w:val="24"/>
          <w:szCs w:val="24"/>
        </w:rPr>
        <w:t xml:space="preserve">. </w:t>
      </w:r>
      <w:r w:rsidR="006E0490" w:rsidRPr="00661465">
        <w:rPr>
          <w:rFonts w:ascii="Times New Roman" w:eastAsia="Times New Roman" w:hAnsi="Times New Roman" w:cs="Times New Roman"/>
          <w:sz w:val="24"/>
          <w:szCs w:val="24"/>
        </w:rPr>
        <w:t>These</w:t>
      </w:r>
      <w:r w:rsidR="00341FD3" w:rsidRPr="00661465">
        <w:rPr>
          <w:rFonts w:ascii="Times New Roman" w:eastAsia="Times New Roman" w:hAnsi="Times New Roman" w:cs="Times New Roman"/>
          <w:sz w:val="24"/>
          <w:szCs w:val="24"/>
        </w:rPr>
        <w:t xml:space="preserve"> pieces o</w:t>
      </w:r>
      <w:r w:rsidR="006E0490" w:rsidRPr="00661465">
        <w:rPr>
          <w:rFonts w:ascii="Times New Roman" w:eastAsia="Times New Roman" w:hAnsi="Times New Roman" w:cs="Times New Roman"/>
          <w:sz w:val="24"/>
          <w:szCs w:val="24"/>
        </w:rPr>
        <w:t>f legislation remain sorely required</w:t>
      </w:r>
      <w:r w:rsidR="00341FD3" w:rsidRPr="00661465">
        <w:rPr>
          <w:rFonts w:ascii="Times New Roman" w:eastAsia="Times New Roman" w:hAnsi="Times New Roman" w:cs="Times New Roman"/>
          <w:sz w:val="24"/>
          <w:szCs w:val="24"/>
        </w:rPr>
        <w:t xml:space="preserve"> instruments that would further assist in </w:t>
      </w:r>
      <w:r w:rsidR="00734AF4" w:rsidRPr="00661465">
        <w:rPr>
          <w:rFonts w:ascii="Times New Roman" w:eastAsia="Times New Roman" w:hAnsi="Times New Roman" w:cs="Times New Roman"/>
          <w:sz w:val="24"/>
          <w:szCs w:val="24"/>
        </w:rPr>
        <w:t>strength</w:t>
      </w:r>
      <w:r w:rsidR="00341FD3" w:rsidRPr="00661465">
        <w:rPr>
          <w:rFonts w:ascii="Times New Roman" w:eastAsia="Times New Roman" w:hAnsi="Times New Roman" w:cs="Times New Roman"/>
          <w:sz w:val="24"/>
          <w:szCs w:val="24"/>
        </w:rPr>
        <w:t xml:space="preserve">ening </w:t>
      </w:r>
      <w:r w:rsidR="007E4AE0" w:rsidRPr="00661465">
        <w:rPr>
          <w:rFonts w:ascii="Times New Roman" w:eastAsia="Times New Roman" w:hAnsi="Times New Roman" w:cs="Times New Roman"/>
          <w:sz w:val="24"/>
          <w:szCs w:val="24"/>
        </w:rPr>
        <w:t>the mandate along which the allocated budget would be spent</w:t>
      </w:r>
      <w:r w:rsidR="00341FD3" w:rsidRPr="00661465">
        <w:rPr>
          <w:rFonts w:ascii="Times New Roman" w:eastAsia="Times New Roman" w:hAnsi="Times New Roman" w:cs="Times New Roman"/>
          <w:sz w:val="24"/>
          <w:szCs w:val="24"/>
        </w:rPr>
        <w:t xml:space="preserve">. </w:t>
      </w:r>
    </w:p>
    <w:p w14:paraId="5DF09AD3" w14:textId="77777777" w:rsidR="005E3CB9" w:rsidRPr="00661465" w:rsidRDefault="005E3CB9" w:rsidP="00CC0781">
      <w:pPr>
        <w:spacing w:line="360" w:lineRule="auto"/>
        <w:jc w:val="both"/>
        <w:rPr>
          <w:rFonts w:ascii="Times New Roman" w:hAnsi="Times New Roman" w:cs="Times New Roman"/>
          <w:b/>
          <w:bCs/>
          <w:sz w:val="24"/>
          <w:szCs w:val="24"/>
        </w:rPr>
      </w:pPr>
    </w:p>
    <w:p w14:paraId="727074E7" w14:textId="77777777" w:rsidR="00E2682F" w:rsidRDefault="00E2682F">
      <w:pPr>
        <w:rPr>
          <w:rFonts w:ascii="Times New Roman" w:hAnsi="Times New Roman" w:cs="Times New Roman"/>
          <w:b/>
          <w:bCs/>
          <w:sz w:val="24"/>
          <w:szCs w:val="24"/>
        </w:rPr>
      </w:pPr>
      <w:r>
        <w:rPr>
          <w:rFonts w:ascii="Times New Roman" w:hAnsi="Times New Roman" w:cs="Times New Roman"/>
          <w:b/>
          <w:bCs/>
          <w:sz w:val="24"/>
          <w:szCs w:val="24"/>
        </w:rPr>
        <w:br w:type="page"/>
      </w:r>
    </w:p>
    <w:p w14:paraId="5F41C378" w14:textId="77777777" w:rsidR="00380ED0" w:rsidRPr="00661465" w:rsidRDefault="002365AC" w:rsidP="00CC0781">
      <w:pPr>
        <w:spacing w:line="360" w:lineRule="auto"/>
        <w:jc w:val="both"/>
        <w:rPr>
          <w:rFonts w:ascii="Times New Roman" w:hAnsi="Times New Roman" w:cs="Times New Roman"/>
          <w:b/>
          <w:bCs/>
          <w:sz w:val="24"/>
          <w:szCs w:val="24"/>
        </w:rPr>
      </w:pPr>
      <w:r w:rsidRPr="00661465">
        <w:rPr>
          <w:rFonts w:ascii="Times New Roman" w:hAnsi="Times New Roman" w:cs="Times New Roman"/>
          <w:b/>
          <w:bCs/>
          <w:sz w:val="24"/>
          <w:szCs w:val="24"/>
        </w:rPr>
        <w:lastRenderedPageBreak/>
        <w:t xml:space="preserve">2. </w:t>
      </w:r>
      <w:r w:rsidR="00380ED0" w:rsidRPr="00661465">
        <w:rPr>
          <w:rFonts w:ascii="Times New Roman" w:hAnsi="Times New Roman" w:cs="Times New Roman"/>
          <w:b/>
          <w:bCs/>
          <w:sz w:val="24"/>
          <w:szCs w:val="24"/>
        </w:rPr>
        <w:t>Policy Priorities for the Department of Public Works, PMTE and Entities</w:t>
      </w:r>
    </w:p>
    <w:p w14:paraId="78F4AEAD" w14:textId="77777777" w:rsidR="00D34A14" w:rsidRPr="00661465" w:rsidRDefault="00D34A1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One of the main policy tasks of government is fighting the scourge of poverty, and narrowing the growing inequality gap</w:t>
      </w:r>
      <w:r w:rsidRPr="00661465">
        <w:rPr>
          <w:rStyle w:val="FootnoteReference"/>
          <w:rFonts w:ascii="Times New Roman" w:hAnsi="Times New Roman" w:cs="Times New Roman"/>
          <w:sz w:val="24"/>
          <w:szCs w:val="24"/>
        </w:rPr>
        <w:footnoteReference w:id="7"/>
      </w:r>
      <w:r w:rsidRPr="00661465">
        <w:rPr>
          <w:rFonts w:ascii="Times New Roman" w:hAnsi="Times New Roman" w:cs="Times New Roman"/>
          <w:sz w:val="24"/>
          <w:szCs w:val="24"/>
        </w:rPr>
        <w:t xml:space="preserve">. The World Bank </w:t>
      </w:r>
      <w:r w:rsidR="00CC3505" w:rsidRPr="00661465">
        <w:rPr>
          <w:rFonts w:ascii="Times New Roman" w:hAnsi="Times New Roman" w:cs="Times New Roman"/>
          <w:sz w:val="24"/>
          <w:szCs w:val="24"/>
        </w:rPr>
        <w:t>reported</w:t>
      </w:r>
      <w:r w:rsidRPr="00661465">
        <w:rPr>
          <w:rFonts w:ascii="Times New Roman" w:hAnsi="Times New Roman" w:cs="Times New Roman"/>
          <w:sz w:val="24"/>
          <w:szCs w:val="24"/>
        </w:rPr>
        <w:t xml:space="preserve"> </w:t>
      </w:r>
      <w:r w:rsidR="00CF3055" w:rsidRPr="00661465">
        <w:rPr>
          <w:rFonts w:ascii="Times New Roman" w:hAnsi="Times New Roman" w:cs="Times New Roman"/>
          <w:sz w:val="24"/>
          <w:szCs w:val="24"/>
        </w:rPr>
        <w:t xml:space="preserve">that, </w:t>
      </w:r>
      <w:r w:rsidRPr="00661465">
        <w:rPr>
          <w:rFonts w:ascii="Times New Roman" w:hAnsi="Times New Roman" w:cs="Times New Roman"/>
          <w:sz w:val="24"/>
          <w:szCs w:val="24"/>
        </w:rPr>
        <w:t xml:space="preserve">“South Africa is one of the most unequal countries in the world. Inequality has increased since the end of apartheid in 1994. The country also has a high concentration of low income earners (the poor) and a few very high-income earners (the rich or elite), but only a small number of middle-income earners, resulting in a high level of income polarization.” </w:t>
      </w:r>
      <w:r w:rsidR="00CF3055" w:rsidRPr="00661465">
        <w:rPr>
          <w:rFonts w:ascii="Times New Roman" w:hAnsi="Times New Roman" w:cs="Times New Roman"/>
          <w:sz w:val="24"/>
          <w:szCs w:val="24"/>
        </w:rPr>
        <w:t xml:space="preserve">The President assigned </w:t>
      </w:r>
      <w:r w:rsidRPr="00661465">
        <w:rPr>
          <w:rFonts w:ascii="Times New Roman" w:hAnsi="Times New Roman" w:cs="Times New Roman"/>
          <w:sz w:val="24"/>
          <w:szCs w:val="24"/>
        </w:rPr>
        <w:t xml:space="preserve">the task to </w:t>
      </w:r>
      <w:r w:rsidR="00CF3055" w:rsidRPr="00661465">
        <w:rPr>
          <w:rFonts w:ascii="Times New Roman" w:hAnsi="Times New Roman" w:cs="Times New Roman"/>
          <w:sz w:val="24"/>
          <w:szCs w:val="24"/>
        </w:rPr>
        <w:t>the DPW</w:t>
      </w:r>
      <w:r w:rsidR="00012EED">
        <w:rPr>
          <w:rFonts w:ascii="Times New Roman" w:hAnsi="Times New Roman" w:cs="Times New Roman"/>
          <w:sz w:val="24"/>
          <w:szCs w:val="24"/>
        </w:rPr>
        <w:t>I</w:t>
      </w:r>
      <w:r w:rsidR="00CF3055" w:rsidRPr="00661465">
        <w:rPr>
          <w:rFonts w:ascii="Times New Roman" w:hAnsi="Times New Roman" w:cs="Times New Roman"/>
          <w:sz w:val="24"/>
          <w:szCs w:val="24"/>
        </w:rPr>
        <w:t xml:space="preserve"> to create </w:t>
      </w:r>
      <w:r w:rsidRPr="00661465">
        <w:rPr>
          <w:rFonts w:ascii="Times New Roman" w:hAnsi="Times New Roman" w:cs="Times New Roman"/>
          <w:sz w:val="24"/>
          <w:szCs w:val="24"/>
        </w:rPr>
        <w:t xml:space="preserve">employment opportunities for the currently unemployed but economically viable section of the population. </w:t>
      </w:r>
      <w:r w:rsidR="00CF3055" w:rsidRPr="00661465">
        <w:rPr>
          <w:rFonts w:ascii="Times New Roman" w:hAnsi="Times New Roman" w:cs="Times New Roman"/>
          <w:sz w:val="24"/>
          <w:szCs w:val="24"/>
        </w:rPr>
        <w:t>In line with this policy directive, the DPW</w:t>
      </w:r>
      <w:r w:rsidR="00012EED">
        <w:rPr>
          <w:rFonts w:ascii="Times New Roman" w:hAnsi="Times New Roman" w:cs="Times New Roman"/>
          <w:sz w:val="24"/>
          <w:szCs w:val="24"/>
        </w:rPr>
        <w:t>I</w:t>
      </w:r>
      <w:r w:rsidRPr="00661465">
        <w:rPr>
          <w:rFonts w:ascii="Times New Roman" w:hAnsi="Times New Roman" w:cs="Times New Roman"/>
          <w:sz w:val="24"/>
          <w:szCs w:val="24"/>
        </w:rPr>
        <w:t xml:space="preserve"> coordinates job creation in</w:t>
      </w:r>
      <w:r w:rsidR="00234D73" w:rsidRPr="00661465">
        <w:rPr>
          <w:rFonts w:ascii="Times New Roman" w:hAnsi="Times New Roman" w:cs="Times New Roman"/>
          <w:sz w:val="24"/>
          <w:szCs w:val="24"/>
        </w:rPr>
        <w:t>itiatives through government’s Expanded Public Works P</w:t>
      </w:r>
      <w:r w:rsidRPr="00661465">
        <w:rPr>
          <w:rFonts w:ascii="Times New Roman" w:hAnsi="Times New Roman" w:cs="Times New Roman"/>
          <w:sz w:val="24"/>
          <w:szCs w:val="24"/>
        </w:rPr>
        <w:t xml:space="preserve">rogramme (EPWP). </w:t>
      </w:r>
      <w:r w:rsidR="00234D73" w:rsidRPr="00661465">
        <w:rPr>
          <w:rFonts w:ascii="Times New Roman" w:hAnsi="Times New Roman" w:cs="Times New Roman"/>
          <w:sz w:val="24"/>
          <w:szCs w:val="24"/>
        </w:rPr>
        <w:t xml:space="preserve">The EPWP is a multi-level programme. </w:t>
      </w:r>
      <w:r w:rsidRPr="00661465">
        <w:rPr>
          <w:rFonts w:ascii="Times New Roman" w:hAnsi="Times New Roman" w:cs="Times New Roman"/>
          <w:sz w:val="24"/>
          <w:szCs w:val="24"/>
        </w:rPr>
        <w:t xml:space="preserve">It is worthwhile to note that </w:t>
      </w:r>
      <w:r w:rsidR="00856B8F" w:rsidRPr="00661465">
        <w:rPr>
          <w:rFonts w:ascii="Times New Roman" w:hAnsi="Times New Roman" w:cs="Times New Roman"/>
          <w:sz w:val="24"/>
          <w:szCs w:val="24"/>
        </w:rPr>
        <w:t>the DPW</w:t>
      </w:r>
      <w:r w:rsidR="00012EED">
        <w:rPr>
          <w:rFonts w:ascii="Times New Roman" w:hAnsi="Times New Roman" w:cs="Times New Roman"/>
          <w:sz w:val="24"/>
          <w:szCs w:val="24"/>
        </w:rPr>
        <w:t>I</w:t>
      </w:r>
      <w:r w:rsidR="00856B8F" w:rsidRPr="00661465">
        <w:rPr>
          <w:rFonts w:ascii="Times New Roman" w:hAnsi="Times New Roman" w:cs="Times New Roman"/>
          <w:sz w:val="24"/>
          <w:szCs w:val="24"/>
        </w:rPr>
        <w:t xml:space="preserve"> do not initiate and manage </w:t>
      </w:r>
      <w:r w:rsidR="00234D73" w:rsidRPr="00661465">
        <w:rPr>
          <w:rFonts w:ascii="Times New Roman" w:hAnsi="Times New Roman" w:cs="Times New Roman"/>
          <w:sz w:val="24"/>
          <w:szCs w:val="24"/>
        </w:rPr>
        <w:t>EPWP</w:t>
      </w:r>
      <w:r w:rsidRPr="00661465">
        <w:rPr>
          <w:rFonts w:ascii="Times New Roman" w:hAnsi="Times New Roman" w:cs="Times New Roman"/>
          <w:sz w:val="24"/>
          <w:szCs w:val="24"/>
        </w:rPr>
        <w:t xml:space="preserve"> programmes. </w:t>
      </w:r>
      <w:r w:rsidR="00856B8F" w:rsidRPr="00661465">
        <w:rPr>
          <w:rFonts w:ascii="Times New Roman" w:hAnsi="Times New Roman" w:cs="Times New Roman"/>
          <w:sz w:val="24"/>
          <w:szCs w:val="24"/>
        </w:rPr>
        <w:t>Different national and provincial departments as well as in municipal councils manage EPWP programmes</w:t>
      </w:r>
      <w:r w:rsidRPr="00661465">
        <w:rPr>
          <w:rFonts w:ascii="Times New Roman" w:hAnsi="Times New Roman" w:cs="Times New Roman"/>
          <w:sz w:val="24"/>
          <w:szCs w:val="24"/>
        </w:rPr>
        <w:t>. The DPW coordinates the collection of data from each department across the multi-level programme</w:t>
      </w:r>
      <w:r w:rsidR="005065CF" w:rsidRPr="00661465">
        <w:rPr>
          <w:rFonts w:ascii="Times New Roman" w:hAnsi="Times New Roman" w:cs="Times New Roman"/>
          <w:sz w:val="24"/>
          <w:szCs w:val="24"/>
        </w:rPr>
        <w:t xml:space="preserve">. It regulates the collection and verification of data on employment opportunities created through all EPWP projects across the country. Compliance to </w:t>
      </w:r>
      <w:r w:rsidR="00E21CD6" w:rsidRPr="00661465">
        <w:rPr>
          <w:rFonts w:ascii="Times New Roman" w:hAnsi="Times New Roman" w:cs="Times New Roman"/>
          <w:sz w:val="24"/>
          <w:szCs w:val="24"/>
        </w:rPr>
        <w:t xml:space="preserve">set </w:t>
      </w:r>
      <w:r w:rsidR="005065CF" w:rsidRPr="00661465">
        <w:rPr>
          <w:rFonts w:ascii="Times New Roman" w:hAnsi="Times New Roman" w:cs="Times New Roman"/>
          <w:sz w:val="24"/>
          <w:szCs w:val="24"/>
        </w:rPr>
        <w:t xml:space="preserve">standards and </w:t>
      </w:r>
      <w:r w:rsidR="00E21CD6" w:rsidRPr="00661465">
        <w:rPr>
          <w:rFonts w:ascii="Times New Roman" w:hAnsi="Times New Roman" w:cs="Times New Roman"/>
          <w:sz w:val="24"/>
          <w:szCs w:val="24"/>
        </w:rPr>
        <w:t xml:space="preserve">reaching agreed-to targets of </w:t>
      </w:r>
      <w:r w:rsidR="005065CF" w:rsidRPr="00661465">
        <w:rPr>
          <w:rFonts w:ascii="Times New Roman" w:hAnsi="Times New Roman" w:cs="Times New Roman"/>
          <w:sz w:val="24"/>
          <w:szCs w:val="24"/>
        </w:rPr>
        <w:t>total employment</w:t>
      </w:r>
      <w:r w:rsidRPr="00661465">
        <w:rPr>
          <w:rFonts w:ascii="Times New Roman" w:hAnsi="Times New Roman" w:cs="Times New Roman"/>
          <w:sz w:val="24"/>
          <w:szCs w:val="24"/>
        </w:rPr>
        <w:t xml:space="preserve"> </w:t>
      </w:r>
      <w:r w:rsidR="005065CF" w:rsidRPr="00661465">
        <w:rPr>
          <w:rFonts w:ascii="Times New Roman" w:hAnsi="Times New Roman" w:cs="Times New Roman"/>
          <w:sz w:val="24"/>
          <w:szCs w:val="24"/>
        </w:rPr>
        <w:t xml:space="preserve">opportunities created, </w:t>
      </w:r>
      <w:r w:rsidRPr="00661465">
        <w:rPr>
          <w:rFonts w:ascii="Times New Roman" w:hAnsi="Times New Roman" w:cs="Times New Roman"/>
          <w:sz w:val="24"/>
          <w:szCs w:val="24"/>
        </w:rPr>
        <w:t>unlocks incentive grants to provinces and municipalities for further developmental initiativ</w:t>
      </w:r>
      <w:r w:rsidR="005065CF" w:rsidRPr="00661465">
        <w:rPr>
          <w:rFonts w:ascii="Times New Roman" w:hAnsi="Times New Roman" w:cs="Times New Roman"/>
          <w:sz w:val="24"/>
          <w:szCs w:val="24"/>
        </w:rPr>
        <w:t>es</w:t>
      </w:r>
      <w:r w:rsidRPr="00661465">
        <w:rPr>
          <w:rFonts w:ascii="Times New Roman" w:hAnsi="Times New Roman" w:cs="Times New Roman"/>
          <w:sz w:val="24"/>
          <w:szCs w:val="24"/>
        </w:rPr>
        <w:t>. The DPW</w:t>
      </w:r>
      <w:r w:rsidR="00012EED">
        <w:rPr>
          <w:rFonts w:ascii="Times New Roman" w:hAnsi="Times New Roman" w:cs="Times New Roman"/>
          <w:sz w:val="24"/>
          <w:szCs w:val="24"/>
        </w:rPr>
        <w:t>I</w:t>
      </w:r>
      <w:r w:rsidRPr="00661465">
        <w:rPr>
          <w:rFonts w:ascii="Times New Roman" w:hAnsi="Times New Roman" w:cs="Times New Roman"/>
          <w:sz w:val="24"/>
          <w:szCs w:val="24"/>
        </w:rPr>
        <w:t xml:space="preserve"> also puts in p</w:t>
      </w:r>
      <w:r w:rsidR="00E21CD6" w:rsidRPr="00661465">
        <w:rPr>
          <w:rFonts w:ascii="Times New Roman" w:hAnsi="Times New Roman" w:cs="Times New Roman"/>
          <w:sz w:val="24"/>
          <w:szCs w:val="24"/>
        </w:rPr>
        <w:t>l</w:t>
      </w:r>
      <w:r w:rsidRPr="00661465">
        <w:rPr>
          <w:rFonts w:ascii="Times New Roman" w:hAnsi="Times New Roman" w:cs="Times New Roman"/>
          <w:sz w:val="24"/>
          <w:szCs w:val="24"/>
        </w:rPr>
        <w:t>ace and monitors the implementation of national regulation that guides</w:t>
      </w:r>
      <w:r w:rsidR="002768C3" w:rsidRPr="00661465">
        <w:rPr>
          <w:rFonts w:ascii="Times New Roman" w:hAnsi="Times New Roman" w:cs="Times New Roman"/>
          <w:sz w:val="24"/>
          <w:szCs w:val="24"/>
        </w:rPr>
        <w:t>,</w:t>
      </w:r>
      <w:r w:rsidRPr="00661465">
        <w:rPr>
          <w:rFonts w:ascii="Times New Roman" w:hAnsi="Times New Roman" w:cs="Times New Roman"/>
          <w:sz w:val="24"/>
          <w:szCs w:val="24"/>
        </w:rPr>
        <w:t xml:space="preserve"> </w:t>
      </w:r>
      <w:r w:rsidR="005178BD" w:rsidRPr="00661465">
        <w:rPr>
          <w:rFonts w:ascii="Times New Roman" w:hAnsi="Times New Roman" w:cs="Times New Roman"/>
          <w:sz w:val="24"/>
          <w:szCs w:val="24"/>
        </w:rPr>
        <w:t xml:space="preserve">and </w:t>
      </w:r>
      <w:r w:rsidRPr="00661465">
        <w:rPr>
          <w:rFonts w:ascii="Times New Roman" w:hAnsi="Times New Roman" w:cs="Times New Roman"/>
          <w:sz w:val="24"/>
          <w:szCs w:val="24"/>
        </w:rPr>
        <w:t xml:space="preserve">sets </w:t>
      </w:r>
      <w:r w:rsidR="002768C3" w:rsidRPr="00661465">
        <w:rPr>
          <w:rFonts w:ascii="Times New Roman" w:hAnsi="Times New Roman" w:cs="Times New Roman"/>
          <w:sz w:val="24"/>
          <w:szCs w:val="24"/>
        </w:rPr>
        <w:t>standards</w:t>
      </w:r>
      <w:r w:rsidRPr="00661465">
        <w:rPr>
          <w:rFonts w:ascii="Times New Roman" w:hAnsi="Times New Roman" w:cs="Times New Roman"/>
          <w:sz w:val="24"/>
          <w:szCs w:val="24"/>
        </w:rPr>
        <w:t xml:space="preserve"> for the selection of beneficiaries</w:t>
      </w:r>
      <w:r w:rsidR="002768C3" w:rsidRPr="00661465">
        <w:rPr>
          <w:rFonts w:ascii="Times New Roman" w:hAnsi="Times New Roman" w:cs="Times New Roman"/>
          <w:sz w:val="24"/>
          <w:szCs w:val="24"/>
        </w:rPr>
        <w:t xml:space="preserve"> across all provinces, municipalities and national departments</w:t>
      </w:r>
      <w:r w:rsidRPr="00661465">
        <w:rPr>
          <w:rFonts w:ascii="Times New Roman" w:hAnsi="Times New Roman" w:cs="Times New Roman"/>
          <w:sz w:val="24"/>
          <w:szCs w:val="24"/>
        </w:rPr>
        <w:t xml:space="preserve">. Similarly, it sets standards and regulation, and monitors the gathering and verification processes of employment numbers of the EPWP across the three </w:t>
      </w:r>
      <w:r w:rsidR="00414B3D" w:rsidRPr="00661465">
        <w:rPr>
          <w:rFonts w:ascii="Times New Roman" w:hAnsi="Times New Roman" w:cs="Times New Roman"/>
          <w:sz w:val="24"/>
          <w:szCs w:val="24"/>
        </w:rPr>
        <w:t>level</w:t>
      </w:r>
      <w:r w:rsidRPr="00661465">
        <w:rPr>
          <w:rFonts w:ascii="Times New Roman" w:hAnsi="Times New Roman" w:cs="Times New Roman"/>
          <w:sz w:val="24"/>
          <w:szCs w:val="24"/>
        </w:rPr>
        <w:t>s of government.</w:t>
      </w:r>
    </w:p>
    <w:p w14:paraId="5DDE2C1D" w14:textId="77777777" w:rsidR="00380ED0" w:rsidRPr="00661465" w:rsidRDefault="00380ED0"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Apart from </w:t>
      </w:r>
      <w:r w:rsidR="000B097D" w:rsidRPr="00661465">
        <w:rPr>
          <w:rFonts w:ascii="Times New Roman" w:hAnsi="Times New Roman" w:cs="Times New Roman"/>
          <w:sz w:val="24"/>
          <w:szCs w:val="24"/>
        </w:rPr>
        <w:t>this</w:t>
      </w:r>
      <w:r w:rsidRPr="00661465">
        <w:rPr>
          <w:rFonts w:ascii="Times New Roman" w:hAnsi="Times New Roman" w:cs="Times New Roman"/>
          <w:sz w:val="24"/>
          <w:szCs w:val="24"/>
        </w:rPr>
        <w:t xml:space="preserve">, </w:t>
      </w:r>
      <w:r w:rsidR="00493E1B" w:rsidRPr="00661465">
        <w:rPr>
          <w:rFonts w:ascii="Times New Roman" w:hAnsi="Times New Roman" w:cs="Times New Roman"/>
          <w:sz w:val="24"/>
          <w:szCs w:val="24"/>
        </w:rPr>
        <w:t xml:space="preserve">in </w:t>
      </w:r>
      <w:r w:rsidRPr="00661465">
        <w:rPr>
          <w:rFonts w:ascii="Times New Roman" w:hAnsi="Times New Roman" w:cs="Times New Roman"/>
          <w:sz w:val="24"/>
          <w:szCs w:val="24"/>
        </w:rPr>
        <w:t xml:space="preserve">the </w:t>
      </w:r>
      <w:r w:rsidR="00493E1B" w:rsidRPr="00661465">
        <w:rPr>
          <w:rFonts w:ascii="Times New Roman" w:hAnsi="Times New Roman" w:cs="Times New Roman"/>
          <w:sz w:val="24"/>
          <w:szCs w:val="24"/>
        </w:rPr>
        <w:t>2019 State of the Nation Address</w:t>
      </w:r>
      <w:r w:rsidR="00E70911" w:rsidRPr="00661465">
        <w:rPr>
          <w:rFonts w:ascii="Times New Roman" w:hAnsi="Times New Roman" w:cs="Times New Roman"/>
          <w:sz w:val="24"/>
          <w:szCs w:val="24"/>
        </w:rPr>
        <w:t xml:space="preserve"> (SoNA)</w:t>
      </w:r>
      <w:r w:rsidR="00493E1B" w:rsidRPr="00661465">
        <w:rPr>
          <w:rFonts w:ascii="Times New Roman" w:hAnsi="Times New Roman" w:cs="Times New Roman"/>
          <w:sz w:val="24"/>
          <w:szCs w:val="24"/>
        </w:rPr>
        <w:t xml:space="preserve">, the President identified the following </w:t>
      </w:r>
      <w:r w:rsidRPr="00661465">
        <w:rPr>
          <w:rFonts w:ascii="Times New Roman" w:hAnsi="Times New Roman" w:cs="Times New Roman"/>
          <w:sz w:val="24"/>
          <w:szCs w:val="24"/>
        </w:rPr>
        <w:t>policy focus for government departments, over which the Department of Public Works</w:t>
      </w:r>
      <w:r w:rsidR="00426639" w:rsidRPr="00661465">
        <w:rPr>
          <w:rFonts w:ascii="Times New Roman" w:hAnsi="Times New Roman" w:cs="Times New Roman"/>
          <w:sz w:val="24"/>
          <w:szCs w:val="24"/>
        </w:rPr>
        <w:t xml:space="preserve"> and Infrastructure</w:t>
      </w:r>
      <w:r w:rsidRPr="00661465">
        <w:rPr>
          <w:rFonts w:ascii="Times New Roman" w:hAnsi="Times New Roman" w:cs="Times New Roman"/>
          <w:sz w:val="24"/>
          <w:szCs w:val="24"/>
        </w:rPr>
        <w:t xml:space="preserve"> play</w:t>
      </w:r>
      <w:r w:rsidR="00493E1B" w:rsidRPr="00661465">
        <w:rPr>
          <w:rFonts w:ascii="Times New Roman" w:hAnsi="Times New Roman" w:cs="Times New Roman"/>
          <w:sz w:val="24"/>
          <w:szCs w:val="24"/>
        </w:rPr>
        <w:t>s</w:t>
      </w:r>
      <w:r w:rsidRPr="00661465">
        <w:rPr>
          <w:rFonts w:ascii="Times New Roman" w:hAnsi="Times New Roman" w:cs="Times New Roman"/>
          <w:sz w:val="24"/>
          <w:szCs w:val="24"/>
        </w:rPr>
        <w:t xml:space="preserve"> a coordinating, implementing role with its entities:</w:t>
      </w:r>
    </w:p>
    <w:p w14:paraId="2F4F4BBF" w14:textId="77777777" w:rsidR="009D4005" w:rsidRPr="00661465" w:rsidRDefault="009D4005" w:rsidP="00CC0781">
      <w:pPr>
        <w:pStyle w:val="Default"/>
        <w:numPr>
          <w:ilvl w:val="0"/>
          <w:numId w:val="2"/>
        </w:numPr>
        <w:spacing w:line="360" w:lineRule="auto"/>
        <w:jc w:val="both"/>
        <w:rPr>
          <w:rFonts w:ascii="Times New Roman" w:hAnsi="Times New Roman" w:cs="Times New Roman"/>
          <w:color w:val="000000" w:themeColor="text1"/>
          <w:lang w:val="en-GB"/>
        </w:rPr>
      </w:pPr>
      <w:r w:rsidRPr="00661465">
        <w:rPr>
          <w:rFonts w:ascii="Times New Roman" w:hAnsi="Times New Roman" w:cs="Times New Roman"/>
          <w:color w:val="000000" w:themeColor="text1"/>
          <w:lang w:val="en-GB"/>
        </w:rPr>
        <w:t xml:space="preserve">Expanding investment over the next five years to create new jobs, especially by enhancing demand for local goods. </w:t>
      </w:r>
    </w:p>
    <w:p w14:paraId="1019B7DB" w14:textId="77777777" w:rsidR="009D4005" w:rsidRPr="00661465" w:rsidRDefault="009D4005" w:rsidP="00CC0781">
      <w:pPr>
        <w:pStyle w:val="Default"/>
        <w:numPr>
          <w:ilvl w:val="0"/>
          <w:numId w:val="2"/>
        </w:numPr>
        <w:spacing w:line="360" w:lineRule="auto"/>
        <w:jc w:val="both"/>
        <w:rPr>
          <w:rFonts w:ascii="Times New Roman" w:hAnsi="Times New Roman" w:cs="Times New Roman"/>
          <w:color w:val="000000" w:themeColor="text1"/>
          <w:lang w:val="en-GB"/>
        </w:rPr>
      </w:pPr>
      <w:r w:rsidRPr="00661465">
        <w:rPr>
          <w:rFonts w:ascii="Times New Roman" w:hAnsi="Times New Roman" w:cs="Times New Roman"/>
          <w:color w:val="000000" w:themeColor="text1"/>
          <w:lang w:val="en-GB"/>
        </w:rPr>
        <w:t xml:space="preserve">Increasing the proportion of local goods and services procured by government and the private sector. </w:t>
      </w:r>
    </w:p>
    <w:p w14:paraId="45AEFB64" w14:textId="77777777" w:rsidR="009D4005" w:rsidRPr="00661465" w:rsidRDefault="009D4005" w:rsidP="00CC0781">
      <w:pPr>
        <w:numPr>
          <w:ilvl w:val="0"/>
          <w:numId w:val="3"/>
        </w:numPr>
        <w:spacing w:after="0" w:line="360" w:lineRule="auto"/>
        <w:jc w:val="both"/>
        <w:rPr>
          <w:rFonts w:ascii="Times New Roman" w:hAnsi="Times New Roman" w:cs="Times New Roman"/>
          <w:color w:val="000000" w:themeColor="text1"/>
          <w:sz w:val="24"/>
          <w:szCs w:val="24"/>
          <w:lang w:val="en-GB"/>
        </w:rPr>
      </w:pPr>
      <w:r w:rsidRPr="00661465">
        <w:rPr>
          <w:rFonts w:ascii="Times New Roman" w:hAnsi="Times New Roman" w:cs="Times New Roman"/>
          <w:color w:val="000000" w:themeColor="text1"/>
          <w:sz w:val="24"/>
          <w:szCs w:val="24"/>
        </w:rPr>
        <w:t>Creating jobs for those currently unemployed, and prepare workers for the jobs of the future.</w:t>
      </w:r>
    </w:p>
    <w:p w14:paraId="64EEF2F5" w14:textId="77777777" w:rsidR="009D4005" w:rsidRPr="00661465" w:rsidRDefault="009D4005" w:rsidP="00CC0781">
      <w:pPr>
        <w:numPr>
          <w:ilvl w:val="0"/>
          <w:numId w:val="4"/>
        </w:numPr>
        <w:spacing w:after="0" w:line="360" w:lineRule="auto"/>
        <w:jc w:val="both"/>
        <w:rPr>
          <w:rFonts w:ascii="Times New Roman" w:hAnsi="Times New Roman" w:cs="Times New Roman"/>
          <w:color w:val="000000" w:themeColor="text1"/>
          <w:sz w:val="24"/>
          <w:szCs w:val="24"/>
          <w:lang w:eastAsia="en-ZA"/>
        </w:rPr>
      </w:pPr>
      <w:r w:rsidRPr="00661465">
        <w:rPr>
          <w:rFonts w:ascii="Times New Roman" w:hAnsi="Times New Roman" w:cs="Times New Roman"/>
          <w:color w:val="000000" w:themeColor="text1"/>
          <w:sz w:val="24"/>
          <w:szCs w:val="24"/>
          <w:lang w:eastAsia="en-ZA"/>
        </w:rPr>
        <w:lastRenderedPageBreak/>
        <w:t>Adopting a new infrastructure model to address the fragmented infrastructure provision by the different spheres of government.</w:t>
      </w:r>
    </w:p>
    <w:p w14:paraId="3DEB93B8" w14:textId="77777777" w:rsidR="009D4005" w:rsidRPr="00661465" w:rsidRDefault="009D4005" w:rsidP="00CC0781">
      <w:pPr>
        <w:numPr>
          <w:ilvl w:val="0"/>
          <w:numId w:val="4"/>
        </w:numPr>
        <w:spacing w:after="0" w:line="360" w:lineRule="auto"/>
        <w:jc w:val="both"/>
        <w:rPr>
          <w:rFonts w:ascii="Times New Roman" w:hAnsi="Times New Roman" w:cs="Times New Roman"/>
          <w:color w:val="000000" w:themeColor="text1"/>
          <w:sz w:val="24"/>
          <w:szCs w:val="24"/>
          <w:lang w:eastAsia="en-ZA"/>
        </w:rPr>
      </w:pPr>
      <w:r w:rsidRPr="00661465">
        <w:rPr>
          <w:rFonts w:ascii="Times New Roman" w:hAnsi="Times New Roman" w:cs="Times New Roman"/>
          <w:color w:val="000000" w:themeColor="text1"/>
          <w:sz w:val="24"/>
          <w:szCs w:val="24"/>
        </w:rPr>
        <w:t>Strengthening government’s technical capacity (through the creation of a pool of engineers, project managers, spatial planners and quantity surveyors) to ensure projects are implemented at a rapid pace.</w:t>
      </w:r>
    </w:p>
    <w:p w14:paraId="118ED735" w14:textId="77777777" w:rsidR="009D4005" w:rsidRPr="00661465" w:rsidRDefault="009D4005" w:rsidP="00CC0781">
      <w:pPr>
        <w:numPr>
          <w:ilvl w:val="0"/>
          <w:numId w:val="4"/>
        </w:numPr>
        <w:spacing w:after="0" w:line="360" w:lineRule="auto"/>
        <w:jc w:val="both"/>
        <w:rPr>
          <w:rFonts w:ascii="Times New Roman" w:hAnsi="Times New Roman" w:cs="Times New Roman"/>
          <w:color w:val="000000" w:themeColor="text1"/>
          <w:spacing w:val="6"/>
          <w:sz w:val="24"/>
          <w:szCs w:val="24"/>
          <w:lang w:eastAsia="en-GB"/>
        </w:rPr>
      </w:pPr>
      <w:r w:rsidRPr="00661465">
        <w:rPr>
          <w:rFonts w:ascii="Times New Roman" w:hAnsi="Times New Roman" w:cs="Times New Roman"/>
          <w:color w:val="000000" w:themeColor="text1"/>
          <w:sz w:val="24"/>
          <w:szCs w:val="24"/>
        </w:rPr>
        <w:t>Supporting the work of the Constitutional Review Committee tasked with the review of Section 25 of the Constitution to set out provisions for expropriation of land without compensation. </w:t>
      </w:r>
    </w:p>
    <w:p w14:paraId="2FE2CC2B" w14:textId="77777777" w:rsidR="009D4005" w:rsidRPr="00661465" w:rsidRDefault="009D4005" w:rsidP="00CC0781">
      <w:pPr>
        <w:numPr>
          <w:ilvl w:val="0"/>
          <w:numId w:val="4"/>
        </w:numPr>
        <w:spacing w:after="0" w:line="360" w:lineRule="auto"/>
        <w:jc w:val="both"/>
        <w:rPr>
          <w:rFonts w:ascii="Times New Roman" w:hAnsi="Times New Roman" w:cs="Times New Roman"/>
          <w:color w:val="000000" w:themeColor="text1"/>
          <w:sz w:val="24"/>
          <w:szCs w:val="24"/>
          <w:lang w:eastAsia="en-ZA"/>
        </w:rPr>
      </w:pPr>
      <w:r w:rsidRPr="00661465">
        <w:rPr>
          <w:rFonts w:ascii="Times New Roman" w:hAnsi="Times New Roman" w:cs="Times New Roman"/>
          <w:color w:val="000000" w:themeColor="text1"/>
          <w:sz w:val="24"/>
          <w:szCs w:val="24"/>
        </w:rPr>
        <w:t>Addressing the corrosive effects of corruption and restoring the integrity of institutions.</w:t>
      </w:r>
    </w:p>
    <w:p w14:paraId="2ABF6524" w14:textId="77777777" w:rsidR="009D4005" w:rsidRPr="00661465" w:rsidRDefault="009D4005" w:rsidP="00CC0781">
      <w:pPr>
        <w:pStyle w:val="Default"/>
        <w:numPr>
          <w:ilvl w:val="0"/>
          <w:numId w:val="5"/>
        </w:numPr>
        <w:spacing w:line="360" w:lineRule="auto"/>
        <w:jc w:val="both"/>
        <w:rPr>
          <w:rFonts w:ascii="Times New Roman" w:hAnsi="Times New Roman" w:cs="Times New Roman"/>
          <w:color w:val="000000" w:themeColor="text1"/>
          <w:lang w:val="en-GB"/>
        </w:rPr>
      </w:pPr>
      <w:r w:rsidRPr="00661465">
        <w:rPr>
          <w:rFonts w:ascii="Times New Roman" w:hAnsi="Times New Roman" w:cs="Times New Roman"/>
          <w:color w:val="000000" w:themeColor="text1"/>
          <w:lang w:val="en-GB"/>
        </w:rPr>
        <w:t xml:space="preserve">Focusing on policies and programmes in key parts of the economy that are labour intensive. </w:t>
      </w:r>
    </w:p>
    <w:p w14:paraId="0B97CF8D" w14:textId="77777777" w:rsidR="009D4005" w:rsidRPr="00661465" w:rsidRDefault="009D4005" w:rsidP="00CC0781">
      <w:pPr>
        <w:numPr>
          <w:ilvl w:val="0"/>
          <w:numId w:val="5"/>
        </w:numPr>
        <w:spacing w:after="0" w:line="360" w:lineRule="auto"/>
        <w:jc w:val="both"/>
        <w:rPr>
          <w:rFonts w:ascii="Times New Roman" w:hAnsi="Times New Roman" w:cs="Times New Roman"/>
          <w:color w:val="000000" w:themeColor="text1"/>
          <w:sz w:val="24"/>
          <w:szCs w:val="24"/>
          <w:lang w:val="en-GB" w:eastAsia="en-ZA"/>
        </w:rPr>
      </w:pPr>
      <w:r w:rsidRPr="00661465">
        <w:rPr>
          <w:rFonts w:ascii="Times New Roman" w:hAnsi="Times New Roman" w:cs="Times New Roman"/>
          <w:color w:val="000000" w:themeColor="text1"/>
          <w:sz w:val="24"/>
          <w:szCs w:val="24"/>
          <w:lang w:eastAsia="en-ZA"/>
        </w:rPr>
        <w:t xml:space="preserve">Releasing </w:t>
      </w:r>
      <w:r w:rsidRPr="00661465">
        <w:rPr>
          <w:rFonts w:ascii="Times New Roman" w:hAnsi="Times New Roman" w:cs="Times New Roman"/>
          <w:color w:val="000000" w:themeColor="text1"/>
          <w:sz w:val="24"/>
          <w:szCs w:val="24"/>
        </w:rPr>
        <w:t>strategically located land to address human settlements needs in urban and peri-urban areas.</w:t>
      </w:r>
    </w:p>
    <w:p w14:paraId="5A0213E9" w14:textId="77777777" w:rsidR="009D4005" w:rsidRPr="00661465" w:rsidRDefault="009D4005" w:rsidP="00CC0781">
      <w:pPr>
        <w:pStyle w:val="Default"/>
        <w:numPr>
          <w:ilvl w:val="0"/>
          <w:numId w:val="5"/>
        </w:numPr>
        <w:spacing w:line="360" w:lineRule="auto"/>
        <w:jc w:val="both"/>
        <w:rPr>
          <w:rFonts w:ascii="Times New Roman" w:hAnsi="Times New Roman" w:cs="Times New Roman"/>
          <w:color w:val="000000" w:themeColor="text1"/>
          <w:lang w:val="en-GB"/>
        </w:rPr>
      </w:pPr>
      <w:r w:rsidRPr="00661465">
        <w:rPr>
          <w:rFonts w:ascii="Times New Roman" w:hAnsi="Times New Roman" w:cs="Times New Roman"/>
          <w:color w:val="000000" w:themeColor="text1"/>
          <w:lang w:val="en-GB"/>
        </w:rPr>
        <w:t xml:space="preserve">Harnessing the potential of the country’s oceans to grow the economy. </w:t>
      </w:r>
    </w:p>
    <w:p w14:paraId="1CC2BA9F" w14:textId="77777777" w:rsidR="00380ED0" w:rsidRPr="00661465" w:rsidRDefault="00380ED0" w:rsidP="00CC0781">
      <w:pPr>
        <w:spacing w:line="360" w:lineRule="auto"/>
        <w:jc w:val="both"/>
        <w:rPr>
          <w:rFonts w:ascii="Times New Roman" w:hAnsi="Times New Roman" w:cs="Times New Roman"/>
          <w:b/>
          <w:bCs/>
          <w:sz w:val="24"/>
          <w:szCs w:val="24"/>
        </w:rPr>
      </w:pPr>
    </w:p>
    <w:p w14:paraId="757E2B98" w14:textId="77777777" w:rsidR="00380ED0" w:rsidRPr="00661465" w:rsidRDefault="000437EF"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w:t>
      </w:r>
      <w:r w:rsidR="008A4EF5" w:rsidRPr="00661465">
        <w:rPr>
          <w:rFonts w:ascii="Times New Roman" w:hAnsi="Times New Roman" w:cs="Times New Roman"/>
          <w:sz w:val="24"/>
          <w:szCs w:val="24"/>
        </w:rPr>
        <w:t xml:space="preserve">he National Planning Commission </w:t>
      </w:r>
      <w:r w:rsidRPr="00661465">
        <w:rPr>
          <w:rFonts w:ascii="Times New Roman" w:hAnsi="Times New Roman" w:cs="Times New Roman"/>
          <w:sz w:val="24"/>
          <w:szCs w:val="24"/>
        </w:rPr>
        <w:t xml:space="preserve">highlighted that the main weakness of the post-apartheid government was the implementation of policies. Before it released the </w:t>
      </w:r>
      <w:r w:rsidR="008A4EF5" w:rsidRPr="00661465">
        <w:rPr>
          <w:rFonts w:ascii="Times New Roman" w:hAnsi="Times New Roman" w:cs="Times New Roman"/>
          <w:sz w:val="24"/>
          <w:szCs w:val="24"/>
        </w:rPr>
        <w:t xml:space="preserve">National Development Plan (NDP), </w:t>
      </w:r>
      <w:r w:rsidR="00427EBA" w:rsidRPr="00661465">
        <w:rPr>
          <w:rFonts w:ascii="Times New Roman" w:hAnsi="Times New Roman" w:cs="Times New Roman"/>
          <w:sz w:val="24"/>
          <w:szCs w:val="24"/>
        </w:rPr>
        <w:t>it released t</w:t>
      </w:r>
      <w:r w:rsidR="00380ED0" w:rsidRPr="00661465">
        <w:rPr>
          <w:rFonts w:ascii="Times New Roman" w:hAnsi="Times New Roman" w:cs="Times New Roman"/>
          <w:sz w:val="24"/>
          <w:szCs w:val="24"/>
        </w:rPr>
        <w:t xml:space="preserve">he Diagnostic Report </w:t>
      </w:r>
      <w:r w:rsidRPr="00661465">
        <w:rPr>
          <w:rFonts w:ascii="Times New Roman" w:hAnsi="Times New Roman" w:cs="Times New Roman"/>
          <w:sz w:val="24"/>
          <w:szCs w:val="24"/>
        </w:rPr>
        <w:t xml:space="preserve">in June 2011. This </w:t>
      </w:r>
      <w:r w:rsidR="00380ED0" w:rsidRPr="00661465">
        <w:rPr>
          <w:rFonts w:ascii="Times New Roman" w:hAnsi="Times New Roman" w:cs="Times New Roman"/>
          <w:sz w:val="24"/>
          <w:szCs w:val="24"/>
        </w:rPr>
        <w:t xml:space="preserve">highlighted the achievements and challenges that have been </w:t>
      </w:r>
      <w:r w:rsidR="007F3543" w:rsidRPr="00661465">
        <w:rPr>
          <w:rFonts w:ascii="Times New Roman" w:hAnsi="Times New Roman" w:cs="Times New Roman"/>
          <w:sz w:val="24"/>
          <w:szCs w:val="24"/>
        </w:rPr>
        <w:t xml:space="preserve">experienced </w:t>
      </w:r>
      <w:r w:rsidR="00427EBA" w:rsidRPr="00661465">
        <w:rPr>
          <w:rFonts w:ascii="Times New Roman" w:hAnsi="Times New Roman" w:cs="Times New Roman"/>
          <w:sz w:val="24"/>
          <w:szCs w:val="24"/>
        </w:rPr>
        <w:t>from 1994 to</w:t>
      </w:r>
      <w:r w:rsidR="00380ED0" w:rsidRPr="00661465">
        <w:rPr>
          <w:rFonts w:ascii="Times New Roman" w:hAnsi="Times New Roman" w:cs="Times New Roman"/>
          <w:sz w:val="24"/>
          <w:szCs w:val="24"/>
        </w:rPr>
        <w:t xml:space="preserve"> 2011. It identified slow </w:t>
      </w:r>
      <w:r w:rsidRPr="00661465">
        <w:rPr>
          <w:rFonts w:ascii="Times New Roman" w:hAnsi="Times New Roman" w:cs="Times New Roman"/>
          <w:sz w:val="24"/>
          <w:szCs w:val="24"/>
        </w:rPr>
        <w:t xml:space="preserve">implementation </w:t>
      </w:r>
      <w:r w:rsidR="00380ED0" w:rsidRPr="00661465">
        <w:rPr>
          <w:rFonts w:ascii="Times New Roman" w:hAnsi="Times New Roman" w:cs="Times New Roman"/>
          <w:sz w:val="24"/>
          <w:szCs w:val="24"/>
        </w:rPr>
        <w:t>progress in nine areas, of which the following apply specifically to Public Works</w:t>
      </w:r>
      <w:r w:rsidR="00380ED0" w:rsidRPr="00661465">
        <w:rPr>
          <w:rFonts w:ascii="Times New Roman" w:hAnsi="Times New Roman" w:cs="Times New Roman"/>
          <w:sz w:val="24"/>
          <w:szCs w:val="24"/>
          <w:vertAlign w:val="superscript"/>
        </w:rPr>
        <w:footnoteReference w:id="8"/>
      </w:r>
      <w:r w:rsidR="00380ED0" w:rsidRPr="00661465">
        <w:rPr>
          <w:rFonts w:ascii="Times New Roman" w:hAnsi="Times New Roman" w:cs="Times New Roman"/>
          <w:sz w:val="24"/>
          <w:szCs w:val="24"/>
        </w:rPr>
        <w:t>:</w:t>
      </w:r>
    </w:p>
    <w:p w14:paraId="045B4B27" w14:textId="77777777" w:rsidR="00380ED0" w:rsidRPr="00661465" w:rsidRDefault="00380ED0" w:rsidP="00CC0781">
      <w:pPr>
        <w:numPr>
          <w:ilvl w:val="0"/>
          <w:numId w:val="1"/>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numbers of people </w:t>
      </w:r>
      <w:r w:rsidR="007979CC" w:rsidRPr="00661465">
        <w:rPr>
          <w:rFonts w:ascii="Times New Roman" w:hAnsi="Times New Roman" w:cs="Times New Roman"/>
          <w:sz w:val="24"/>
          <w:szCs w:val="24"/>
        </w:rPr>
        <w:t xml:space="preserve">who were employed </w:t>
      </w:r>
      <w:r w:rsidRPr="00661465">
        <w:rPr>
          <w:rFonts w:ascii="Times New Roman" w:hAnsi="Times New Roman" w:cs="Times New Roman"/>
          <w:sz w:val="24"/>
          <w:szCs w:val="24"/>
        </w:rPr>
        <w:t>remain low.</w:t>
      </w:r>
    </w:p>
    <w:p w14:paraId="3D5EBE0E" w14:textId="77777777" w:rsidR="00380ED0" w:rsidRPr="00661465" w:rsidRDefault="00380ED0" w:rsidP="00CC0781">
      <w:pPr>
        <w:numPr>
          <w:ilvl w:val="0"/>
          <w:numId w:val="1"/>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The country</w:t>
      </w:r>
      <w:r w:rsidR="006C7196" w:rsidRPr="00661465">
        <w:rPr>
          <w:rFonts w:ascii="Times New Roman" w:hAnsi="Times New Roman" w:cs="Times New Roman"/>
          <w:sz w:val="24"/>
          <w:szCs w:val="24"/>
        </w:rPr>
        <w:t>’s development</w:t>
      </w:r>
      <w:r w:rsidRPr="00661465">
        <w:rPr>
          <w:rFonts w:ascii="Times New Roman" w:hAnsi="Times New Roman" w:cs="Times New Roman"/>
          <w:sz w:val="24"/>
          <w:szCs w:val="24"/>
        </w:rPr>
        <w:t xml:space="preserve"> is </w:t>
      </w:r>
      <w:r w:rsidR="00AA1E0C" w:rsidRPr="00661465">
        <w:rPr>
          <w:rFonts w:ascii="Times New Roman" w:hAnsi="Times New Roman" w:cs="Times New Roman"/>
          <w:sz w:val="24"/>
          <w:szCs w:val="24"/>
        </w:rPr>
        <w:t>curtailed</w:t>
      </w:r>
      <w:r w:rsidRPr="00661465">
        <w:rPr>
          <w:rFonts w:ascii="Times New Roman" w:hAnsi="Times New Roman" w:cs="Times New Roman"/>
          <w:sz w:val="24"/>
          <w:szCs w:val="24"/>
        </w:rPr>
        <w:t xml:space="preserve"> by poorly located, inadequate and under-maintained infrastructure.</w:t>
      </w:r>
    </w:p>
    <w:p w14:paraId="76AE0356" w14:textId="77777777" w:rsidR="00380ED0" w:rsidRPr="00661465" w:rsidRDefault="00453A4A" w:rsidP="00CC0781">
      <w:pPr>
        <w:numPr>
          <w:ilvl w:val="0"/>
          <w:numId w:val="1"/>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Apartheid-era geospatial divisions severely impedes i</w:t>
      </w:r>
      <w:r w:rsidR="00380ED0" w:rsidRPr="00661465">
        <w:rPr>
          <w:rFonts w:ascii="Times New Roman" w:hAnsi="Times New Roman" w:cs="Times New Roman"/>
          <w:sz w:val="24"/>
          <w:szCs w:val="24"/>
        </w:rPr>
        <w:t>nclusive development</w:t>
      </w:r>
      <w:r w:rsidRPr="00661465">
        <w:rPr>
          <w:rFonts w:ascii="Times New Roman" w:hAnsi="Times New Roman" w:cs="Times New Roman"/>
          <w:sz w:val="24"/>
          <w:szCs w:val="24"/>
        </w:rPr>
        <w:t xml:space="preserve"> in every village, town, city, and metropolis</w:t>
      </w:r>
      <w:r w:rsidR="00380ED0" w:rsidRPr="00661465">
        <w:rPr>
          <w:rFonts w:ascii="Times New Roman" w:hAnsi="Times New Roman" w:cs="Times New Roman"/>
          <w:sz w:val="24"/>
          <w:szCs w:val="24"/>
        </w:rPr>
        <w:t>.</w:t>
      </w:r>
    </w:p>
    <w:p w14:paraId="0CC2FBCC" w14:textId="77777777" w:rsidR="00380ED0" w:rsidRPr="00661465" w:rsidRDefault="00785A75" w:rsidP="00CC0781">
      <w:pPr>
        <w:numPr>
          <w:ilvl w:val="0"/>
          <w:numId w:val="1"/>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Too many p</w:t>
      </w:r>
      <w:r w:rsidR="00380ED0" w:rsidRPr="00661465">
        <w:rPr>
          <w:rFonts w:ascii="Times New Roman" w:hAnsi="Times New Roman" w:cs="Times New Roman"/>
          <w:sz w:val="24"/>
          <w:szCs w:val="24"/>
        </w:rPr>
        <w:t>eople receive uneven and poor quality public services.</w:t>
      </w:r>
    </w:p>
    <w:p w14:paraId="2F4276D6" w14:textId="77777777" w:rsidR="00380ED0" w:rsidRPr="00661465" w:rsidRDefault="00380ED0" w:rsidP="00CC0781">
      <w:pPr>
        <w:numPr>
          <w:ilvl w:val="0"/>
          <w:numId w:val="1"/>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Levels of corruption remain high.</w:t>
      </w:r>
    </w:p>
    <w:p w14:paraId="23D5AC49" w14:textId="77777777" w:rsidR="00380ED0" w:rsidRPr="00661465" w:rsidRDefault="00380ED0" w:rsidP="00CC0781">
      <w:pPr>
        <w:spacing w:line="360" w:lineRule="auto"/>
        <w:jc w:val="both"/>
        <w:rPr>
          <w:rFonts w:ascii="Times New Roman" w:hAnsi="Times New Roman" w:cs="Times New Roman"/>
          <w:sz w:val="24"/>
          <w:szCs w:val="24"/>
        </w:rPr>
      </w:pPr>
    </w:p>
    <w:p w14:paraId="573F3D5E" w14:textId="77777777" w:rsidR="00380ED0" w:rsidRPr="00661465" w:rsidRDefault="00380ED0" w:rsidP="00AD545A">
      <w:pPr>
        <w:spacing w:line="360" w:lineRule="auto"/>
        <w:jc w:val="both"/>
        <w:rPr>
          <w:rFonts w:ascii="Times New Roman" w:hAnsi="Times New Roman" w:cs="Times New Roman"/>
          <w:sz w:val="24"/>
          <w:szCs w:val="24"/>
          <w:lang w:eastAsia="en-ZA"/>
        </w:rPr>
      </w:pPr>
      <w:r w:rsidRPr="00661465">
        <w:rPr>
          <w:rFonts w:ascii="Times New Roman" w:hAnsi="Times New Roman" w:cs="Times New Roman"/>
          <w:sz w:val="24"/>
          <w:szCs w:val="24"/>
          <w:lang w:eastAsia="en-ZA"/>
        </w:rPr>
        <w:t xml:space="preserve">The NDP emphasised the “provisions of income support to the unemployed through various active labour market initiatives such as public works programmes, training and skills </w:t>
      </w:r>
      <w:r w:rsidRPr="00661465">
        <w:rPr>
          <w:rFonts w:ascii="Times New Roman" w:hAnsi="Times New Roman" w:cs="Times New Roman"/>
          <w:sz w:val="24"/>
          <w:szCs w:val="24"/>
          <w:lang w:eastAsia="en-ZA"/>
        </w:rPr>
        <w:lastRenderedPageBreak/>
        <w:t>development, and other labour market related incentives.”</w:t>
      </w:r>
      <w:r w:rsidRPr="00661465">
        <w:rPr>
          <w:rFonts w:ascii="Times New Roman" w:hAnsi="Times New Roman" w:cs="Times New Roman"/>
          <w:sz w:val="24"/>
          <w:szCs w:val="24"/>
          <w:vertAlign w:val="superscript"/>
          <w:lang w:eastAsia="en-ZA"/>
        </w:rPr>
        <w:footnoteReference w:id="9"/>
      </w:r>
      <w:r w:rsidRPr="00661465">
        <w:rPr>
          <w:rFonts w:ascii="Times New Roman" w:hAnsi="Times New Roman" w:cs="Times New Roman"/>
          <w:sz w:val="24"/>
          <w:szCs w:val="24"/>
          <w:lang w:eastAsia="en-ZA"/>
        </w:rPr>
        <w:t xml:space="preserve"> The focus referred to earlier through the DPW</w:t>
      </w:r>
      <w:r w:rsidR="00012EED">
        <w:rPr>
          <w:rFonts w:ascii="Times New Roman" w:hAnsi="Times New Roman" w:cs="Times New Roman"/>
          <w:sz w:val="24"/>
          <w:szCs w:val="24"/>
          <w:lang w:eastAsia="en-ZA"/>
        </w:rPr>
        <w:t>I</w:t>
      </w:r>
      <w:r w:rsidRPr="00661465">
        <w:rPr>
          <w:rFonts w:ascii="Times New Roman" w:hAnsi="Times New Roman" w:cs="Times New Roman"/>
          <w:sz w:val="24"/>
          <w:szCs w:val="24"/>
          <w:lang w:eastAsia="en-ZA"/>
        </w:rPr>
        <w:t>’s function of coordinating work opportunities created through EPWP projects, attempts to deal with this challenge.</w:t>
      </w:r>
    </w:p>
    <w:p w14:paraId="3022189D" w14:textId="77777777" w:rsidR="00380ED0" w:rsidRPr="00661465" w:rsidRDefault="00380ED0"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In the </w:t>
      </w:r>
      <w:r w:rsidR="00ED2EE0">
        <w:rPr>
          <w:rFonts w:ascii="Times New Roman" w:hAnsi="Times New Roman" w:cs="Times New Roman"/>
          <w:bCs/>
          <w:sz w:val="24"/>
          <w:szCs w:val="24"/>
        </w:rPr>
        <w:t>2019/20</w:t>
      </w:r>
      <w:r w:rsidRPr="00661465">
        <w:rPr>
          <w:rFonts w:ascii="Times New Roman" w:hAnsi="Times New Roman" w:cs="Times New Roman"/>
          <w:bCs/>
          <w:sz w:val="24"/>
          <w:szCs w:val="24"/>
        </w:rPr>
        <w:t xml:space="preserve"> </w:t>
      </w:r>
      <w:r w:rsidR="00A761E3" w:rsidRPr="00661465">
        <w:rPr>
          <w:rFonts w:ascii="Times New Roman" w:hAnsi="Times New Roman" w:cs="Times New Roman"/>
          <w:bCs/>
          <w:sz w:val="24"/>
          <w:szCs w:val="24"/>
        </w:rPr>
        <w:t>Annual Performance Plan (</w:t>
      </w:r>
      <w:r w:rsidRPr="00661465">
        <w:rPr>
          <w:rFonts w:ascii="Times New Roman" w:hAnsi="Times New Roman" w:cs="Times New Roman"/>
          <w:bCs/>
          <w:sz w:val="24"/>
          <w:szCs w:val="24"/>
        </w:rPr>
        <w:t>APP</w:t>
      </w:r>
      <w:r w:rsidR="00A761E3" w:rsidRPr="00661465">
        <w:rPr>
          <w:rFonts w:ascii="Times New Roman" w:hAnsi="Times New Roman" w:cs="Times New Roman"/>
          <w:bCs/>
          <w:sz w:val="24"/>
          <w:szCs w:val="24"/>
        </w:rPr>
        <w:t>)</w:t>
      </w:r>
      <w:r w:rsidRPr="00661465">
        <w:rPr>
          <w:rFonts w:ascii="Times New Roman" w:hAnsi="Times New Roman" w:cs="Times New Roman"/>
          <w:bCs/>
          <w:sz w:val="24"/>
          <w:szCs w:val="24"/>
        </w:rPr>
        <w:t xml:space="preserve"> the Department continues to be responsive to </w:t>
      </w:r>
      <w:r w:rsidR="0042064B" w:rsidRPr="00661465">
        <w:rPr>
          <w:rFonts w:ascii="Times New Roman" w:hAnsi="Times New Roman" w:cs="Times New Roman"/>
          <w:bCs/>
          <w:sz w:val="24"/>
          <w:szCs w:val="24"/>
        </w:rPr>
        <w:t xml:space="preserve">the following </w:t>
      </w:r>
      <w:r w:rsidRPr="00661465">
        <w:rPr>
          <w:rFonts w:ascii="Times New Roman" w:hAnsi="Times New Roman" w:cs="Times New Roman"/>
          <w:bCs/>
          <w:sz w:val="24"/>
          <w:szCs w:val="24"/>
        </w:rPr>
        <w:t>Susta</w:t>
      </w:r>
      <w:r w:rsidR="0042064B" w:rsidRPr="00661465">
        <w:rPr>
          <w:rFonts w:ascii="Times New Roman" w:hAnsi="Times New Roman" w:cs="Times New Roman"/>
          <w:bCs/>
          <w:sz w:val="24"/>
          <w:szCs w:val="24"/>
        </w:rPr>
        <w:t>inable Development Goals (SDGs)</w:t>
      </w:r>
      <w:r w:rsidRPr="00661465">
        <w:rPr>
          <w:rFonts w:ascii="Times New Roman" w:hAnsi="Times New Roman" w:cs="Times New Roman"/>
          <w:bCs/>
          <w:sz w:val="24"/>
          <w:szCs w:val="24"/>
          <w:vertAlign w:val="superscript"/>
        </w:rPr>
        <w:footnoteReference w:id="10"/>
      </w:r>
      <w:r w:rsidRPr="00661465">
        <w:rPr>
          <w:rFonts w:ascii="Times New Roman" w:hAnsi="Times New Roman" w:cs="Times New Roman"/>
          <w:bCs/>
          <w:sz w:val="24"/>
          <w:szCs w:val="24"/>
        </w:rPr>
        <w:t>:</w:t>
      </w:r>
    </w:p>
    <w:p w14:paraId="2717143B" w14:textId="77777777" w:rsidR="00380ED0" w:rsidRPr="00661465" w:rsidRDefault="00380ED0" w:rsidP="00494E5C">
      <w:pPr>
        <w:spacing w:line="360" w:lineRule="auto"/>
        <w:ind w:left="720"/>
        <w:jc w:val="both"/>
        <w:rPr>
          <w:rFonts w:ascii="Times New Roman" w:hAnsi="Times New Roman" w:cs="Times New Roman"/>
          <w:bCs/>
          <w:sz w:val="24"/>
          <w:szCs w:val="24"/>
        </w:rPr>
      </w:pPr>
      <w:r w:rsidRPr="00661465">
        <w:rPr>
          <w:rFonts w:ascii="Times New Roman" w:hAnsi="Times New Roman" w:cs="Times New Roman"/>
          <w:bCs/>
          <w:sz w:val="24"/>
          <w:szCs w:val="24"/>
        </w:rPr>
        <w:t xml:space="preserve">Goal 1: End poverty in all its forms everywhere. </w:t>
      </w:r>
    </w:p>
    <w:p w14:paraId="3B6FE311" w14:textId="77777777" w:rsidR="00380ED0" w:rsidRPr="00661465" w:rsidRDefault="00380ED0" w:rsidP="00494E5C">
      <w:pPr>
        <w:spacing w:line="360" w:lineRule="auto"/>
        <w:ind w:left="720"/>
        <w:jc w:val="both"/>
        <w:rPr>
          <w:rFonts w:ascii="Times New Roman" w:hAnsi="Times New Roman" w:cs="Times New Roman"/>
          <w:bCs/>
          <w:sz w:val="24"/>
          <w:szCs w:val="24"/>
        </w:rPr>
      </w:pPr>
      <w:r w:rsidRPr="00661465">
        <w:rPr>
          <w:rFonts w:ascii="Times New Roman" w:hAnsi="Times New Roman" w:cs="Times New Roman"/>
          <w:bCs/>
          <w:sz w:val="24"/>
          <w:szCs w:val="24"/>
        </w:rPr>
        <w:t>Goal 8: Promote sustained, inclusive and sustainable economic growth, full and productive employment and decent work for all.</w:t>
      </w:r>
    </w:p>
    <w:p w14:paraId="4E66CF87" w14:textId="77777777" w:rsidR="00380ED0" w:rsidRPr="00661465" w:rsidRDefault="00380ED0" w:rsidP="00494E5C">
      <w:pPr>
        <w:spacing w:line="360" w:lineRule="auto"/>
        <w:ind w:left="720"/>
        <w:jc w:val="both"/>
        <w:rPr>
          <w:rFonts w:ascii="Times New Roman" w:hAnsi="Times New Roman" w:cs="Times New Roman"/>
          <w:bCs/>
          <w:sz w:val="24"/>
          <w:szCs w:val="24"/>
        </w:rPr>
      </w:pPr>
      <w:r w:rsidRPr="00661465">
        <w:rPr>
          <w:rFonts w:ascii="Times New Roman" w:hAnsi="Times New Roman" w:cs="Times New Roman"/>
          <w:bCs/>
          <w:sz w:val="24"/>
          <w:szCs w:val="24"/>
        </w:rPr>
        <w:t xml:space="preserve">Goal 9: Build resilient infrastructure, promote inclusive and sustainable industrialisation and foster innovation. </w:t>
      </w:r>
    </w:p>
    <w:p w14:paraId="59344B67" w14:textId="77777777" w:rsidR="00380ED0" w:rsidRPr="00661465" w:rsidRDefault="00380ED0" w:rsidP="00494E5C">
      <w:pPr>
        <w:spacing w:line="360" w:lineRule="auto"/>
        <w:ind w:left="720"/>
        <w:jc w:val="both"/>
        <w:rPr>
          <w:rFonts w:ascii="Times New Roman" w:hAnsi="Times New Roman" w:cs="Times New Roman"/>
          <w:bCs/>
          <w:sz w:val="24"/>
          <w:szCs w:val="24"/>
        </w:rPr>
      </w:pPr>
      <w:r w:rsidRPr="00661465">
        <w:rPr>
          <w:rFonts w:ascii="Times New Roman" w:hAnsi="Times New Roman" w:cs="Times New Roman"/>
          <w:bCs/>
          <w:sz w:val="24"/>
          <w:szCs w:val="24"/>
        </w:rPr>
        <w:t>Goal 13: Take urgent action to combat climate change and its impacts.</w:t>
      </w:r>
    </w:p>
    <w:p w14:paraId="463D94B2" w14:textId="77777777" w:rsidR="00A203DA" w:rsidRPr="00661465" w:rsidRDefault="006718F3" w:rsidP="00494E5C">
      <w:pPr>
        <w:autoSpaceDE w:val="0"/>
        <w:autoSpaceDN w:val="0"/>
        <w:adjustRightInd w:val="0"/>
        <w:spacing w:after="0"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The Medium Term Strategic </w:t>
      </w:r>
      <w:r w:rsidR="00CD58F4" w:rsidRPr="00661465">
        <w:rPr>
          <w:rFonts w:ascii="Times New Roman" w:hAnsi="Times New Roman" w:cs="Times New Roman"/>
          <w:bCs/>
          <w:sz w:val="24"/>
          <w:szCs w:val="24"/>
        </w:rPr>
        <w:t>Framework highlighted the following objectives that the DPW must reach during the medium term</w:t>
      </w:r>
      <w:r w:rsidR="00A203DA" w:rsidRPr="00661465">
        <w:rPr>
          <w:rFonts w:ascii="Times New Roman" w:hAnsi="Times New Roman" w:cs="Times New Roman"/>
          <w:bCs/>
          <w:sz w:val="24"/>
          <w:szCs w:val="24"/>
        </w:rPr>
        <w:t>:</w:t>
      </w:r>
    </w:p>
    <w:p w14:paraId="437E482E" w14:textId="77777777" w:rsidR="00A203DA" w:rsidRPr="00661465" w:rsidRDefault="00A203DA" w:rsidP="00494E5C">
      <w:pPr>
        <w:autoSpaceDE w:val="0"/>
        <w:autoSpaceDN w:val="0"/>
        <w:adjustRightInd w:val="0"/>
        <w:spacing w:after="0" w:line="360" w:lineRule="auto"/>
        <w:ind w:left="709"/>
        <w:jc w:val="both"/>
        <w:rPr>
          <w:rFonts w:ascii="Times New Roman" w:hAnsi="Times New Roman" w:cs="Times New Roman"/>
          <w:sz w:val="24"/>
          <w:szCs w:val="24"/>
        </w:rPr>
      </w:pPr>
      <w:r w:rsidRPr="00661465">
        <w:rPr>
          <w:rFonts w:ascii="Times New Roman" w:hAnsi="Times New Roman" w:cs="Times New Roman"/>
          <w:bCs/>
          <w:sz w:val="24"/>
          <w:szCs w:val="24"/>
        </w:rPr>
        <w:t>1.</w:t>
      </w:r>
      <w:r w:rsidR="00CD58F4" w:rsidRPr="00661465">
        <w:rPr>
          <w:rFonts w:ascii="Times New Roman" w:hAnsi="Times New Roman" w:cs="Times New Roman"/>
          <w:bCs/>
          <w:sz w:val="24"/>
          <w:szCs w:val="24"/>
        </w:rPr>
        <w:t xml:space="preserve"> </w:t>
      </w:r>
      <w:r w:rsidRPr="00661465">
        <w:rPr>
          <w:rFonts w:ascii="Times New Roman" w:hAnsi="Times New Roman" w:cs="Times New Roman"/>
          <w:sz w:val="24"/>
          <w:szCs w:val="24"/>
        </w:rPr>
        <w:t>contribute towards the realisation of outcome 4 - decent employment through inclusive growth;</w:t>
      </w:r>
    </w:p>
    <w:p w14:paraId="5EA3EC8B" w14:textId="77777777" w:rsidR="00A203DA" w:rsidRPr="00661465" w:rsidRDefault="00A203DA" w:rsidP="00494E5C">
      <w:pPr>
        <w:autoSpaceDE w:val="0"/>
        <w:autoSpaceDN w:val="0"/>
        <w:adjustRightInd w:val="0"/>
        <w:spacing w:after="0" w:line="360" w:lineRule="auto"/>
        <w:ind w:left="709"/>
        <w:jc w:val="both"/>
        <w:rPr>
          <w:rFonts w:ascii="Times New Roman" w:hAnsi="Times New Roman" w:cs="Times New Roman"/>
          <w:sz w:val="24"/>
          <w:szCs w:val="24"/>
        </w:rPr>
      </w:pPr>
      <w:r w:rsidRPr="00661465">
        <w:rPr>
          <w:rFonts w:ascii="Times New Roman" w:hAnsi="Times New Roman" w:cs="Times New Roman"/>
          <w:sz w:val="24"/>
          <w:szCs w:val="24"/>
        </w:rPr>
        <w:t xml:space="preserve">2. outcome 6 - an efficient, competitive and responsive economic infrastructure network; and </w:t>
      </w:r>
    </w:p>
    <w:p w14:paraId="51B6768C" w14:textId="77777777" w:rsidR="006718F3" w:rsidRPr="00661465" w:rsidRDefault="00A203DA" w:rsidP="00494E5C">
      <w:pPr>
        <w:autoSpaceDE w:val="0"/>
        <w:autoSpaceDN w:val="0"/>
        <w:adjustRightInd w:val="0"/>
        <w:spacing w:after="0" w:line="360" w:lineRule="auto"/>
        <w:ind w:left="709"/>
        <w:jc w:val="both"/>
        <w:rPr>
          <w:rFonts w:ascii="Times New Roman" w:hAnsi="Times New Roman" w:cs="Times New Roman"/>
          <w:sz w:val="24"/>
          <w:szCs w:val="24"/>
        </w:rPr>
      </w:pPr>
      <w:r w:rsidRPr="00661465">
        <w:rPr>
          <w:rFonts w:ascii="Times New Roman" w:hAnsi="Times New Roman" w:cs="Times New Roman"/>
          <w:sz w:val="24"/>
          <w:szCs w:val="24"/>
        </w:rPr>
        <w:t>3. outcome 12 - an efficient, effective and development-orientated public service.</w:t>
      </w:r>
    </w:p>
    <w:p w14:paraId="5FEEC1D5" w14:textId="77777777" w:rsidR="00494E5C" w:rsidRPr="00661465" w:rsidRDefault="00494E5C" w:rsidP="00494E5C">
      <w:pPr>
        <w:spacing w:line="360" w:lineRule="auto"/>
        <w:jc w:val="both"/>
        <w:rPr>
          <w:rFonts w:ascii="Times New Roman" w:hAnsi="Times New Roman" w:cs="Times New Roman"/>
          <w:b/>
          <w:sz w:val="24"/>
          <w:szCs w:val="24"/>
        </w:rPr>
      </w:pPr>
    </w:p>
    <w:p w14:paraId="658EF493" w14:textId="77777777" w:rsidR="00494E5C" w:rsidRPr="00661465" w:rsidRDefault="00494E5C" w:rsidP="00494E5C">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Deliberations made it clear that the DPWI, PMTE and the entities had to reconfigure itself to align itself with the seven policy tasks that the President outlined. These tasks are:</w:t>
      </w:r>
    </w:p>
    <w:p w14:paraId="38499055" w14:textId="77777777" w:rsidR="008B3231" w:rsidRPr="00661465" w:rsidRDefault="008B3231" w:rsidP="008B3231">
      <w:pPr>
        <w:pStyle w:val="ListParagraph"/>
        <w:numPr>
          <w:ilvl w:val="0"/>
          <w:numId w:val="42"/>
        </w:numPr>
        <w:spacing w:before="100" w:beforeAutospacing="1" w:after="100" w:afterAutospacing="1" w:line="360" w:lineRule="auto"/>
      </w:pPr>
      <w:r w:rsidRPr="00661465">
        <w:rPr>
          <w:b/>
        </w:rPr>
        <w:t>Economic transformation</w:t>
      </w:r>
      <w:r w:rsidRPr="00661465">
        <w:t xml:space="preserve"> and </w:t>
      </w:r>
      <w:r w:rsidRPr="00661465">
        <w:rPr>
          <w:b/>
        </w:rPr>
        <w:t>job creation;</w:t>
      </w:r>
    </w:p>
    <w:p w14:paraId="7932DA0D" w14:textId="77777777" w:rsidR="008B3231" w:rsidRPr="00661465" w:rsidRDefault="008B3231" w:rsidP="008B3231">
      <w:pPr>
        <w:pStyle w:val="ListParagraph"/>
        <w:numPr>
          <w:ilvl w:val="0"/>
          <w:numId w:val="42"/>
        </w:numPr>
        <w:spacing w:before="100" w:beforeAutospacing="1" w:after="100" w:afterAutospacing="1" w:line="360" w:lineRule="auto"/>
      </w:pPr>
      <w:r w:rsidRPr="00661465">
        <w:t>Education, skills and health;</w:t>
      </w:r>
    </w:p>
    <w:p w14:paraId="2EE4285F" w14:textId="77777777" w:rsidR="008B3231" w:rsidRPr="00661465" w:rsidRDefault="008B3231" w:rsidP="008B3231">
      <w:pPr>
        <w:numPr>
          <w:ilvl w:val="0"/>
          <w:numId w:val="42"/>
        </w:numPr>
        <w:spacing w:before="100" w:beforeAutospacing="1" w:after="100" w:afterAutospacing="1" w:line="360" w:lineRule="auto"/>
        <w:rPr>
          <w:rFonts w:ascii="Times New Roman" w:eastAsia="Times New Roman" w:hAnsi="Times New Roman" w:cs="Times New Roman"/>
          <w:sz w:val="24"/>
          <w:szCs w:val="24"/>
          <w:lang w:eastAsia="en-ZA"/>
        </w:rPr>
      </w:pPr>
      <w:r w:rsidRPr="00661465">
        <w:rPr>
          <w:rFonts w:ascii="Times New Roman" w:eastAsia="Times New Roman" w:hAnsi="Times New Roman" w:cs="Times New Roman"/>
          <w:sz w:val="24"/>
          <w:szCs w:val="24"/>
          <w:lang w:eastAsia="en-ZA"/>
        </w:rPr>
        <w:t>Consolidating the social wage through reliable and quality basic services is another important priority;</w:t>
      </w:r>
    </w:p>
    <w:p w14:paraId="01EDA3E6" w14:textId="77777777" w:rsidR="008B3231" w:rsidRPr="00661465" w:rsidRDefault="008B3231" w:rsidP="008B3231">
      <w:pPr>
        <w:numPr>
          <w:ilvl w:val="0"/>
          <w:numId w:val="42"/>
        </w:numPr>
        <w:spacing w:before="100" w:beforeAutospacing="1" w:after="100" w:afterAutospacing="1" w:line="360" w:lineRule="auto"/>
        <w:rPr>
          <w:rFonts w:ascii="Times New Roman" w:eastAsia="Times New Roman" w:hAnsi="Times New Roman" w:cs="Times New Roman"/>
          <w:sz w:val="24"/>
          <w:szCs w:val="24"/>
          <w:lang w:eastAsia="en-ZA"/>
        </w:rPr>
      </w:pPr>
      <w:r w:rsidRPr="00661465">
        <w:rPr>
          <w:rFonts w:ascii="Times New Roman" w:eastAsia="Times New Roman" w:hAnsi="Times New Roman" w:cs="Times New Roman"/>
          <w:b/>
          <w:sz w:val="24"/>
          <w:szCs w:val="24"/>
          <w:lang w:eastAsia="en-ZA"/>
        </w:rPr>
        <w:t>Spatial integration</w:t>
      </w:r>
      <w:r w:rsidRPr="00661465">
        <w:rPr>
          <w:rFonts w:ascii="Times New Roman" w:eastAsia="Times New Roman" w:hAnsi="Times New Roman" w:cs="Times New Roman"/>
          <w:sz w:val="24"/>
          <w:szCs w:val="24"/>
          <w:lang w:eastAsia="en-ZA"/>
        </w:rPr>
        <w:t xml:space="preserve">, </w:t>
      </w:r>
      <w:r w:rsidRPr="00661465">
        <w:rPr>
          <w:rFonts w:ascii="Times New Roman" w:eastAsia="Times New Roman" w:hAnsi="Times New Roman" w:cs="Times New Roman"/>
          <w:b/>
          <w:sz w:val="24"/>
          <w:szCs w:val="24"/>
          <w:lang w:eastAsia="en-ZA"/>
        </w:rPr>
        <w:t>human settlements</w:t>
      </w:r>
      <w:r w:rsidRPr="00661465">
        <w:rPr>
          <w:rFonts w:ascii="Times New Roman" w:eastAsia="Times New Roman" w:hAnsi="Times New Roman" w:cs="Times New Roman"/>
          <w:sz w:val="24"/>
          <w:szCs w:val="24"/>
          <w:lang w:eastAsia="en-ZA"/>
        </w:rPr>
        <w:t xml:space="preserve"> </w:t>
      </w:r>
      <w:r w:rsidRPr="00661465">
        <w:rPr>
          <w:rFonts w:ascii="Times New Roman" w:eastAsia="Times New Roman" w:hAnsi="Times New Roman" w:cs="Times New Roman"/>
          <w:b/>
          <w:sz w:val="24"/>
          <w:szCs w:val="24"/>
          <w:lang w:eastAsia="en-ZA"/>
        </w:rPr>
        <w:t>and sanitation</w:t>
      </w:r>
      <w:r w:rsidRPr="00661465">
        <w:rPr>
          <w:rFonts w:ascii="Times New Roman" w:eastAsia="Times New Roman" w:hAnsi="Times New Roman" w:cs="Times New Roman"/>
          <w:sz w:val="24"/>
          <w:szCs w:val="24"/>
          <w:lang w:eastAsia="en-ZA"/>
        </w:rPr>
        <w:t xml:space="preserve">, and </w:t>
      </w:r>
      <w:r w:rsidRPr="00661465">
        <w:rPr>
          <w:rFonts w:ascii="Times New Roman" w:eastAsia="Times New Roman" w:hAnsi="Times New Roman" w:cs="Times New Roman"/>
          <w:b/>
          <w:sz w:val="24"/>
          <w:szCs w:val="24"/>
          <w:lang w:eastAsia="en-ZA"/>
        </w:rPr>
        <w:t>local government;</w:t>
      </w:r>
    </w:p>
    <w:p w14:paraId="14B56ACD" w14:textId="77777777" w:rsidR="008B3231" w:rsidRPr="00661465" w:rsidRDefault="008B3231" w:rsidP="008B3231">
      <w:pPr>
        <w:numPr>
          <w:ilvl w:val="0"/>
          <w:numId w:val="42"/>
        </w:numPr>
        <w:spacing w:before="100" w:beforeAutospacing="1" w:after="100" w:afterAutospacing="1" w:line="360" w:lineRule="auto"/>
        <w:rPr>
          <w:rFonts w:ascii="Times New Roman" w:eastAsia="Times New Roman" w:hAnsi="Times New Roman" w:cs="Times New Roman"/>
          <w:sz w:val="24"/>
          <w:szCs w:val="24"/>
          <w:lang w:eastAsia="en-ZA"/>
        </w:rPr>
      </w:pPr>
      <w:r w:rsidRPr="00661465">
        <w:rPr>
          <w:rFonts w:ascii="Times New Roman" w:eastAsia="Times New Roman" w:hAnsi="Times New Roman" w:cs="Times New Roman"/>
          <w:b/>
          <w:sz w:val="24"/>
          <w:szCs w:val="24"/>
          <w:lang w:eastAsia="en-ZA"/>
        </w:rPr>
        <w:t>Social cohesion and safe communities</w:t>
      </w:r>
      <w:r w:rsidRPr="00661465">
        <w:rPr>
          <w:rFonts w:ascii="Times New Roman" w:eastAsia="Times New Roman" w:hAnsi="Times New Roman" w:cs="Times New Roman"/>
          <w:sz w:val="24"/>
          <w:szCs w:val="24"/>
          <w:lang w:eastAsia="en-ZA"/>
        </w:rPr>
        <w:t>;</w:t>
      </w:r>
    </w:p>
    <w:p w14:paraId="0ECEEF74" w14:textId="77777777" w:rsidR="008B3231" w:rsidRPr="00661465" w:rsidRDefault="008B3231" w:rsidP="008B3231">
      <w:pPr>
        <w:numPr>
          <w:ilvl w:val="0"/>
          <w:numId w:val="42"/>
        </w:numPr>
        <w:spacing w:before="100" w:beforeAutospacing="1" w:after="100" w:afterAutospacing="1" w:line="360" w:lineRule="auto"/>
        <w:rPr>
          <w:rFonts w:ascii="Times New Roman" w:eastAsia="Times New Roman" w:hAnsi="Times New Roman" w:cs="Times New Roman"/>
          <w:b/>
          <w:sz w:val="24"/>
          <w:szCs w:val="24"/>
          <w:lang w:eastAsia="en-ZA"/>
        </w:rPr>
      </w:pPr>
      <w:r w:rsidRPr="00661465">
        <w:rPr>
          <w:rFonts w:ascii="Times New Roman" w:eastAsia="Times New Roman" w:hAnsi="Times New Roman" w:cs="Times New Roman"/>
          <w:b/>
          <w:sz w:val="24"/>
          <w:szCs w:val="24"/>
          <w:lang w:eastAsia="en-ZA"/>
        </w:rPr>
        <w:t>Building a capable, ethical and developmental State;</w:t>
      </w:r>
    </w:p>
    <w:p w14:paraId="33C4E95E" w14:textId="77777777" w:rsidR="008B3231" w:rsidRPr="00661465" w:rsidRDefault="008B3231" w:rsidP="008B3231">
      <w:pPr>
        <w:numPr>
          <w:ilvl w:val="0"/>
          <w:numId w:val="42"/>
        </w:numPr>
        <w:spacing w:before="100" w:beforeAutospacing="1" w:after="100" w:afterAutospacing="1" w:line="360" w:lineRule="auto"/>
        <w:rPr>
          <w:rFonts w:ascii="Times New Roman" w:eastAsia="Times New Roman" w:hAnsi="Times New Roman" w:cs="Times New Roman"/>
          <w:sz w:val="24"/>
          <w:szCs w:val="24"/>
          <w:lang w:eastAsia="en-ZA"/>
        </w:rPr>
      </w:pPr>
      <w:r w:rsidRPr="00661465">
        <w:rPr>
          <w:rFonts w:ascii="Times New Roman" w:eastAsia="Times New Roman" w:hAnsi="Times New Roman" w:cs="Times New Roman"/>
          <w:sz w:val="24"/>
          <w:szCs w:val="24"/>
          <w:lang w:eastAsia="en-ZA"/>
        </w:rPr>
        <w:lastRenderedPageBreak/>
        <w:t>A better Africa and world.</w:t>
      </w:r>
    </w:p>
    <w:p w14:paraId="243985C7" w14:textId="77777777" w:rsidR="00E50E1F" w:rsidRPr="00661465" w:rsidRDefault="008B3231" w:rsidP="00494E5C">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deliberations remained firmly focused on this committee’s oversight task to ensure that over the next five years, the budgetary allocation is properly applied so that the programmes in the Annual Performance Plans, have the desired impact on improving the lives of the people. </w:t>
      </w:r>
    </w:p>
    <w:p w14:paraId="4DCDF9D6" w14:textId="77777777" w:rsidR="00DE57F9" w:rsidRPr="00661465" w:rsidRDefault="00DE57F9" w:rsidP="00494E5C">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following section focuses on budgetary allocations to the programmes of the DPWI and PMTE to implement the stated policy ideals.</w:t>
      </w:r>
    </w:p>
    <w:p w14:paraId="71F658B6" w14:textId="77777777" w:rsidR="00AD545A" w:rsidRPr="00661465" w:rsidRDefault="00AD545A" w:rsidP="00AD545A">
      <w:pPr>
        <w:spacing w:line="240" w:lineRule="auto"/>
        <w:jc w:val="both"/>
        <w:rPr>
          <w:rFonts w:ascii="Times New Roman" w:hAnsi="Times New Roman" w:cs="Times New Roman"/>
          <w:sz w:val="24"/>
          <w:szCs w:val="24"/>
        </w:rPr>
      </w:pPr>
    </w:p>
    <w:p w14:paraId="12B63362" w14:textId="77777777" w:rsidR="00AD545A" w:rsidRPr="00661465" w:rsidRDefault="002365AC" w:rsidP="00661465">
      <w:pPr>
        <w:spacing w:line="360" w:lineRule="auto"/>
        <w:jc w:val="both"/>
        <w:rPr>
          <w:rFonts w:ascii="Times New Roman" w:hAnsi="Times New Roman" w:cs="Times New Roman"/>
          <w:sz w:val="24"/>
          <w:szCs w:val="24"/>
        </w:rPr>
      </w:pPr>
      <w:r w:rsidRPr="00661465">
        <w:rPr>
          <w:rFonts w:ascii="Times New Roman" w:hAnsi="Times New Roman" w:cs="Times New Roman"/>
          <w:b/>
          <w:sz w:val="24"/>
          <w:szCs w:val="24"/>
        </w:rPr>
        <w:t>3. Budget analysis:</w:t>
      </w:r>
      <w:r w:rsidR="00661465">
        <w:rPr>
          <w:rFonts w:ascii="Times New Roman" w:hAnsi="Times New Roman" w:cs="Times New Roman"/>
          <w:sz w:val="24"/>
          <w:szCs w:val="24"/>
        </w:rPr>
        <w:t xml:space="preserve"> </w:t>
      </w:r>
    </w:p>
    <w:p w14:paraId="72DDF46A" w14:textId="77777777" w:rsidR="004400D5" w:rsidRPr="00661465" w:rsidRDefault="004400D5"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This section of the report deals with the analysis of the Department of Public Works (DPW), and the Property Management Trading Entity (PMTE). </w:t>
      </w:r>
    </w:p>
    <w:p w14:paraId="47F68117" w14:textId="77777777" w:rsidR="00AD545A" w:rsidRPr="00661465" w:rsidRDefault="00AD545A" w:rsidP="00661465">
      <w:pPr>
        <w:spacing w:after="0" w:line="240" w:lineRule="auto"/>
        <w:jc w:val="both"/>
        <w:rPr>
          <w:rFonts w:ascii="Times New Roman" w:hAnsi="Times New Roman" w:cs="Times New Roman"/>
          <w:b/>
          <w:sz w:val="24"/>
          <w:szCs w:val="24"/>
        </w:rPr>
      </w:pPr>
    </w:p>
    <w:p w14:paraId="56C32F7D" w14:textId="77777777" w:rsidR="00380ED0" w:rsidRPr="00661465" w:rsidRDefault="0027325E"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T</w:t>
      </w:r>
      <w:r w:rsidR="00380ED0" w:rsidRPr="00661465">
        <w:rPr>
          <w:rFonts w:ascii="Times New Roman" w:hAnsi="Times New Roman" w:cs="Times New Roman"/>
          <w:b/>
          <w:sz w:val="24"/>
          <w:szCs w:val="24"/>
        </w:rPr>
        <w:t xml:space="preserve">he </w:t>
      </w:r>
      <w:r w:rsidR="00DE6ED4" w:rsidRPr="00661465">
        <w:rPr>
          <w:rFonts w:ascii="Times New Roman" w:hAnsi="Times New Roman" w:cs="Times New Roman"/>
          <w:b/>
          <w:sz w:val="24"/>
          <w:szCs w:val="24"/>
        </w:rPr>
        <w:t>b</w:t>
      </w:r>
      <w:r w:rsidR="00380ED0" w:rsidRPr="00661465">
        <w:rPr>
          <w:rFonts w:ascii="Times New Roman" w:hAnsi="Times New Roman" w:cs="Times New Roman"/>
          <w:b/>
          <w:sz w:val="24"/>
          <w:szCs w:val="24"/>
        </w:rPr>
        <w:t>udget</w:t>
      </w:r>
      <w:r w:rsidR="00DE6ED4" w:rsidRPr="00661465">
        <w:rPr>
          <w:rFonts w:ascii="Times New Roman" w:hAnsi="Times New Roman" w:cs="Times New Roman"/>
          <w:b/>
          <w:sz w:val="24"/>
          <w:szCs w:val="24"/>
        </w:rPr>
        <w:t>ary</w:t>
      </w:r>
      <w:r w:rsidR="00380ED0" w:rsidRPr="00661465">
        <w:rPr>
          <w:rFonts w:ascii="Times New Roman" w:hAnsi="Times New Roman" w:cs="Times New Roman"/>
          <w:b/>
          <w:sz w:val="24"/>
          <w:szCs w:val="24"/>
        </w:rPr>
        <w:t xml:space="preserve"> allocation </w:t>
      </w:r>
      <w:r w:rsidRPr="00661465">
        <w:rPr>
          <w:rFonts w:ascii="Times New Roman" w:hAnsi="Times New Roman" w:cs="Times New Roman"/>
          <w:b/>
          <w:sz w:val="24"/>
          <w:szCs w:val="24"/>
        </w:rPr>
        <w:t>for the DPW</w:t>
      </w:r>
      <w:r w:rsidR="00933436" w:rsidRPr="00661465">
        <w:rPr>
          <w:rFonts w:ascii="Times New Roman" w:hAnsi="Times New Roman" w:cs="Times New Roman"/>
          <w:b/>
          <w:sz w:val="24"/>
          <w:szCs w:val="24"/>
        </w:rPr>
        <w:t>:</w:t>
      </w:r>
    </w:p>
    <w:p w14:paraId="1901A9FA" w14:textId="77777777" w:rsidR="00380ED0" w:rsidRPr="00661465" w:rsidRDefault="000E2C53"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Budget allocation for 2019/20 for t</w:t>
      </w:r>
      <w:r w:rsidR="00380ED0" w:rsidRPr="00661465">
        <w:rPr>
          <w:rFonts w:ascii="Times New Roman" w:hAnsi="Times New Roman" w:cs="Times New Roman"/>
          <w:b/>
          <w:sz w:val="24"/>
          <w:szCs w:val="24"/>
        </w:rPr>
        <w:t>he Department of Public Works (DPW)</w:t>
      </w:r>
      <w:r w:rsidRPr="00661465">
        <w:rPr>
          <w:rStyle w:val="FootnoteReference"/>
          <w:rFonts w:ascii="Times New Roman" w:hAnsi="Times New Roman" w:cs="Times New Roman"/>
          <w:b/>
          <w:sz w:val="24"/>
          <w:szCs w:val="24"/>
        </w:rPr>
        <w:footnoteReference w:id="11"/>
      </w:r>
    </w:p>
    <w:p w14:paraId="6FE28DF2" w14:textId="77777777" w:rsidR="00AC7A07" w:rsidRPr="00661465" w:rsidRDefault="0018045C" w:rsidP="00CC0781">
      <w:pPr>
        <w:spacing w:line="360" w:lineRule="auto"/>
        <w:jc w:val="both"/>
        <w:rPr>
          <w:rFonts w:ascii="Times New Roman" w:hAnsi="Times New Roman" w:cs="Times New Roman"/>
          <w:b/>
          <w:sz w:val="24"/>
          <w:szCs w:val="24"/>
        </w:rPr>
      </w:pPr>
      <w:r w:rsidRPr="00661465">
        <w:rPr>
          <w:rFonts w:ascii="Times New Roman" w:hAnsi="Times New Roman" w:cs="Times New Roman"/>
          <w:noProof/>
          <w:sz w:val="24"/>
          <w:szCs w:val="24"/>
          <w:lang w:eastAsia="en-ZA"/>
        </w:rPr>
        <w:drawing>
          <wp:inline distT="0" distB="0" distL="0" distR="0" wp14:anchorId="1F903304" wp14:editId="7A01D81F">
            <wp:extent cx="5727700" cy="176847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768475"/>
                    </a:xfrm>
                    <a:prstGeom prst="rect">
                      <a:avLst/>
                    </a:prstGeom>
                    <a:noFill/>
                    <a:ln>
                      <a:noFill/>
                    </a:ln>
                  </pic:spPr>
                </pic:pic>
              </a:graphicData>
            </a:graphic>
          </wp:inline>
        </w:drawing>
      </w:r>
    </w:p>
    <w:p w14:paraId="616C6A9B" w14:textId="77777777" w:rsidR="00B42D7E" w:rsidRPr="00661465" w:rsidRDefault="00B42D7E"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Department received a voted allocation of R7.8 billion for 2019/20 with which to accomplish the priorities identified in the NDP, and policy tasks listed by the President in the </w:t>
      </w:r>
      <w:r w:rsidR="00E70911" w:rsidRPr="00661465">
        <w:rPr>
          <w:rFonts w:ascii="Times New Roman" w:hAnsi="Times New Roman" w:cs="Times New Roman"/>
          <w:sz w:val="24"/>
          <w:szCs w:val="24"/>
        </w:rPr>
        <w:t>SoNA</w:t>
      </w:r>
      <w:r w:rsidRPr="00661465">
        <w:rPr>
          <w:rFonts w:ascii="Times New Roman" w:hAnsi="Times New Roman" w:cs="Times New Roman"/>
          <w:sz w:val="24"/>
          <w:szCs w:val="24"/>
        </w:rPr>
        <w:t>.</w:t>
      </w:r>
      <w:r w:rsidR="00E70911" w:rsidRPr="00661465">
        <w:rPr>
          <w:rFonts w:ascii="Times New Roman" w:hAnsi="Times New Roman" w:cs="Times New Roman"/>
          <w:sz w:val="24"/>
          <w:szCs w:val="24"/>
        </w:rPr>
        <w:t xml:space="preserve"> </w:t>
      </w:r>
    </w:p>
    <w:p w14:paraId="1742B984" w14:textId="77777777" w:rsidR="008E6F05" w:rsidRPr="00661465" w:rsidRDefault="0018045C"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Note that t</w:t>
      </w:r>
      <w:r w:rsidR="008E6F05" w:rsidRPr="00661465">
        <w:rPr>
          <w:rFonts w:ascii="Times New Roman" w:hAnsi="Times New Roman" w:cs="Times New Roman"/>
          <w:sz w:val="24"/>
          <w:szCs w:val="24"/>
        </w:rPr>
        <w:t>h</w:t>
      </w:r>
      <w:r w:rsidRPr="00661465">
        <w:rPr>
          <w:rFonts w:ascii="Times New Roman" w:hAnsi="Times New Roman" w:cs="Times New Roman"/>
          <w:sz w:val="24"/>
          <w:szCs w:val="24"/>
        </w:rPr>
        <w:t>e R7.47</w:t>
      </w:r>
      <w:r w:rsidR="008E6F05" w:rsidRPr="00661465">
        <w:rPr>
          <w:rFonts w:ascii="Times New Roman" w:hAnsi="Times New Roman" w:cs="Times New Roman"/>
          <w:sz w:val="24"/>
          <w:szCs w:val="24"/>
        </w:rPr>
        <w:t xml:space="preserve"> billion allocated in 2018/19 </w:t>
      </w:r>
      <w:r w:rsidRPr="00661465">
        <w:rPr>
          <w:rFonts w:ascii="Times New Roman" w:hAnsi="Times New Roman" w:cs="Times New Roman"/>
          <w:sz w:val="24"/>
          <w:szCs w:val="24"/>
        </w:rPr>
        <w:t xml:space="preserve">was </w:t>
      </w:r>
      <w:r w:rsidR="008E6F05" w:rsidRPr="00661465">
        <w:rPr>
          <w:rFonts w:ascii="Times New Roman" w:hAnsi="Times New Roman" w:cs="Times New Roman"/>
          <w:sz w:val="24"/>
          <w:szCs w:val="24"/>
        </w:rPr>
        <w:t xml:space="preserve">adjusted </w:t>
      </w:r>
      <w:r w:rsidRPr="00661465">
        <w:rPr>
          <w:rFonts w:ascii="Times New Roman" w:hAnsi="Times New Roman" w:cs="Times New Roman"/>
          <w:sz w:val="24"/>
          <w:szCs w:val="24"/>
        </w:rPr>
        <w:t>to R7.48</w:t>
      </w:r>
      <w:r w:rsidR="008E6F05" w:rsidRPr="00661465">
        <w:rPr>
          <w:rFonts w:ascii="Times New Roman" w:hAnsi="Times New Roman" w:cs="Times New Roman"/>
          <w:sz w:val="24"/>
          <w:szCs w:val="24"/>
        </w:rPr>
        <w:t xml:space="preserve"> billion.</w:t>
      </w:r>
      <w:r w:rsidRPr="00661465">
        <w:rPr>
          <w:rFonts w:ascii="Times New Roman" w:hAnsi="Times New Roman" w:cs="Times New Roman"/>
          <w:sz w:val="24"/>
          <w:szCs w:val="24"/>
        </w:rPr>
        <w:t xml:space="preserve"> The allocation for the 2019/20 financial year of R7.8 billion represents an increase of 4.4% in nominal terms, and a decline 0.81% in real terms (calculating the impact of inflation) from the 2018/19 adjusted appropriation of R7.48 billion.</w:t>
      </w:r>
    </w:p>
    <w:p w14:paraId="75D3C46F" w14:textId="77777777" w:rsidR="005B609C" w:rsidRPr="00661465" w:rsidRDefault="005B609C"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lastRenderedPageBreak/>
        <w:t>In terms of economic classification, the departmental budget includes transfers totalling 86.8% of the budget, with a total monetary value of R6.77 billion (compared to R6.47 billion the previous year). This constitutes a 4.7% nominal increase, but a decline 0.5% in real terms since the departmental allocation did not stay above of the effects of inflation.</w:t>
      </w:r>
    </w:p>
    <w:p w14:paraId="5823BB1A" w14:textId="77777777" w:rsidR="005B609C" w:rsidRPr="00661465" w:rsidRDefault="005B609C"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R1.6 billion is in the form of conditional grants to Provinces and Municipalities, while a total of R4.39 billion is allocated to departmental Agencies and Accounts. For 2019/20, current payments amount to 12.9% (i.e. R1.01 billion) and capital payments to 0.3% of the budget (i.e. R23.2 million).</w:t>
      </w:r>
    </w:p>
    <w:p w14:paraId="6DCDBA1F" w14:textId="77777777" w:rsidR="00B70D6A" w:rsidRPr="00661465" w:rsidRDefault="005B609C"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Compensation of employees increased by R47.5 million (from R510.3 million in the 2018/19 adjusted period) to R557.8 million for 2019/20. </w:t>
      </w:r>
    </w:p>
    <w:p w14:paraId="086A23C3" w14:textId="77777777" w:rsidR="00AD545A" w:rsidRPr="00661465" w:rsidRDefault="00AD545A" w:rsidP="00AD545A">
      <w:pPr>
        <w:spacing w:line="240" w:lineRule="auto"/>
        <w:jc w:val="both"/>
        <w:rPr>
          <w:rFonts w:ascii="Times New Roman" w:hAnsi="Times New Roman" w:cs="Times New Roman"/>
          <w:bCs/>
          <w:sz w:val="24"/>
          <w:szCs w:val="24"/>
        </w:rPr>
      </w:pPr>
    </w:p>
    <w:p w14:paraId="6AEAA3EA" w14:textId="77777777" w:rsidR="00874027" w:rsidRPr="00661465" w:rsidRDefault="00874027"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Budgetary allocations per programme</w:t>
      </w:r>
    </w:p>
    <w:p w14:paraId="469F2B10" w14:textId="77777777" w:rsidR="00874027" w:rsidRDefault="00874027" w:rsidP="00CC0781">
      <w:pPr>
        <w:pStyle w:val="Heading3"/>
        <w:spacing w:line="360" w:lineRule="auto"/>
        <w:rPr>
          <w:rFonts w:ascii="Times New Roman" w:hAnsi="Times New Roman"/>
          <w:i w:val="0"/>
          <w:color w:val="auto"/>
          <w:sz w:val="24"/>
        </w:rPr>
      </w:pPr>
      <w:r w:rsidRPr="00661465">
        <w:rPr>
          <w:rFonts w:ascii="Times New Roman" w:hAnsi="Times New Roman"/>
          <w:i w:val="0"/>
          <w:color w:val="auto"/>
          <w:sz w:val="24"/>
        </w:rPr>
        <w:t xml:space="preserve">Programme 1: Administration </w:t>
      </w:r>
    </w:p>
    <w:p w14:paraId="6343E3BF" w14:textId="77777777" w:rsidR="00661465" w:rsidRPr="00661465" w:rsidRDefault="00661465" w:rsidP="00661465">
      <w:pPr>
        <w:rPr>
          <w:lang w:val="en-GB"/>
        </w:rPr>
      </w:pPr>
    </w:p>
    <w:p w14:paraId="3E84F58C" w14:textId="77777777" w:rsidR="00874027" w:rsidRPr="00661465" w:rsidRDefault="00874027" w:rsidP="00CC078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Programme 1 provides strategic leadership, management and support services to the Department.</w:t>
      </w:r>
    </w:p>
    <w:p w14:paraId="0DCCC990" w14:textId="77777777" w:rsidR="0018045C" w:rsidRPr="00661465" w:rsidRDefault="0018045C"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The Administration programme receives an allocation of R508.0 million, which proportionally represents 6.5% of the overall departmental budget. Its allocation increases by R24.6 million and constitutes (a nominal rate increase of 5.1%, but declines by 0.11% in real terms) from the previous allocation. </w:t>
      </w:r>
    </w:p>
    <w:p w14:paraId="045D5AA7" w14:textId="77777777" w:rsidR="0018045C" w:rsidRPr="00661465" w:rsidRDefault="0018045C"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In terms of economic classification, the </w:t>
      </w:r>
      <w:r w:rsidRPr="00661465">
        <w:rPr>
          <w:rFonts w:ascii="Times New Roman" w:hAnsi="Times New Roman" w:cs="Times New Roman"/>
          <w:bCs/>
          <w:i/>
          <w:sz w:val="24"/>
          <w:szCs w:val="24"/>
        </w:rPr>
        <w:t>Administration</w:t>
      </w:r>
      <w:r w:rsidRPr="00661465">
        <w:rPr>
          <w:rFonts w:ascii="Times New Roman" w:hAnsi="Times New Roman" w:cs="Times New Roman"/>
          <w:bCs/>
          <w:sz w:val="24"/>
          <w:szCs w:val="24"/>
        </w:rPr>
        <w:t xml:space="preserve"> programme budget includes current payments to the value of R499.6 million</w:t>
      </w:r>
      <w:r w:rsidR="00F23395" w:rsidRPr="00661465">
        <w:rPr>
          <w:rFonts w:ascii="Times New Roman" w:hAnsi="Times New Roman" w:cs="Times New Roman"/>
          <w:bCs/>
          <w:sz w:val="24"/>
          <w:szCs w:val="24"/>
        </w:rPr>
        <w:t xml:space="preserve">. </w:t>
      </w:r>
      <w:r w:rsidRPr="00661465">
        <w:rPr>
          <w:rFonts w:ascii="Times New Roman" w:hAnsi="Times New Roman" w:cs="Times New Roman"/>
          <w:bCs/>
          <w:sz w:val="24"/>
          <w:szCs w:val="24"/>
        </w:rPr>
        <w:t xml:space="preserve">R295.1 million </w:t>
      </w:r>
      <w:r w:rsidR="00F23395" w:rsidRPr="00661465">
        <w:rPr>
          <w:rFonts w:ascii="Times New Roman" w:hAnsi="Times New Roman" w:cs="Times New Roman"/>
          <w:bCs/>
          <w:sz w:val="24"/>
          <w:szCs w:val="24"/>
        </w:rPr>
        <w:t>is budgeted for</w:t>
      </w:r>
      <w:r w:rsidRPr="00661465">
        <w:rPr>
          <w:rFonts w:ascii="Times New Roman" w:hAnsi="Times New Roman" w:cs="Times New Roman"/>
          <w:bCs/>
          <w:sz w:val="24"/>
          <w:szCs w:val="24"/>
        </w:rPr>
        <w:t xml:space="preserve"> compensation of </w:t>
      </w:r>
      <w:r w:rsidR="00D55B1D" w:rsidRPr="00661465">
        <w:rPr>
          <w:rFonts w:ascii="Times New Roman" w:hAnsi="Times New Roman" w:cs="Times New Roman"/>
          <w:bCs/>
          <w:sz w:val="24"/>
          <w:szCs w:val="24"/>
        </w:rPr>
        <w:t>employees that increases</w:t>
      </w:r>
      <w:r w:rsidRPr="00661465">
        <w:rPr>
          <w:rFonts w:ascii="Times New Roman" w:hAnsi="Times New Roman" w:cs="Times New Roman"/>
          <w:bCs/>
          <w:sz w:val="24"/>
          <w:szCs w:val="24"/>
        </w:rPr>
        <w:t xml:space="preserve"> by R18.2 million or 6.6% in nominal terms and 1.3% in real terms in 2019/20. </w:t>
      </w:r>
    </w:p>
    <w:p w14:paraId="0C6B7B22" w14:textId="77777777" w:rsidR="001C3D9A" w:rsidRPr="00661465" w:rsidRDefault="0018045C" w:rsidP="00661465">
      <w:pPr>
        <w:spacing w:line="360" w:lineRule="auto"/>
        <w:jc w:val="both"/>
        <w:rPr>
          <w:rFonts w:ascii="Times New Roman" w:hAnsi="Times New Roman" w:cs="Times New Roman"/>
          <w:sz w:val="24"/>
          <w:szCs w:val="24"/>
        </w:rPr>
      </w:pPr>
      <w:r w:rsidRPr="00661465">
        <w:rPr>
          <w:rFonts w:ascii="Times New Roman" w:hAnsi="Times New Roman" w:cs="Times New Roman"/>
          <w:bCs/>
          <w:sz w:val="24"/>
          <w:szCs w:val="24"/>
        </w:rPr>
        <w:t xml:space="preserve">Further, the Department allocates R204.5 million to goods and services. This </w:t>
      </w:r>
      <w:r w:rsidR="00F23395" w:rsidRPr="00661465">
        <w:rPr>
          <w:rFonts w:ascii="Times New Roman" w:hAnsi="Times New Roman" w:cs="Times New Roman"/>
          <w:bCs/>
          <w:sz w:val="24"/>
          <w:szCs w:val="24"/>
        </w:rPr>
        <w:t>i</w:t>
      </w:r>
      <w:r w:rsidRPr="00661465">
        <w:rPr>
          <w:rFonts w:ascii="Times New Roman" w:hAnsi="Times New Roman" w:cs="Times New Roman"/>
          <w:bCs/>
          <w:sz w:val="24"/>
          <w:szCs w:val="24"/>
        </w:rPr>
        <w:t>s an increase of R13.1 million (or 6.8% in nominal terms and 1.6% in real terms) from the R191.4 million in 2018/19.</w:t>
      </w:r>
    </w:p>
    <w:p w14:paraId="125F7F40" w14:textId="77777777" w:rsidR="00661465" w:rsidRPr="00661465" w:rsidRDefault="00661465" w:rsidP="00661465">
      <w:pPr>
        <w:rPr>
          <w:lang w:val="en-GB"/>
        </w:rPr>
      </w:pPr>
    </w:p>
    <w:p w14:paraId="74A1810E" w14:textId="77777777" w:rsidR="00822083" w:rsidRDefault="00822083" w:rsidP="00CC0781">
      <w:pPr>
        <w:pStyle w:val="Heading3"/>
        <w:spacing w:line="360" w:lineRule="auto"/>
        <w:rPr>
          <w:rFonts w:ascii="Times New Roman" w:hAnsi="Times New Roman"/>
          <w:i w:val="0"/>
          <w:color w:val="auto"/>
          <w:sz w:val="24"/>
        </w:rPr>
      </w:pPr>
      <w:r w:rsidRPr="00661465">
        <w:rPr>
          <w:rFonts w:ascii="Times New Roman" w:hAnsi="Times New Roman"/>
          <w:i w:val="0"/>
          <w:color w:val="auto"/>
          <w:sz w:val="24"/>
        </w:rPr>
        <w:t xml:space="preserve">Programme 2: Intergovernmental Coordination </w:t>
      </w:r>
    </w:p>
    <w:p w14:paraId="72E0E8E0" w14:textId="77777777" w:rsidR="00661465" w:rsidRPr="00661465" w:rsidRDefault="00661465" w:rsidP="00661465">
      <w:pPr>
        <w:rPr>
          <w:lang w:val="en-GB"/>
        </w:rPr>
      </w:pPr>
    </w:p>
    <w:p w14:paraId="3952BDB4" w14:textId="77777777" w:rsidR="00822083" w:rsidRPr="00661465" w:rsidRDefault="001B1AF4" w:rsidP="00CC078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lastRenderedPageBreak/>
        <w:t>DPW is a coordinating department that must manage sound relations and strategic partnership with all client/user departments</w:t>
      </w:r>
      <w:r w:rsidR="00DE6386" w:rsidRPr="00661465">
        <w:rPr>
          <w:rFonts w:ascii="Times New Roman" w:hAnsi="Times New Roman" w:cs="Times New Roman"/>
          <w:b/>
          <w:sz w:val="24"/>
          <w:szCs w:val="24"/>
        </w:rPr>
        <w:t xml:space="preserve"> if it is to reach policy goals set out in the SoNA and the NDP.</w:t>
      </w:r>
      <w:r w:rsidRPr="00661465">
        <w:rPr>
          <w:rFonts w:ascii="Times New Roman" w:hAnsi="Times New Roman" w:cs="Times New Roman"/>
          <w:b/>
          <w:sz w:val="24"/>
          <w:szCs w:val="24"/>
        </w:rPr>
        <w:t xml:space="preserve"> </w:t>
      </w:r>
      <w:r w:rsidR="00822083" w:rsidRPr="00661465">
        <w:rPr>
          <w:rFonts w:ascii="Times New Roman" w:hAnsi="Times New Roman" w:cs="Times New Roman"/>
          <w:b/>
          <w:sz w:val="24"/>
          <w:szCs w:val="24"/>
        </w:rPr>
        <w:t>Programme 2 seeks to promote sound intergovernmental relatio</w:t>
      </w:r>
      <w:r w:rsidR="000F7321" w:rsidRPr="00661465">
        <w:rPr>
          <w:rFonts w:ascii="Times New Roman" w:hAnsi="Times New Roman" w:cs="Times New Roman"/>
          <w:b/>
          <w:sz w:val="24"/>
          <w:szCs w:val="24"/>
        </w:rPr>
        <w:t>ns and strategic partnerships. It c</w:t>
      </w:r>
      <w:r w:rsidR="00822083" w:rsidRPr="00661465">
        <w:rPr>
          <w:rFonts w:ascii="Times New Roman" w:hAnsi="Times New Roman" w:cs="Times New Roman"/>
          <w:b/>
          <w:sz w:val="24"/>
          <w:szCs w:val="24"/>
        </w:rPr>
        <w:t>oordinate</w:t>
      </w:r>
      <w:r w:rsidR="000F7321" w:rsidRPr="00661465">
        <w:rPr>
          <w:rFonts w:ascii="Times New Roman" w:hAnsi="Times New Roman" w:cs="Times New Roman"/>
          <w:b/>
          <w:sz w:val="24"/>
          <w:szCs w:val="24"/>
        </w:rPr>
        <w:t>s</w:t>
      </w:r>
      <w:r w:rsidR="00822083" w:rsidRPr="00661465">
        <w:rPr>
          <w:rFonts w:ascii="Times New Roman" w:hAnsi="Times New Roman" w:cs="Times New Roman"/>
          <w:b/>
          <w:sz w:val="24"/>
          <w:szCs w:val="24"/>
        </w:rPr>
        <w:t xml:space="preserve"> with provinces</w:t>
      </w:r>
      <w:r w:rsidR="00B362E6" w:rsidRPr="00661465">
        <w:rPr>
          <w:rFonts w:ascii="Times New Roman" w:hAnsi="Times New Roman" w:cs="Times New Roman"/>
          <w:b/>
          <w:sz w:val="24"/>
          <w:szCs w:val="24"/>
        </w:rPr>
        <w:t xml:space="preserve"> and municipalities</w:t>
      </w:r>
      <w:r w:rsidR="00822083" w:rsidRPr="00661465">
        <w:rPr>
          <w:rFonts w:ascii="Times New Roman" w:hAnsi="Times New Roman" w:cs="Times New Roman"/>
          <w:b/>
          <w:sz w:val="24"/>
          <w:szCs w:val="24"/>
        </w:rPr>
        <w:t xml:space="preserve"> on: Immovable Asset Registers; construction and property management; the implementation of the Government Immovable Asset Management Act (No. 19 of 2007); and the reporting on performance information within the Public Works Sector.</w:t>
      </w:r>
    </w:p>
    <w:p w14:paraId="3644849F" w14:textId="77777777" w:rsidR="00CE3C66" w:rsidRPr="00661465" w:rsidRDefault="001C3D9A"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The allocation</w:t>
      </w:r>
      <w:r w:rsidR="00896555" w:rsidRPr="00661465">
        <w:rPr>
          <w:rFonts w:ascii="Times New Roman" w:hAnsi="Times New Roman" w:cs="Times New Roman"/>
          <w:bCs/>
          <w:sz w:val="24"/>
          <w:szCs w:val="24"/>
        </w:rPr>
        <w:t xml:space="preserve"> of R60.9 million</w:t>
      </w:r>
      <w:r w:rsidRPr="00661465">
        <w:rPr>
          <w:rFonts w:ascii="Times New Roman" w:hAnsi="Times New Roman" w:cs="Times New Roman"/>
          <w:bCs/>
          <w:sz w:val="24"/>
          <w:szCs w:val="24"/>
        </w:rPr>
        <w:t xml:space="preserve"> to </w:t>
      </w:r>
      <w:r w:rsidR="000C5479" w:rsidRPr="00661465">
        <w:rPr>
          <w:rFonts w:ascii="Times New Roman" w:hAnsi="Times New Roman" w:cs="Times New Roman"/>
          <w:bCs/>
          <w:sz w:val="24"/>
          <w:szCs w:val="24"/>
        </w:rPr>
        <w:t>P</w:t>
      </w:r>
      <w:r w:rsidRPr="00661465">
        <w:rPr>
          <w:rFonts w:ascii="Times New Roman" w:hAnsi="Times New Roman" w:cs="Times New Roman"/>
          <w:bCs/>
          <w:sz w:val="24"/>
          <w:szCs w:val="24"/>
        </w:rPr>
        <w:t xml:space="preserve">rogramme </w:t>
      </w:r>
      <w:r w:rsidR="000C5479" w:rsidRPr="00661465">
        <w:rPr>
          <w:rFonts w:ascii="Times New Roman" w:hAnsi="Times New Roman" w:cs="Times New Roman"/>
          <w:bCs/>
          <w:sz w:val="24"/>
          <w:szCs w:val="24"/>
        </w:rPr>
        <w:t xml:space="preserve">2 </w:t>
      </w:r>
      <w:r w:rsidRPr="00661465">
        <w:rPr>
          <w:rFonts w:ascii="Times New Roman" w:hAnsi="Times New Roman" w:cs="Times New Roman"/>
          <w:bCs/>
          <w:sz w:val="24"/>
          <w:szCs w:val="24"/>
        </w:rPr>
        <w:t xml:space="preserve">proportionally represents 0.8% of the overall departmental budget allocation for 2019/20. </w:t>
      </w:r>
      <w:r w:rsidR="00896555" w:rsidRPr="00661465">
        <w:rPr>
          <w:rFonts w:ascii="Times New Roman" w:hAnsi="Times New Roman" w:cs="Times New Roman"/>
          <w:bCs/>
          <w:sz w:val="24"/>
          <w:szCs w:val="24"/>
        </w:rPr>
        <w:t>This</w:t>
      </w:r>
      <w:r w:rsidRPr="00661465">
        <w:rPr>
          <w:rFonts w:ascii="Times New Roman" w:hAnsi="Times New Roman" w:cs="Times New Roman"/>
          <w:bCs/>
          <w:sz w:val="24"/>
          <w:szCs w:val="24"/>
        </w:rPr>
        <w:t xml:space="preserve"> constitutes an increase of R4.8 million</w:t>
      </w:r>
      <w:r w:rsidR="00896555" w:rsidRPr="00661465">
        <w:rPr>
          <w:rFonts w:ascii="Times New Roman" w:hAnsi="Times New Roman" w:cs="Times New Roman"/>
          <w:bCs/>
          <w:sz w:val="24"/>
          <w:szCs w:val="24"/>
        </w:rPr>
        <w:t xml:space="preserve"> from the R56.1 million allocated 2018/19 financial year. This is</w:t>
      </w:r>
      <w:r w:rsidRPr="00661465">
        <w:rPr>
          <w:rFonts w:ascii="Times New Roman" w:hAnsi="Times New Roman" w:cs="Times New Roman"/>
          <w:bCs/>
          <w:sz w:val="24"/>
          <w:szCs w:val="24"/>
        </w:rPr>
        <w:t xml:space="preserve"> a nominal increase of 8.6% (and 3.2% in real terms) from the </w:t>
      </w:r>
      <w:r w:rsidR="00896555" w:rsidRPr="00661465">
        <w:rPr>
          <w:rFonts w:ascii="Times New Roman" w:hAnsi="Times New Roman" w:cs="Times New Roman"/>
          <w:bCs/>
          <w:sz w:val="24"/>
          <w:szCs w:val="24"/>
        </w:rPr>
        <w:t>previous year</w:t>
      </w:r>
      <w:r w:rsidR="00CE3C66" w:rsidRPr="00661465">
        <w:rPr>
          <w:rFonts w:ascii="Times New Roman" w:hAnsi="Times New Roman" w:cs="Times New Roman"/>
          <w:bCs/>
          <w:sz w:val="24"/>
          <w:szCs w:val="24"/>
        </w:rPr>
        <w:t>.</w:t>
      </w:r>
    </w:p>
    <w:p w14:paraId="7DA0A69E" w14:textId="77777777" w:rsidR="001C3D9A" w:rsidRPr="00661465" w:rsidRDefault="001C3D9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Expenditure for Programme 2 for the 2019/20 financial year </w:t>
      </w:r>
      <w:r w:rsidR="00162998" w:rsidRPr="00661465">
        <w:rPr>
          <w:rFonts w:ascii="Times New Roman" w:hAnsi="Times New Roman" w:cs="Times New Roman"/>
          <w:sz w:val="24"/>
          <w:szCs w:val="24"/>
        </w:rPr>
        <w:t>will fund</w:t>
      </w:r>
      <w:r w:rsidRPr="00661465">
        <w:rPr>
          <w:rFonts w:ascii="Times New Roman" w:hAnsi="Times New Roman" w:cs="Times New Roman"/>
          <w:sz w:val="24"/>
          <w:szCs w:val="24"/>
        </w:rPr>
        <w:t xml:space="preserve"> </w:t>
      </w:r>
      <w:r w:rsidR="00F23395" w:rsidRPr="00661465">
        <w:rPr>
          <w:rFonts w:ascii="Times New Roman" w:hAnsi="Times New Roman" w:cs="Times New Roman"/>
          <w:sz w:val="24"/>
          <w:szCs w:val="24"/>
        </w:rPr>
        <w:t xml:space="preserve">these </w:t>
      </w:r>
      <w:r w:rsidRPr="00661465">
        <w:rPr>
          <w:rFonts w:ascii="Times New Roman" w:hAnsi="Times New Roman" w:cs="Times New Roman"/>
          <w:sz w:val="24"/>
          <w:szCs w:val="24"/>
        </w:rPr>
        <w:t>sub-programmes:</w:t>
      </w:r>
    </w:p>
    <w:p w14:paraId="1724F9F5" w14:textId="77777777" w:rsidR="00CE3C66" w:rsidRPr="00661465" w:rsidRDefault="001C3D9A" w:rsidP="00CC0781">
      <w:pPr>
        <w:numPr>
          <w:ilvl w:val="0"/>
          <w:numId w:val="6"/>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t xml:space="preserve">Monitoring, Evaluation and Reporting </w:t>
      </w:r>
      <w:r w:rsidRPr="00661465">
        <w:rPr>
          <w:rFonts w:ascii="Times New Roman" w:hAnsi="Times New Roman" w:cs="Times New Roman"/>
          <w:sz w:val="24"/>
          <w:szCs w:val="24"/>
        </w:rPr>
        <w:t>receives an allocation of R8.2 million.</w:t>
      </w:r>
      <w:r w:rsidRPr="00661465">
        <w:rPr>
          <w:rStyle w:val="FootnoteReference"/>
          <w:rFonts w:ascii="Times New Roman" w:hAnsi="Times New Roman" w:cs="Times New Roman"/>
          <w:sz w:val="24"/>
          <w:szCs w:val="24"/>
        </w:rPr>
        <w:footnoteReference w:id="12"/>
      </w:r>
      <w:r w:rsidRPr="00661465">
        <w:rPr>
          <w:rFonts w:ascii="Times New Roman" w:hAnsi="Times New Roman" w:cs="Times New Roman"/>
          <w:sz w:val="24"/>
          <w:szCs w:val="24"/>
        </w:rPr>
        <w:t xml:space="preserve"> This is an increase of R1.0 million from the R7.2 million received in 2018/19, which constitutes a nominal increase of 13.9% (and 8.3% in real terms) from the previous year.</w:t>
      </w:r>
    </w:p>
    <w:p w14:paraId="0095D78B" w14:textId="77777777" w:rsidR="001C3D9A" w:rsidRPr="00661465" w:rsidRDefault="001C3D9A" w:rsidP="00CC0781">
      <w:pPr>
        <w:numPr>
          <w:ilvl w:val="0"/>
          <w:numId w:val="6"/>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t xml:space="preserve">Intergovernmental Relations and Coordination </w:t>
      </w:r>
      <w:r w:rsidRPr="00661465">
        <w:rPr>
          <w:rFonts w:ascii="Times New Roman" w:hAnsi="Times New Roman" w:cs="Times New Roman"/>
          <w:sz w:val="24"/>
          <w:szCs w:val="24"/>
        </w:rPr>
        <w:t>receives an allocation of R25.2 million. This is an increase of the R800 000 from the R24.4 million received in 2018/19, which constitutes a nominal increase of 3.3% (but a decline of 1.8% in real terms) from the previous year.</w:t>
      </w:r>
    </w:p>
    <w:p w14:paraId="0F7A9111" w14:textId="77777777" w:rsidR="001C3D9A" w:rsidRPr="00661465" w:rsidRDefault="001C3D9A" w:rsidP="00CC0781">
      <w:pPr>
        <w:numPr>
          <w:ilvl w:val="0"/>
          <w:numId w:val="6"/>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t>Professional Services</w:t>
      </w:r>
      <w:r w:rsidRPr="00661465">
        <w:rPr>
          <w:rStyle w:val="FootnoteReference"/>
          <w:rFonts w:ascii="Times New Roman" w:hAnsi="Times New Roman" w:cs="Times New Roman"/>
          <w:sz w:val="24"/>
          <w:szCs w:val="24"/>
        </w:rPr>
        <w:footnoteReference w:id="13"/>
      </w:r>
      <w:r w:rsidRPr="00661465">
        <w:rPr>
          <w:rFonts w:ascii="Times New Roman" w:hAnsi="Times New Roman" w:cs="Times New Roman"/>
          <w:i/>
          <w:sz w:val="24"/>
          <w:szCs w:val="24"/>
        </w:rPr>
        <w:t xml:space="preserve"> </w:t>
      </w:r>
      <w:r w:rsidRPr="00661465">
        <w:rPr>
          <w:rFonts w:ascii="Times New Roman" w:hAnsi="Times New Roman" w:cs="Times New Roman"/>
          <w:sz w:val="24"/>
          <w:szCs w:val="24"/>
        </w:rPr>
        <w:t>is allocated R27.5 million. This is an increase of R2.9 million from the R24.6 million received in 2018/19, which constitutes a nominal increase of 11.8% (and 6.3% in real terms) from the previous year.</w:t>
      </w:r>
    </w:p>
    <w:p w14:paraId="6C1BFB09" w14:textId="77777777" w:rsidR="00661465" w:rsidRDefault="00661465" w:rsidP="00CC0781">
      <w:pPr>
        <w:spacing w:line="360" w:lineRule="auto"/>
        <w:jc w:val="both"/>
        <w:rPr>
          <w:rFonts w:ascii="Times New Roman" w:hAnsi="Times New Roman" w:cs="Times New Roman"/>
          <w:sz w:val="24"/>
          <w:szCs w:val="24"/>
        </w:rPr>
      </w:pPr>
    </w:p>
    <w:p w14:paraId="087A8704" w14:textId="77777777" w:rsidR="001C3D9A" w:rsidRPr="00661465" w:rsidRDefault="001C3D9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In terms of economic classification, R54.8 million is allocated to current payments. This constitutes an increase of R4.3 million or 8.5% in nominal terms (3.2% in real terms) from the previous year.</w:t>
      </w:r>
      <w:r w:rsidRPr="00661465">
        <w:rPr>
          <w:rStyle w:val="FootnoteReference"/>
          <w:rFonts w:ascii="Times New Roman" w:hAnsi="Times New Roman" w:cs="Times New Roman"/>
          <w:sz w:val="24"/>
          <w:szCs w:val="24"/>
        </w:rPr>
        <w:footnoteReference w:id="14"/>
      </w:r>
      <w:r w:rsidRPr="00661465">
        <w:rPr>
          <w:rFonts w:ascii="Times New Roman" w:hAnsi="Times New Roman" w:cs="Times New Roman"/>
          <w:sz w:val="24"/>
          <w:szCs w:val="24"/>
        </w:rPr>
        <w:t xml:space="preserve"> Of this amount:</w:t>
      </w:r>
    </w:p>
    <w:p w14:paraId="5F9A4E30" w14:textId="77777777" w:rsidR="001C3D9A" w:rsidRPr="00661465" w:rsidRDefault="001C3D9A" w:rsidP="00CC0781">
      <w:pPr>
        <w:numPr>
          <w:ilvl w:val="0"/>
          <w:numId w:val="7"/>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Compensation of employees consists of R40.6 million (an increase of R4.5 million).</w:t>
      </w:r>
    </w:p>
    <w:p w14:paraId="3DB667F2" w14:textId="77777777" w:rsidR="00874027" w:rsidRPr="00661465" w:rsidRDefault="001C3D9A" w:rsidP="00CC0781">
      <w:pPr>
        <w:spacing w:line="360" w:lineRule="auto"/>
        <w:jc w:val="both"/>
        <w:rPr>
          <w:rFonts w:ascii="Times New Roman" w:hAnsi="Times New Roman" w:cs="Times New Roman"/>
          <w:b/>
          <w:sz w:val="24"/>
          <w:szCs w:val="24"/>
        </w:rPr>
      </w:pPr>
      <w:r w:rsidRPr="00661465">
        <w:rPr>
          <w:rFonts w:ascii="Times New Roman" w:hAnsi="Times New Roman" w:cs="Times New Roman"/>
          <w:sz w:val="24"/>
          <w:szCs w:val="24"/>
        </w:rPr>
        <w:lastRenderedPageBreak/>
        <w:t>Goods and Services is allocated R14.3 million (a decrease of R100 000 from R14.4 million in 2018/19).</w:t>
      </w:r>
    </w:p>
    <w:p w14:paraId="19BE86F5" w14:textId="77777777" w:rsidR="00822083" w:rsidRPr="00661465" w:rsidRDefault="00822083" w:rsidP="00CC0781">
      <w:pPr>
        <w:pStyle w:val="Heading3"/>
        <w:spacing w:line="360" w:lineRule="auto"/>
        <w:rPr>
          <w:rFonts w:ascii="Times New Roman" w:hAnsi="Times New Roman"/>
          <w:i w:val="0"/>
          <w:color w:val="auto"/>
          <w:sz w:val="24"/>
        </w:rPr>
      </w:pPr>
    </w:p>
    <w:p w14:paraId="3D4C28E4" w14:textId="77777777" w:rsidR="00822083" w:rsidRDefault="00822083" w:rsidP="00CC0781">
      <w:pPr>
        <w:pStyle w:val="Heading3"/>
        <w:spacing w:line="360" w:lineRule="auto"/>
        <w:rPr>
          <w:rFonts w:ascii="Times New Roman" w:hAnsi="Times New Roman"/>
          <w:i w:val="0"/>
          <w:color w:val="auto"/>
          <w:sz w:val="24"/>
        </w:rPr>
      </w:pPr>
      <w:r w:rsidRPr="00661465">
        <w:rPr>
          <w:rFonts w:ascii="Times New Roman" w:hAnsi="Times New Roman"/>
          <w:i w:val="0"/>
          <w:color w:val="auto"/>
          <w:sz w:val="24"/>
        </w:rPr>
        <w:t>Programme 3: Expanded Public Works Programme</w:t>
      </w:r>
      <w:r w:rsidR="001B0ACD" w:rsidRPr="00661465">
        <w:rPr>
          <w:rFonts w:ascii="Times New Roman" w:hAnsi="Times New Roman"/>
          <w:i w:val="0"/>
          <w:color w:val="auto"/>
          <w:sz w:val="24"/>
        </w:rPr>
        <w:t xml:space="preserve"> (EPWP):</w:t>
      </w:r>
      <w:r w:rsidRPr="00661465">
        <w:rPr>
          <w:rFonts w:ascii="Times New Roman" w:hAnsi="Times New Roman"/>
          <w:i w:val="0"/>
          <w:color w:val="auto"/>
          <w:sz w:val="24"/>
        </w:rPr>
        <w:t xml:space="preserve"> </w:t>
      </w:r>
    </w:p>
    <w:p w14:paraId="2DC97C09" w14:textId="77777777" w:rsidR="00661465" w:rsidRPr="00661465" w:rsidRDefault="00661465" w:rsidP="00661465">
      <w:pPr>
        <w:rPr>
          <w:lang w:val="en-GB"/>
        </w:rPr>
      </w:pPr>
    </w:p>
    <w:p w14:paraId="25A82A81" w14:textId="77777777" w:rsidR="00822083" w:rsidRPr="00661465" w:rsidRDefault="00CE4023" w:rsidP="00CC078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sz w:val="24"/>
          <w:szCs w:val="24"/>
        </w:rPr>
      </w:pPr>
      <w:r w:rsidRPr="00661465">
        <w:rPr>
          <w:rFonts w:ascii="Times New Roman" w:hAnsi="Times New Roman" w:cs="Times New Roman"/>
          <w:b/>
          <w:bCs/>
          <w:sz w:val="24"/>
          <w:szCs w:val="24"/>
        </w:rPr>
        <w:t>The EPWP</w:t>
      </w:r>
      <w:r w:rsidR="00822083" w:rsidRPr="00661465">
        <w:rPr>
          <w:rFonts w:ascii="Times New Roman" w:hAnsi="Times New Roman" w:cs="Times New Roman"/>
          <w:b/>
          <w:bCs/>
          <w:sz w:val="24"/>
          <w:szCs w:val="24"/>
        </w:rPr>
        <w:t xml:space="preserve"> </w:t>
      </w:r>
      <w:r w:rsidR="005462D1" w:rsidRPr="00661465">
        <w:rPr>
          <w:rFonts w:ascii="Times New Roman" w:hAnsi="Times New Roman" w:cs="Times New Roman"/>
          <w:b/>
          <w:bCs/>
          <w:sz w:val="24"/>
          <w:szCs w:val="24"/>
        </w:rPr>
        <w:t xml:space="preserve">gives effect to the policy goals to create work opportunities for marginal people. It </w:t>
      </w:r>
      <w:r w:rsidR="00F14D8D" w:rsidRPr="00661465">
        <w:rPr>
          <w:rFonts w:ascii="Times New Roman" w:hAnsi="Times New Roman" w:cs="Times New Roman"/>
          <w:b/>
          <w:bCs/>
          <w:sz w:val="24"/>
          <w:szCs w:val="24"/>
        </w:rPr>
        <w:t>wor</w:t>
      </w:r>
      <w:r w:rsidR="00822083" w:rsidRPr="00661465">
        <w:rPr>
          <w:rFonts w:ascii="Times New Roman" w:hAnsi="Times New Roman" w:cs="Times New Roman"/>
          <w:b/>
          <w:bCs/>
          <w:sz w:val="24"/>
          <w:szCs w:val="24"/>
        </w:rPr>
        <w:t xml:space="preserve">ks </w:t>
      </w:r>
      <w:r w:rsidR="00F14D8D" w:rsidRPr="00661465">
        <w:rPr>
          <w:rFonts w:ascii="Times New Roman" w:hAnsi="Times New Roman" w:cs="Times New Roman"/>
          <w:b/>
          <w:bCs/>
          <w:sz w:val="24"/>
          <w:szCs w:val="24"/>
        </w:rPr>
        <w:t>on</w:t>
      </w:r>
      <w:r w:rsidR="00822083" w:rsidRPr="00661465">
        <w:rPr>
          <w:rFonts w:ascii="Times New Roman" w:hAnsi="Times New Roman" w:cs="Times New Roman"/>
          <w:b/>
          <w:bCs/>
          <w:sz w:val="24"/>
          <w:szCs w:val="24"/>
        </w:rPr>
        <w:t xml:space="preserve"> the coordination of the implementation of the Expanded Public Works Programme (EPWP)</w:t>
      </w:r>
      <w:r w:rsidR="00746F9E" w:rsidRPr="00661465">
        <w:rPr>
          <w:rFonts w:ascii="Times New Roman" w:hAnsi="Times New Roman" w:cs="Times New Roman"/>
          <w:b/>
          <w:bCs/>
          <w:sz w:val="24"/>
          <w:szCs w:val="24"/>
        </w:rPr>
        <w:t xml:space="preserve"> </w:t>
      </w:r>
      <w:r w:rsidR="00E16FAE" w:rsidRPr="00661465">
        <w:rPr>
          <w:rFonts w:ascii="Times New Roman" w:hAnsi="Times New Roman" w:cs="Times New Roman"/>
          <w:b/>
          <w:bCs/>
          <w:sz w:val="24"/>
          <w:szCs w:val="24"/>
        </w:rPr>
        <w:t xml:space="preserve">in public bodies, non-profit organisations, the non-state sector, </w:t>
      </w:r>
      <w:r w:rsidR="00746F9E" w:rsidRPr="00661465">
        <w:rPr>
          <w:rFonts w:ascii="Times New Roman" w:hAnsi="Times New Roman" w:cs="Times New Roman"/>
          <w:b/>
          <w:bCs/>
          <w:sz w:val="24"/>
          <w:szCs w:val="24"/>
        </w:rPr>
        <w:t>across national, provincial and local government levels</w:t>
      </w:r>
      <w:r w:rsidR="00822083" w:rsidRPr="00661465">
        <w:rPr>
          <w:rFonts w:ascii="Times New Roman" w:hAnsi="Times New Roman" w:cs="Times New Roman"/>
          <w:b/>
          <w:bCs/>
          <w:sz w:val="24"/>
          <w:szCs w:val="24"/>
        </w:rPr>
        <w:t xml:space="preserve"> to create work opportunities; </w:t>
      </w:r>
      <w:r w:rsidR="00E16FAE" w:rsidRPr="00661465">
        <w:rPr>
          <w:rFonts w:ascii="Times New Roman" w:hAnsi="Times New Roman" w:cs="Times New Roman"/>
          <w:b/>
          <w:bCs/>
          <w:sz w:val="24"/>
          <w:szCs w:val="24"/>
        </w:rPr>
        <w:t>it also works on</w:t>
      </w:r>
      <w:r w:rsidR="00822083" w:rsidRPr="00661465">
        <w:rPr>
          <w:rFonts w:ascii="Times New Roman" w:hAnsi="Times New Roman" w:cs="Times New Roman"/>
          <w:b/>
          <w:bCs/>
          <w:sz w:val="24"/>
          <w:szCs w:val="24"/>
        </w:rPr>
        <w:t xml:space="preserve"> the provision of training for unskilled, marginalised and unemployed people in South Africa.</w:t>
      </w:r>
      <w:r w:rsidR="00E16FAE" w:rsidRPr="00661465">
        <w:rPr>
          <w:rFonts w:ascii="Times New Roman" w:hAnsi="Times New Roman" w:cs="Times New Roman"/>
          <w:b/>
          <w:bCs/>
          <w:sz w:val="24"/>
          <w:szCs w:val="24"/>
        </w:rPr>
        <w:t xml:space="preserve"> </w:t>
      </w:r>
    </w:p>
    <w:p w14:paraId="3F736A69" w14:textId="77777777" w:rsidR="001E5657" w:rsidRDefault="001E5657" w:rsidP="00CC0781">
      <w:pPr>
        <w:spacing w:line="360" w:lineRule="auto"/>
        <w:jc w:val="both"/>
        <w:rPr>
          <w:rFonts w:ascii="Times New Roman" w:hAnsi="Times New Roman" w:cs="Times New Roman"/>
          <w:sz w:val="24"/>
          <w:szCs w:val="24"/>
        </w:rPr>
      </w:pPr>
    </w:p>
    <w:p w14:paraId="49C605ED" w14:textId="77777777" w:rsidR="007B7E32" w:rsidRPr="00661465" w:rsidRDefault="001B01EF"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w:t>
      </w:r>
      <w:r w:rsidR="007B7E32" w:rsidRPr="00661465">
        <w:rPr>
          <w:rFonts w:ascii="Times New Roman" w:hAnsi="Times New Roman" w:cs="Times New Roman"/>
          <w:sz w:val="24"/>
          <w:szCs w:val="24"/>
        </w:rPr>
        <w:t xml:space="preserve"> medium term goals </w:t>
      </w:r>
      <w:r w:rsidRPr="00661465">
        <w:rPr>
          <w:rFonts w:ascii="Times New Roman" w:hAnsi="Times New Roman" w:cs="Times New Roman"/>
          <w:sz w:val="24"/>
          <w:szCs w:val="24"/>
        </w:rPr>
        <w:t xml:space="preserve">for EPWP </w:t>
      </w:r>
      <w:r w:rsidR="007B7E32" w:rsidRPr="00661465">
        <w:rPr>
          <w:rFonts w:ascii="Times New Roman" w:hAnsi="Times New Roman" w:cs="Times New Roman"/>
          <w:sz w:val="24"/>
          <w:szCs w:val="24"/>
        </w:rPr>
        <w:t>are to:</w:t>
      </w:r>
      <w:r w:rsidR="007B7E32" w:rsidRPr="00661465">
        <w:rPr>
          <w:rStyle w:val="FootnoteReference"/>
          <w:rFonts w:ascii="Times New Roman" w:hAnsi="Times New Roman" w:cs="Times New Roman"/>
          <w:sz w:val="24"/>
          <w:szCs w:val="24"/>
        </w:rPr>
        <w:footnoteReference w:id="15"/>
      </w:r>
    </w:p>
    <w:p w14:paraId="4CDE2F63" w14:textId="77777777" w:rsidR="007B7E32" w:rsidRPr="00661465" w:rsidRDefault="00C83BA4" w:rsidP="00CC0781">
      <w:pPr>
        <w:numPr>
          <w:ilvl w:val="0"/>
          <w:numId w:val="10"/>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M</w:t>
      </w:r>
      <w:r w:rsidR="007B7E32" w:rsidRPr="00661465">
        <w:rPr>
          <w:rFonts w:ascii="Times New Roman" w:hAnsi="Times New Roman" w:cs="Times New Roman"/>
          <w:sz w:val="24"/>
          <w:szCs w:val="24"/>
        </w:rPr>
        <w:t>onitor</w:t>
      </w:r>
      <w:r w:rsidR="00954102" w:rsidRPr="00661465">
        <w:rPr>
          <w:rFonts w:ascii="Times New Roman" w:hAnsi="Times New Roman" w:cs="Times New Roman"/>
          <w:sz w:val="24"/>
          <w:szCs w:val="24"/>
        </w:rPr>
        <w:t>, validate, set uniform processes and standards,</w:t>
      </w:r>
      <w:r w:rsidR="007B7E32" w:rsidRPr="00661465">
        <w:rPr>
          <w:rFonts w:ascii="Times New Roman" w:hAnsi="Times New Roman" w:cs="Times New Roman"/>
          <w:sz w:val="24"/>
          <w:szCs w:val="24"/>
        </w:rPr>
        <w:t xml:space="preserve"> and report on 4.4 million work opportunities to be created by Public Bodies implementing the EPWP.</w:t>
      </w:r>
    </w:p>
    <w:p w14:paraId="02CCBE16" w14:textId="77777777" w:rsidR="007B7E32" w:rsidRPr="00661465" w:rsidRDefault="007B7E32" w:rsidP="00CC0781">
      <w:pPr>
        <w:numPr>
          <w:ilvl w:val="0"/>
          <w:numId w:val="10"/>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Ensure Public Bodies report on the designated groups (with targets of 55 percent for women and youth respectively, and 2 percent for people with disabilities) in the programme, by producing six Data Quality Assessment Reports.</w:t>
      </w:r>
    </w:p>
    <w:p w14:paraId="03A512A9" w14:textId="77777777" w:rsidR="007B7E32" w:rsidRPr="00661465" w:rsidRDefault="007B7E32" w:rsidP="00CC0781">
      <w:pPr>
        <w:numPr>
          <w:ilvl w:val="0"/>
          <w:numId w:val="10"/>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Contract 350 non-profit organisations to implement non-State sector EPWP projects over the medium term. </w:t>
      </w:r>
    </w:p>
    <w:p w14:paraId="6EC98781" w14:textId="77777777" w:rsidR="007B7E32" w:rsidRPr="00661465" w:rsidRDefault="007B7E3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A number of objectives are outlined, including increasing the Department’s participation in the implementation of Public Employment Programmes within the EPWP by March 2020:</w:t>
      </w:r>
      <w:r w:rsidRPr="00661465">
        <w:rPr>
          <w:rStyle w:val="FootnoteReference"/>
          <w:rFonts w:ascii="Times New Roman" w:hAnsi="Times New Roman" w:cs="Times New Roman"/>
          <w:sz w:val="24"/>
          <w:szCs w:val="24"/>
        </w:rPr>
        <w:footnoteReference w:id="16"/>
      </w:r>
    </w:p>
    <w:p w14:paraId="446053D8" w14:textId="77777777" w:rsidR="007B7E32" w:rsidRPr="00661465" w:rsidRDefault="007B7E32" w:rsidP="00CC0781">
      <w:pPr>
        <w:numPr>
          <w:ilvl w:val="0"/>
          <w:numId w:val="9"/>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Public Bodies report 1 455 000 work opportunities on the EPWP Reporting System. </w:t>
      </w:r>
    </w:p>
    <w:p w14:paraId="3E7D5711" w14:textId="77777777" w:rsidR="007B7E32" w:rsidRPr="001E5657" w:rsidRDefault="007B7E32" w:rsidP="00CC0781">
      <w:pPr>
        <w:numPr>
          <w:ilvl w:val="0"/>
          <w:numId w:val="9"/>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Provide technical support to 290 public bodies participating in the EPWP. </w:t>
      </w:r>
    </w:p>
    <w:p w14:paraId="6981F998" w14:textId="77777777" w:rsidR="007B7E32" w:rsidRPr="00661465" w:rsidRDefault="007B7E3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R2.68 billion</w:t>
      </w:r>
      <w:r w:rsidRPr="00661465">
        <w:rPr>
          <w:rStyle w:val="FootnoteReference"/>
          <w:rFonts w:ascii="Times New Roman" w:hAnsi="Times New Roman" w:cs="Times New Roman"/>
          <w:sz w:val="24"/>
          <w:szCs w:val="24"/>
        </w:rPr>
        <w:footnoteReference w:id="17"/>
      </w:r>
      <w:r w:rsidRPr="00661465">
        <w:rPr>
          <w:rFonts w:ascii="Times New Roman" w:hAnsi="Times New Roman" w:cs="Times New Roman"/>
          <w:sz w:val="24"/>
          <w:szCs w:val="24"/>
        </w:rPr>
        <w:t xml:space="preserve"> </w:t>
      </w:r>
      <w:r w:rsidR="00D55B1D" w:rsidRPr="00661465">
        <w:rPr>
          <w:rFonts w:ascii="Times New Roman" w:hAnsi="Times New Roman" w:cs="Times New Roman"/>
          <w:sz w:val="24"/>
          <w:szCs w:val="24"/>
        </w:rPr>
        <w:t>allocated for this year</w:t>
      </w:r>
      <w:r w:rsidRPr="00661465">
        <w:rPr>
          <w:rFonts w:ascii="Times New Roman" w:hAnsi="Times New Roman" w:cs="Times New Roman"/>
          <w:bCs/>
          <w:sz w:val="24"/>
          <w:szCs w:val="24"/>
        </w:rPr>
        <w:t xml:space="preserve"> proportionally represents </w:t>
      </w:r>
      <w:r w:rsidRPr="00661465">
        <w:rPr>
          <w:rFonts w:ascii="Times New Roman" w:hAnsi="Times New Roman" w:cs="Times New Roman"/>
          <w:sz w:val="24"/>
          <w:szCs w:val="24"/>
        </w:rPr>
        <w:t xml:space="preserve">34.3% </w:t>
      </w:r>
      <w:r w:rsidRPr="00661465">
        <w:rPr>
          <w:rFonts w:ascii="Times New Roman" w:hAnsi="Times New Roman" w:cs="Times New Roman"/>
          <w:bCs/>
          <w:sz w:val="24"/>
          <w:szCs w:val="24"/>
        </w:rPr>
        <w:t>of the overall departmental budget.</w:t>
      </w:r>
      <w:r w:rsidRPr="00661465">
        <w:rPr>
          <w:rFonts w:ascii="Times New Roman" w:hAnsi="Times New Roman" w:cs="Times New Roman"/>
          <w:sz w:val="24"/>
          <w:szCs w:val="24"/>
        </w:rPr>
        <w:t xml:space="preserve"> Expenditure under Programme 3 increases at a nominal rate of 5.2% (which translates into a real increase of 0.04%). The allocations for the </w:t>
      </w:r>
      <w:r w:rsidRPr="00661465">
        <w:rPr>
          <w:rFonts w:ascii="Times New Roman" w:hAnsi="Times New Roman" w:cs="Times New Roman"/>
          <w:i/>
          <w:sz w:val="24"/>
          <w:szCs w:val="24"/>
        </w:rPr>
        <w:t>Expanded Public Works Programme</w:t>
      </w:r>
      <w:r w:rsidRPr="00661465">
        <w:rPr>
          <w:rFonts w:ascii="Times New Roman" w:hAnsi="Times New Roman" w:cs="Times New Roman"/>
          <w:sz w:val="24"/>
          <w:szCs w:val="24"/>
        </w:rPr>
        <w:t xml:space="preserve"> (EPWP) are mainly for the </w:t>
      </w:r>
      <w:r w:rsidRPr="00661465">
        <w:rPr>
          <w:rFonts w:ascii="Times New Roman" w:hAnsi="Times New Roman" w:cs="Times New Roman"/>
          <w:i/>
          <w:sz w:val="24"/>
          <w:szCs w:val="24"/>
        </w:rPr>
        <w:t xml:space="preserve">Integrated Grant for Provinces and </w:t>
      </w:r>
      <w:r w:rsidRPr="00661465">
        <w:rPr>
          <w:rFonts w:ascii="Times New Roman" w:hAnsi="Times New Roman" w:cs="Times New Roman"/>
          <w:i/>
          <w:sz w:val="24"/>
          <w:szCs w:val="24"/>
        </w:rPr>
        <w:lastRenderedPageBreak/>
        <w:t>Municipalities</w:t>
      </w:r>
      <w:r w:rsidRPr="00661465">
        <w:rPr>
          <w:rFonts w:ascii="Times New Roman" w:hAnsi="Times New Roman" w:cs="Times New Roman"/>
          <w:sz w:val="24"/>
          <w:szCs w:val="24"/>
        </w:rPr>
        <w:t xml:space="preserve">; and the </w:t>
      </w:r>
      <w:r w:rsidRPr="00661465">
        <w:rPr>
          <w:rFonts w:ascii="Times New Roman" w:hAnsi="Times New Roman" w:cs="Times New Roman"/>
          <w:i/>
          <w:sz w:val="24"/>
          <w:szCs w:val="24"/>
        </w:rPr>
        <w:t>Performance Based Incentive Allocations</w:t>
      </w:r>
      <w:r w:rsidRPr="00661465">
        <w:rPr>
          <w:rFonts w:ascii="Times New Roman" w:hAnsi="Times New Roman" w:cs="Times New Roman"/>
          <w:sz w:val="24"/>
          <w:szCs w:val="24"/>
        </w:rPr>
        <w:t>. The allocations are reported under the</w:t>
      </w:r>
      <w:r w:rsidR="00D55B1D" w:rsidRPr="00661465">
        <w:rPr>
          <w:rFonts w:ascii="Times New Roman" w:hAnsi="Times New Roman" w:cs="Times New Roman"/>
          <w:sz w:val="24"/>
          <w:szCs w:val="24"/>
        </w:rPr>
        <w:t>se</w:t>
      </w:r>
      <w:r w:rsidRPr="00661465">
        <w:rPr>
          <w:rFonts w:ascii="Times New Roman" w:hAnsi="Times New Roman" w:cs="Times New Roman"/>
          <w:sz w:val="24"/>
          <w:szCs w:val="24"/>
        </w:rPr>
        <w:t xml:space="preserve"> sub-programmes: </w:t>
      </w:r>
    </w:p>
    <w:p w14:paraId="3A5134EE" w14:textId="77777777" w:rsidR="007B7E32" w:rsidRPr="00661465" w:rsidRDefault="007B7E32" w:rsidP="00CC0781">
      <w:pPr>
        <w:numPr>
          <w:ilvl w:val="0"/>
          <w:numId w:val="8"/>
        </w:numPr>
        <w:spacing w:after="0" w:line="360" w:lineRule="auto"/>
        <w:ind w:left="426" w:hanging="426"/>
        <w:jc w:val="both"/>
        <w:rPr>
          <w:rFonts w:ascii="Times New Roman" w:hAnsi="Times New Roman" w:cs="Times New Roman"/>
          <w:sz w:val="24"/>
          <w:szCs w:val="24"/>
        </w:rPr>
      </w:pPr>
      <w:r w:rsidRPr="00661465">
        <w:rPr>
          <w:rFonts w:ascii="Times New Roman" w:hAnsi="Times New Roman" w:cs="Times New Roman"/>
          <w:sz w:val="24"/>
          <w:szCs w:val="24"/>
        </w:rPr>
        <w:t>EPWP: Monitoring and Evaluation receives R59.4 million. In real terms this sub-programme allocation increases by 0.11% from the previous year.</w:t>
      </w:r>
    </w:p>
    <w:p w14:paraId="586859D6" w14:textId="77777777" w:rsidR="007B7E32" w:rsidRPr="00661465" w:rsidRDefault="007B7E32" w:rsidP="00CC0781">
      <w:pPr>
        <w:numPr>
          <w:ilvl w:val="0"/>
          <w:numId w:val="8"/>
        </w:numPr>
        <w:spacing w:after="0" w:line="360" w:lineRule="auto"/>
        <w:ind w:left="426" w:hanging="426"/>
        <w:jc w:val="both"/>
        <w:rPr>
          <w:rFonts w:ascii="Times New Roman" w:hAnsi="Times New Roman" w:cs="Times New Roman"/>
          <w:sz w:val="24"/>
          <w:szCs w:val="24"/>
        </w:rPr>
      </w:pPr>
      <w:r w:rsidRPr="00661465">
        <w:rPr>
          <w:rFonts w:ascii="Times New Roman" w:hAnsi="Times New Roman" w:cs="Times New Roman"/>
          <w:sz w:val="24"/>
          <w:szCs w:val="24"/>
        </w:rPr>
        <w:t>EPWP: Infrastructure receives R1.27 billion. In real terms, this sub-programme allocation decreases by 0.14% from the previous year.</w:t>
      </w:r>
    </w:p>
    <w:p w14:paraId="364B5C9B" w14:textId="77777777" w:rsidR="007B7E32" w:rsidRPr="00661465" w:rsidRDefault="007B7E32" w:rsidP="00CC0781">
      <w:pPr>
        <w:numPr>
          <w:ilvl w:val="0"/>
          <w:numId w:val="8"/>
        </w:numPr>
        <w:spacing w:after="0" w:line="360" w:lineRule="auto"/>
        <w:ind w:left="426" w:hanging="426"/>
        <w:jc w:val="both"/>
        <w:rPr>
          <w:rFonts w:ascii="Times New Roman" w:hAnsi="Times New Roman" w:cs="Times New Roman"/>
          <w:sz w:val="24"/>
          <w:szCs w:val="24"/>
        </w:rPr>
      </w:pPr>
      <w:r w:rsidRPr="00661465">
        <w:rPr>
          <w:rFonts w:ascii="Times New Roman" w:hAnsi="Times New Roman" w:cs="Times New Roman"/>
          <w:sz w:val="24"/>
          <w:szCs w:val="24"/>
        </w:rPr>
        <w:t>EPWP: Operations receives R1.27 billion. In real terms, this sub-programme allocation decreases by 0.23% from the previous year.</w:t>
      </w:r>
    </w:p>
    <w:p w14:paraId="042C7570" w14:textId="77777777" w:rsidR="007B7E32" w:rsidRPr="00661465" w:rsidRDefault="007B7E32" w:rsidP="00CC0781">
      <w:pPr>
        <w:numPr>
          <w:ilvl w:val="0"/>
          <w:numId w:val="8"/>
        </w:numPr>
        <w:spacing w:after="0" w:line="360" w:lineRule="auto"/>
        <w:ind w:left="426" w:hanging="426"/>
        <w:jc w:val="both"/>
        <w:rPr>
          <w:rFonts w:ascii="Times New Roman" w:hAnsi="Times New Roman" w:cs="Times New Roman"/>
          <w:sz w:val="24"/>
          <w:szCs w:val="24"/>
        </w:rPr>
      </w:pPr>
      <w:r w:rsidRPr="00661465">
        <w:rPr>
          <w:rFonts w:ascii="Times New Roman" w:hAnsi="Times New Roman" w:cs="Times New Roman"/>
          <w:sz w:val="24"/>
          <w:szCs w:val="24"/>
        </w:rPr>
        <w:t>EPWP: Partnership Support receives R78.1 million. This sub-programme increased by 13.9% in nominal terms and 8.2% in real terms in the allocation from the previous financial year.</w:t>
      </w:r>
    </w:p>
    <w:p w14:paraId="38A1F5F9" w14:textId="77777777" w:rsidR="007B7E32" w:rsidRPr="00661465" w:rsidRDefault="007B7E32" w:rsidP="00CC0781">
      <w:pPr>
        <w:numPr>
          <w:ilvl w:val="0"/>
          <w:numId w:val="8"/>
        </w:numPr>
        <w:spacing w:after="0" w:line="360" w:lineRule="auto"/>
        <w:ind w:left="426" w:hanging="426"/>
        <w:jc w:val="both"/>
        <w:rPr>
          <w:rFonts w:ascii="Times New Roman" w:hAnsi="Times New Roman" w:cs="Times New Roman"/>
          <w:sz w:val="24"/>
          <w:szCs w:val="24"/>
        </w:rPr>
      </w:pPr>
      <w:r w:rsidRPr="00661465">
        <w:rPr>
          <w:rFonts w:ascii="Times New Roman" w:hAnsi="Times New Roman" w:cs="Times New Roman"/>
          <w:sz w:val="24"/>
          <w:szCs w:val="24"/>
        </w:rPr>
        <w:t>EPWP: Public Employment Coordinating Committee receives R6.1 million.  In real terms, this sub-programme allocation decreases by 1.7% from the previous year.</w:t>
      </w:r>
    </w:p>
    <w:p w14:paraId="38661259" w14:textId="77777777" w:rsidR="00BD5D08" w:rsidRPr="00661465" w:rsidRDefault="00BD5D08" w:rsidP="00CC0781">
      <w:pPr>
        <w:shd w:val="clear" w:color="auto" w:fill="FFFFFF"/>
        <w:spacing w:line="360" w:lineRule="auto"/>
        <w:jc w:val="both"/>
        <w:rPr>
          <w:rFonts w:ascii="Times New Roman" w:hAnsi="Times New Roman" w:cs="Times New Roman"/>
          <w:sz w:val="24"/>
          <w:szCs w:val="24"/>
        </w:rPr>
      </w:pPr>
    </w:p>
    <w:p w14:paraId="3EDA9F59" w14:textId="77777777" w:rsidR="00BD5D08" w:rsidRPr="00661465" w:rsidRDefault="00BD5D08" w:rsidP="00CC0781">
      <w:pPr>
        <w:shd w:val="clear" w:color="auto" w:fill="FFFFFF"/>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In terms of economic</w:t>
      </w:r>
      <w:r w:rsidRPr="00661465">
        <w:rPr>
          <w:rFonts w:ascii="Times New Roman" w:hAnsi="Times New Roman" w:cs="Times New Roman"/>
          <w:sz w:val="24"/>
          <w:szCs w:val="24"/>
          <w:u w:val="single"/>
        </w:rPr>
        <w:t xml:space="preserve"> </w:t>
      </w:r>
      <w:r w:rsidRPr="00661465">
        <w:rPr>
          <w:rFonts w:ascii="Times New Roman" w:hAnsi="Times New Roman" w:cs="Times New Roman"/>
          <w:sz w:val="24"/>
          <w:szCs w:val="24"/>
        </w:rPr>
        <w:t xml:space="preserve">classification, Programme 3’s budget includes current payments </w:t>
      </w:r>
      <w:r w:rsidRPr="00661465">
        <w:rPr>
          <w:rFonts w:ascii="Times New Roman" w:hAnsi="Times New Roman" w:cs="Times New Roman"/>
          <w:bCs/>
          <w:sz w:val="24"/>
          <w:szCs w:val="24"/>
        </w:rPr>
        <w:t xml:space="preserve">to the value of R330.1 million, of which R174.9 million is allocated to </w:t>
      </w:r>
      <w:r w:rsidRPr="00661465">
        <w:rPr>
          <w:rFonts w:ascii="Times New Roman" w:hAnsi="Times New Roman" w:cs="Times New Roman"/>
          <w:sz w:val="24"/>
          <w:szCs w:val="24"/>
        </w:rPr>
        <w:t>compensation of employees. Compensation of employees increases with R14.7 million from the R160.2 million of the previous year. The increase in the compensation budget is to consolidate the finalisation of Phase III, and enhance the implementation of Phase IV of the EPWP as of April 2019, to provide technical support to departments, municipalities, and the non-State sector to ensure that labour intensive methods and skills training are being utilised in their programmes.</w:t>
      </w:r>
    </w:p>
    <w:p w14:paraId="641FE9F4" w14:textId="77777777" w:rsidR="00BD5D08" w:rsidRPr="00661465" w:rsidRDefault="00BD5D08" w:rsidP="00CC0781">
      <w:pPr>
        <w:shd w:val="clear" w:color="auto" w:fill="FFFFFF"/>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Expenditure on </w:t>
      </w:r>
      <w:r w:rsidRPr="00661465">
        <w:rPr>
          <w:rFonts w:ascii="Times New Roman" w:hAnsi="Times New Roman" w:cs="Times New Roman"/>
          <w:i/>
          <w:sz w:val="24"/>
          <w:szCs w:val="24"/>
        </w:rPr>
        <w:t>Goods and Services</w:t>
      </w:r>
      <w:r w:rsidRPr="00661465">
        <w:rPr>
          <w:rFonts w:ascii="Times New Roman" w:hAnsi="Times New Roman" w:cs="Times New Roman"/>
          <w:sz w:val="24"/>
          <w:szCs w:val="24"/>
        </w:rPr>
        <w:t xml:space="preserve"> amounts to R155.2 million, (which translates into a real decrease of 0.6 % from the previous year). </w:t>
      </w:r>
    </w:p>
    <w:p w14:paraId="375F2090" w14:textId="77777777" w:rsidR="00BD5D08" w:rsidRPr="00661465" w:rsidRDefault="00BD5D08" w:rsidP="00CC0781">
      <w:pPr>
        <w:shd w:val="clear" w:color="auto" w:fill="FFFFFF"/>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bulk of the allocated funds for Programme 3 are transfers and subsidies amounting to R2.35 billion, R1.6 billion of this is assigned for transfers to provinces and municipalities as follows:</w:t>
      </w:r>
      <w:r w:rsidRPr="00661465">
        <w:rPr>
          <w:rStyle w:val="FootnoteReference"/>
          <w:rFonts w:ascii="Times New Roman" w:hAnsi="Times New Roman" w:cs="Times New Roman"/>
          <w:sz w:val="24"/>
          <w:szCs w:val="24"/>
        </w:rPr>
        <w:footnoteReference w:id="18"/>
      </w:r>
    </w:p>
    <w:p w14:paraId="577115DE" w14:textId="77777777" w:rsidR="00BD5D08" w:rsidRPr="00661465" w:rsidRDefault="00BD5D08" w:rsidP="00CC0781">
      <w:pPr>
        <w:numPr>
          <w:ilvl w:val="0"/>
          <w:numId w:val="11"/>
        </w:numPr>
        <w:shd w:val="clear" w:color="auto" w:fill="FFFFFF"/>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R750.4 million is allocated to </w:t>
      </w:r>
      <w:r w:rsidRPr="00661465">
        <w:rPr>
          <w:rFonts w:ascii="Times New Roman" w:hAnsi="Times New Roman" w:cs="Times New Roman"/>
          <w:i/>
          <w:sz w:val="24"/>
          <w:szCs w:val="24"/>
        </w:rPr>
        <w:t>Non-profit institutions</w:t>
      </w:r>
      <w:r w:rsidRPr="00661465">
        <w:rPr>
          <w:rFonts w:ascii="Times New Roman" w:hAnsi="Times New Roman" w:cs="Times New Roman"/>
          <w:sz w:val="24"/>
          <w:szCs w:val="24"/>
        </w:rPr>
        <w:t xml:space="preserve">.  </w:t>
      </w:r>
    </w:p>
    <w:p w14:paraId="2860D285" w14:textId="77777777" w:rsidR="00BD5D08" w:rsidRPr="00661465" w:rsidRDefault="00BD5D08" w:rsidP="00CC0781">
      <w:pPr>
        <w:numPr>
          <w:ilvl w:val="0"/>
          <w:numId w:val="11"/>
        </w:numPr>
        <w:shd w:val="clear" w:color="auto" w:fill="FFFFFF"/>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R730.0 million towards the </w:t>
      </w:r>
      <w:r w:rsidRPr="00661465">
        <w:rPr>
          <w:rFonts w:ascii="Times New Roman" w:hAnsi="Times New Roman" w:cs="Times New Roman"/>
          <w:i/>
          <w:sz w:val="24"/>
          <w:szCs w:val="24"/>
        </w:rPr>
        <w:t>Integrated Grant for Municipalities</w:t>
      </w:r>
      <w:r w:rsidRPr="00661465">
        <w:rPr>
          <w:rFonts w:ascii="Times New Roman" w:hAnsi="Times New Roman" w:cs="Times New Roman"/>
          <w:sz w:val="24"/>
          <w:szCs w:val="24"/>
        </w:rPr>
        <w:t xml:space="preserve">. </w:t>
      </w:r>
    </w:p>
    <w:p w14:paraId="25790F3C" w14:textId="77777777" w:rsidR="00BD5D08" w:rsidRPr="00661465" w:rsidRDefault="00BD5D08" w:rsidP="00CC0781">
      <w:pPr>
        <w:numPr>
          <w:ilvl w:val="0"/>
          <w:numId w:val="11"/>
        </w:numPr>
        <w:shd w:val="clear" w:color="auto" w:fill="FFFFFF"/>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R437.4 million towards the </w:t>
      </w:r>
      <w:r w:rsidRPr="00661465">
        <w:rPr>
          <w:rFonts w:ascii="Times New Roman" w:hAnsi="Times New Roman" w:cs="Times New Roman"/>
          <w:i/>
          <w:sz w:val="24"/>
          <w:szCs w:val="24"/>
        </w:rPr>
        <w:t>Integrated Grant for Provinces</w:t>
      </w:r>
      <w:r w:rsidRPr="00661465">
        <w:rPr>
          <w:rFonts w:ascii="Times New Roman" w:hAnsi="Times New Roman" w:cs="Times New Roman"/>
          <w:sz w:val="24"/>
          <w:szCs w:val="24"/>
        </w:rPr>
        <w:t>.</w:t>
      </w:r>
    </w:p>
    <w:p w14:paraId="304A3F40" w14:textId="77777777" w:rsidR="00BD5D08" w:rsidRPr="00661465" w:rsidRDefault="00BD5D08" w:rsidP="00CC0781">
      <w:pPr>
        <w:numPr>
          <w:ilvl w:val="0"/>
          <w:numId w:val="11"/>
        </w:numPr>
        <w:shd w:val="clear" w:color="auto" w:fill="FFFFFF"/>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R430.8 million towards the </w:t>
      </w:r>
      <w:r w:rsidRPr="00661465">
        <w:rPr>
          <w:rFonts w:ascii="Times New Roman" w:hAnsi="Times New Roman" w:cs="Times New Roman"/>
          <w:i/>
          <w:sz w:val="24"/>
          <w:szCs w:val="24"/>
        </w:rPr>
        <w:t>Social Sector Incentive Grant to Provinces</w:t>
      </w:r>
      <w:r w:rsidRPr="00661465">
        <w:rPr>
          <w:rFonts w:ascii="Times New Roman" w:hAnsi="Times New Roman" w:cs="Times New Roman"/>
          <w:sz w:val="24"/>
          <w:szCs w:val="24"/>
        </w:rPr>
        <w:t>.</w:t>
      </w:r>
    </w:p>
    <w:p w14:paraId="2B69348C" w14:textId="77777777" w:rsidR="00822083" w:rsidRPr="00661465" w:rsidRDefault="00822083" w:rsidP="00CC0781">
      <w:pPr>
        <w:spacing w:line="360" w:lineRule="auto"/>
        <w:jc w:val="both"/>
        <w:rPr>
          <w:rFonts w:ascii="Times New Roman" w:hAnsi="Times New Roman" w:cs="Times New Roman"/>
          <w:sz w:val="24"/>
          <w:szCs w:val="24"/>
        </w:rPr>
      </w:pPr>
    </w:p>
    <w:p w14:paraId="7E119E78" w14:textId="77777777" w:rsidR="00822083" w:rsidRDefault="00822083" w:rsidP="00CC0781">
      <w:pPr>
        <w:pStyle w:val="Heading3"/>
        <w:spacing w:line="360" w:lineRule="auto"/>
        <w:rPr>
          <w:rFonts w:ascii="Times New Roman" w:hAnsi="Times New Roman"/>
          <w:i w:val="0"/>
          <w:color w:val="auto"/>
          <w:sz w:val="24"/>
        </w:rPr>
      </w:pPr>
      <w:r w:rsidRPr="00661465">
        <w:rPr>
          <w:rFonts w:ascii="Times New Roman" w:hAnsi="Times New Roman"/>
          <w:i w:val="0"/>
          <w:color w:val="auto"/>
          <w:sz w:val="24"/>
        </w:rPr>
        <w:t>Programme 4: Property and Construction Industry Policy and Research</w:t>
      </w:r>
      <w:r w:rsidRPr="00661465">
        <w:rPr>
          <w:rStyle w:val="FootnoteReference"/>
          <w:rFonts w:ascii="Times New Roman" w:hAnsi="Times New Roman"/>
          <w:b w:val="0"/>
          <w:bCs/>
          <w:i w:val="0"/>
          <w:color w:val="000000" w:themeColor="text1"/>
          <w:sz w:val="24"/>
        </w:rPr>
        <w:footnoteReference w:id="19"/>
      </w:r>
    </w:p>
    <w:p w14:paraId="04F969F8" w14:textId="77777777" w:rsidR="001E5657" w:rsidRPr="001E5657" w:rsidRDefault="001E5657" w:rsidP="001E5657">
      <w:pPr>
        <w:rPr>
          <w:lang w:val="en-GB"/>
        </w:rPr>
      </w:pPr>
    </w:p>
    <w:p w14:paraId="6F62F2AF" w14:textId="77777777" w:rsidR="00822083" w:rsidRPr="00661465" w:rsidRDefault="00822083" w:rsidP="00CC078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sz w:val="24"/>
          <w:szCs w:val="24"/>
        </w:rPr>
      </w:pPr>
      <w:r w:rsidRPr="00661465">
        <w:rPr>
          <w:rFonts w:ascii="Times New Roman" w:hAnsi="Times New Roman" w:cs="Times New Roman"/>
          <w:b/>
          <w:bCs/>
          <w:sz w:val="24"/>
          <w:szCs w:val="24"/>
        </w:rPr>
        <w:t>Programme 4 promotes the growth and transformation of the construction and property industries, as well as a standardised approach and best practice in construction and immovable asset management in the public sector.</w:t>
      </w:r>
    </w:p>
    <w:p w14:paraId="42050821" w14:textId="77777777" w:rsidR="00F403AD" w:rsidRPr="00661465" w:rsidRDefault="00F403AD"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programme transfers </w:t>
      </w:r>
      <w:r w:rsidR="00B054CE" w:rsidRPr="00661465">
        <w:rPr>
          <w:rFonts w:ascii="Times New Roman" w:hAnsi="Times New Roman" w:cs="Times New Roman"/>
          <w:sz w:val="24"/>
          <w:szCs w:val="24"/>
        </w:rPr>
        <w:t xml:space="preserve">a large portion of the R4.44 billion </w:t>
      </w:r>
      <w:r w:rsidRPr="00661465">
        <w:rPr>
          <w:rFonts w:ascii="Times New Roman" w:hAnsi="Times New Roman" w:cs="Times New Roman"/>
          <w:sz w:val="24"/>
          <w:szCs w:val="24"/>
        </w:rPr>
        <w:t>across eight sub-programmes</w:t>
      </w:r>
      <w:r w:rsidR="00B054CE" w:rsidRPr="00661465">
        <w:rPr>
          <w:rStyle w:val="FootnoteReference"/>
          <w:rFonts w:ascii="Times New Roman" w:hAnsi="Times New Roman" w:cs="Times New Roman"/>
          <w:sz w:val="24"/>
          <w:szCs w:val="24"/>
        </w:rPr>
        <w:footnoteReference w:id="20"/>
      </w:r>
      <w:r w:rsidRPr="00661465">
        <w:rPr>
          <w:rFonts w:ascii="Times New Roman" w:hAnsi="Times New Roman" w:cs="Times New Roman"/>
          <w:sz w:val="24"/>
          <w:szCs w:val="24"/>
        </w:rPr>
        <w:t xml:space="preserve">. </w:t>
      </w:r>
      <w:r w:rsidR="00B054CE" w:rsidRPr="00661465">
        <w:rPr>
          <w:rFonts w:ascii="Times New Roman" w:hAnsi="Times New Roman" w:cs="Times New Roman"/>
          <w:sz w:val="24"/>
          <w:szCs w:val="24"/>
        </w:rPr>
        <w:t xml:space="preserve">Of its total allocation, </w:t>
      </w:r>
      <w:r w:rsidRPr="00661465">
        <w:rPr>
          <w:rFonts w:ascii="Times New Roman" w:hAnsi="Times New Roman" w:cs="Times New Roman"/>
          <w:sz w:val="24"/>
          <w:szCs w:val="24"/>
        </w:rPr>
        <w:t xml:space="preserve">the </w:t>
      </w:r>
      <w:r w:rsidRPr="00661465">
        <w:rPr>
          <w:rFonts w:ascii="Times New Roman" w:hAnsi="Times New Roman" w:cs="Times New Roman"/>
          <w:i/>
          <w:sz w:val="24"/>
          <w:szCs w:val="24"/>
        </w:rPr>
        <w:t>Property Management Trading Entity</w:t>
      </w:r>
      <w:r w:rsidRPr="00661465">
        <w:rPr>
          <w:rFonts w:ascii="Times New Roman" w:hAnsi="Times New Roman" w:cs="Times New Roman"/>
          <w:sz w:val="24"/>
          <w:szCs w:val="24"/>
        </w:rPr>
        <w:t xml:space="preserve"> (PMTE</w:t>
      </w:r>
      <w:r w:rsidR="00B900CA" w:rsidRPr="00661465">
        <w:rPr>
          <w:rFonts w:ascii="Times New Roman" w:hAnsi="Times New Roman" w:cs="Times New Roman"/>
          <w:sz w:val="24"/>
          <w:szCs w:val="24"/>
        </w:rPr>
        <w:t>)</w:t>
      </w:r>
      <w:r w:rsidRPr="00661465">
        <w:rPr>
          <w:rFonts w:ascii="Times New Roman" w:hAnsi="Times New Roman" w:cs="Times New Roman"/>
          <w:sz w:val="24"/>
          <w:szCs w:val="24"/>
        </w:rPr>
        <w:t xml:space="preserve"> </w:t>
      </w:r>
      <w:r w:rsidR="00B054CE" w:rsidRPr="00661465">
        <w:rPr>
          <w:rFonts w:ascii="Times New Roman" w:hAnsi="Times New Roman" w:cs="Times New Roman"/>
          <w:sz w:val="24"/>
          <w:szCs w:val="24"/>
        </w:rPr>
        <w:t xml:space="preserve">receives </w:t>
      </w:r>
      <w:r w:rsidRPr="00661465">
        <w:rPr>
          <w:rFonts w:ascii="Times New Roman" w:hAnsi="Times New Roman" w:cs="Times New Roman"/>
          <w:sz w:val="24"/>
          <w:szCs w:val="24"/>
        </w:rPr>
        <w:t>R4.22 billion</w:t>
      </w:r>
      <w:r w:rsidR="00862AA5" w:rsidRPr="00661465">
        <w:rPr>
          <w:rFonts w:ascii="Times New Roman" w:hAnsi="Times New Roman" w:cs="Times New Roman"/>
          <w:sz w:val="24"/>
          <w:szCs w:val="24"/>
        </w:rPr>
        <w:t>. This budget allocation is dealt with in further detail in section 3.2 of this report</w:t>
      </w:r>
      <w:r w:rsidRPr="00661465">
        <w:rPr>
          <w:rFonts w:ascii="Times New Roman" w:hAnsi="Times New Roman" w:cs="Times New Roman"/>
          <w:sz w:val="24"/>
          <w:szCs w:val="24"/>
        </w:rPr>
        <w:t xml:space="preserve">. </w:t>
      </w:r>
    </w:p>
    <w:p w14:paraId="5615AAD6" w14:textId="77777777" w:rsidR="000F772B" w:rsidRPr="00661465" w:rsidRDefault="00F063D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rest of its funding are transferred to entities that report to the Minister. It has a policy task to</w:t>
      </w:r>
      <w:r w:rsidR="00B054CE" w:rsidRPr="00661465">
        <w:rPr>
          <w:rFonts w:ascii="Times New Roman" w:hAnsi="Times New Roman" w:cs="Times New Roman"/>
          <w:sz w:val="24"/>
          <w:szCs w:val="24"/>
        </w:rPr>
        <w:t xml:space="preserve"> research and develop</w:t>
      </w:r>
      <w:r w:rsidR="00B054CE" w:rsidRPr="00661465">
        <w:rPr>
          <w:rStyle w:val="FootnoteReference"/>
          <w:rFonts w:ascii="Times New Roman" w:hAnsi="Times New Roman" w:cs="Times New Roman"/>
          <w:sz w:val="24"/>
          <w:szCs w:val="24"/>
        </w:rPr>
        <w:footnoteReference w:id="21"/>
      </w:r>
      <w:r w:rsidRPr="00661465">
        <w:rPr>
          <w:rFonts w:ascii="Times New Roman" w:hAnsi="Times New Roman" w:cs="Times New Roman"/>
          <w:sz w:val="24"/>
          <w:szCs w:val="24"/>
        </w:rPr>
        <w:t xml:space="preserve"> p</w:t>
      </w:r>
      <w:r w:rsidR="00B054CE" w:rsidRPr="00661465">
        <w:rPr>
          <w:rFonts w:ascii="Times New Roman" w:hAnsi="Times New Roman" w:cs="Times New Roman"/>
          <w:sz w:val="24"/>
          <w:szCs w:val="24"/>
        </w:rPr>
        <w:t xml:space="preserve">olicies and legislative prescripts for the construction and property sectors. </w:t>
      </w:r>
      <w:r w:rsidRPr="00661465">
        <w:rPr>
          <w:rFonts w:ascii="Times New Roman" w:hAnsi="Times New Roman" w:cs="Times New Roman"/>
          <w:sz w:val="24"/>
          <w:szCs w:val="24"/>
        </w:rPr>
        <w:t>As stated in the introduction, this programme was unsuccessful in reviewing the white paper</w:t>
      </w:r>
      <w:r w:rsidR="00B900CA" w:rsidRPr="00661465">
        <w:rPr>
          <w:rFonts w:ascii="Times New Roman" w:hAnsi="Times New Roman" w:cs="Times New Roman"/>
          <w:sz w:val="24"/>
          <w:szCs w:val="24"/>
        </w:rPr>
        <w:t>s</w:t>
      </w:r>
      <w:r w:rsidRPr="00661465">
        <w:rPr>
          <w:rFonts w:ascii="Times New Roman" w:hAnsi="Times New Roman" w:cs="Times New Roman"/>
          <w:sz w:val="24"/>
          <w:szCs w:val="24"/>
        </w:rPr>
        <w:t xml:space="preserve"> dated </w:t>
      </w:r>
      <w:r w:rsidR="00B900CA" w:rsidRPr="00661465">
        <w:rPr>
          <w:rFonts w:ascii="Times New Roman" w:hAnsi="Times New Roman" w:cs="Times New Roman"/>
          <w:sz w:val="24"/>
          <w:szCs w:val="24"/>
        </w:rPr>
        <w:t>1997 and 1999</w:t>
      </w:r>
      <w:r w:rsidRPr="00661465">
        <w:rPr>
          <w:rFonts w:ascii="Times New Roman" w:hAnsi="Times New Roman" w:cs="Times New Roman"/>
          <w:sz w:val="24"/>
          <w:szCs w:val="24"/>
        </w:rPr>
        <w:t xml:space="preserve"> that would have strengthened the mandate of the DPWI</w:t>
      </w:r>
      <w:r w:rsidR="00B900CA" w:rsidRPr="00661465">
        <w:rPr>
          <w:rFonts w:ascii="Times New Roman" w:hAnsi="Times New Roman" w:cs="Times New Roman"/>
          <w:sz w:val="24"/>
          <w:szCs w:val="24"/>
        </w:rPr>
        <w:t xml:space="preserve"> and the transformation of respectively the professional built environment, and the construction industry</w:t>
      </w:r>
      <w:r w:rsidRPr="00661465">
        <w:rPr>
          <w:rFonts w:ascii="Times New Roman" w:hAnsi="Times New Roman" w:cs="Times New Roman"/>
          <w:sz w:val="24"/>
          <w:szCs w:val="24"/>
        </w:rPr>
        <w:t xml:space="preserve">. </w:t>
      </w:r>
    </w:p>
    <w:p w14:paraId="1847AD36" w14:textId="77777777" w:rsidR="00B054CE" w:rsidRPr="00661465" w:rsidRDefault="00B900C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Once the review work is completed i</w:t>
      </w:r>
      <w:r w:rsidR="000F772B" w:rsidRPr="00661465">
        <w:rPr>
          <w:rFonts w:ascii="Times New Roman" w:hAnsi="Times New Roman" w:cs="Times New Roman"/>
          <w:sz w:val="24"/>
          <w:szCs w:val="24"/>
        </w:rPr>
        <w:t>n the current financial year, the programme has to complete t</w:t>
      </w:r>
      <w:r w:rsidR="00B054CE" w:rsidRPr="00661465">
        <w:rPr>
          <w:rFonts w:ascii="Times New Roman" w:hAnsi="Times New Roman" w:cs="Times New Roman"/>
          <w:sz w:val="24"/>
          <w:szCs w:val="24"/>
        </w:rPr>
        <w:t>hree legislative prescripts for the Public Works Bill, the Construction Industry Development Board Act (No. 38 of 2000) and the Council for the Built Environment Act (No. 43 of 2000) and the Council for the Built Environment Act (2000).</w:t>
      </w:r>
    </w:p>
    <w:p w14:paraId="10CC9F73" w14:textId="77777777" w:rsidR="00B900CA" w:rsidRPr="00661465" w:rsidRDefault="00B900C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Other transfers from programme 4 is to its sub-programme Departmental Agencies and Accounts</w:t>
      </w:r>
      <w:r w:rsidR="002D5BAC">
        <w:rPr>
          <w:rFonts w:ascii="Times New Roman" w:hAnsi="Times New Roman" w:cs="Times New Roman"/>
          <w:sz w:val="24"/>
          <w:szCs w:val="24"/>
        </w:rPr>
        <w:t xml:space="preserve"> </w:t>
      </w:r>
      <w:r w:rsidRPr="00661465">
        <w:rPr>
          <w:rFonts w:ascii="Times New Roman" w:hAnsi="Times New Roman" w:cs="Times New Roman"/>
          <w:sz w:val="24"/>
          <w:szCs w:val="24"/>
        </w:rPr>
        <w:t>(non-business entities) that totals R4.38 billion. The funds are transferred to the following entities:</w:t>
      </w:r>
    </w:p>
    <w:p w14:paraId="150DC669" w14:textId="77777777" w:rsidR="00B900CA" w:rsidRPr="00661465" w:rsidRDefault="00B900CA" w:rsidP="00CC0781">
      <w:pPr>
        <w:numPr>
          <w:ilvl w:val="1"/>
          <w:numId w:val="1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Agrément South Africa is allocated R31.1 million, </w:t>
      </w:r>
      <w:bookmarkStart w:id="1" w:name="_Hlk510561646"/>
      <w:r w:rsidRPr="00661465">
        <w:rPr>
          <w:rFonts w:ascii="Times New Roman" w:hAnsi="Times New Roman" w:cs="Times New Roman"/>
          <w:sz w:val="24"/>
          <w:szCs w:val="24"/>
        </w:rPr>
        <w:t xml:space="preserve">(an increase of R1.1 million) </w:t>
      </w:r>
      <w:bookmarkEnd w:id="1"/>
      <w:r w:rsidRPr="00661465">
        <w:rPr>
          <w:rFonts w:ascii="Times New Roman" w:hAnsi="Times New Roman" w:cs="Times New Roman"/>
          <w:sz w:val="24"/>
          <w:szCs w:val="24"/>
        </w:rPr>
        <w:t>from the R30.0 million allocation of 2018/19.</w:t>
      </w:r>
    </w:p>
    <w:p w14:paraId="4C81767F" w14:textId="77777777" w:rsidR="00B900CA" w:rsidRPr="00661465" w:rsidRDefault="00B900CA" w:rsidP="00CC0781">
      <w:pPr>
        <w:numPr>
          <w:ilvl w:val="1"/>
          <w:numId w:val="13"/>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lastRenderedPageBreak/>
        <w:t>Construction Industry Development Board</w:t>
      </w:r>
      <w:r w:rsidRPr="00661465">
        <w:rPr>
          <w:rFonts w:ascii="Times New Roman" w:hAnsi="Times New Roman" w:cs="Times New Roman"/>
          <w:sz w:val="24"/>
          <w:szCs w:val="24"/>
        </w:rPr>
        <w:t xml:space="preserve"> (cidb) is allocated R76.2 million, (a nominal increase of R2.9 million from R73.3 million), but decline of 1.2% in real terms from the previous year.</w:t>
      </w:r>
    </w:p>
    <w:p w14:paraId="1DABC380" w14:textId="77777777" w:rsidR="00B900CA" w:rsidRPr="00661465" w:rsidRDefault="00B900CA" w:rsidP="00CC0781">
      <w:pPr>
        <w:numPr>
          <w:ilvl w:val="1"/>
          <w:numId w:val="13"/>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t>Council for the Built Environment</w:t>
      </w:r>
      <w:r w:rsidRPr="00661465">
        <w:rPr>
          <w:rFonts w:ascii="Times New Roman" w:hAnsi="Times New Roman" w:cs="Times New Roman"/>
          <w:sz w:val="24"/>
          <w:szCs w:val="24"/>
        </w:rPr>
        <w:t xml:space="preserve"> (CBE) receives an allocation of R52.8 million, (an increase of R2.7 million from R50.1 million) and 0.2% in real terms.</w:t>
      </w:r>
    </w:p>
    <w:p w14:paraId="6177C56A" w14:textId="77777777" w:rsidR="00B900CA" w:rsidRPr="00661465" w:rsidRDefault="00B900CA" w:rsidP="00CC0781">
      <w:pPr>
        <w:numPr>
          <w:ilvl w:val="1"/>
          <w:numId w:val="13"/>
        </w:numPr>
        <w:spacing w:after="0" w:line="360" w:lineRule="auto"/>
        <w:jc w:val="both"/>
        <w:rPr>
          <w:rFonts w:ascii="Times New Roman" w:hAnsi="Times New Roman" w:cs="Times New Roman"/>
          <w:sz w:val="24"/>
          <w:szCs w:val="24"/>
        </w:rPr>
      </w:pPr>
      <w:r w:rsidRPr="00661465">
        <w:rPr>
          <w:rFonts w:ascii="Times New Roman" w:hAnsi="Times New Roman" w:cs="Times New Roman"/>
          <w:i/>
          <w:sz w:val="24"/>
          <w:szCs w:val="24"/>
        </w:rPr>
        <w:t>Construction, Education and Training Authority</w:t>
      </w:r>
      <w:r w:rsidRPr="00661465">
        <w:rPr>
          <w:rFonts w:ascii="Times New Roman" w:hAnsi="Times New Roman" w:cs="Times New Roman"/>
          <w:sz w:val="24"/>
          <w:szCs w:val="24"/>
        </w:rPr>
        <w:t xml:space="preserve"> (CETA) receives an allocation of R600 000, (an increase of R100 000 from the R500 000), which constitutes an increase of 14.1% in real terms.  </w:t>
      </w:r>
    </w:p>
    <w:p w14:paraId="4ADD4B06" w14:textId="77777777" w:rsidR="00B900CA" w:rsidRPr="00661465" w:rsidRDefault="00B900CA" w:rsidP="00CC0781">
      <w:pPr>
        <w:numPr>
          <w:ilvl w:val="1"/>
          <w:numId w:val="1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PMTE (as noted above) receives an allocation of R4.22 billion, a decrease of 0.1% in real terms.  </w:t>
      </w:r>
    </w:p>
    <w:p w14:paraId="26940504" w14:textId="77777777" w:rsidR="00B900CA" w:rsidRPr="00661465" w:rsidRDefault="00B900CA" w:rsidP="00CC0781">
      <w:pPr>
        <w:spacing w:line="360" w:lineRule="auto"/>
        <w:ind w:left="720"/>
        <w:jc w:val="both"/>
        <w:rPr>
          <w:rFonts w:ascii="Times New Roman" w:hAnsi="Times New Roman" w:cs="Times New Roman"/>
          <w:sz w:val="24"/>
          <w:szCs w:val="24"/>
        </w:rPr>
      </w:pPr>
    </w:p>
    <w:p w14:paraId="17912A25" w14:textId="77777777" w:rsidR="00B900CA" w:rsidRPr="00661465" w:rsidRDefault="00B900C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Department also made a transfer to the:</w:t>
      </w:r>
      <w:r w:rsidRPr="00661465">
        <w:rPr>
          <w:rStyle w:val="FootnoteReference"/>
          <w:rFonts w:ascii="Times New Roman" w:hAnsi="Times New Roman" w:cs="Times New Roman"/>
          <w:sz w:val="24"/>
          <w:szCs w:val="24"/>
        </w:rPr>
        <w:footnoteReference w:id="22"/>
      </w:r>
    </w:p>
    <w:p w14:paraId="370A900E" w14:textId="77777777" w:rsidR="00B900CA" w:rsidRPr="00661465" w:rsidRDefault="00B900CA" w:rsidP="00CC0781">
      <w:pPr>
        <w:numPr>
          <w:ilvl w:val="0"/>
          <w:numId w:val="14"/>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Independent Development Trust (IDT), which receives an allocation of R5.0 million, (a decline of R23.4 million (or 83.3% in real terms) from the R28.4 million allocation of 2018/19. The IDT is a Schedule 2 entity, should be self-sustaining and not receive an allocation from the Department, as is the case for Schedule 3 entities. This allocation from the Department should be viewed as assisting in the continued operational functioning of the entity, in the context of the IDT having developed into a responsive development agency with a well-established presence across the country. The IDT’s total budget for 2019/20 is R386.6 million.</w:t>
      </w:r>
      <w:r w:rsidRPr="00661465">
        <w:rPr>
          <w:rStyle w:val="FootnoteReference"/>
          <w:rFonts w:ascii="Times New Roman" w:hAnsi="Times New Roman" w:cs="Times New Roman"/>
          <w:sz w:val="24"/>
          <w:szCs w:val="24"/>
        </w:rPr>
        <w:footnoteReference w:id="23"/>
      </w:r>
    </w:p>
    <w:p w14:paraId="2B452EEC" w14:textId="77777777" w:rsidR="00B900CA" w:rsidRPr="00661465" w:rsidRDefault="00B900CA" w:rsidP="00CC0781">
      <w:pPr>
        <w:numPr>
          <w:ilvl w:val="0"/>
          <w:numId w:val="14"/>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Foreign Governments and International Organisations,</w:t>
      </w:r>
      <w:r w:rsidRPr="00661465">
        <w:rPr>
          <w:rStyle w:val="FootnoteReference"/>
          <w:rFonts w:ascii="Times New Roman" w:hAnsi="Times New Roman" w:cs="Times New Roman"/>
          <w:sz w:val="24"/>
          <w:szCs w:val="24"/>
        </w:rPr>
        <w:footnoteReference w:id="24"/>
      </w:r>
      <w:r w:rsidRPr="00661465">
        <w:rPr>
          <w:rFonts w:ascii="Times New Roman" w:hAnsi="Times New Roman" w:cs="Times New Roman"/>
          <w:sz w:val="24"/>
          <w:szCs w:val="24"/>
        </w:rPr>
        <w:t xml:space="preserve"> to the value of R26.6 million, an increase of R3.9 million (11.4% in real terms) from the R22.7 million allocated in 2018/19. This is mainly to address the fluctuations in the exchange rate when transferring the funds. The current weakening of the Rand against the major foreign currencies may result in the Department requiring an increase in its allocation from National Tr</w:t>
      </w:r>
      <w:r w:rsidR="00AD545A" w:rsidRPr="00661465">
        <w:rPr>
          <w:rFonts w:ascii="Times New Roman" w:hAnsi="Times New Roman" w:cs="Times New Roman"/>
          <w:sz w:val="24"/>
          <w:szCs w:val="24"/>
        </w:rPr>
        <w:t xml:space="preserve">easury. </w:t>
      </w:r>
    </w:p>
    <w:p w14:paraId="1825D24D" w14:textId="77777777" w:rsidR="00B900CA" w:rsidRPr="00661465" w:rsidRDefault="00B900CA" w:rsidP="00CC0781">
      <w:pPr>
        <w:shd w:val="clear" w:color="auto" w:fill="FFFFFF"/>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Current Payments totals R35.4 million, which is an increase of R3.9 million (6.8% in real terms) from the R31.5 million adjusted allocation in 2018/19. Compensation of Employees receives an allocation of R19.0 million, which is an increase of R2.3 million (8.2% in real terms) from the R16.7 million adjusted allocation in 2018/19. Goods and Services totals </w:t>
      </w:r>
      <w:r w:rsidRPr="00661465">
        <w:rPr>
          <w:rFonts w:ascii="Times New Roman" w:hAnsi="Times New Roman" w:cs="Times New Roman"/>
          <w:sz w:val="24"/>
          <w:szCs w:val="24"/>
        </w:rPr>
        <w:lastRenderedPageBreak/>
        <w:t xml:space="preserve">R16.5 million for 2019/20. This constitutes an increase of R1.7 million (6.0% in real terms) from the R14.8 million allocation of the previous year. </w:t>
      </w:r>
    </w:p>
    <w:p w14:paraId="7E01A125" w14:textId="77777777" w:rsidR="00F403AD" w:rsidRPr="00661465" w:rsidRDefault="00F403AD" w:rsidP="00CC0781">
      <w:pPr>
        <w:spacing w:line="360" w:lineRule="auto"/>
        <w:jc w:val="both"/>
        <w:rPr>
          <w:rFonts w:ascii="Times New Roman" w:hAnsi="Times New Roman" w:cs="Times New Roman"/>
          <w:sz w:val="24"/>
          <w:szCs w:val="24"/>
        </w:rPr>
      </w:pPr>
    </w:p>
    <w:p w14:paraId="1F900C18" w14:textId="77777777" w:rsidR="00174802" w:rsidRDefault="00174802" w:rsidP="00AD545A">
      <w:pPr>
        <w:pStyle w:val="Heading3"/>
        <w:spacing w:line="360" w:lineRule="auto"/>
        <w:rPr>
          <w:rFonts w:ascii="Times New Roman" w:hAnsi="Times New Roman"/>
          <w:i w:val="0"/>
          <w:color w:val="auto"/>
          <w:sz w:val="24"/>
        </w:rPr>
      </w:pPr>
      <w:r w:rsidRPr="00661465">
        <w:rPr>
          <w:rFonts w:ascii="Times New Roman" w:hAnsi="Times New Roman"/>
          <w:i w:val="0"/>
          <w:color w:val="auto"/>
          <w:sz w:val="24"/>
        </w:rPr>
        <w:t>Programme 5:</w:t>
      </w:r>
      <w:r w:rsidRPr="00661465">
        <w:rPr>
          <w:rStyle w:val="FootnoteReference"/>
          <w:rFonts w:ascii="Times New Roman" w:hAnsi="Times New Roman"/>
          <w:b w:val="0"/>
          <w:bCs/>
          <w:i w:val="0"/>
          <w:color w:val="auto"/>
          <w:sz w:val="24"/>
        </w:rPr>
        <w:footnoteReference w:id="25"/>
      </w:r>
      <w:r w:rsidRPr="00661465">
        <w:rPr>
          <w:rFonts w:ascii="Times New Roman" w:hAnsi="Times New Roman"/>
          <w:i w:val="0"/>
          <w:color w:val="auto"/>
          <w:sz w:val="24"/>
        </w:rPr>
        <w:t xml:space="preserve"> Prestige Policy </w:t>
      </w:r>
    </w:p>
    <w:p w14:paraId="742CADBC" w14:textId="77777777" w:rsidR="001E5657" w:rsidRPr="001E5657" w:rsidRDefault="001E5657" w:rsidP="001E5657">
      <w:pPr>
        <w:rPr>
          <w:lang w:val="en-GB"/>
        </w:rPr>
      </w:pPr>
    </w:p>
    <w:p w14:paraId="71120E43" w14:textId="77777777" w:rsidR="00822083" w:rsidRPr="00661465" w:rsidRDefault="00174802" w:rsidP="00CC0781">
      <w:pPr>
        <w:pBdr>
          <w:top w:val="single" w:sz="2" w:space="1" w:color="auto"/>
          <w:left w:val="single" w:sz="2" w:space="4" w:color="auto"/>
          <w:bottom w:val="single" w:sz="2" w:space="1" w:color="auto"/>
          <w:right w:val="single" w:sz="2" w:space="4" w:color="auto"/>
        </w:pBdr>
        <w:spacing w:line="360" w:lineRule="auto"/>
        <w:jc w:val="both"/>
        <w:rPr>
          <w:rFonts w:ascii="Times New Roman" w:hAnsi="Times New Roman" w:cs="Times New Roman"/>
          <w:b/>
          <w:bCs/>
          <w:sz w:val="24"/>
          <w:szCs w:val="24"/>
        </w:rPr>
      </w:pPr>
      <w:r w:rsidRPr="00661465">
        <w:rPr>
          <w:rFonts w:ascii="Times New Roman" w:hAnsi="Times New Roman" w:cs="Times New Roman"/>
          <w:b/>
          <w:bCs/>
          <w:sz w:val="24"/>
          <w:szCs w:val="24"/>
        </w:rPr>
        <w:t>Programme 5 seeks to provide norms and standards for the Prestige Accommodation Portfolio and meeting the protocol responsibilities</w:t>
      </w:r>
    </w:p>
    <w:p w14:paraId="5CBA220A" w14:textId="77777777" w:rsidR="001B01EF" w:rsidRPr="00661465" w:rsidRDefault="001B01EF"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2019/20 targets include the improvement of service delivery services to Prestige Clients over the medium terms:</w:t>
      </w:r>
      <w:r w:rsidRPr="00661465">
        <w:rPr>
          <w:rStyle w:val="FootnoteReference"/>
          <w:rFonts w:ascii="Times New Roman" w:hAnsi="Times New Roman" w:cs="Times New Roman"/>
          <w:sz w:val="24"/>
          <w:szCs w:val="24"/>
        </w:rPr>
        <w:footnoteReference w:id="26"/>
      </w:r>
    </w:p>
    <w:p w14:paraId="6BB8C3A7" w14:textId="77777777" w:rsidR="001B01EF" w:rsidRPr="00661465" w:rsidRDefault="001B01EF" w:rsidP="00CC0781">
      <w:pPr>
        <w:numPr>
          <w:ilvl w:val="0"/>
          <w:numId w:val="12"/>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Develop and monitor </w:t>
      </w:r>
      <w:r w:rsidR="000F772B" w:rsidRPr="00661465">
        <w:rPr>
          <w:rFonts w:ascii="Times New Roman" w:hAnsi="Times New Roman" w:cs="Times New Roman"/>
          <w:sz w:val="24"/>
          <w:szCs w:val="24"/>
        </w:rPr>
        <w:t>six</w:t>
      </w:r>
      <w:r w:rsidRPr="00661465">
        <w:rPr>
          <w:rFonts w:ascii="Times New Roman" w:hAnsi="Times New Roman" w:cs="Times New Roman"/>
          <w:sz w:val="24"/>
          <w:szCs w:val="24"/>
        </w:rPr>
        <w:t xml:space="preserve"> Prestige Policies.</w:t>
      </w:r>
    </w:p>
    <w:p w14:paraId="2A36DEB2" w14:textId="77777777" w:rsidR="001B01EF" w:rsidRPr="00661465" w:rsidRDefault="001B01EF" w:rsidP="00CC0781">
      <w:pPr>
        <w:numPr>
          <w:ilvl w:val="0"/>
          <w:numId w:val="12"/>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Support 24 planned State events with movable structures.</w:t>
      </w:r>
    </w:p>
    <w:p w14:paraId="160A246A" w14:textId="77777777" w:rsidR="001B01EF" w:rsidRPr="00661465" w:rsidRDefault="001B01EF" w:rsidP="00CC0781">
      <w:pPr>
        <w:numPr>
          <w:ilvl w:val="0"/>
          <w:numId w:val="12"/>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Provide movable assets to Prestige clients within 60 working days.</w:t>
      </w:r>
    </w:p>
    <w:p w14:paraId="1E23B081" w14:textId="77777777" w:rsidR="001B01EF" w:rsidRPr="001E5657" w:rsidRDefault="000F772B" w:rsidP="00CC0781">
      <w:pPr>
        <w:numPr>
          <w:ilvl w:val="0"/>
          <w:numId w:val="12"/>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Approve two</w:t>
      </w:r>
      <w:r w:rsidR="001B01EF" w:rsidRPr="00661465">
        <w:rPr>
          <w:rFonts w:ascii="Times New Roman" w:hAnsi="Times New Roman" w:cs="Times New Roman"/>
          <w:sz w:val="24"/>
          <w:szCs w:val="24"/>
        </w:rPr>
        <w:t xml:space="preserve"> Prestige Policies.</w:t>
      </w:r>
      <w:r w:rsidR="001B01EF" w:rsidRPr="00661465">
        <w:rPr>
          <w:rStyle w:val="FootnoteReference"/>
          <w:rFonts w:ascii="Times New Roman" w:hAnsi="Times New Roman" w:cs="Times New Roman"/>
          <w:sz w:val="24"/>
          <w:szCs w:val="24"/>
        </w:rPr>
        <w:footnoteReference w:id="27"/>
      </w:r>
    </w:p>
    <w:p w14:paraId="5A370EF7" w14:textId="77777777" w:rsidR="001E5657" w:rsidRDefault="001E5657" w:rsidP="00CC0781">
      <w:pPr>
        <w:spacing w:line="360" w:lineRule="auto"/>
        <w:jc w:val="both"/>
        <w:rPr>
          <w:rFonts w:ascii="Times New Roman" w:hAnsi="Times New Roman" w:cs="Times New Roman"/>
          <w:sz w:val="24"/>
          <w:szCs w:val="24"/>
        </w:rPr>
      </w:pPr>
    </w:p>
    <w:p w14:paraId="0D460C39" w14:textId="77777777" w:rsidR="001B01EF" w:rsidRPr="00661465" w:rsidRDefault="001B01EF"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budget for Programme 5 equals R115.4 million in 2019/20 and</w:t>
      </w:r>
      <w:r w:rsidRPr="00661465">
        <w:rPr>
          <w:rFonts w:ascii="Times New Roman" w:hAnsi="Times New Roman" w:cs="Times New Roman"/>
          <w:bCs/>
          <w:sz w:val="24"/>
          <w:szCs w:val="24"/>
        </w:rPr>
        <w:t xml:space="preserve"> proportionally represents 1.5</w:t>
      </w:r>
      <w:r w:rsidRPr="00661465">
        <w:rPr>
          <w:rFonts w:ascii="Times New Roman" w:hAnsi="Times New Roman" w:cs="Times New Roman"/>
          <w:sz w:val="24"/>
          <w:szCs w:val="24"/>
        </w:rPr>
        <w:t xml:space="preserve">%, </w:t>
      </w:r>
      <w:r w:rsidRPr="00661465">
        <w:rPr>
          <w:rFonts w:ascii="Times New Roman" w:hAnsi="Times New Roman" w:cs="Times New Roman"/>
          <w:bCs/>
          <w:sz w:val="24"/>
          <w:szCs w:val="24"/>
        </w:rPr>
        <w:t>of the overall departmental budget. The allocation declines by R34.6 from the R150.0 million</w:t>
      </w:r>
      <w:r w:rsidRPr="00661465">
        <w:rPr>
          <w:rFonts w:ascii="Times New Roman" w:hAnsi="Times New Roman" w:cs="Times New Roman"/>
          <w:sz w:val="24"/>
          <w:szCs w:val="24"/>
        </w:rPr>
        <w:t xml:space="preserve"> in the previous year and represents a nominal of decrease of 23.1% and 26.9% in real terms.  </w:t>
      </w:r>
    </w:p>
    <w:p w14:paraId="534FAF29" w14:textId="77777777" w:rsidR="00496AE4" w:rsidRDefault="001B01EF" w:rsidP="001E5657">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A large portion of the budget is allocated to current payments, which amount to R91.4million. A total of R28.4 million is allocated towards compensation of employees. The transfer budget includes an allocation of R10.6 million to Departmental Agencies and Accounts (Parliamentary Villages Management Board); R200 000 to Households and R13.2 million to Payment for Capital Assets (Machinery and Equipment).</w:t>
      </w:r>
    </w:p>
    <w:p w14:paraId="32FFAA89" w14:textId="77777777" w:rsidR="005E1464" w:rsidRPr="00661465" w:rsidRDefault="005E1464" w:rsidP="00CC0781">
      <w:pPr>
        <w:spacing w:line="360" w:lineRule="auto"/>
        <w:ind w:left="360" w:hanging="360"/>
        <w:jc w:val="both"/>
        <w:rPr>
          <w:rFonts w:ascii="Times New Roman" w:hAnsi="Times New Roman" w:cs="Times New Roman"/>
          <w:b/>
          <w:sz w:val="24"/>
          <w:szCs w:val="24"/>
        </w:rPr>
      </w:pPr>
    </w:p>
    <w:p w14:paraId="153E202A" w14:textId="77777777" w:rsidR="00174802" w:rsidRPr="00661465" w:rsidRDefault="00174802" w:rsidP="00AD545A">
      <w:pPr>
        <w:rPr>
          <w:rFonts w:ascii="Times New Roman" w:hAnsi="Times New Roman" w:cs="Times New Roman"/>
          <w:b/>
          <w:sz w:val="24"/>
          <w:szCs w:val="24"/>
        </w:rPr>
      </w:pPr>
      <w:r w:rsidRPr="00661465">
        <w:rPr>
          <w:rFonts w:ascii="Times New Roman" w:hAnsi="Times New Roman" w:cs="Times New Roman"/>
          <w:b/>
          <w:sz w:val="24"/>
          <w:szCs w:val="24"/>
        </w:rPr>
        <w:t>The Property Management Trading Entity (PMTE)</w:t>
      </w:r>
    </w:p>
    <w:p w14:paraId="0B64AF4C" w14:textId="77777777" w:rsidR="00652A03" w:rsidRPr="00661465" w:rsidRDefault="00652A03" w:rsidP="00CC0781">
      <w:pPr>
        <w:spacing w:line="360" w:lineRule="auto"/>
        <w:jc w:val="both"/>
        <w:rPr>
          <w:rFonts w:ascii="Times New Roman" w:hAnsi="Times New Roman" w:cs="Times New Roman"/>
          <w:sz w:val="24"/>
          <w:szCs w:val="24"/>
        </w:rPr>
      </w:pPr>
    </w:p>
    <w:p w14:paraId="30A5A764" w14:textId="77777777" w:rsidR="00174802" w:rsidRPr="00661465" w:rsidRDefault="0017480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lastRenderedPageBreak/>
        <w:t>The DPW describes the purpose and functions of the PMTE as a government component that has been created “… to manage properties under the custodianship of the Department. In the prior years, the PMTE incurred all the expenses and collected the revenue for the properties (which was recognised by the Department) and not by the PMTE prior to the transfer of functions. The PMTE was operationalised in the 2015/16 financial year, and the Department transferred certain property management functions, (including the related assets, liabilities and staff), to the PMTE to align the expenses and revenue to the underlying assets.”</w:t>
      </w:r>
      <w:r w:rsidRPr="00661465">
        <w:rPr>
          <w:rStyle w:val="FootnoteReference"/>
          <w:rFonts w:ascii="Times New Roman" w:hAnsi="Times New Roman" w:cs="Times New Roman"/>
          <w:sz w:val="24"/>
          <w:szCs w:val="24"/>
        </w:rPr>
        <w:footnoteReference w:id="28"/>
      </w:r>
    </w:p>
    <w:p w14:paraId="5E136451" w14:textId="77777777" w:rsidR="00174802" w:rsidRPr="00661465" w:rsidRDefault="00AB72E1"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As mentioned in the introduction, the operationalisation of the PMTE in 2015 shifted the operational focus of the department to the PMTE. Its </w:t>
      </w:r>
      <w:r w:rsidR="00155F46" w:rsidRPr="00661465">
        <w:rPr>
          <w:rFonts w:ascii="Times New Roman" w:hAnsi="Times New Roman" w:cs="Times New Roman"/>
          <w:sz w:val="24"/>
          <w:szCs w:val="24"/>
        </w:rPr>
        <w:t>main f</w:t>
      </w:r>
      <w:r w:rsidRPr="00661465">
        <w:rPr>
          <w:rFonts w:ascii="Times New Roman" w:hAnsi="Times New Roman" w:cs="Times New Roman"/>
          <w:sz w:val="24"/>
          <w:szCs w:val="24"/>
        </w:rPr>
        <w:t>ocus</w:t>
      </w:r>
      <w:r w:rsidR="00174802" w:rsidRPr="00661465">
        <w:rPr>
          <w:rFonts w:ascii="Times New Roman" w:hAnsi="Times New Roman" w:cs="Times New Roman"/>
          <w:sz w:val="24"/>
          <w:szCs w:val="24"/>
        </w:rPr>
        <w:t xml:space="preserve"> is to execute all property ma</w:t>
      </w:r>
      <w:r w:rsidR="00C97249" w:rsidRPr="00661465">
        <w:rPr>
          <w:rFonts w:ascii="Times New Roman" w:hAnsi="Times New Roman" w:cs="Times New Roman"/>
          <w:sz w:val="24"/>
          <w:szCs w:val="24"/>
        </w:rPr>
        <w:t>nagement related functions for national g</w:t>
      </w:r>
      <w:r w:rsidR="00174802" w:rsidRPr="00661465">
        <w:rPr>
          <w:rFonts w:ascii="Times New Roman" w:hAnsi="Times New Roman" w:cs="Times New Roman"/>
          <w:sz w:val="24"/>
          <w:szCs w:val="24"/>
        </w:rPr>
        <w:t>overnment. The PMTE thus implements all public works related functions such as the maintenance of properties, and the payments of p</w:t>
      </w:r>
      <w:r w:rsidR="00155F46" w:rsidRPr="00661465">
        <w:rPr>
          <w:rFonts w:ascii="Times New Roman" w:hAnsi="Times New Roman" w:cs="Times New Roman"/>
          <w:sz w:val="24"/>
          <w:szCs w:val="24"/>
        </w:rPr>
        <w:t>roperty rates on behalf of the DPWI</w:t>
      </w:r>
      <w:r w:rsidR="00174802" w:rsidRPr="00661465">
        <w:rPr>
          <w:rFonts w:ascii="Times New Roman" w:hAnsi="Times New Roman" w:cs="Times New Roman"/>
          <w:sz w:val="24"/>
          <w:szCs w:val="24"/>
        </w:rPr>
        <w:t>. All accommodation-</w:t>
      </w:r>
      <w:r w:rsidR="00155F46" w:rsidRPr="00661465">
        <w:rPr>
          <w:rFonts w:ascii="Times New Roman" w:hAnsi="Times New Roman" w:cs="Times New Roman"/>
          <w:sz w:val="24"/>
          <w:szCs w:val="24"/>
        </w:rPr>
        <w:t>related costs were devolved to client d</w:t>
      </w:r>
      <w:r w:rsidR="00174802" w:rsidRPr="00661465">
        <w:rPr>
          <w:rFonts w:ascii="Times New Roman" w:hAnsi="Times New Roman" w:cs="Times New Roman"/>
          <w:sz w:val="24"/>
          <w:szCs w:val="24"/>
        </w:rPr>
        <w:t xml:space="preserve">epartments when the PMTE was operationalised. This means that the </w:t>
      </w:r>
      <w:r w:rsidR="00155F46" w:rsidRPr="00661465">
        <w:rPr>
          <w:rFonts w:ascii="Times New Roman" w:hAnsi="Times New Roman" w:cs="Times New Roman"/>
          <w:sz w:val="24"/>
          <w:szCs w:val="24"/>
        </w:rPr>
        <w:t>d</w:t>
      </w:r>
      <w:r w:rsidR="00174802" w:rsidRPr="00661465">
        <w:rPr>
          <w:rFonts w:ascii="Times New Roman" w:hAnsi="Times New Roman" w:cs="Times New Roman"/>
          <w:sz w:val="24"/>
          <w:szCs w:val="24"/>
        </w:rPr>
        <w:t>epartment issues invoices</w:t>
      </w:r>
      <w:r w:rsidR="00155F46" w:rsidRPr="00661465">
        <w:rPr>
          <w:rFonts w:ascii="Times New Roman" w:hAnsi="Times New Roman" w:cs="Times New Roman"/>
          <w:sz w:val="24"/>
          <w:szCs w:val="24"/>
        </w:rPr>
        <w:t xml:space="preserve"> and collect user charges from c</w:t>
      </w:r>
      <w:r w:rsidR="00174802" w:rsidRPr="00661465">
        <w:rPr>
          <w:rFonts w:ascii="Times New Roman" w:hAnsi="Times New Roman" w:cs="Times New Roman"/>
          <w:sz w:val="24"/>
          <w:szCs w:val="24"/>
        </w:rPr>
        <w:t xml:space="preserve">lients on a quarterly basis. </w:t>
      </w:r>
    </w:p>
    <w:p w14:paraId="28FC7216" w14:textId="77777777" w:rsidR="00174802" w:rsidRPr="00661465" w:rsidRDefault="0017480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In addition to collecting user charges, the PMTE is correctly placed to unlock the value of the large property portfolio of government that is contained in the immovable asset register (IAR). </w:t>
      </w:r>
      <w:r w:rsidR="0077205E" w:rsidRPr="00661465">
        <w:rPr>
          <w:rFonts w:ascii="Times New Roman" w:hAnsi="Times New Roman" w:cs="Times New Roman"/>
          <w:sz w:val="24"/>
          <w:szCs w:val="24"/>
        </w:rPr>
        <w:t>T</w:t>
      </w:r>
      <w:r w:rsidR="000831A2" w:rsidRPr="00661465">
        <w:rPr>
          <w:rFonts w:ascii="Times New Roman" w:hAnsi="Times New Roman" w:cs="Times New Roman"/>
          <w:sz w:val="24"/>
          <w:szCs w:val="24"/>
        </w:rPr>
        <w:t xml:space="preserve">he </w:t>
      </w:r>
      <w:r w:rsidR="00533E38" w:rsidRPr="00661465">
        <w:rPr>
          <w:rFonts w:ascii="Times New Roman" w:hAnsi="Times New Roman" w:cs="Times New Roman"/>
          <w:sz w:val="24"/>
          <w:szCs w:val="24"/>
        </w:rPr>
        <w:t xml:space="preserve">full </w:t>
      </w:r>
      <w:r w:rsidR="000831A2" w:rsidRPr="00661465">
        <w:rPr>
          <w:rFonts w:ascii="Times New Roman" w:hAnsi="Times New Roman" w:cs="Times New Roman"/>
          <w:sz w:val="24"/>
          <w:szCs w:val="24"/>
        </w:rPr>
        <w:t xml:space="preserve">operationalisation of the PMTE </w:t>
      </w:r>
      <w:r w:rsidR="0077205E" w:rsidRPr="00661465">
        <w:rPr>
          <w:rFonts w:ascii="Times New Roman" w:hAnsi="Times New Roman" w:cs="Times New Roman"/>
          <w:sz w:val="24"/>
          <w:szCs w:val="24"/>
        </w:rPr>
        <w:t>should lead to</w:t>
      </w:r>
      <w:r w:rsidR="000831A2" w:rsidRPr="00661465">
        <w:rPr>
          <w:rFonts w:ascii="Times New Roman" w:hAnsi="Times New Roman" w:cs="Times New Roman"/>
          <w:sz w:val="24"/>
          <w:szCs w:val="24"/>
        </w:rPr>
        <w:t xml:space="preserve"> full cost recovery through the application of business principles in the management of government’s property portfolio.</w:t>
      </w:r>
      <w:r w:rsidR="0077205E" w:rsidRPr="00661465">
        <w:rPr>
          <w:rFonts w:ascii="Times New Roman" w:hAnsi="Times New Roman" w:cs="Times New Roman"/>
          <w:sz w:val="24"/>
          <w:szCs w:val="24"/>
        </w:rPr>
        <w:t xml:space="preserve"> </w:t>
      </w:r>
      <w:r w:rsidRPr="00661465">
        <w:rPr>
          <w:rFonts w:ascii="Times New Roman" w:hAnsi="Times New Roman" w:cs="Times New Roman"/>
          <w:sz w:val="24"/>
          <w:szCs w:val="24"/>
        </w:rPr>
        <w:t>Together with the collection of user charges the PMTE should generate funds with which government could undertake maintenance as well as other crucial tasks in the public works sector. This remains a challenge that the DPW and PMTE is working to put into action in the medium to long term.</w:t>
      </w:r>
    </w:p>
    <w:p w14:paraId="77B176BA" w14:textId="77777777" w:rsidR="00174802" w:rsidRPr="00661465" w:rsidRDefault="0017480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In its meetings with the PMTE</w:t>
      </w:r>
      <w:r w:rsidR="00AA3EFB" w:rsidRPr="00661465">
        <w:rPr>
          <w:rFonts w:ascii="Times New Roman" w:hAnsi="Times New Roman" w:cs="Times New Roman"/>
          <w:sz w:val="24"/>
          <w:szCs w:val="24"/>
        </w:rPr>
        <w:t xml:space="preserve"> during the 2014-2019 MTSF period</w:t>
      </w:r>
      <w:r w:rsidR="00861FC7" w:rsidRPr="00661465">
        <w:rPr>
          <w:rFonts w:ascii="Times New Roman" w:hAnsi="Times New Roman" w:cs="Times New Roman"/>
          <w:sz w:val="24"/>
          <w:szCs w:val="24"/>
        </w:rPr>
        <w:t>, the c</w:t>
      </w:r>
      <w:r w:rsidRPr="00661465">
        <w:rPr>
          <w:rFonts w:ascii="Times New Roman" w:hAnsi="Times New Roman" w:cs="Times New Roman"/>
          <w:sz w:val="24"/>
          <w:szCs w:val="24"/>
        </w:rPr>
        <w:t xml:space="preserve">ommittee found that it did not work efficiently as it lacked the relevantly qualified and experienced property specialists. The </w:t>
      </w:r>
      <w:r w:rsidR="00427C86" w:rsidRPr="00661465">
        <w:rPr>
          <w:rFonts w:ascii="Times New Roman" w:hAnsi="Times New Roman" w:cs="Times New Roman"/>
          <w:sz w:val="24"/>
          <w:szCs w:val="24"/>
        </w:rPr>
        <w:t>DPWI</w:t>
      </w:r>
      <w:r w:rsidRPr="00661465">
        <w:rPr>
          <w:rFonts w:ascii="Times New Roman" w:hAnsi="Times New Roman" w:cs="Times New Roman"/>
          <w:sz w:val="24"/>
          <w:szCs w:val="24"/>
        </w:rPr>
        <w:t xml:space="preserve"> indicated to the </w:t>
      </w:r>
      <w:r w:rsidR="00427C86" w:rsidRPr="00661465">
        <w:rPr>
          <w:rFonts w:ascii="Times New Roman" w:hAnsi="Times New Roman" w:cs="Times New Roman"/>
          <w:sz w:val="24"/>
          <w:szCs w:val="24"/>
        </w:rPr>
        <w:t>committee</w:t>
      </w:r>
      <w:r w:rsidRPr="00661465">
        <w:rPr>
          <w:rFonts w:ascii="Times New Roman" w:hAnsi="Times New Roman" w:cs="Times New Roman"/>
          <w:sz w:val="24"/>
          <w:szCs w:val="24"/>
        </w:rPr>
        <w:t xml:space="preserve"> that some of the vacancies required by the PMTE included property economists, property managers, specialist chartered accountants, property lawyers, and property valuators. The DPW reported that these positions were being filled.</w:t>
      </w:r>
      <w:r w:rsidRPr="00661465">
        <w:rPr>
          <w:rStyle w:val="FootnoteReference"/>
          <w:rFonts w:ascii="Times New Roman" w:hAnsi="Times New Roman" w:cs="Times New Roman"/>
          <w:sz w:val="24"/>
          <w:szCs w:val="24"/>
        </w:rPr>
        <w:footnoteReference w:id="29"/>
      </w:r>
      <w:r w:rsidRPr="00661465">
        <w:rPr>
          <w:rFonts w:ascii="Times New Roman" w:hAnsi="Times New Roman" w:cs="Times New Roman"/>
          <w:sz w:val="24"/>
          <w:szCs w:val="24"/>
        </w:rPr>
        <w:t xml:space="preserve"> Unfortunately, these specialist skills make it a very competitive terrain meaning that properly qualified and experienced personnel easily move from the PMTE to private property companies. The challenge is to fill and keep such personnel in positions in the PMTE. Failure </w:t>
      </w:r>
      <w:r w:rsidRPr="00661465">
        <w:rPr>
          <w:rFonts w:ascii="Times New Roman" w:hAnsi="Times New Roman" w:cs="Times New Roman"/>
          <w:sz w:val="24"/>
          <w:szCs w:val="24"/>
        </w:rPr>
        <w:lastRenderedPageBreak/>
        <w:t xml:space="preserve">to do this, means that the DPW and PMTE continue to operate at a disadvantage, particularly when signing lease agreements with landlords from the private sector. </w:t>
      </w:r>
    </w:p>
    <w:p w14:paraId="6E24BB5F" w14:textId="77777777" w:rsidR="00174802" w:rsidRPr="00661465" w:rsidRDefault="006070C5"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Programme 2, </w:t>
      </w:r>
      <w:r w:rsidRPr="00661465">
        <w:rPr>
          <w:rStyle w:val="Heading2Char"/>
          <w:rFonts w:ascii="Times New Roman" w:eastAsia="Calibri" w:hAnsi="Times New Roman" w:cs="Times New Roman"/>
          <w:color w:val="000000" w:themeColor="text1"/>
          <w:sz w:val="24"/>
          <w:szCs w:val="24"/>
        </w:rPr>
        <w:t xml:space="preserve">Real Estate Investment Services (REIS), </w:t>
      </w:r>
      <w:r w:rsidRPr="00661465">
        <w:rPr>
          <w:rFonts w:ascii="Times New Roman" w:hAnsi="Times New Roman" w:cs="Times New Roman"/>
          <w:sz w:val="24"/>
          <w:szCs w:val="24"/>
        </w:rPr>
        <w:t xml:space="preserve">of the </w:t>
      </w:r>
      <w:r w:rsidR="00174802" w:rsidRPr="00661465">
        <w:rPr>
          <w:rFonts w:ascii="Times New Roman" w:hAnsi="Times New Roman" w:cs="Times New Roman"/>
          <w:sz w:val="24"/>
          <w:szCs w:val="24"/>
        </w:rPr>
        <w:t xml:space="preserve">PMTE </w:t>
      </w:r>
      <w:r w:rsidRPr="00661465">
        <w:rPr>
          <w:rFonts w:ascii="Times New Roman" w:hAnsi="Times New Roman" w:cs="Times New Roman"/>
          <w:sz w:val="24"/>
          <w:szCs w:val="24"/>
        </w:rPr>
        <w:t xml:space="preserve">focuses on </w:t>
      </w:r>
      <w:r w:rsidRPr="00661465">
        <w:rPr>
          <w:rFonts w:ascii="Times New Roman" w:hAnsi="Times New Roman" w:cs="Times New Roman"/>
          <w:color w:val="000000" w:themeColor="text1"/>
          <w:sz w:val="24"/>
          <w:szCs w:val="24"/>
        </w:rPr>
        <w:t>achieving an efficient and competitive Real Estate Portfolio for the State. It states that it does this through effective planning, analysis and informed investments. Understandably, it is only four years since the PMTE has been operationalised. The programme thus</w:t>
      </w:r>
      <w:r w:rsidRPr="00661465">
        <w:rPr>
          <w:rFonts w:ascii="Times New Roman" w:hAnsi="Times New Roman" w:cs="Times New Roman"/>
          <w:sz w:val="24"/>
          <w:szCs w:val="24"/>
        </w:rPr>
        <w:t xml:space="preserve"> </w:t>
      </w:r>
      <w:r w:rsidR="00174802" w:rsidRPr="00661465">
        <w:rPr>
          <w:rFonts w:ascii="Times New Roman" w:hAnsi="Times New Roman" w:cs="Times New Roman"/>
          <w:sz w:val="24"/>
          <w:szCs w:val="24"/>
        </w:rPr>
        <w:t xml:space="preserve">struggles to have an authoritative grasp of the value that is contained in the IAR and struggles to invest the property portfolio in manners that benefit the state and its beneficiaries. </w:t>
      </w:r>
      <w:r w:rsidR="009F4E08" w:rsidRPr="00661465">
        <w:rPr>
          <w:rFonts w:ascii="Times New Roman" w:hAnsi="Times New Roman" w:cs="Times New Roman"/>
          <w:sz w:val="24"/>
          <w:szCs w:val="24"/>
        </w:rPr>
        <w:t>It has thus far not been able to unlock the value that sits within government’</w:t>
      </w:r>
      <w:r w:rsidR="00546286" w:rsidRPr="00661465">
        <w:rPr>
          <w:rFonts w:ascii="Times New Roman" w:hAnsi="Times New Roman" w:cs="Times New Roman"/>
          <w:sz w:val="24"/>
          <w:szCs w:val="24"/>
        </w:rPr>
        <w:t>s immovable asset port</w:t>
      </w:r>
      <w:r w:rsidR="009F4E08" w:rsidRPr="00661465">
        <w:rPr>
          <w:rFonts w:ascii="Times New Roman" w:hAnsi="Times New Roman" w:cs="Times New Roman"/>
          <w:sz w:val="24"/>
          <w:szCs w:val="24"/>
        </w:rPr>
        <w:t xml:space="preserve">folio. </w:t>
      </w:r>
      <w:r w:rsidR="00174802" w:rsidRPr="00661465">
        <w:rPr>
          <w:rFonts w:ascii="Times New Roman" w:hAnsi="Times New Roman" w:cs="Times New Roman"/>
          <w:sz w:val="24"/>
          <w:szCs w:val="24"/>
        </w:rPr>
        <w:t>Measurement of the state property portfolio remains incomplete and in progress. The</w:t>
      </w:r>
      <w:r w:rsidR="00B900CA" w:rsidRPr="00661465">
        <w:rPr>
          <w:rFonts w:ascii="Times New Roman" w:hAnsi="Times New Roman" w:cs="Times New Roman"/>
          <w:sz w:val="24"/>
          <w:szCs w:val="24"/>
        </w:rPr>
        <w:t xml:space="preserve"> property</w:t>
      </w:r>
      <w:r w:rsidR="00174802" w:rsidRPr="00661465">
        <w:rPr>
          <w:rFonts w:ascii="Times New Roman" w:hAnsi="Times New Roman" w:cs="Times New Roman"/>
          <w:sz w:val="24"/>
          <w:szCs w:val="24"/>
        </w:rPr>
        <w:t xml:space="preserve"> values </w:t>
      </w:r>
      <w:r w:rsidR="00B900CA" w:rsidRPr="00661465">
        <w:rPr>
          <w:rFonts w:ascii="Times New Roman" w:hAnsi="Times New Roman" w:cs="Times New Roman"/>
          <w:sz w:val="24"/>
          <w:szCs w:val="24"/>
        </w:rPr>
        <w:t xml:space="preserve">needs to </w:t>
      </w:r>
      <w:r w:rsidR="00174802" w:rsidRPr="00661465">
        <w:rPr>
          <w:rFonts w:ascii="Times New Roman" w:hAnsi="Times New Roman" w:cs="Times New Roman"/>
          <w:sz w:val="24"/>
          <w:szCs w:val="24"/>
        </w:rPr>
        <w:t>be updated to comply with the Generally Recogni</w:t>
      </w:r>
      <w:r w:rsidR="00120146">
        <w:rPr>
          <w:rFonts w:ascii="Times New Roman" w:hAnsi="Times New Roman" w:cs="Times New Roman"/>
          <w:sz w:val="24"/>
          <w:szCs w:val="24"/>
        </w:rPr>
        <w:t>sed Accounting Practice (GRAP) r</w:t>
      </w:r>
      <w:r w:rsidR="00174802" w:rsidRPr="00661465">
        <w:rPr>
          <w:rFonts w:ascii="Times New Roman" w:hAnsi="Times New Roman" w:cs="Times New Roman"/>
          <w:sz w:val="24"/>
          <w:szCs w:val="24"/>
        </w:rPr>
        <w:t>equirements.</w:t>
      </w:r>
      <w:r w:rsidR="00174802" w:rsidRPr="00661465">
        <w:rPr>
          <w:rStyle w:val="FootnoteReference"/>
          <w:rFonts w:ascii="Times New Roman" w:hAnsi="Times New Roman" w:cs="Times New Roman"/>
          <w:sz w:val="24"/>
          <w:szCs w:val="24"/>
        </w:rPr>
        <w:footnoteReference w:id="30"/>
      </w:r>
      <w:r w:rsidR="00174802" w:rsidRPr="00661465">
        <w:rPr>
          <w:rFonts w:ascii="Times New Roman" w:hAnsi="Times New Roman" w:cs="Times New Roman"/>
          <w:sz w:val="24"/>
          <w:szCs w:val="24"/>
        </w:rPr>
        <w:t xml:space="preserve"> </w:t>
      </w:r>
    </w:p>
    <w:p w14:paraId="12352AD1" w14:textId="77777777" w:rsidR="00174802" w:rsidRDefault="00174802" w:rsidP="00CC0781">
      <w:pPr>
        <w:spacing w:line="360" w:lineRule="auto"/>
        <w:jc w:val="both"/>
        <w:rPr>
          <w:rFonts w:ascii="Times New Roman" w:hAnsi="Times New Roman" w:cs="Times New Roman"/>
          <w:b/>
          <w:sz w:val="24"/>
          <w:szCs w:val="24"/>
        </w:rPr>
      </w:pPr>
    </w:p>
    <w:p w14:paraId="1CB85EC8" w14:textId="77777777" w:rsidR="001E5657" w:rsidRDefault="001E5657" w:rsidP="00CC0781">
      <w:pPr>
        <w:spacing w:line="360" w:lineRule="auto"/>
        <w:jc w:val="both"/>
        <w:rPr>
          <w:rFonts w:ascii="Times New Roman" w:hAnsi="Times New Roman" w:cs="Times New Roman"/>
          <w:b/>
          <w:sz w:val="24"/>
          <w:szCs w:val="24"/>
        </w:rPr>
      </w:pPr>
    </w:p>
    <w:p w14:paraId="6818E3BD" w14:textId="77777777" w:rsidR="001E5657" w:rsidRDefault="001E5657" w:rsidP="00CC0781">
      <w:pPr>
        <w:spacing w:line="360" w:lineRule="auto"/>
        <w:jc w:val="both"/>
        <w:rPr>
          <w:rFonts w:ascii="Times New Roman" w:hAnsi="Times New Roman" w:cs="Times New Roman"/>
          <w:b/>
          <w:sz w:val="24"/>
          <w:szCs w:val="24"/>
        </w:rPr>
      </w:pPr>
    </w:p>
    <w:p w14:paraId="1DE5B5A2" w14:textId="77777777" w:rsidR="001E5657" w:rsidRDefault="001E5657" w:rsidP="00CC0781">
      <w:pPr>
        <w:spacing w:line="360" w:lineRule="auto"/>
        <w:jc w:val="both"/>
        <w:rPr>
          <w:rFonts w:ascii="Times New Roman" w:hAnsi="Times New Roman" w:cs="Times New Roman"/>
          <w:b/>
          <w:sz w:val="24"/>
          <w:szCs w:val="24"/>
        </w:rPr>
      </w:pPr>
    </w:p>
    <w:p w14:paraId="1075D7E1" w14:textId="77777777" w:rsidR="001E5657" w:rsidRPr="00661465" w:rsidRDefault="001E5657" w:rsidP="00CC0781">
      <w:pPr>
        <w:spacing w:line="360" w:lineRule="auto"/>
        <w:jc w:val="both"/>
        <w:rPr>
          <w:rFonts w:ascii="Times New Roman" w:hAnsi="Times New Roman" w:cs="Times New Roman"/>
          <w:b/>
          <w:sz w:val="24"/>
          <w:szCs w:val="24"/>
        </w:rPr>
      </w:pPr>
    </w:p>
    <w:p w14:paraId="13E785EB" w14:textId="77777777" w:rsidR="00174802" w:rsidRPr="00661465" w:rsidRDefault="00174802"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The PMTE Budget</w:t>
      </w:r>
      <w:r w:rsidR="005A67EA" w:rsidRPr="00661465">
        <w:rPr>
          <w:rFonts w:ascii="Times New Roman" w:hAnsi="Times New Roman" w:cs="Times New Roman"/>
          <w:b/>
          <w:sz w:val="24"/>
          <w:szCs w:val="24"/>
        </w:rPr>
        <w:t>:</w:t>
      </w:r>
    </w:p>
    <w:p w14:paraId="34093E2C" w14:textId="77777777" w:rsidR="00CB2D02" w:rsidRPr="00661465" w:rsidRDefault="00CB2D02" w:rsidP="00CC0781">
      <w:pPr>
        <w:spacing w:line="240" w:lineRule="auto"/>
        <w:jc w:val="both"/>
        <w:rPr>
          <w:rFonts w:ascii="Times New Roman" w:hAnsi="Times New Roman" w:cs="Times New Roman"/>
          <w:sz w:val="24"/>
          <w:szCs w:val="24"/>
        </w:rPr>
      </w:pPr>
      <w:r w:rsidRPr="00661465">
        <w:rPr>
          <w:rFonts w:ascii="Times New Roman" w:hAnsi="Times New Roman" w:cs="Times New Roman"/>
          <w:noProof/>
          <w:sz w:val="24"/>
          <w:szCs w:val="24"/>
          <w:lang w:eastAsia="en-ZA"/>
        </w:rPr>
        <w:drawing>
          <wp:inline distT="0" distB="0" distL="0" distR="0" wp14:anchorId="33CD1BE4" wp14:editId="5EB3D2C4">
            <wp:extent cx="5727700" cy="20116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758" cy="2014510"/>
                    </a:xfrm>
                    <a:prstGeom prst="rect">
                      <a:avLst/>
                    </a:prstGeom>
                    <a:noFill/>
                    <a:ln>
                      <a:noFill/>
                    </a:ln>
                  </pic:spPr>
                </pic:pic>
              </a:graphicData>
            </a:graphic>
          </wp:inline>
        </w:drawing>
      </w:r>
    </w:p>
    <w:p w14:paraId="61A2E17E" w14:textId="77777777" w:rsidR="005A67EA" w:rsidRPr="00661465" w:rsidRDefault="005A67EA" w:rsidP="00CC0781">
      <w:pPr>
        <w:spacing w:line="360" w:lineRule="auto"/>
        <w:jc w:val="both"/>
        <w:rPr>
          <w:rFonts w:ascii="Times New Roman" w:hAnsi="Times New Roman" w:cs="Times New Roman"/>
          <w:b/>
          <w:sz w:val="24"/>
          <w:szCs w:val="24"/>
        </w:rPr>
      </w:pPr>
    </w:p>
    <w:p w14:paraId="40B191DD" w14:textId="77777777" w:rsidR="001F5422" w:rsidRPr="00661465" w:rsidRDefault="001F542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lastRenderedPageBreak/>
        <w:t>The PMTE receives an allocation of R16.74 billion for the 2019/20 financial year, which is an increase of R1.58 billion. This constitutes a nominal increase of 10.5% (or 5.0% in real terms) from the revised appropriation of R15.16 billion in 2018/19.</w:t>
      </w:r>
    </w:p>
    <w:p w14:paraId="7735A51F" w14:textId="77777777" w:rsidR="004057DB" w:rsidRPr="00661465" w:rsidRDefault="004057DB"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In terms of economic classification, the PMTE budget includes revenue with a total monetary value of R18.1 billion, an increase of R1.7 billion from the R16.5 billion adjusted allocation in 2018/19.</w:t>
      </w:r>
      <w:r w:rsidRPr="00661465">
        <w:rPr>
          <w:rStyle w:val="FootnoteReference"/>
          <w:rFonts w:ascii="Times New Roman" w:hAnsi="Times New Roman" w:cs="Times New Roman"/>
          <w:sz w:val="24"/>
          <w:szCs w:val="24"/>
        </w:rPr>
        <w:footnoteReference w:id="31"/>
      </w:r>
      <w:r w:rsidRPr="00661465">
        <w:rPr>
          <w:rFonts w:ascii="Times New Roman" w:hAnsi="Times New Roman" w:cs="Times New Roman"/>
          <w:sz w:val="24"/>
          <w:szCs w:val="24"/>
        </w:rPr>
        <w:t xml:space="preserve"> </w:t>
      </w:r>
    </w:p>
    <w:p w14:paraId="600C8E4C" w14:textId="77777777" w:rsidR="004057DB" w:rsidRPr="00661465" w:rsidRDefault="004057DB" w:rsidP="00CC0781">
      <w:pPr>
        <w:spacing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 xml:space="preserve">Compensation of employees increased by R457.9 million (from R1.59 billion in the 2018/19 adjusted period) to R2.05 billion in 2019/20. </w:t>
      </w:r>
    </w:p>
    <w:p w14:paraId="5CBBD326" w14:textId="77777777" w:rsidR="00652A03" w:rsidRPr="00661465" w:rsidRDefault="00652A03" w:rsidP="00652A03">
      <w:pPr>
        <w:rPr>
          <w:rStyle w:val="Heading2Char"/>
          <w:rFonts w:ascii="Times New Roman" w:eastAsia="Calibri" w:hAnsi="Times New Roman" w:cs="Times New Roman"/>
          <w:b/>
          <w:color w:val="000000" w:themeColor="text1"/>
          <w:sz w:val="24"/>
          <w:szCs w:val="24"/>
        </w:rPr>
      </w:pPr>
      <w:bookmarkStart w:id="2" w:name="_Toc12532362"/>
      <w:bookmarkStart w:id="3" w:name="_Toc476913440"/>
      <w:bookmarkStart w:id="4" w:name="_Toc506997448"/>
      <w:bookmarkStart w:id="5" w:name="_Toc511652601"/>
    </w:p>
    <w:p w14:paraId="2CA034F8" w14:textId="77777777" w:rsidR="00652A03" w:rsidRPr="00661465" w:rsidRDefault="00CE1B75" w:rsidP="001E5657">
      <w:pPr>
        <w:rPr>
          <w:rFonts w:ascii="Times New Roman" w:hAnsi="Times New Roman" w:cs="Times New Roman"/>
          <w:color w:val="000000" w:themeColor="text1"/>
          <w:sz w:val="24"/>
          <w:szCs w:val="24"/>
        </w:rPr>
      </w:pPr>
      <w:r w:rsidRPr="00661465">
        <w:rPr>
          <w:rStyle w:val="Heading2Char"/>
          <w:rFonts w:ascii="Times New Roman" w:eastAsia="Calibri" w:hAnsi="Times New Roman" w:cs="Times New Roman"/>
          <w:b/>
          <w:color w:val="000000" w:themeColor="text1"/>
          <w:sz w:val="24"/>
          <w:szCs w:val="24"/>
        </w:rPr>
        <w:t>Programme 1,</w:t>
      </w:r>
      <w:r w:rsidR="00A2151A" w:rsidRPr="00661465">
        <w:rPr>
          <w:rStyle w:val="Heading2Char"/>
          <w:rFonts w:ascii="Times New Roman" w:eastAsia="Calibri" w:hAnsi="Times New Roman" w:cs="Times New Roman"/>
          <w:b/>
          <w:color w:val="000000" w:themeColor="text1"/>
          <w:sz w:val="24"/>
          <w:szCs w:val="24"/>
        </w:rPr>
        <w:t xml:space="preserve"> Administration</w:t>
      </w:r>
      <w:bookmarkEnd w:id="2"/>
      <w:r w:rsidR="00A2151A" w:rsidRPr="00661465">
        <w:rPr>
          <w:rFonts w:ascii="Times New Roman" w:hAnsi="Times New Roman" w:cs="Times New Roman"/>
          <w:b/>
          <w:color w:val="000000" w:themeColor="text1"/>
          <w:sz w:val="24"/>
          <w:szCs w:val="24"/>
        </w:rPr>
        <w:t>:</w:t>
      </w:r>
    </w:p>
    <w:p w14:paraId="191CD19B" w14:textId="77777777" w:rsidR="00A2151A" w:rsidRPr="00661465" w:rsidRDefault="00A2151A" w:rsidP="00CC0781">
      <w:pPr>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This programme provides strategic management, governance and administrative support to the PMTE.</w:t>
      </w:r>
      <w:bookmarkEnd w:id="3"/>
      <w:bookmarkEnd w:id="4"/>
      <w:bookmarkEnd w:id="5"/>
    </w:p>
    <w:p w14:paraId="01A1F40A" w14:textId="77777777" w:rsidR="004057DB" w:rsidRPr="00661465" w:rsidRDefault="00A2151A"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 No targets have been reported on</w:t>
      </w:r>
      <w:r w:rsidR="004838B6" w:rsidRPr="00661465">
        <w:rPr>
          <w:rFonts w:ascii="Times New Roman" w:hAnsi="Times New Roman" w:cs="Times New Roman"/>
          <w:sz w:val="24"/>
          <w:szCs w:val="24"/>
        </w:rPr>
        <w:t xml:space="preserve">. </w:t>
      </w:r>
      <w:r w:rsidRPr="00661465">
        <w:rPr>
          <w:rFonts w:ascii="Times New Roman" w:hAnsi="Times New Roman" w:cs="Times New Roman"/>
          <w:sz w:val="24"/>
          <w:szCs w:val="24"/>
        </w:rPr>
        <w:t xml:space="preserve"> </w:t>
      </w:r>
    </w:p>
    <w:p w14:paraId="3D1BD71C" w14:textId="77777777" w:rsidR="002C5F41" w:rsidRPr="00661465" w:rsidRDefault="002C5F41" w:rsidP="001E5657">
      <w:pPr>
        <w:spacing w:after="0"/>
        <w:jc w:val="both"/>
        <w:rPr>
          <w:rFonts w:ascii="Times New Roman" w:hAnsi="Times New Roman" w:cs="Times New Roman"/>
          <w:b/>
          <w:sz w:val="24"/>
          <w:szCs w:val="24"/>
        </w:rPr>
      </w:pPr>
    </w:p>
    <w:p w14:paraId="70181ED8" w14:textId="77777777" w:rsidR="005536E3" w:rsidRPr="00661465" w:rsidRDefault="00B51279"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Programme 2</w:t>
      </w:r>
      <w:r w:rsidR="00CE1B75" w:rsidRPr="00661465">
        <w:rPr>
          <w:rFonts w:ascii="Times New Roman" w:hAnsi="Times New Roman" w:cs="Times New Roman"/>
          <w:b/>
          <w:sz w:val="24"/>
          <w:szCs w:val="24"/>
        </w:rPr>
        <w:t>,</w:t>
      </w:r>
      <w:r w:rsidRPr="00661465">
        <w:rPr>
          <w:rFonts w:ascii="Times New Roman" w:hAnsi="Times New Roman" w:cs="Times New Roman"/>
          <w:b/>
          <w:sz w:val="24"/>
          <w:szCs w:val="24"/>
        </w:rPr>
        <w:t xml:space="preserve"> </w:t>
      </w:r>
      <w:r w:rsidR="00097348" w:rsidRPr="00661465">
        <w:rPr>
          <w:rStyle w:val="Heading2Char"/>
          <w:rFonts w:ascii="Times New Roman" w:eastAsia="Calibri" w:hAnsi="Times New Roman" w:cs="Times New Roman"/>
          <w:b/>
          <w:color w:val="000000" w:themeColor="text1"/>
          <w:sz w:val="24"/>
          <w:szCs w:val="24"/>
        </w:rPr>
        <w:t>Real Estate Investment Services</w:t>
      </w:r>
      <w:r w:rsidR="00DD2A8C" w:rsidRPr="00661465">
        <w:rPr>
          <w:rStyle w:val="Heading2Char"/>
          <w:rFonts w:ascii="Times New Roman" w:eastAsia="Calibri" w:hAnsi="Times New Roman" w:cs="Times New Roman"/>
          <w:b/>
          <w:color w:val="000000" w:themeColor="text1"/>
          <w:sz w:val="24"/>
          <w:szCs w:val="24"/>
        </w:rPr>
        <w:t xml:space="preserve"> (REIS):</w:t>
      </w:r>
    </w:p>
    <w:p w14:paraId="68642952" w14:textId="77777777" w:rsidR="00654B85" w:rsidRPr="00661465" w:rsidRDefault="00654B85"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sz w:val="24"/>
          <w:szCs w:val="24"/>
        </w:rPr>
        <w:t xml:space="preserve">This programme works </w:t>
      </w:r>
      <w:r w:rsidRPr="00661465">
        <w:rPr>
          <w:rFonts w:ascii="Times New Roman" w:hAnsi="Times New Roman" w:cs="Times New Roman"/>
          <w:color w:val="000000" w:themeColor="text1"/>
          <w:sz w:val="24"/>
          <w:szCs w:val="24"/>
        </w:rPr>
        <w:t>to achieve an efficient and competitive Real Estate Portfolio for the State through effective planning, analysis and informed investments.</w:t>
      </w:r>
    </w:p>
    <w:p w14:paraId="65921B82" w14:textId="77777777" w:rsidR="00240CAE" w:rsidRPr="00661465" w:rsidRDefault="00240016"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R212.4 million were allocated which is an increase of R81.6 million. This constitutes a nominal increase of 62.4% (or 54.4% in real terms) from the revised appropriation of R130.8 million in 2018/19.</w:t>
      </w:r>
      <w:r w:rsidRPr="00661465">
        <w:rPr>
          <w:rStyle w:val="FootnoteReference"/>
          <w:rFonts w:ascii="Times New Roman" w:hAnsi="Times New Roman" w:cs="Times New Roman"/>
          <w:color w:val="000000" w:themeColor="text1"/>
          <w:sz w:val="24"/>
          <w:szCs w:val="24"/>
        </w:rPr>
        <w:footnoteReference w:id="32"/>
      </w:r>
    </w:p>
    <w:p w14:paraId="31363992" w14:textId="77777777" w:rsidR="00C6522B" w:rsidRPr="00661465" w:rsidRDefault="00C6522B"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following targets are have been set for the 2019/20 financial year:</w:t>
      </w:r>
      <w:r w:rsidRPr="00661465">
        <w:rPr>
          <w:rStyle w:val="FootnoteReference"/>
          <w:rFonts w:ascii="Times New Roman" w:hAnsi="Times New Roman" w:cs="Times New Roman"/>
          <w:color w:val="000000" w:themeColor="text1"/>
          <w:sz w:val="24"/>
          <w:szCs w:val="24"/>
        </w:rPr>
        <w:footnoteReference w:id="33"/>
      </w:r>
    </w:p>
    <w:p w14:paraId="084B6CBC" w14:textId="77777777" w:rsidR="00C6522B" w:rsidRPr="00661465" w:rsidRDefault="00C6522B" w:rsidP="00CC0781">
      <w:pPr>
        <w:numPr>
          <w:ilvl w:val="0"/>
          <w:numId w:val="15"/>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Establish four sites for Inner City Precinct development.</w:t>
      </w:r>
    </w:p>
    <w:p w14:paraId="509721D7" w14:textId="77777777" w:rsidR="00C6522B" w:rsidRPr="00661465" w:rsidRDefault="00C6522B" w:rsidP="00CC0781">
      <w:pPr>
        <w:numPr>
          <w:ilvl w:val="0"/>
          <w:numId w:val="15"/>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Complete 90% valuations within scheduled timeframes.</w:t>
      </w:r>
    </w:p>
    <w:p w14:paraId="50FA2220" w14:textId="77777777" w:rsidR="00C6522B" w:rsidRPr="00661465" w:rsidRDefault="00C6522B" w:rsidP="00CC0781">
      <w:pPr>
        <w:numPr>
          <w:ilvl w:val="0"/>
          <w:numId w:val="15"/>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800 facilities assessed in terms of identified performance areas. </w:t>
      </w:r>
    </w:p>
    <w:p w14:paraId="26FC0A7B" w14:textId="77777777" w:rsidR="00240016" w:rsidRPr="00661465" w:rsidRDefault="00240016" w:rsidP="00CC0781">
      <w:pPr>
        <w:spacing w:line="360" w:lineRule="auto"/>
        <w:jc w:val="both"/>
        <w:rPr>
          <w:rFonts w:ascii="Times New Roman" w:hAnsi="Times New Roman" w:cs="Times New Roman"/>
          <w:color w:val="000000" w:themeColor="text1"/>
          <w:sz w:val="24"/>
          <w:szCs w:val="24"/>
        </w:rPr>
      </w:pPr>
    </w:p>
    <w:p w14:paraId="2E2AD6E5" w14:textId="77777777" w:rsidR="00652A03" w:rsidRPr="00661465" w:rsidRDefault="00CE1B75" w:rsidP="001E5657">
      <w:pPr>
        <w:jc w:val="both"/>
        <w:rPr>
          <w:rFonts w:ascii="Times New Roman" w:hAnsi="Times New Roman" w:cs="Times New Roman"/>
          <w:color w:val="000000" w:themeColor="text1"/>
          <w:sz w:val="24"/>
          <w:szCs w:val="24"/>
        </w:rPr>
      </w:pPr>
      <w:r w:rsidRPr="00661465">
        <w:rPr>
          <w:rFonts w:ascii="Times New Roman" w:hAnsi="Times New Roman" w:cs="Times New Roman"/>
          <w:b/>
          <w:sz w:val="24"/>
          <w:szCs w:val="24"/>
        </w:rPr>
        <w:t>Programme 3,</w:t>
      </w:r>
      <w:r w:rsidR="00097348" w:rsidRPr="00661465">
        <w:rPr>
          <w:rFonts w:ascii="Times New Roman" w:hAnsi="Times New Roman" w:cs="Times New Roman"/>
          <w:b/>
          <w:sz w:val="24"/>
          <w:szCs w:val="24"/>
        </w:rPr>
        <w:t xml:space="preserve"> </w:t>
      </w:r>
      <w:r w:rsidR="009E58C6" w:rsidRPr="00661465">
        <w:rPr>
          <w:rStyle w:val="Heading2Char"/>
          <w:rFonts w:ascii="Times New Roman" w:eastAsia="Calibri" w:hAnsi="Times New Roman" w:cs="Times New Roman"/>
          <w:b/>
          <w:color w:val="000000" w:themeColor="text1"/>
          <w:sz w:val="24"/>
          <w:szCs w:val="24"/>
        </w:rPr>
        <w:t>Construction Project Management</w:t>
      </w:r>
      <w:r w:rsidR="00B9679A" w:rsidRPr="00661465">
        <w:rPr>
          <w:rStyle w:val="Heading2Char"/>
          <w:rFonts w:ascii="Times New Roman" w:eastAsia="Calibri" w:hAnsi="Times New Roman" w:cs="Times New Roman"/>
          <w:b/>
          <w:color w:val="000000" w:themeColor="text1"/>
          <w:sz w:val="24"/>
          <w:szCs w:val="24"/>
        </w:rPr>
        <w:t xml:space="preserve"> (CPM)</w:t>
      </w:r>
      <w:r w:rsidR="009E58C6" w:rsidRPr="00661465">
        <w:rPr>
          <w:rFonts w:ascii="Times New Roman" w:hAnsi="Times New Roman" w:cs="Times New Roman"/>
          <w:b/>
          <w:color w:val="000000" w:themeColor="text1"/>
          <w:sz w:val="24"/>
          <w:szCs w:val="24"/>
        </w:rPr>
        <w:t xml:space="preserve">: </w:t>
      </w:r>
    </w:p>
    <w:p w14:paraId="3C82CA3C" w14:textId="77777777" w:rsidR="009E58C6" w:rsidRPr="00661465" w:rsidRDefault="009E58C6"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lastRenderedPageBreak/>
        <w:t>This programme focuses on providing effective and efficient delivery of accommodation needs for the Department of Public Works and User Departments through construction and other infrastructure improvement programmes.</w:t>
      </w:r>
    </w:p>
    <w:p w14:paraId="00953EBC" w14:textId="77777777" w:rsidR="009E58C6" w:rsidRPr="00661465" w:rsidRDefault="009E58C6" w:rsidP="00CC0781">
      <w:pPr>
        <w:shd w:val="clear" w:color="auto" w:fill="FFFFFF" w:themeFill="background1"/>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total allocation for Programme 3 equals R457.4 million for the 2019/20 financial year, which is an increase of R204.6 million. This constitutes a nominal increase of 80.9% (or 72.0% in real terms) from the revised appropriation of R252.8 million in 2018/19.</w:t>
      </w:r>
    </w:p>
    <w:p w14:paraId="78946B17" w14:textId="77777777" w:rsidR="009E58C6" w:rsidRPr="00661465" w:rsidRDefault="009E58C6"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following targets are reported for the 2019/20 financial year:</w:t>
      </w:r>
      <w:r w:rsidRPr="00661465">
        <w:rPr>
          <w:rStyle w:val="FootnoteReference"/>
          <w:rFonts w:ascii="Times New Roman" w:hAnsi="Times New Roman" w:cs="Times New Roman"/>
          <w:color w:val="000000" w:themeColor="text1"/>
          <w:sz w:val="24"/>
          <w:szCs w:val="24"/>
        </w:rPr>
        <w:footnoteReference w:id="34"/>
      </w:r>
    </w:p>
    <w:p w14:paraId="70DD456B" w14:textId="77777777" w:rsidR="009E58C6" w:rsidRPr="00661465" w:rsidRDefault="009E58C6" w:rsidP="00CC0781">
      <w:pPr>
        <w:numPr>
          <w:ilvl w:val="0"/>
          <w:numId w:val="16"/>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Complete 92 infrastructure projects within agreed construction period. </w:t>
      </w:r>
    </w:p>
    <w:p w14:paraId="73BD0D2F" w14:textId="77777777" w:rsidR="009E58C6" w:rsidRPr="00661465" w:rsidRDefault="009E58C6" w:rsidP="00CC0781">
      <w:pPr>
        <w:numPr>
          <w:ilvl w:val="0"/>
          <w:numId w:val="16"/>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Complete 92 infrastructure projects within agreed budget.</w:t>
      </w:r>
    </w:p>
    <w:p w14:paraId="36AFB2E5" w14:textId="77777777" w:rsidR="00A80D1C" w:rsidRPr="00661465" w:rsidRDefault="009E58C6" w:rsidP="00CC0781">
      <w:pPr>
        <w:numPr>
          <w:ilvl w:val="0"/>
          <w:numId w:val="16"/>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Create 8 200 EPWP work opportunities through construction projects.</w:t>
      </w:r>
    </w:p>
    <w:p w14:paraId="0D6EC78C" w14:textId="77777777" w:rsidR="000C4614" w:rsidRPr="00661465" w:rsidRDefault="009E58C6" w:rsidP="00CC0781">
      <w:pPr>
        <w:numPr>
          <w:ilvl w:val="0"/>
          <w:numId w:val="16"/>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Reduce infrastructure backlogs by 30%.</w:t>
      </w:r>
    </w:p>
    <w:p w14:paraId="6DE9FCDB" w14:textId="77777777" w:rsidR="001E5657" w:rsidRDefault="001E5657" w:rsidP="00CC0781">
      <w:pPr>
        <w:jc w:val="both"/>
        <w:rPr>
          <w:rFonts w:ascii="Times New Roman" w:hAnsi="Times New Roman" w:cs="Times New Roman"/>
          <w:b/>
          <w:sz w:val="24"/>
          <w:szCs w:val="24"/>
        </w:rPr>
      </w:pPr>
    </w:p>
    <w:p w14:paraId="449643D6" w14:textId="77777777" w:rsidR="00652A03" w:rsidRDefault="005536E3" w:rsidP="001E5657">
      <w:pPr>
        <w:jc w:val="both"/>
        <w:rPr>
          <w:rFonts w:ascii="Times New Roman" w:hAnsi="Times New Roman" w:cs="Times New Roman"/>
          <w:color w:val="000000" w:themeColor="text1"/>
          <w:sz w:val="24"/>
          <w:szCs w:val="24"/>
        </w:rPr>
      </w:pPr>
      <w:r w:rsidRPr="00661465">
        <w:rPr>
          <w:rFonts w:ascii="Times New Roman" w:hAnsi="Times New Roman" w:cs="Times New Roman"/>
          <w:b/>
          <w:sz w:val="24"/>
          <w:szCs w:val="24"/>
        </w:rPr>
        <w:t>Programme 4</w:t>
      </w:r>
      <w:r w:rsidR="00CE1B75" w:rsidRPr="00661465">
        <w:rPr>
          <w:rFonts w:ascii="Times New Roman" w:hAnsi="Times New Roman" w:cs="Times New Roman"/>
          <w:b/>
          <w:sz w:val="24"/>
          <w:szCs w:val="24"/>
        </w:rPr>
        <w:t>,</w:t>
      </w:r>
      <w:r w:rsidR="00542892" w:rsidRPr="00661465">
        <w:rPr>
          <w:rFonts w:ascii="Times New Roman" w:hAnsi="Times New Roman" w:cs="Times New Roman"/>
          <w:b/>
          <w:sz w:val="24"/>
          <w:szCs w:val="24"/>
        </w:rPr>
        <w:t xml:space="preserve"> </w:t>
      </w:r>
      <w:r w:rsidR="000F5E43" w:rsidRPr="00661465">
        <w:rPr>
          <w:rStyle w:val="Heading2Char"/>
          <w:rFonts w:ascii="Times New Roman" w:eastAsia="Calibri" w:hAnsi="Times New Roman" w:cs="Times New Roman"/>
          <w:b/>
          <w:color w:val="000000" w:themeColor="text1"/>
          <w:sz w:val="24"/>
          <w:szCs w:val="24"/>
        </w:rPr>
        <w:t>Real Estate Management Services</w:t>
      </w:r>
      <w:r w:rsidR="00B9679A" w:rsidRPr="00661465">
        <w:rPr>
          <w:rStyle w:val="Heading2Char"/>
          <w:rFonts w:ascii="Times New Roman" w:eastAsia="Calibri" w:hAnsi="Times New Roman" w:cs="Times New Roman"/>
          <w:b/>
          <w:color w:val="000000" w:themeColor="text1"/>
          <w:sz w:val="24"/>
          <w:szCs w:val="24"/>
        </w:rPr>
        <w:t xml:space="preserve"> (REMS)</w:t>
      </w:r>
      <w:r w:rsidR="000F5E43" w:rsidRPr="00661465">
        <w:rPr>
          <w:rFonts w:ascii="Times New Roman" w:hAnsi="Times New Roman" w:cs="Times New Roman"/>
          <w:b/>
          <w:color w:val="000000" w:themeColor="text1"/>
          <w:sz w:val="24"/>
          <w:szCs w:val="24"/>
        </w:rPr>
        <w:t xml:space="preserve">: </w:t>
      </w:r>
    </w:p>
    <w:p w14:paraId="53B54055" w14:textId="77777777" w:rsidR="001E5657" w:rsidRPr="00661465" w:rsidRDefault="001E5657" w:rsidP="001E5657">
      <w:pPr>
        <w:spacing w:after="0"/>
        <w:jc w:val="both"/>
        <w:rPr>
          <w:rFonts w:ascii="Times New Roman" w:hAnsi="Times New Roman" w:cs="Times New Roman"/>
          <w:color w:val="000000" w:themeColor="text1"/>
          <w:sz w:val="24"/>
          <w:szCs w:val="24"/>
        </w:rPr>
      </w:pPr>
    </w:p>
    <w:p w14:paraId="6B71E3AE" w14:textId="77777777" w:rsidR="000F5E43" w:rsidRPr="00661465" w:rsidRDefault="00B9679A"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This programme </w:t>
      </w:r>
      <w:r w:rsidR="000F5E43" w:rsidRPr="00661465">
        <w:rPr>
          <w:rFonts w:ascii="Times New Roman" w:hAnsi="Times New Roman" w:cs="Times New Roman"/>
          <w:color w:val="000000" w:themeColor="text1"/>
          <w:sz w:val="24"/>
          <w:szCs w:val="24"/>
        </w:rPr>
        <w:t xml:space="preserve">seeks to provide and manage </w:t>
      </w:r>
      <w:r w:rsidR="007144C7" w:rsidRPr="00661465">
        <w:rPr>
          <w:rFonts w:ascii="Times New Roman" w:hAnsi="Times New Roman" w:cs="Times New Roman"/>
          <w:color w:val="000000" w:themeColor="text1"/>
          <w:sz w:val="24"/>
          <w:szCs w:val="24"/>
        </w:rPr>
        <w:t>government’s r</w:t>
      </w:r>
      <w:r w:rsidR="000F5E43" w:rsidRPr="00661465">
        <w:rPr>
          <w:rFonts w:ascii="Times New Roman" w:hAnsi="Times New Roman" w:cs="Times New Roman"/>
          <w:color w:val="000000" w:themeColor="text1"/>
          <w:sz w:val="24"/>
          <w:szCs w:val="24"/>
        </w:rPr>
        <w:t xml:space="preserve">eal </w:t>
      </w:r>
      <w:r w:rsidR="007144C7" w:rsidRPr="00661465">
        <w:rPr>
          <w:rFonts w:ascii="Times New Roman" w:hAnsi="Times New Roman" w:cs="Times New Roman"/>
          <w:color w:val="000000" w:themeColor="text1"/>
          <w:sz w:val="24"/>
          <w:szCs w:val="24"/>
        </w:rPr>
        <w:t>estate p</w:t>
      </w:r>
      <w:r w:rsidR="00470AE2" w:rsidRPr="00661465">
        <w:rPr>
          <w:rFonts w:ascii="Times New Roman" w:hAnsi="Times New Roman" w:cs="Times New Roman"/>
          <w:color w:val="000000" w:themeColor="text1"/>
          <w:sz w:val="24"/>
          <w:szCs w:val="24"/>
        </w:rPr>
        <w:t xml:space="preserve">ortfolio in support of </w:t>
      </w:r>
      <w:r w:rsidR="00336673" w:rsidRPr="00661465">
        <w:rPr>
          <w:rFonts w:ascii="Times New Roman" w:hAnsi="Times New Roman" w:cs="Times New Roman"/>
          <w:color w:val="000000" w:themeColor="text1"/>
          <w:sz w:val="24"/>
          <w:szCs w:val="24"/>
        </w:rPr>
        <w:t>stated social</w:t>
      </w:r>
      <w:r w:rsidR="000F5E43" w:rsidRPr="00661465">
        <w:rPr>
          <w:rFonts w:ascii="Times New Roman" w:hAnsi="Times New Roman" w:cs="Times New Roman"/>
          <w:color w:val="000000" w:themeColor="text1"/>
          <w:sz w:val="24"/>
          <w:szCs w:val="24"/>
        </w:rPr>
        <w:t>, economic, and political objectives</w:t>
      </w:r>
      <w:r w:rsidR="00336673" w:rsidRPr="00661465">
        <w:rPr>
          <w:rFonts w:ascii="Times New Roman" w:hAnsi="Times New Roman" w:cs="Times New Roman"/>
          <w:color w:val="000000" w:themeColor="text1"/>
          <w:sz w:val="24"/>
          <w:szCs w:val="24"/>
        </w:rPr>
        <w:t xml:space="preserve"> that we stated in the first section of this report</w:t>
      </w:r>
      <w:r w:rsidR="000F5E43" w:rsidRPr="00661465">
        <w:rPr>
          <w:rFonts w:ascii="Times New Roman" w:hAnsi="Times New Roman" w:cs="Times New Roman"/>
          <w:color w:val="000000" w:themeColor="text1"/>
          <w:sz w:val="24"/>
          <w:szCs w:val="24"/>
        </w:rPr>
        <w:t xml:space="preserve">. </w:t>
      </w:r>
    </w:p>
    <w:p w14:paraId="0B386C25" w14:textId="77777777" w:rsidR="00470AE2" w:rsidRPr="00661465" w:rsidRDefault="00470AE2" w:rsidP="00CC0781">
      <w:pPr>
        <w:spacing w:line="360" w:lineRule="auto"/>
        <w:jc w:val="both"/>
        <w:rPr>
          <w:rFonts w:ascii="Times New Roman" w:hAnsi="Times New Roman" w:cs="Times New Roman"/>
          <w:color w:val="000000" w:themeColor="text1"/>
          <w:sz w:val="24"/>
          <w:szCs w:val="24"/>
        </w:rPr>
      </w:pPr>
      <w:r w:rsidRPr="00661465">
        <w:rPr>
          <w:rStyle w:val="Heading2Char"/>
          <w:rFonts w:ascii="Times New Roman" w:eastAsia="Calibri" w:hAnsi="Times New Roman" w:cs="Times New Roman"/>
          <w:color w:val="000000" w:themeColor="text1"/>
          <w:sz w:val="24"/>
          <w:szCs w:val="24"/>
        </w:rPr>
        <w:t>Real Estate Information and Registry Services</w:t>
      </w:r>
      <w:r w:rsidRPr="00661465">
        <w:rPr>
          <w:rFonts w:ascii="Times New Roman" w:hAnsi="Times New Roman" w:cs="Times New Roman"/>
          <w:color w:val="000000" w:themeColor="text1"/>
          <w:sz w:val="24"/>
          <w:szCs w:val="24"/>
        </w:rPr>
        <w:t xml:space="preserve"> </w:t>
      </w:r>
      <w:r w:rsidR="00CE1B75" w:rsidRPr="00661465">
        <w:rPr>
          <w:rFonts w:ascii="Times New Roman" w:hAnsi="Times New Roman" w:cs="Times New Roman"/>
          <w:color w:val="000000" w:themeColor="text1"/>
          <w:sz w:val="24"/>
          <w:szCs w:val="24"/>
        </w:rPr>
        <w:t xml:space="preserve">(REIRS) </w:t>
      </w:r>
      <w:r w:rsidRPr="00661465">
        <w:rPr>
          <w:rFonts w:ascii="Times New Roman" w:hAnsi="Times New Roman" w:cs="Times New Roman"/>
          <w:color w:val="000000" w:themeColor="text1"/>
          <w:sz w:val="24"/>
          <w:szCs w:val="24"/>
        </w:rPr>
        <w:t xml:space="preserve">seeks to develop and manage a complete, accurate and compliant Immovable Asset Register </w:t>
      </w:r>
      <w:r w:rsidR="00CE1B75" w:rsidRPr="00661465">
        <w:rPr>
          <w:rFonts w:ascii="Times New Roman" w:hAnsi="Times New Roman" w:cs="Times New Roman"/>
          <w:color w:val="000000" w:themeColor="text1"/>
          <w:sz w:val="24"/>
          <w:szCs w:val="24"/>
        </w:rPr>
        <w:t xml:space="preserve">(IAR) </w:t>
      </w:r>
      <w:r w:rsidRPr="00661465">
        <w:rPr>
          <w:rFonts w:ascii="Times New Roman" w:hAnsi="Times New Roman" w:cs="Times New Roman"/>
          <w:color w:val="000000" w:themeColor="text1"/>
          <w:sz w:val="24"/>
          <w:szCs w:val="24"/>
        </w:rPr>
        <w:t>to meet service delivery objectives for the State, Department and PMTE business requirements.</w:t>
      </w:r>
    </w:p>
    <w:p w14:paraId="0E998A81" w14:textId="77777777" w:rsidR="00470AE2" w:rsidRPr="00661465" w:rsidRDefault="00470AE2" w:rsidP="00CC0781">
      <w:pPr>
        <w:shd w:val="clear" w:color="auto" w:fill="FFFFFF" w:themeFill="background1"/>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The total allocation for Programme 5 equals R104.6 million for the 2019/20 financial year, which is an increase of R9.6 million. This constitutes a nominal increase of 10.1% (or 4.7% in real terms) from the adjusted appropriation of R95.0 million in 2018/19. </w:t>
      </w:r>
    </w:p>
    <w:p w14:paraId="33634025" w14:textId="77777777" w:rsidR="00470AE2" w:rsidRPr="00661465" w:rsidRDefault="00470AE2" w:rsidP="001E5657">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following target is reported for the 2019/20 financial year:</w:t>
      </w:r>
      <w:r w:rsidRPr="00661465">
        <w:rPr>
          <w:rStyle w:val="FootnoteReference"/>
          <w:rFonts w:ascii="Times New Roman" w:hAnsi="Times New Roman" w:cs="Times New Roman"/>
          <w:color w:val="000000" w:themeColor="text1"/>
          <w:sz w:val="24"/>
          <w:szCs w:val="24"/>
        </w:rPr>
        <w:footnoteReference w:id="35"/>
      </w:r>
    </w:p>
    <w:p w14:paraId="01A097A6" w14:textId="77777777" w:rsidR="00470AE2" w:rsidRPr="00661465" w:rsidRDefault="00CE1B75" w:rsidP="001E5657">
      <w:pPr>
        <w:numPr>
          <w:ilvl w:val="0"/>
          <w:numId w:val="17"/>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Assess nine</w:t>
      </w:r>
      <w:r w:rsidR="00470AE2" w:rsidRPr="00661465">
        <w:rPr>
          <w:rFonts w:ascii="Times New Roman" w:hAnsi="Times New Roman" w:cs="Times New Roman"/>
          <w:color w:val="000000" w:themeColor="text1"/>
          <w:sz w:val="24"/>
          <w:szCs w:val="24"/>
        </w:rPr>
        <w:t xml:space="preserve"> Provincial Immovable Asset Registers for compliance.</w:t>
      </w:r>
    </w:p>
    <w:p w14:paraId="08E6645E" w14:textId="77777777" w:rsidR="001E5657" w:rsidRDefault="001E5657" w:rsidP="001E5657">
      <w:pPr>
        <w:spacing w:line="240" w:lineRule="auto"/>
        <w:jc w:val="both"/>
        <w:rPr>
          <w:rFonts w:ascii="Times New Roman" w:hAnsi="Times New Roman" w:cs="Times New Roman"/>
          <w:color w:val="000000" w:themeColor="text1"/>
          <w:sz w:val="24"/>
          <w:szCs w:val="24"/>
        </w:rPr>
      </w:pPr>
    </w:p>
    <w:p w14:paraId="09A5324F" w14:textId="77777777" w:rsidR="000F5E43" w:rsidRPr="00661465" w:rsidRDefault="000F5E43" w:rsidP="001E5657">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following targets are reported for the 2019/20 financial year:</w:t>
      </w:r>
      <w:r w:rsidRPr="00661465">
        <w:rPr>
          <w:rStyle w:val="FootnoteReference"/>
          <w:rFonts w:ascii="Times New Roman" w:hAnsi="Times New Roman" w:cs="Times New Roman"/>
          <w:color w:val="000000" w:themeColor="text1"/>
          <w:sz w:val="24"/>
          <w:szCs w:val="24"/>
        </w:rPr>
        <w:footnoteReference w:id="36"/>
      </w:r>
    </w:p>
    <w:p w14:paraId="2187BC9B" w14:textId="77777777" w:rsidR="00503958" w:rsidRDefault="000F5E43" w:rsidP="00503958">
      <w:pPr>
        <w:numPr>
          <w:ilvl w:val="0"/>
          <w:numId w:val="17"/>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Reduce private leases within the Security Cluster by 13.</w:t>
      </w:r>
    </w:p>
    <w:p w14:paraId="6F5B5578" w14:textId="77777777" w:rsidR="005536E3" w:rsidRPr="00503958" w:rsidRDefault="000F5E43" w:rsidP="00503958">
      <w:pPr>
        <w:numPr>
          <w:ilvl w:val="0"/>
          <w:numId w:val="17"/>
        </w:numPr>
        <w:spacing w:after="0" w:line="360" w:lineRule="auto"/>
        <w:jc w:val="both"/>
        <w:rPr>
          <w:rFonts w:ascii="Times New Roman" w:hAnsi="Times New Roman" w:cs="Times New Roman"/>
          <w:color w:val="000000" w:themeColor="text1"/>
          <w:sz w:val="24"/>
          <w:szCs w:val="24"/>
        </w:rPr>
      </w:pPr>
      <w:r w:rsidRPr="00503958">
        <w:rPr>
          <w:rFonts w:ascii="Times New Roman" w:hAnsi="Times New Roman" w:cs="Times New Roman"/>
          <w:color w:val="000000" w:themeColor="text1"/>
          <w:sz w:val="24"/>
          <w:szCs w:val="24"/>
        </w:rPr>
        <w:lastRenderedPageBreak/>
        <w:t>Increase revenue generation by 15% through the letting of State-owned properties (excluding harbour-related properties).</w:t>
      </w:r>
    </w:p>
    <w:p w14:paraId="1DEAC5E8" w14:textId="77777777" w:rsidR="00FA45D6" w:rsidRPr="00661465" w:rsidRDefault="00FA45D6" w:rsidP="00CC0781">
      <w:pPr>
        <w:spacing w:line="360" w:lineRule="auto"/>
        <w:jc w:val="both"/>
        <w:rPr>
          <w:rFonts w:ascii="Times New Roman" w:hAnsi="Times New Roman" w:cs="Times New Roman"/>
          <w:b/>
          <w:sz w:val="24"/>
          <w:szCs w:val="24"/>
        </w:rPr>
      </w:pPr>
    </w:p>
    <w:p w14:paraId="52B72754" w14:textId="77777777" w:rsidR="005536E3" w:rsidRPr="00661465" w:rsidRDefault="00CE1B75"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Programme 5,</w:t>
      </w:r>
      <w:r w:rsidR="005536E3" w:rsidRPr="00661465">
        <w:rPr>
          <w:rFonts w:ascii="Times New Roman" w:hAnsi="Times New Roman" w:cs="Times New Roman"/>
          <w:b/>
          <w:sz w:val="24"/>
          <w:szCs w:val="24"/>
        </w:rPr>
        <w:t xml:space="preserve"> </w:t>
      </w:r>
      <w:r w:rsidRPr="00661465">
        <w:rPr>
          <w:rStyle w:val="Heading2Char"/>
          <w:rFonts w:ascii="Times New Roman" w:eastAsia="Calibri" w:hAnsi="Times New Roman" w:cs="Times New Roman"/>
          <w:b/>
          <w:color w:val="000000" w:themeColor="text1"/>
          <w:sz w:val="24"/>
          <w:szCs w:val="24"/>
        </w:rPr>
        <w:t>Facilities Management:</w:t>
      </w:r>
    </w:p>
    <w:p w14:paraId="576C9762" w14:textId="77777777" w:rsidR="00CE1B75" w:rsidRPr="00661465" w:rsidRDefault="002C5F41"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This programme </w:t>
      </w:r>
      <w:r w:rsidR="00CE1B75" w:rsidRPr="00661465">
        <w:rPr>
          <w:rFonts w:ascii="Times New Roman" w:hAnsi="Times New Roman" w:cs="Times New Roman"/>
          <w:color w:val="000000" w:themeColor="text1"/>
          <w:sz w:val="24"/>
          <w:szCs w:val="24"/>
        </w:rPr>
        <w:t>seeks to ensure that immovable assets used by Government Departments and the public, are optimally utilised and maintained in a safe, secure healthy and ergonomic environment while contributing to job creation, skills development and poverty alleviation.</w:t>
      </w:r>
    </w:p>
    <w:p w14:paraId="7BF86A95" w14:textId="77777777" w:rsidR="00CE1B75" w:rsidRPr="00661465" w:rsidRDefault="00CE1B75" w:rsidP="00CC0781">
      <w:pPr>
        <w:shd w:val="clear" w:color="auto" w:fill="FFFFFF" w:themeFill="background1"/>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 xml:space="preserve">The total allocation for Programme 6 equals R3.71 billion for the 2019/20 financial year, which is an increase of R496.4 million. This is an increase of 15.5% in nominal terms (or a decrease of 9.8% in real terms) from the revised appropriation of R3.21 billion in 2018/19. </w:t>
      </w:r>
    </w:p>
    <w:p w14:paraId="041DCA1F" w14:textId="77777777" w:rsidR="00CE1B75" w:rsidRPr="00661465" w:rsidRDefault="00CE1B75" w:rsidP="00CC0781">
      <w:pPr>
        <w:spacing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The following target is reported for the 2019/20 financial year:</w:t>
      </w:r>
      <w:r w:rsidRPr="00661465">
        <w:rPr>
          <w:rStyle w:val="FootnoteReference"/>
          <w:rFonts w:ascii="Times New Roman" w:hAnsi="Times New Roman" w:cs="Times New Roman"/>
          <w:color w:val="000000" w:themeColor="text1"/>
          <w:sz w:val="24"/>
          <w:szCs w:val="24"/>
        </w:rPr>
        <w:footnoteReference w:id="37"/>
      </w:r>
    </w:p>
    <w:p w14:paraId="05DFC1A2" w14:textId="77777777" w:rsidR="00CE1B75" w:rsidRPr="00661465" w:rsidRDefault="00CE1B75" w:rsidP="00CC0781">
      <w:pPr>
        <w:numPr>
          <w:ilvl w:val="0"/>
          <w:numId w:val="18"/>
        </w:numPr>
        <w:spacing w:after="0" w:line="360" w:lineRule="auto"/>
        <w:jc w:val="both"/>
        <w:rPr>
          <w:rFonts w:ascii="Times New Roman" w:hAnsi="Times New Roman" w:cs="Times New Roman"/>
          <w:color w:val="000000" w:themeColor="text1"/>
          <w:sz w:val="24"/>
          <w:szCs w:val="24"/>
        </w:rPr>
      </w:pPr>
      <w:r w:rsidRPr="00661465">
        <w:rPr>
          <w:rFonts w:ascii="Times New Roman" w:hAnsi="Times New Roman" w:cs="Times New Roman"/>
          <w:color w:val="000000" w:themeColor="text1"/>
          <w:sz w:val="24"/>
          <w:szCs w:val="24"/>
        </w:rPr>
        <w:t>550 facilities prioritised with facilities management in place.</w:t>
      </w:r>
    </w:p>
    <w:p w14:paraId="74142A6E" w14:textId="77777777" w:rsidR="0066579C" w:rsidRDefault="0066579C" w:rsidP="00CC0781">
      <w:pPr>
        <w:spacing w:line="360" w:lineRule="auto"/>
        <w:jc w:val="both"/>
        <w:rPr>
          <w:rFonts w:ascii="Times New Roman" w:hAnsi="Times New Roman" w:cs="Times New Roman"/>
          <w:b/>
          <w:spacing w:val="6"/>
          <w:sz w:val="24"/>
          <w:szCs w:val="24"/>
          <w:lang w:val="en-GB" w:eastAsia="en-GB"/>
        </w:rPr>
      </w:pPr>
    </w:p>
    <w:p w14:paraId="44ACC236" w14:textId="77777777" w:rsidR="00D76E07" w:rsidRPr="00D76E07" w:rsidRDefault="00D76E07" w:rsidP="00D76E07">
      <w:pPr>
        <w:rPr>
          <w:rFonts w:ascii="Times New Roman" w:hAnsi="Times New Roman" w:cs="Times New Roman"/>
          <w:b/>
          <w:sz w:val="24"/>
          <w:szCs w:val="24"/>
        </w:rPr>
      </w:pPr>
      <w:bookmarkStart w:id="6" w:name="_Toc12532367"/>
      <w:bookmarkStart w:id="7" w:name="_Toc476913445"/>
      <w:bookmarkStart w:id="8" w:name="_Toc506997453"/>
      <w:bookmarkStart w:id="9" w:name="_Toc511652606"/>
      <w:r>
        <w:rPr>
          <w:rStyle w:val="Heading2Char"/>
          <w:rFonts w:ascii="Times New Roman" w:eastAsia="Calibri" w:hAnsi="Times New Roman" w:cs="Times New Roman"/>
          <w:b/>
          <w:color w:val="auto"/>
          <w:sz w:val="24"/>
          <w:szCs w:val="24"/>
        </w:rPr>
        <w:t>Programme 6,</w:t>
      </w:r>
      <w:r w:rsidRPr="00D76E07">
        <w:rPr>
          <w:rStyle w:val="Heading2Char"/>
          <w:rFonts w:ascii="Times New Roman" w:eastAsia="Calibri" w:hAnsi="Times New Roman" w:cs="Times New Roman"/>
          <w:b/>
          <w:color w:val="auto"/>
          <w:sz w:val="24"/>
          <w:szCs w:val="24"/>
        </w:rPr>
        <w:t xml:space="preserve"> Facilities Management</w:t>
      </w:r>
      <w:bookmarkEnd w:id="6"/>
      <w:r w:rsidRPr="00D76E07">
        <w:rPr>
          <w:rFonts w:ascii="Times New Roman" w:hAnsi="Times New Roman" w:cs="Times New Roman"/>
          <w:b/>
          <w:sz w:val="24"/>
          <w:szCs w:val="24"/>
        </w:rPr>
        <w:t xml:space="preserve"> </w:t>
      </w:r>
    </w:p>
    <w:p w14:paraId="32A35C06" w14:textId="77777777" w:rsidR="00D76E07" w:rsidRPr="00D76E07" w:rsidRDefault="006B7A46" w:rsidP="00393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programme </w:t>
      </w:r>
      <w:r w:rsidR="00D76E07" w:rsidRPr="00D76E07">
        <w:rPr>
          <w:rFonts w:ascii="Times New Roman" w:hAnsi="Times New Roman" w:cs="Times New Roman"/>
          <w:sz w:val="24"/>
          <w:szCs w:val="24"/>
        </w:rPr>
        <w:t>seeks to ensure</w:t>
      </w:r>
      <w:r w:rsidR="00393362">
        <w:rPr>
          <w:rFonts w:ascii="Times New Roman" w:hAnsi="Times New Roman" w:cs="Times New Roman"/>
          <w:sz w:val="24"/>
          <w:szCs w:val="24"/>
        </w:rPr>
        <w:t xml:space="preserve"> that immovable assets used by government d</w:t>
      </w:r>
      <w:r w:rsidR="00D76E07" w:rsidRPr="00D76E07">
        <w:rPr>
          <w:rFonts w:ascii="Times New Roman" w:hAnsi="Times New Roman" w:cs="Times New Roman"/>
          <w:sz w:val="24"/>
          <w:szCs w:val="24"/>
        </w:rPr>
        <w:t>epartments and the public, are optimally utilised and maintained in a safe, secure healthy and ergonomic environment while contributing to job creation, skills development and poverty alleviation.</w:t>
      </w:r>
      <w:bookmarkEnd w:id="7"/>
      <w:bookmarkEnd w:id="8"/>
      <w:bookmarkEnd w:id="9"/>
    </w:p>
    <w:p w14:paraId="400E13D1" w14:textId="77777777" w:rsidR="00D76E07" w:rsidRPr="00D76E07" w:rsidRDefault="00D76E07" w:rsidP="00393362">
      <w:pPr>
        <w:spacing w:line="360" w:lineRule="auto"/>
        <w:jc w:val="both"/>
        <w:rPr>
          <w:rFonts w:ascii="Times New Roman" w:hAnsi="Times New Roman" w:cs="Times New Roman"/>
          <w:sz w:val="24"/>
          <w:szCs w:val="24"/>
        </w:rPr>
      </w:pPr>
    </w:p>
    <w:p w14:paraId="771B1742" w14:textId="77777777" w:rsidR="00D76E07" w:rsidRPr="00D76E07" w:rsidRDefault="00D76E07" w:rsidP="00D76E07">
      <w:pPr>
        <w:shd w:val="clear" w:color="auto" w:fill="FFFFFF" w:themeFill="background1"/>
        <w:rPr>
          <w:rFonts w:ascii="Times New Roman" w:hAnsi="Times New Roman" w:cs="Times New Roman"/>
          <w:sz w:val="24"/>
          <w:szCs w:val="24"/>
        </w:rPr>
      </w:pPr>
      <w:r w:rsidRPr="00D76E07">
        <w:rPr>
          <w:rFonts w:ascii="Times New Roman" w:hAnsi="Times New Roman" w:cs="Times New Roman"/>
          <w:sz w:val="24"/>
          <w:szCs w:val="24"/>
        </w:rPr>
        <w:t xml:space="preserve">The total allocation for Programme 6 equals R3.71 billion for the 2019/20 financial year, which is an increase of R496.4 million. This is an increase of 15.5% in nominal terms (or a decrease of 9.8% in real terms) from the revised appropriation of R3.21 billion in 2018/19. </w:t>
      </w:r>
    </w:p>
    <w:p w14:paraId="6558331D" w14:textId="77777777" w:rsidR="00D76E07" w:rsidRPr="00D76E07" w:rsidRDefault="00D76E07" w:rsidP="00D76E07">
      <w:pPr>
        <w:rPr>
          <w:rFonts w:ascii="Times New Roman" w:hAnsi="Times New Roman" w:cs="Times New Roman"/>
          <w:sz w:val="24"/>
          <w:szCs w:val="24"/>
        </w:rPr>
      </w:pPr>
    </w:p>
    <w:p w14:paraId="03ADCE5C" w14:textId="77777777" w:rsidR="00D76E07" w:rsidRPr="00D76E07" w:rsidRDefault="00D76E07" w:rsidP="00D76E07">
      <w:pPr>
        <w:rPr>
          <w:rFonts w:ascii="Times New Roman" w:hAnsi="Times New Roman" w:cs="Times New Roman"/>
          <w:sz w:val="24"/>
          <w:szCs w:val="24"/>
        </w:rPr>
      </w:pPr>
      <w:r w:rsidRPr="00D76E07">
        <w:rPr>
          <w:rFonts w:ascii="Times New Roman" w:hAnsi="Times New Roman" w:cs="Times New Roman"/>
          <w:sz w:val="24"/>
          <w:szCs w:val="24"/>
        </w:rPr>
        <w:t>The following target is reported for the 2019/20 financial year:</w:t>
      </w:r>
      <w:r w:rsidRPr="00D76E07">
        <w:rPr>
          <w:rStyle w:val="FootnoteReference"/>
          <w:rFonts w:ascii="Times New Roman" w:hAnsi="Times New Roman" w:cs="Times New Roman"/>
          <w:sz w:val="24"/>
          <w:szCs w:val="24"/>
        </w:rPr>
        <w:footnoteReference w:id="38"/>
      </w:r>
    </w:p>
    <w:p w14:paraId="3DD24556" w14:textId="77777777" w:rsidR="00D76E07" w:rsidRPr="00D76E07" w:rsidRDefault="00D76E07" w:rsidP="00D76E07">
      <w:pPr>
        <w:rPr>
          <w:rFonts w:ascii="Times New Roman" w:hAnsi="Times New Roman" w:cs="Times New Roman"/>
          <w:sz w:val="24"/>
          <w:szCs w:val="24"/>
        </w:rPr>
      </w:pPr>
    </w:p>
    <w:p w14:paraId="46BACAA2" w14:textId="77777777" w:rsidR="00D76E07" w:rsidRPr="00D76E07" w:rsidRDefault="00D76E07" w:rsidP="00D76E07">
      <w:pPr>
        <w:numPr>
          <w:ilvl w:val="0"/>
          <w:numId w:val="18"/>
        </w:numPr>
        <w:spacing w:after="0" w:line="280" w:lineRule="exact"/>
        <w:jc w:val="both"/>
        <w:rPr>
          <w:rFonts w:ascii="Times New Roman" w:hAnsi="Times New Roman" w:cs="Times New Roman"/>
          <w:sz w:val="24"/>
          <w:szCs w:val="24"/>
        </w:rPr>
      </w:pPr>
      <w:r w:rsidRPr="00D76E07">
        <w:rPr>
          <w:rFonts w:ascii="Times New Roman" w:hAnsi="Times New Roman" w:cs="Times New Roman"/>
          <w:sz w:val="24"/>
          <w:szCs w:val="24"/>
        </w:rPr>
        <w:t>550 facilities prioritised with facilities management in place.</w:t>
      </w:r>
    </w:p>
    <w:p w14:paraId="06FC9341" w14:textId="77777777" w:rsidR="00D00071" w:rsidRDefault="00D00071">
      <w:pPr>
        <w:rPr>
          <w:rFonts w:ascii="Times New Roman" w:eastAsia="Times New Roman" w:hAnsi="Times New Roman" w:cs="Times New Roman"/>
          <w:b/>
          <w:spacing w:val="6"/>
          <w:sz w:val="24"/>
          <w:szCs w:val="24"/>
          <w:lang w:val="en-GB" w:eastAsia="en-GB"/>
        </w:rPr>
      </w:pPr>
    </w:p>
    <w:p w14:paraId="22A9D565" w14:textId="77777777" w:rsidR="00D00071" w:rsidRDefault="00D00071" w:rsidP="00F12443">
      <w:pPr>
        <w:rPr>
          <w:rFonts w:ascii="Times New Roman" w:eastAsia="Times New Roman" w:hAnsi="Times New Roman" w:cs="Times New Roman"/>
          <w:b/>
          <w:spacing w:val="6"/>
          <w:sz w:val="24"/>
          <w:szCs w:val="24"/>
          <w:lang w:val="en-GB" w:eastAsia="en-GB"/>
        </w:rPr>
      </w:pPr>
    </w:p>
    <w:p w14:paraId="686C40AE" w14:textId="77777777" w:rsidR="00496AE4" w:rsidRPr="00661465" w:rsidRDefault="00496AE4" w:rsidP="00F12443">
      <w:pPr>
        <w:rPr>
          <w:rFonts w:ascii="Times New Roman" w:eastAsia="Times New Roman" w:hAnsi="Times New Roman" w:cs="Times New Roman"/>
          <w:b/>
          <w:spacing w:val="6"/>
          <w:sz w:val="24"/>
          <w:szCs w:val="24"/>
          <w:lang w:val="en-GB" w:eastAsia="en-GB"/>
        </w:rPr>
      </w:pPr>
      <w:r w:rsidRPr="00661465">
        <w:rPr>
          <w:rFonts w:ascii="Times New Roman" w:eastAsia="Times New Roman" w:hAnsi="Times New Roman" w:cs="Times New Roman"/>
          <w:b/>
          <w:spacing w:val="6"/>
          <w:sz w:val="24"/>
          <w:szCs w:val="24"/>
          <w:lang w:val="en-GB" w:eastAsia="en-GB"/>
        </w:rPr>
        <w:t>Matters that emerged from deliberations with the DPWI and PMTE:</w:t>
      </w:r>
    </w:p>
    <w:p w14:paraId="1BFA4DDF" w14:textId="77777777" w:rsidR="00652A03" w:rsidRPr="00661465" w:rsidRDefault="00652A03" w:rsidP="00496AE4">
      <w:pPr>
        <w:spacing w:after="0" w:line="360" w:lineRule="auto"/>
        <w:jc w:val="both"/>
        <w:rPr>
          <w:rFonts w:ascii="Times New Roman" w:eastAsia="Times New Roman" w:hAnsi="Times New Roman" w:cs="Times New Roman"/>
          <w:b/>
          <w:spacing w:val="6"/>
          <w:sz w:val="24"/>
          <w:szCs w:val="24"/>
          <w:lang w:val="en-GB" w:eastAsia="en-GB"/>
        </w:rPr>
      </w:pPr>
    </w:p>
    <w:p w14:paraId="6C8A24BF" w14:textId="77777777" w:rsidR="00496AE4" w:rsidRPr="00661465" w:rsidRDefault="00496AE4" w:rsidP="00496AE4">
      <w:pPr>
        <w:spacing w:after="0" w:line="360" w:lineRule="auto"/>
        <w:jc w:val="both"/>
        <w:rPr>
          <w:rFonts w:ascii="Times New Roman" w:eastAsia="Times New Roman" w:hAnsi="Times New Roman" w:cs="Times New Roman"/>
          <w:b/>
          <w:spacing w:val="6"/>
          <w:sz w:val="24"/>
          <w:szCs w:val="24"/>
          <w:lang w:val="en-GB" w:eastAsia="en-GB"/>
        </w:rPr>
      </w:pPr>
      <w:r w:rsidRPr="00661465">
        <w:rPr>
          <w:rFonts w:ascii="Times New Roman" w:eastAsia="Times New Roman" w:hAnsi="Times New Roman" w:cs="Times New Roman"/>
          <w:b/>
          <w:spacing w:val="6"/>
          <w:sz w:val="24"/>
          <w:szCs w:val="24"/>
          <w:lang w:val="en-GB" w:eastAsia="en-GB"/>
        </w:rPr>
        <w:lastRenderedPageBreak/>
        <w:t>Input from Minister and Deputy Minister</w:t>
      </w:r>
    </w:p>
    <w:p w14:paraId="0AB0B132" w14:textId="77777777" w:rsidR="00652A03" w:rsidRPr="00661465" w:rsidRDefault="00652A03" w:rsidP="00496AE4">
      <w:pPr>
        <w:spacing w:after="0" w:line="360" w:lineRule="auto"/>
        <w:jc w:val="both"/>
        <w:rPr>
          <w:rFonts w:ascii="Times New Roman" w:eastAsia="Times New Roman" w:hAnsi="Times New Roman" w:cs="Times New Roman"/>
          <w:spacing w:val="6"/>
          <w:sz w:val="24"/>
          <w:szCs w:val="24"/>
          <w:lang w:val="en-GB" w:eastAsia="en-GB"/>
        </w:rPr>
      </w:pPr>
    </w:p>
    <w:p w14:paraId="378A7DBE" w14:textId="77777777" w:rsidR="00496AE4" w:rsidRPr="0000389A" w:rsidRDefault="00496AE4" w:rsidP="00F12443">
      <w:pPr>
        <w:pStyle w:val="ListParagraph"/>
        <w:numPr>
          <w:ilvl w:val="0"/>
          <w:numId w:val="46"/>
        </w:numPr>
        <w:spacing w:line="360" w:lineRule="auto"/>
        <w:ind w:left="567" w:hanging="425"/>
        <w:jc w:val="both"/>
      </w:pPr>
      <w:r w:rsidRPr="0000389A">
        <w:t xml:space="preserve">The report covers the budgetary allocations of the final financial year of the fifth parliament. It must be kept in mind that the budgetary allocation was made prior to the elections and is linked to the SoNA that was delivered on 7 February 2019.  </w:t>
      </w:r>
    </w:p>
    <w:p w14:paraId="5706ACCD" w14:textId="77777777" w:rsidR="00496AE4" w:rsidRPr="0000389A" w:rsidRDefault="00496AE4" w:rsidP="00F12443">
      <w:pPr>
        <w:pStyle w:val="ListParagraph"/>
        <w:numPr>
          <w:ilvl w:val="0"/>
          <w:numId w:val="46"/>
        </w:numPr>
        <w:spacing w:line="360" w:lineRule="auto"/>
        <w:ind w:left="567" w:hanging="425"/>
        <w:jc w:val="both"/>
      </w:pPr>
      <w:r w:rsidRPr="0000389A">
        <w:t xml:space="preserve">The SoNA of 20 June 2019, heralds the first year of the new five-year long Medium Term Strategic Framework (MTSF) of the sixth parliamentary session. The announcements that the President made are in line with the elections manifesto applicable to the sixth parliamentary session. </w:t>
      </w:r>
    </w:p>
    <w:p w14:paraId="362018F4" w14:textId="77777777" w:rsidR="00496AE4" w:rsidRPr="00F12443" w:rsidRDefault="00496AE4" w:rsidP="00F12443">
      <w:pPr>
        <w:pStyle w:val="ListParagraph"/>
        <w:numPr>
          <w:ilvl w:val="0"/>
          <w:numId w:val="46"/>
        </w:numPr>
        <w:spacing w:line="360" w:lineRule="auto"/>
        <w:ind w:left="567" w:hanging="425"/>
        <w:jc w:val="both"/>
      </w:pPr>
      <w:r w:rsidRPr="00F12443">
        <w:t>Strategically, and operationally, the DPWI is transitioning in this final year that closes off the MTSF, from the fifth parliament into the new sixth parliament. The DPWI is re-shaping itself into the programmatic machinery that must deliver on the policy for public works and infrastructure as set out in the SoNA. The DPWI and other government departments are in the process of re-aligning its programmes with the seven priorities that the President announced in the latest SoNA.</w:t>
      </w:r>
    </w:p>
    <w:p w14:paraId="086A1260" w14:textId="77777777" w:rsidR="00496AE4" w:rsidRPr="00F12443" w:rsidRDefault="00496AE4" w:rsidP="00F12443">
      <w:pPr>
        <w:pStyle w:val="ListParagraph"/>
        <w:numPr>
          <w:ilvl w:val="0"/>
          <w:numId w:val="46"/>
        </w:numPr>
        <w:spacing w:line="360" w:lineRule="auto"/>
        <w:ind w:left="567" w:hanging="425"/>
        <w:jc w:val="both"/>
      </w:pPr>
      <w:r w:rsidRPr="00F12443">
        <w:t>All DPWI functions are linked to the policy ideals stated in the National Development Plan and the State of the Nation Address. Its dominant function is to provide accommodation to client departments that serve the people. Government’s land and properties must be used for the public good. Part of the new commitments link seamlessly to the priorities of the previous MTSF and would not be brand new. A serious concern is that public spaces where citizens receive public services, must be maintained in a way that make them feel secure and welcome. DPWI as the department that coordinates the delivery of social and service delivery infrastructure must make these public spaces easy for citizens to attend and receive services from service delivery departments.</w:t>
      </w:r>
    </w:p>
    <w:p w14:paraId="684F9629" w14:textId="77777777" w:rsidR="00496AE4" w:rsidRPr="00F12443" w:rsidRDefault="00496AE4" w:rsidP="00F12443">
      <w:pPr>
        <w:pStyle w:val="ListParagraph"/>
        <w:numPr>
          <w:ilvl w:val="0"/>
          <w:numId w:val="46"/>
        </w:numPr>
        <w:spacing w:line="360" w:lineRule="auto"/>
        <w:ind w:left="567" w:hanging="425"/>
        <w:jc w:val="both"/>
      </w:pPr>
      <w:r w:rsidRPr="00F12443">
        <w:t>Members listed the following as key tasks that needed further reporting on to this committee:</w:t>
      </w:r>
    </w:p>
    <w:p w14:paraId="50407FF4" w14:textId="77777777" w:rsidR="00C26076" w:rsidRPr="00F12443" w:rsidRDefault="00496AE4" w:rsidP="00F12443">
      <w:pPr>
        <w:pStyle w:val="ListParagraph"/>
        <w:numPr>
          <w:ilvl w:val="1"/>
          <w:numId w:val="46"/>
        </w:numPr>
        <w:spacing w:line="360" w:lineRule="auto"/>
        <w:ind w:left="851" w:hanging="284"/>
        <w:jc w:val="both"/>
      </w:pPr>
      <w:r w:rsidRPr="00F12443">
        <w:t xml:space="preserve">The need to strengthen the trading and investment aspect of the PMTE was recognised. The </w:t>
      </w:r>
      <w:r w:rsidR="00C26076" w:rsidRPr="00F12443">
        <w:t xml:space="preserve">committee needs a full update and report on the announcement by the </w:t>
      </w:r>
      <w:r w:rsidRPr="00F12443">
        <w:t xml:space="preserve">DPWI and PMTE </w:t>
      </w:r>
      <w:r w:rsidR="00C26076" w:rsidRPr="00F12443">
        <w:t>to set up</w:t>
      </w:r>
      <w:r w:rsidR="001A1BF6" w:rsidRPr="00F12443">
        <w:t xml:space="preserve"> a Public Works A</w:t>
      </w:r>
      <w:r w:rsidRPr="00F12443">
        <w:t xml:space="preserve">cademy with the South African Property Association (SAPOA) </w:t>
      </w:r>
      <w:r w:rsidR="00D52778" w:rsidRPr="00F12443">
        <w:t>to capacitate</w:t>
      </w:r>
      <w:r w:rsidRPr="00F12443">
        <w:t xml:space="preserve"> the PMTE</w:t>
      </w:r>
      <w:r w:rsidR="00C26076" w:rsidRPr="00F12443">
        <w:t>.</w:t>
      </w:r>
      <w:r w:rsidR="00D52778" w:rsidRPr="00F12443">
        <w:t xml:space="preserve"> The report should include practical aspects related to the Public Works Academy so that the committee could do oversight over it.</w:t>
      </w:r>
    </w:p>
    <w:p w14:paraId="5579A468" w14:textId="77777777" w:rsidR="00496AE4" w:rsidRPr="00F12443" w:rsidRDefault="00C26076" w:rsidP="00F12443">
      <w:pPr>
        <w:pStyle w:val="ListParagraph"/>
        <w:numPr>
          <w:ilvl w:val="1"/>
          <w:numId w:val="46"/>
        </w:numPr>
        <w:spacing w:line="360" w:lineRule="auto"/>
        <w:ind w:left="851" w:hanging="284"/>
        <w:jc w:val="both"/>
      </w:pPr>
      <w:r w:rsidRPr="00F12443">
        <w:lastRenderedPageBreak/>
        <w:t>A report on the</w:t>
      </w:r>
      <w:r w:rsidR="00496AE4" w:rsidRPr="00F12443">
        <w:t xml:space="preserve"> Young Professional Programme</w:t>
      </w:r>
      <w:r w:rsidRPr="00F12443">
        <w:t xml:space="preserve"> to address the need for capacitated professionally registered built environment personnel in key branches of the PMTE.</w:t>
      </w:r>
      <w:r w:rsidR="00633BEA" w:rsidRPr="00F12443">
        <w:t xml:space="preserve"> This could be part of the full report and presentation of implementing a skills pipeline programme for Built Environment Professionals</w:t>
      </w:r>
      <w:r w:rsidR="004C65A5" w:rsidRPr="00F12443">
        <w:t xml:space="preserve"> across the public works sector. Future deliberations would benefit if the Council for the Built Environment, and the Construction Industry Development Board </w:t>
      </w:r>
      <w:r w:rsidR="001C6F0B" w:rsidRPr="00F12443">
        <w:t>form</w:t>
      </w:r>
      <w:r w:rsidR="004C65A5" w:rsidRPr="00F12443">
        <w:t xml:space="preserve"> part of </w:t>
      </w:r>
      <w:r w:rsidR="00D94141" w:rsidRPr="00F12443">
        <w:t>the deliberations with the committee</w:t>
      </w:r>
      <w:r w:rsidR="004C65A5" w:rsidRPr="00F12443">
        <w:t>.</w:t>
      </w:r>
    </w:p>
    <w:p w14:paraId="36A511C8" w14:textId="77777777" w:rsidR="006A3952" w:rsidRPr="00F12443" w:rsidRDefault="004D3515" w:rsidP="00F12443">
      <w:pPr>
        <w:pStyle w:val="ListParagraph"/>
        <w:numPr>
          <w:ilvl w:val="1"/>
          <w:numId w:val="46"/>
        </w:numPr>
        <w:spacing w:line="360" w:lineRule="auto"/>
        <w:ind w:left="851" w:hanging="284"/>
        <w:jc w:val="both"/>
      </w:pPr>
      <w:r w:rsidRPr="00F12443">
        <w:t>As part of implementing the policy priority in the SoNA, that of improving the capacity of the state, t</w:t>
      </w:r>
      <w:r w:rsidR="003E3E65" w:rsidRPr="00F12443">
        <w:t>he Minister and the Governance and Compliance Branch of the DPWI to provide a progress report on fighting f</w:t>
      </w:r>
      <w:r w:rsidR="00496AE4" w:rsidRPr="00F12443">
        <w:t>raud and corruption in the department and PMTE</w:t>
      </w:r>
      <w:r w:rsidR="003E3E65" w:rsidRPr="00F12443">
        <w:t>. This would include the</w:t>
      </w:r>
      <w:r w:rsidR="00496AE4" w:rsidRPr="00F12443">
        <w:t xml:space="preserve"> </w:t>
      </w:r>
      <w:r w:rsidR="003E3E65" w:rsidRPr="00F12443">
        <w:t xml:space="preserve">proactively oriented </w:t>
      </w:r>
      <w:r w:rsidR="00496AE4" w:rsidRPr="00F12443">
        <w:t>anticorruption framework</w:t>
      </w:r>
      <w:r w:rsidR="003E3E65" w:rsidRPr="00F12443">
        <w:t>, the number of cases in the different regions of DPWI</w:t>
      </w:r>
      <w:r w:rsidRPr="00F12443">
        <w:t>.</w:t>
      </w:r>
      <w:r w:rsidR="003E3E65" w:rsidRPr="00F12443">
        <w:t xml:space="preserve"> </w:t>
      </w:r>
    </w:p>
    <w:p w14:paraId="75A803FD" w14:textId="77777777" w:rsidR="006A3952" w:rsidRPr="00F12443" w:rsidRDefault="006A3952" w:rsidP="00F12443">
      <w:pPr>
        <w:pStyle w:val="ListParagraph"/>
        <w:numPr>
          <w:ilvl w:val="1"/>
          <w:numId w:val="46"/>
        </w:numPr>
        <w:spacing w:line="360" w:lineRule="auto"/>
        <w:ind w:left="851" w:hanging="284"/>
        <w:jc w:val="both"/>
      </w:pPr>
      <w:r w:rsidRPr="00F12443">
        <w:t xml:space="preserve">Related to the policy ideal to improve capacity of the state, the continued high vacancy rate and the need for recruitment in the face of scarce skills in the public works, infrastructure and built environment sector require attention. The committee urged the Minister and the management teams to work out </w:t>
      </w:r>
      <w:r w:rsidR="00616134" w:rsidRPr="00F12443">
        <w:t xml:space="preserve">implementable </w:t>
      </w:r>
      <w:r w:rsidRPr="00F12443">
        <w:t xml:space="preserve">strategies to concretely address the challenge of filling critical </w:t>
      </w:r>
      <w:r w:rsidR="00061695" w:rsidRPr="00F12443">
        <w:t>built environment professionals in a manner that retain</w:t>
      </w:r>
      <w:r w:rsidRPr="00F12443">
        <w:t xml:space="preserve"> staff on contract</w:t>
      </w:r>
      <w:r w:rsidR="00061695" w:rsidRPr="00F12443">
        <w:t>. A report on the concrete step with full detail on provincial and regional appointments in terms of gender, racial and disabled categories should be made to the committee.</w:t>
      </w:r>
    </w:p>
    <w:p w14:paraId="49ADF50C" w14:textId="77777777" w:rsidR="00D563DD" w:rsidRPr="00F12443" w:rsidRDefault="00F06F3A" w:rsidP="00F12443">
      <w:pPr>
        <w:pStyle w:val="ListParagraph"/>
        <w:numPr>
          <w:ilvl w:val="1"/>
          <w:numId w:val="46"/>
        </w:numPr>
        <w:spacing w:line="360" w:lineRule="auto"/>
        <w:ind w:left="851" w:hanging="284"/>
        <w:jc w:val="both"/>
      </w:pPr>
      <w:r w:rsidRPr="00F12443">
        <w:t>Members heard that the DPWI was the lead department that coordinates and standardises EPWP recruitment, processes of data validation, verification and reporting. It also heard that incentive grants that fund public works projects go to provinces and municipalities. The challenge was that in spite of being the lead department, the DPWI has no power to ensure that regulations and standards that were set is adhered to. The committee requires further engagement that focuses squarely on the challenges to ensure that standards and uniform steps are adhered to, and how the conditions of the incentive grants can be used to ensure adherence to standards.</w:t>
      </w:r>
    </w:p>
    <w:p w14:paraId="319EBC2E" w14:textId="77777777" w:rsidR="005C1D2A" w:rsidRPr="00F12443" w:rsidRDefault="005C1D2A" w:rsidP="00F12443">
      <w:pPr>
        <w:pStyle w:val="ListParagraph"/>
        <w:numPr>
          <w:ilvl w:val="1"/>
          <w:numId w:val="46"/>
        </w:numPr>
        <w:spacing w:line="360" w:lineRule="auto"/>
        <w:ind w:left="851" w:hanging="284"/>
        <w:jc w:val="both"/>
      </w:pPr>
      <w:r w:rsidRPr="00F12443">
        <w:t xml:space="preserve">There is a need for social impact case studies to be shared from across the country, both rural and urban, of whether and how EPWP is assisting marginalised economically viable workers in the country. In addition, the challenges faced by municipalities getting their Integrated Development Plans for infrastructure development off the ground, the role of EPWP projects, best practice cases of the </w:t>
      </w:r>
      <w:r w:rsidRPr="00F12443">
        <w:lastRenderedPageBreak/>
        <w:t xml:space="preserve">selection of beneficiaries, the important matter </w:t>
      </w:r>
      <w:r w:rsidR="00A24A07" w:rsidRPr="00F12443">
        <w:t>of qualifications and skills development, and graduating to longer term employment and improved qualifications is crucial.</w:t>
      </w:r>
    </w:p>
    <w:p w14:paraId="31A5FCFD" w14:textId="77777777" w:rsidR="00A3655F" w:rsidRPr="00F12443" w:rsidRDefault="00292BB0" w:rsidP="00F12443">
      <w:pPr>
        <w:pStyle w:val="ListParagraph"/>
        <w:numPr>
          <w:ilvl w:val="1"/>
          <w:numId w:val="46"/>
        </w:numPr>
        <w:spacing w:line="360" w:lineRule="auto"/>
        <w:ind w:left="851" w:hanging="284"/>
        <w:jc w:val="both"/>
      </w:pPr>
      <w:r w:rsidRPr="00F12443">
        <w:t xml:space="preserve">The challenge with the security and maintenance of </w:t>
      </w:r>
      <w:r w:rsidR="00D70A1C" w:rsidRPr="00F12443">
        <w:t>government’s immovable pr</w:t>
      </w:r>
      <w:r w:rsidRPr="00F12443">
        <w:t>op</w:t>
      </w:r>
      <w:r w:rsidR="00D70A1C" w:rsidRPr="00F12443">
        <w:t>er</w:t>
      </w:r>
      <w:r w:rsidRPr="00F12443">
        <w:t>ties across provinces and regions requires oversight attention</w:t>
      </w:r>
      <w:r w:rsidR="003C5EF4" w:rsidRPr="00F12443">
        <w:t xml:space="preserve">. </w:t>
      </w:r>
      <w:r w:rsidR="00DD3305" w:rsidRPr="00F12443">
        <w:t>Public</w:t>
      </w:r>
      <w:r w:rsidR="003C5EF4" w:rsidRPr="00F12443">
        <w:t xml:space="preserve"> infrastructure is in an undesired</w:t>
      </w:r>
      <w:r w:rsidR="00DD3305" w:rsidRPr="00F12443">
        <w:t xml:space="preserve"> state and when people visit the buildings where they must receive services they do not always feel secure and welcome</w:t>
      </w:r>
      <w:r w:rsidR="003C5EF4" w:rsidRPr="00F12443">
        <w:t xml:space="preserve">. One of the things not properly accounted for, is </w:t>
      </w:r>
      <w:r w:rsidR="00DD3305" w:rsidRPr="00F12443">
        <w:t xml:space="preserve">that </w:t>
      </w:r>
      <w:r w:rsidR="003C5EF4" w:rsidRPr="00F12443">
        <w:t xml:space="preserve">once buildings are established, </w:t>
      </w:r>
      <w:r w:rsidR="00DD3305" w:rsidRPr="00F12443">
        <w:t>plans</w:t>
      </w:r>
      <w:r w:rsidR="003C5EF4" w:rsidRPr="00F12443">
        <w:t xml:space="preserve"> to ensure that it remains in a high state of quality</w:t>
      </w:r>
      <w:r w:rsidR="00DD3305" w:rsidRPr="00F12443">
        <w:t xml:space="preserve"> are not operational</w:t>
      </w:r>
      <w:r w:rsidR="003C5EF4" w:rsidRPr="00F12443">
        <w:t xml:space="preserve">. </w:t>
      </w:r>
      <w:r w:rsidR="00DD3305" w:rsidRPr="00F12443">
        <w:t>This is the case for hospitals, clinics, schools, courts, police stations, social development and home affairs. Collaborative oversight needs to be undertaken with sister committees, where the PMTE can provide the challenges it faces so that government can be assi</w:t>
      </w:r>
      <w:r w:rsidR="00F565EC" w:rsidRPr="00F12443">
        <w:t>s</w:t>
      </w:r>
      <w:r w:rsidR="00DD3305" w:rsidRPr="00F12443">
        <w:t>ted to get itself calibrated to be capacitated to service the people.</w:t>
      </w:r>
    </w:p>
    <w:p w14:paraId="47E74C4D" w14:textId="77777777" w:rsidR="00C8718B" w:rsidRPr="00F12443" w:rsidRDefault="00C63E82" w:rsidP="00F12443">
      <w:pPr>
        <w:pStyle w:val="ListParagraph"/>
        <w:numPr>
          <w:ilvl w:val="1"/>
          <w:numId w:val="46"/>
        </w:numPr>
        <w:spacing w:line="360" w:lineRule="auto"/>
        <w:ind w:left="851" w:hanging="284"/>
        <w:jc w:val="both"/>
      </w:pPr>
      <w:r w:rsidRPr="00F12443">
        <w:t>The PMTE must present to the committee on the important matter of the cost of leasing properties from private owners.</w:t>
      </w:r>
      <w:r w:rsidR="00CB4119" w:rsidRPr="00F12443">
        <w:t xml:space="preserve"> The fact that rentals are not paid and the consequence of legal costs must be presented.</w:t>
      </w:r>
    </w:p>
    <w:p w14:paraId="0F671060" w14:textId="77777777" w:rsidR="00C63E82" w:rsidRPr="00F12443" w:rsidRDefault="00CB4119" w:rsidP="00F12443">
      <w:pPr>
        <w:pStyle w:val="ListParagraph"/>
        <w:numPr>
          <w:ilvl w:val="1"/>
          <w:numId w:val="46"/>
        </w:numPr>
        <w:spacing w:line="360" w:lineRule="auto"/>
        <w:ind w:left="851" w:hanging="284"/>
        <w:jc w:val="both"/>
      </w:pPr>
      <w:r w:rsidRPr="00F12443">
        <w:t>As part of the need for the DPWI mandate to be strengthened, a presentation is required on t</w:t>
      </w:r>
      <w:r w:rsidR="00C63E82" w:rsidRPr="00F12443">
        <w:t>he recovery o</w:t>
      </w:r>
      <w:r w:rsidRPr="00F12443">
        <w:t>f</w:t>
      </w:r>
      <w:r w:rsidR="00C63E82" w:rsidRPr="00F12443">
        <w:t xml:space="preserve"> leases (R4,7 billion) </w:t>
      </w:r>
      <w:r w:rsidRPr="00F12443">
        <w:t xml:space="preserve">and the fact that several </w:t>
      </w:r>
      <w:r w:rsidR="00C63E82" w:rsidRPr="00F12443">
        <w:t xml:space="preserve">client departments are </w:t>
      </w:r>
      <w:r w:rsidRPr="00F12443">
        <w:t xml:space="preserve">not </w:t>
      </w:r>
      <w:r w:rsidR="00C63E82" w:rsidRPr="00F12443">
        <w:t>paying</w:t>
      </w:r>
      <w:r w:rsidRPr="00F12443">
        <w:t xml:space="preserve"> leases on time to the DPWI. The committee urged the </w:t>
      </w:r>
      <w:r w:rsidR="00C63E82" w:rsidRPr="00F12443">
        <w:t>Minister to put intervention</w:t>
      </w:r>
      <w:r w:rsidR="00546F75" w:rsidRPr="00F12443">
        <w:t>s</w:t>
      </w:r>
      <w:r w:rsidR="00C63E82" w:rsidRPr="00F12443">
        <w:t xml:space="preserve"> in place to ensure improved recovery</w:t>
      </w:r>
      <w:r w:rsidR="00546F75" w:rsidRPr="00F12443">
        <w:t xml:space="preserve"> of leases, that should include the need to pay rates and service fees to municipalities on time</w:t>
      </w:r>
      <w:r w:rsidR="00C63E82" w:rsidRPr="00F12443">
        <w:t>.</w:t>
      </w:r>
    </w:p>
    <w:p w14:paraId="7FEBE3A6" w14:textId="77777777" w:rsidR="009253FB" w:rsidRPr="00F12443" w:rsidRDefault="00692B5E" w:rsidP="00F12443">
      <w:pPr>
        <w:pStyle w:val="ListParagraph"/>
        <w:numPr>
          <w:ilvl w:val="1"/>
          <w:numId w:val="46"/>
        </w:numPr>
        <w:spacing w:line="360" w:lineRule="auto"/>
        <w:ind w:left="851" w:hanging="284"/>
        <w:jc w:val="both"/>
      </w:pPr>
      <w:r w:rsidRPr="00F12443">
        <w:t xml:space="preserve">The PMTE needs to report to the committee on a quarterly basis on how it was going to improve </w:t>
      </w:r>
      <w:r w:rsidR="00E32A84" w:rsidRPr="00F12443">
        <w:t xml:space="preserve">its bank overdraft account and improve towards being a running concern. It should include progress to improve control over </w:t>
      </w:r>
      <w:r w:rsidRPr="00F12443">
        <w:t>the IAR</w:t>
      </w:r>
      <w:r w:rsidR="00E32A84" w:rsidRPr="00F12443">
        <w:t xml:space="preserve">, which includes rolling out the ARCHIBUS </w:t>
      </w:r>
      <w:r w:rsidR="009253FB" w:rsidRPr="00F12443">
        <w:t xml:space="preserve">system </w:t>
      </w:r>
      <w:r w:rsidRPr="00F12443">
        <w:t>so that it can get a clean audit opinion in the next financial year.</w:t>
      </w:r>
      <w:r w:rsidR="003D2F75" w:rsidRPr="00F12443">
        <w:t xml:space="preserve"> </w:t>
      </w:r>
    </w:p>
    <w:p w14:paraId="17896107" w14:textId="77777777" w:rsidR="00935492" w:rsidRPr="00F12443" w:rsidRDefault="009253FB" w:rsidP="00F12443">
      <w:pPr>
        <w:pStyle w:val="ListParagraph"/>
        <w:numPr>
          <w:ilvl w:val="1"/>
          <w:numId w:val="46"/>
        </w:numPr>
        <w:spacing w:line="360" w:lineRule="auto"/>
        <w:ind w:left="851" w:hanging="284"/>
        <w:jc w:val="both"/>
      </w:pPr>
      <w:r w:rsidRPr="00F12443">
        <w:t>The DPWI and PMTE to q</w:t>
      </w:r>
      <w:r w:rsidR="003D2F75" w:rsidRPr="00F12443">
        <w:t xml:space="preserve">uarterly report </w:t>
      </w:r>
      <w:r w:rsidRPr="00F12443">
        <w:t xml:space="preserve">on </w:t>
      </w:r>
      <w:r w:rsidR="003D2F75" w:rsidRPr="00F12443">
        <w:t xml:space="preserve">how </w:t>
      </w:r>
      <w:r w:rsidRPr="00F12443">
        <w:t xml:space="preserve">each regional office </w:t>
      </w:r>
      <w:r w:rsidR="003D2F75" w:rsidRPr="00F12443">
        <w:t>was ensuring payment of registered invoices within 30 days of receipt from service providers.</w:t>
      </w:r>
    </w:p>
    <w:p w14:paraId="0C5BF7A1" w14:textId="77777777" w:rsidR="00D97358" w:rsidRPr="00F12443" w:rsidRDefault="00D97358" w:rsidP="00F12443">
      <w:pPr>
        <w:pStyle w:val="ListParagraph"/>
        <w:numPr>
          <w:ilvl w:val="1"/>
          <w:numId w:val="46"/>
        </w:numPr>
        <w:spacing w:line="360" w:lineRule="auto"/>
        <w:ind w:left="851" w:hanging="284"/>
        <w:jc w:val="both"/>
      </w:pPr>
      <w:r w:rsidRPr="00F12443">
        <w:t xml:space="preserve">A report on the transfer and reconfiguration of the infrastructure function in the form of respectively, the Presidential Infrastructure Coordinating Commission (PICC) </w:t>
      </w:r>
      <w:r w:rsidR="00FC462B" w:rsidRPr="00F12443">
        <w:t xml:space="preserve">that provides secretariat services </w:t>
      </w:r>
      <w:r w:rsidRPr="00F12443">
        <w:t xml:space="preserve">from the Department of Economic Development (DED) and the Integrated Development Management System </w:t>
      </w:r>
      <w:r w:rsidR="00FC462B" w:rsidRPr="00F12443">
        <w:t>from the National Treasury that assists municipalities</w:t>
      </w:r>
      <w:r w:rsidRPr="00F12443">
        <w:t xml:space="preserve">. This presentation should include the PMTE </w:t>
      </w:r>
      <w:r w:rsidR="00A65BFF" w:rsidRPr="00F12443">
        <w:t xml:space="preserve">providing information on </w:t>
      </w:r>
      <w:r w:rsidRPr="00F12443">
        <w:t xml:space="preserve">land available per province to give effect to the policy to ensure land </w:t>
      </w:r>
      <w:r w:rsidRPr="00F12443">
        <w:lastRenderedPageBreak/>
        <w:t>transformation in terms of integra</w:t>
      </w:r>
      <w:r w:rsidR="001F4BC2" w:rsidRPr="00F12443">
        <w:t>ting social</w:t>
      </w:r>
      <w:r w:rsidRPr="00F12443">
        <w:t xml:space="preserve"> infrastructure planning (that includes municipal IDPs)</w:t>
      </w:r>
      <w:r w:rsidR="001F4BC2" w:rsidRPr="00F12443">
        <w:t xml:space="preserve"> to bring about equality between previously geographically separated communities</w:t>
      </w:r>
      <w:r w:rsidR="004852F1" w:rsidRPr="00F12443">
        <w:t xml:space="preserve"> as well as effecting broader land reform policy</w:t>
      </w:r>
      <w:r w:rsidR="001F4BC2" w:rsidRPr="00F12443">
        <w:t>.</w:t>
      </w:r>
      <w:r w:rsidR="00A65BFF" w:rsidRPr="00F12443">
        <w:t xml:space="preserve"> </w:t>
      </w:r>
    </w:p>
    <w:p w14:paraId="3F3783CD" w14:textId="77777777" w:rsidR="00D634C8" w:rsidRPr="00F12443" w:rsidRDefault="00412702" w:rsidP="00F12443">
      <w:pPr>
        <w:pStyle w:val="ListParagraph"/>
        <w:numPr>
          <w:ilvl w:val="1"/>
          <w:numId w:val="46"/>
        </w:numPr>
        <w:spacing w:line="360" w:lineRule="auto"/>
        <w:ind w:left="851" w:hanging="284"/>
        <w:jc w:val="both"/>
      </w:pPr>
      <w:r w:rsidRPr="00F12443">
        <w:t xml:space="preserve">The PMTE’s Small Harbours division to provide a full updated report on proclaimed and unproclaimed small harbours in the country. </w:t>
      </w:r>
      <w:r w:rsidR="00FB75D6" w:rsidRPr="00F12443">
        <w:t>It should include the aspect of coordinating function</w:t>
      </w:r>
      <w:r w:rsidR="00A4641D" w:rsidRPr="00F12443">
        <w:t>s at the small harbours</w:t>
      </w:r>
      <w:r w:rsidR="00FB75D6" w:rsidRPr="00F12443">
        <w:t xml:space="preserve"> with the Department of Agriculture and Fisheries (DAF). </w:t>
      </w:r>
      <w:r w:rsidRPr="00F12443">
        <w:t xml:space="preserve">The report to include information on the development, maintenance, lease management, and transformation </w:t>
      </w:r>
      <w:r w:rsidR="002B709D" w:rsidRPr="00F12443">
        <w:t>possibilities that these harbours hold for</w:t>
      </w:r>
      <w:r w:rsidRPr="00F12443">
        <w:t xml:space="preserve"> communities living in rural towns </w:t>
      </w:r>
      <w:r w:rsidR="00BE23A8" w:rsidRPr="00F12443">
        <w:t>(through programmes such as Operation Phakisa)</w:t>
      </w:r>
      <w:r w:rsidRPr="00F12443">
        <w:t>.</w:t>
      </w:r>
      <w:r w:rsidR="00BE23A8" w:rsidRPr="00F12443">
        <w:t xml:space="preserve"> </w:t>
      </w:r>
      <w:r w:rsidR="0052737A" w:rsidRPr="00F12443">
        <w:t xml:space="preserve">The report should include development plans for the Eastern Cape province in specifically Port St Johns that was excluded in the presentation to the committee during the meetings on its APP and how it was getting itself calibrated for infrastructure development over the next five years. </w:t>
      </w:r>
    </w:p>
    <w:p w14:paraId="4FC81EAC" w14:textId="77777777" w:rsidR="00496AE4" w:rsidRPr="00661465" w:rsidRDefault="00496AE4" w:rsidP="00496AE4">
      <w:pPr>
        <w:spacing w:line="360" w:lineRule="auto"/>
        <w:ind w:left="360" w:hanging="360"/>
        <w:jc w:val="both"/>
        <w:rPr>
          <w:rFonts w:ascii="Times New Roman" w:hAnsi="Times New Roman" w:cs="Times New Roman"/>
          <w:sz w:val="24"/>
          <w:szCs w:val="24"/>
        </w:rPr>
      </w:pPr>
    </w:p>
    <w:p w14:paraId="4B4D8619" w14:textId="77777777" w:rsidR="005536E3" w:rsidRPr="00661465" w:rsidRDefault="001E4EDA" w:rsidP="00652A03">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91902" w:rsidRPr="00661465">
        <w:rPr>
          <w:rFonts w:ascii="Times New Roman" w:hAnsi="Times New Roman" w:cs="Times New Roman"/>
          <w:b/>
          <w:sz w:val="24"/>
          <w:szCs w:val="24"/>
        </w:rPr>
        <w:t>. Entities reporting to the Minister:</w:t>
      </w:r>
    </w:p>
    <w:p w14:paraId="781E5036" w14:textId="77777777" w:rsidR="00091902" w:rsidRPr="00661465" w:rsidRDefault="001E4EDA" w:rsidP="00652A03">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91902" w:rsidRPr="00661465">
        <w:rPr>
          <w:rFonts w:ascii="Times New Roman" w:hAnsi="Times New Roman" w:cs="Times New Roman"/>
          <w:b/>
          <w:sz w:val="24"/>
          <w:szCs w:val="24"/>
        </w:rPr>
        <w:t>.1. Agrément South Africa (ASA):</w:t>
      </w:r>
    </w:p>
    <w:p w14:paraId="3DF80D5F" w14:textId="77777777" w:rsidR="00652A03" w:rsidRPr="00661465" w:rsidRDefault="00652A03" w:rsidP="00652A03">
      <w:pPr>
        <w:spacing w:line="240" w:lineRule="auto"/>
        <w:jc w:val="both"/>
        <w:rPr>
          <w:rFonts w:ascii="Times New Roman" w:hAnsi="Times New Roman" w:cs="Times New Roman"/>
          <w:b/>
          <w:color w:val="001F00"/>
          <w:sz w:val="24"/>
          <w:szCs w:val="24"/>
        </w:rPr>
      </w:pPr>
    </w:p>
    <w:p w14:paraId="7025C2C3" w14:textId="77777777" w:rsidR="00FA3845" w:rsidRPr="00661465" w:rsidRDefault="00FA3845" w:rsidP="00652A03">
      <w:pPr>
        <w:spacing w:line="240" w:lineRule="auto"/>
        <w:jc w:val="both"/>
        <w:rPr>
          <w:rFonts w:ascii="Times New Roman" w:hAnsi="Times New Roman" w:cs="Times New Roman"/>
          <w:b/>
          <w:sz w:val="24"/>
          <w:szCs w:val="24"/>
        </w:rPr>
      </w:pPr>
      <w:r w:rsidRPr="00661465">
        <w:rPr>
          <w:rFonts w:ascii="Times New Roman" w:hAnsi="Times New Roman" w:cs="Times New Roman"/>
          <w:b/>
          <w:color w:val="001F00"/>
          <w:sz w:val="24"/>
          <w:szCs w:val="24"/>
        </w:rPr>
        <w:t>Setting up t</w:t>
      </w:r>
      <w:r w:rsidRPr="00661465">
        <w:rPr>
          <w:rFonts w:ascii="Times New Roman" w:hAnsi="Times New Roman" w:cs="Times New Roman"/>
          <w:b/>
          <w:sz w:val="24"/>
          <w:szCs w:val="24"/>
        </w:rPr>
        <w:t>he ASA as a legal entity</w:t>
      </w:r>
    </w:p>
    <w:p w14:paraId="73AD9717"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Agrément South Africa (established through a Ministerial Determination in 1969), is one of five entities reporting to the Minister of Public Works. It was constituted as a juristic person through the Agrément South Africa Act (No. 11 of 2015).</w:t>
      </w:r>
      <w:r w:rsidRPr="00661465">
        <w:rPr>
          <w:rFonts w:ascii="Times New Roman" w:eastAsia="Times New Roman" w:hAnsi="Times New Roman" w:cs="Times New Roman"/>
          <w:color w:val="000000"/>
          <w:spacing w:val="6"/>
          <w:sz w:val="24"/>
          <w:szCs w:val="24"/>
          <w:vertAlign w:val="superscript"/>
          <w:lang w:val="en-GB" w:eastAsia="en-GB"/>
        </w:rPr>
        <w:footnoteReference w:id="39"/>
      </w:r>
      <w:r w:rsidRPr="00661465">
        <w:rPr>
          <w:rFonts w:ascii="Times New Roman" w:eastAsia="Times New Roman" w:hAnsi="Times New Roman" w:cs="Times New Roman"/>
          <w:color w:val="000000"/>
          <w:spacing w:val="6"/>
          <w:sz w:val="24"/>
          <w:szCs w:val="24"/>
          <w:lang w:val="en-GB" w:eastAsia="en-GB"/>
        </w:rPr>
        <w:t xml:space="preserve">   </w:t>
      </w:r>
    </w:p>
    <w:p w14:paraId="658A4F0E"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The Agrément SA has operated independently from 1 April 2018 following the legislative process to establish the entity.</w:t>
      </w:r>
      <w:r w:rsidRPr="00661465">
        <w:rPr>
          <w:rFonts w:ascii="Times New Roman" w:eastAsia="Times New Roman" w:hAnsi="Times New Roman" w:cs="Times New Roman"/>
          <w:color w:val="000000"/>
          <w:spacing w:val="6"/>
          <w:sz w:val="24"/>
          <w:szCs w:val="24"/>
          <w:vertAlign w:val="superscript"/>
          <w:lang w:val="en-GB" w:eastAsia="en-GB"/>
        </w:rPr>
        <w:footnoteReference w:id="40"/>
      </w:r>
      <w:r w:rsidRPr="00661465">
        <w:rPr>
          <w:rFonts w:ascii="Times New Roman" w:eastAsia="Times New Roman" w:hAnsi="Times New Roman" w:cs="Times New Roman"/>
          <w:color w:val="000000"/>
          <w:spacing w:val="6"/>
          <w:sz w:val="24"/>
          <w:szCs w:val="24"/>
          <w:lang w:val="en-GB" w:eastAsia="en-GB"/>
        </w:rPr>
        <w:t xml:space="preserve">  </w:t>
      </w:r>
    </w:p>
    <w:p w14:paraId="0607B61D"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p>
    <w:p w14:paraId="70E22AD5" w14:textId="77777777" w:rsidR="00FA3845" w:rsidRPr="00661465" w:rsidRDefault="00FA3845" w:rsidP="00CC0781">
      <w:pPr>
        <w:spacing w:after="0" w:line="360" w:lineRule="auto"/>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Mandate</w:t>
      </w:r>
    </w:p>
    <w:p w14:paraId="2F922557" w14:textId="77777777" w:rsidR="00652A03" w:rsidRPr="00661465" w:rsidRDefault="00652A03" w:rsidP="00CC0781">
      <w:pPr>
        <w:spacing w:after="0" w:line="360" w:lineRule="auto"/>
        <w:jc w:val="both"/>
        <w:rPr>
          <w:rFonts w:ascii="Times New Roman" w:eastAsia="Times New Roman" w:hAnsi="Times New Roman" w:cs="Times New Roman"/>
          <w:color w:val="000000"/>
          <w:spacing w:val="6"/>
          <w:sz w:val="24"/>
          <w:szCs w:val="24"/>
          <w:lang w:val="en-GB" w:eastAsia="en-GB"/>
        </w:rPr>
      </w:pPr>
    </w:p>
    <w:p w14:paraId="14AF4D1B"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Agrément South Africa is a statutory Board established in terms of the Agrément South Africa Act (No. 11 of 2015) with the following objectives to:</w:t>
      </w:r>
      <w:r w:rsidRPr="00661465">
        <w:rPr>
          <w:rFonts w:ascii="Times New Roman" w:eastAsia="Times New Roman" w:hAnsi="Times New Roman" w:cs="Times New Roman"/>
          <w:color w:val="000000"/>
          <w:spacing w:val="6"/>
          <w:sz w:val="24"/>
          <w:szCs w:val="24"/>
          <w:vertAlign w:val="superscript"/>
          <w:lang w:val="en-GB" w:eastAsia="en-GB"/>
        </w:rPr>
        <w:footnoteReference w:id="41"/>
      </w:r>
    </w:p>
    <w:p w14:paraId="242DB7C3"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p>
    <w:p w14:paraId="08EF7B1A" w14:textId="77777777" w:rsidR="00FA3845" w:rsidRPr="00661465" w:rsidRDefault="00FA3845" w:rsidP="00CC0781">
      <w:pPr>
        <w:numPr>
          <w:ilvl w:val="0"/>
          <w:numId w:val="19"/>
        </w:num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“Provide assurance to specifiers and users of fitness-for-purpose of non-standardised construction related products or systems.</w:t>
      </w:r>
    </w:p>
    <w:p w14:paraId="66523DF4" w14:textId="77777777" w:rsidR="00FA3845" w:rsidRPr="00661465" w:rsidRDefault="00FA3845" w:rsidP="00CC0781">
      <w:pPr>
        <w:numPr>
          <w:ilvl w:val="0"/>
          <w:numId w:val="19"/>
        </w:num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lastRenderedPageBreak/>
        <w:t>Support and promote the process of integrated socio-economic development in the Republic as it relates to the construction industry; support and promote the introduction and use of certified non-standardised construction related products or systems in the local or international market.</w:t>
      </w:r>
    </w:p>
    <w:p w14:paraId="7C1FAB9A" w14:textId="77777777" w:rsidR="00FA3845" w:rsidRPr="00661465" w:rsidRDefault="00FA3845" w:rsidP="00CC0781">
      <w:pPr>
        <w:numPr>
          <w:ilvl w:val="0"/>
          <w:numId w:val="19"/>
        </w:num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Support policymakers to minimise the risk associated with the use of non-standardised construction related product or system.</w:t>
      </w:r>
    </w:p>
    <w:p w14:paraId="66073DB6" w14:textId="77777777" w:rsidR="00FA3845" w:rsidRPr="00661465" w:rsidRDefault="00FA3845" w:rsidP="00CC0781">
      <w:pPr>
        <w:numPr>
          <w:ilvl w:val="0"/>
          <w:numId w:val="19"/>
        </w:num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Be an impartial and internationally acknowledged South African centre for the assessment and confirmation of that for purpose of non-standardised construction related products or systems.</w:t>
      </w:r>
    </w:p>
    <w:p w14:paraId="3ED7583E" w14:textId="77777777" w:rsidR="00FA3845" w:rsidRPr="00661465" w:rsidRDefault="00FA3845" w:rsidP="00CC0781">
      <w:pPr>
        <w:numPr>
          <w:ilvl w:val="0"/>
          <w:numId w:val="19"/>
        </w:num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Agrément South Africa will discharge its responsibilities through certification of innovative non-standardised products and systems impartially and without undue influence and keep records of the same.”</w:t>
      </w:r>
    </w:p>
    <w:p w14:paraId="6661164B" w14:textId="77777777" w:rsidR="00652A03" w:rsidRPr="00661465" w:rsidRDefault="00652A03" w:rsidP="00CC0781">
      <w:pPr>
        <w:spacing w:after="0" w:line="360" w:lineRule="auto"/>
        <w:jc w:val="both"/>
        <w:rPr>
          <w:rFonts w:ascii="Times New Roman" w:eastAsia="Times New Roman" w:hAnsi="Times New Roman" w:cs="Times New Roman"/>
          <w:color w:val="000000"/>
          <w:spacing w:val="6"/>
          <w:sz w:val="24"/>
          <w:szCs w:val="24"/>
          <w:lang w:val="en-GB" w:eastAsia="en-GB"/>
        </w:rPr>
      </w:pPr>
    </w:p>
    <w:p w14:paraId="35A117EF" w14:textId="77777777" w:rsidR="00FA3845" w:rsidRPr="00661465" w:rsidRDefault="00FA3845" w:rsidP="00652A03">
      <w:pPr>
        <w:spacing w:after="0" w:line="240" w:lineRule="auto"/>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Vision</w:t>
      </w:r>
      <w:r w:rsidRPr="00661465">
        <w:rPr>
          <w:rFonts w:ascii="Times New Roman" w:eastAsia="Times New Roman" w:hAnsi="Times New Roman" w:cs="Times New Roman"/>
          <w:b/>
          <w:color w:val="000000"/>
          <w:spacing w:val="6"/>
          <w:sz w:val="24"/>
          <w:szCs w:val="24"/>
          <w:vertAlign w:val="superscript"/>
          <w:lang w:val="en-GB" w:eastAsia="en-GB"/>
        </w:rPr>
        <w:footnoteReference w:id="42"/>
      </w:r>
    </w:p>
    <w:p w14:paraId="001FF9C1" w14:textId="77777777" w:rsidR="00652A03" w:rsidRPr="00661465" w:rsidRDefault="00652A03" w:rsidP="00652A03">
      <w:pPr>
        <w:spacing w:after="0" w:line="240" w:lineRule="auto"/>
        <w:jc w:val="both"/>
        <w:rPr>
          <w:rFonts w:ascii="Times New Roman" w:eastAsia="Times New Roman" w:hAnsi="Times New Roman" w:cs="Times New Roman"/>
          <w:color w:val="000000"/>
          <w:spacing w:val="6"/>
          <w:sz w:val="24"/>
          <w:szCs w:val="24"/>
          <w:lang w:val="en-GB" w:eastAsia="en-GB"/>
        </w:rPr>
      </w:pPr>
    </w:p>
    <w:p w14:paraId="65BD10FE" w14:textId="77777777" w:rsidR="00FA3845" w:rsidRPr="00661465" w:rsidRDefault="00FA3845" w:rsidP="00652A03">
      <w:pPr>
        <w:spacing w:after="0" w:line="24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 xml:space="preserve">To be a world-class centre for technical assessment. </w:t>
      </w:r>
    </w:p>
    <w:p w14:paraId="2141BCBD" w14:textId="77777777" w:rsidR="00FA3845" w:rsidRPr="00661465" w:rsidRDefault="00FA3845" w:rsidP="00CC0781">
      <w:pPr>
        <w:spacing w:after="0" w:line="360" w:lineRule="auto"/>
        <w:jc w:val="both"/>
        <w:rPr>
          <w:rFonts w:ascii="Times New Roman" w:eastAsia="Times New Roman" w:hAnsi="Times New Roman" w:cs="Times New Roman"/>
          <w:color w:val="000000"/>
          <w:spacing w:val="6"/>
          <w:sz w:val="24"/>
          <w:szCs w:val="24"/>
          <w:lang w:val="en-GB" w:eastAsia="en-GB"/>
        </w:rPr>
      </w:pPr>
    </w:p>
    <w:p w14:paraId="71F26610" w14:textId="77777777" w:rsidR="00FA3845" w:rsidRPr="00661465" w:rsidRDefault="00FA3845" w:rsidP="00652A03">
      <w:pPr>
        <w:spacing w:after="0" w:line="240" w:lineRule="auto"/>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Mission</w:t>
      </w:r>
    </w:p>
    <w:p w14:paraId="7B4277FC" w14:textId="77777777" w:rsidR="00652A03" w:rsidRPr="00661465" w:rsidRDefault="00652A03" w:rsidP="00652A03">
      <w:pPr>
        <w:spacing w:after="0" w:line="240" w:lineRule="auto"/>
        <w:jc w:val="both"/>
        <w:rPr>
          <w:rFonts w:ascii="Times New Roman" w:eastAsia="Times New Roman" w:hAnsi="Times New Roman" w:cs="Times New Roman"/>
          <w:color w:val="000000"/>
          <w:spacing w:val="6"/>
          <w:sz w:val="24"/>
          <w:szCs w:val="24"/>
          <w:lang w:val="en-GB" w:eastAsia="en-GB"/>
        </w:rPr>
      </w:pPr>
    </w:p>
    <w:p w14:paraId="4001E845" w14:textId="77777777" w:rsidR="00FA3845" w:rsidRPr="00661465" w:rsidRDefault="00FA3845" w:rsidP="00652A03">
      <w:pPr>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Enhance Agrément South Africa’s position as the internationally acknowledged, objective South African centre for the Assessment and certification of non-standardised construction related products and systems for which there are no SABS</w:t>
      </w:r>
      <w:r w:rsidRPr="00661465">
        <w:rPr>
          <w:rFonts w:ascii="Times New Roman" w:eastAsia="Times New Roman" w:hAnsi="Times New Roman" w:cs="Times New Roman"/>
          <w:color w:val="000000"/>
          <w:spacing w:val="6"/>
          <w:sz w:val="24"/>
          <w:szCs w:val="24"/>
          <w:vertAlign w:val="superscript"/>
          <w:lang w:val="en-GB" w:eastAsia="en-GB"/>
        </w:rPr>
        <w:footnoteReference w:id="43"/>
      </w:r>
      <w:r w:rsidRPr="00661465">
        <w:rPr>
          <w:rFonts w:ascii="Times New Roman" w:eastAsia="Times New Roman" w:hAnsi="Times New Roman" w:cs="Times New Roman"/>
          <w:color w:val="000000"/>
          <w:spacing w:val="6"/>
          <w:sz w:val="24"/>
          <w:szCs w:val="24"/>
          <w:lang w:val="en-GB" w:eastAsia="en-GB"/>
        </w:rPr>
        <w:t xml:space="preserve"> standards.</w:t>
      </w:r>
      <w:r w:rsidR="00435EDC" w:rsidRPr="00661465">
        <w:rPr>
          <w:rFonts w:ascii="Times New Roman" w:eastAsia="Times New Roman" w:hAnsi="Times New Roman" w:cs="Times New Roman"/>
          <w:color w:val="000000"/>
          <w:spacing w:val="6"/>
          <w:sz w:val="24"/>
          <w:szCs w:val="24"/>
          <w:lang w:val="en-GB" w:eastAsia="en-GB"/>
        </w:rPr>
        <w:t xml:space="preserve"> In addition, Agrément SA has been </w:t>
      </w:r>
      <w:r w:rsidR="00435EDC" w:rsidRPr="00661465">
        <w:rPr>
          <w:rFonts w:ascii="Times New Roman" w:hAnsi="Times New Roman" w:cs="Times New Roman"/>
          <w:sz w:val="24"/>
          <w:szCs w:val="24"/>
        </w:rPr>
        <w:t>appointed as the competent body to undertake Eco-Labelling for government’s buildings and products. A</w:t>
      </w:r>
      <w:r w:rsidR="00197BCE" w:rsidRPr="00661465">
        <w:rPr>
          <w:rFonts w:ascii="Times New Roman" w:hAnsi="Times New Roman" w:cs="Times New Roman"/>
          <w:sz w:val="24"/>
          <w:szCs w:val="24"/>
        </w:rPr>
        <w:t>ccording to this, A</w:t>
      </w:r>
      <w:r w:rsidR="00435EDC" w:rsidRPr="00661465">
        <w:rPr>
          <w:rFonts w:ascii="Times New Roman" w:hAnsi="Times New Roman" w:cs="Times New Roman"/>
          <w:sz w:val="24"/>
          <w:szCs w:val="24"/>
        </w:rPr>
        <w:t>SA will manage the South African Eco-Labelling system</w:t>
      </w:r>
      <w:r w:rsidR="00283B82" w:rsidRPr="00661465">
        <w:rPr>
          <w:rStyle w:val="FootnoteReference"/>
          <w:rFonts w:ascii="Times New Roman" w:hAnsi="Times New Roman" w:cs="Times New Roman"/>
          <w:sz w:val="24"/>
          <w:szCs w:val="24"/>
        </w:rPr>
        <w:footnoteReference w:id="44"/>
      </w:r>
      <w:r w:rsidR="00435EDC" w:rsidRPr="00661465">
        <w:rPr>
          <w:rFonts w:ascii="Times New Roman" w:hAnsi="Times New Roman" w:cs="Times New Roman"/>
          <w:sz w:val="24"/>
          <w:szCs w:val="24"/>
        </w:rPr>
        <w:t>. The Eco-Labelling system will address aspects such as indoor air quality, comfort</w:t>
      </w:r>
      <w:r w:rsidR="00283B82" w:rsidRPr="00661465">
        <w:rPr>
          <w:rFonts w:ascii="Times New Roman" w:hAnsi="Times New Roman" w:cs="Times New Roman"/>
          <w:sz w:val="24"/>
          <w:szCs w:val="24"/>
        </w:rPr>
        <w:t>, environmental,</w:t>
      </w:r>
      <w:r w:rsidR="00435EDC" w:rsidRPr="00661465">
        <w:rPr>
          <w:rFonts w:ascii="Times New Roman" w:hAnsi="Times New Roman" w:cs="Times New Roman"/>
          <w:sz w:val="24"/>
          <w:szCs w:val="24"/>
        </w:rPr>
        <w:t xml:space="preserve"> material and energy resource conservation</w:t>
      </w:r>
      <w:r w:rsidR="00283B82" w:rsidRPr="00661465">
        <w:rPr>
          <w:rFonts w:ascii="Times New Roman" w:hAnsi="Times New Roman" w:cs="Times New Roman"/>
          <w:sz w:val="24"/>
          <w:szCs w:val="24"/>
        </w:rPr>
        <w:t>. These aspects of construction</w:t>
      </w:r>
      <w:r w:rsidR="00435EDC" w:rsidRPr="00661465">
        <w:rPr>
          <w:rFonts w:ascii="Times New Roman" w:hAnsi="Times New Roman" w:cs="Times New Roman"/>
          <w:sz w:val="24"/>
          <w:szCs w:val="24"/>
        </w:rPr>
        <w:t xml:space="preserve"> will be incorporated in the NDW</w:t>
      </w:r>
      <w:r w:rsidR="00283B82" w:rsidRPr="00661465">
        <w:rPr>
          <w:rFonts w:ascii="Times New Roman" w:hAnsi="Times New Roman" w:cs="Times New Roman"/>
          <w:sz w:val="24"/>
          <w:szCs w:val="24"/>
        </w:rPr>
        <w:t>I</w:t>
      </w:r>
      <w:r w:rsidR="00435EDC" w:rsidRPr="00661465">
        <w:rPr>
          <w:rFonts w:ascii="Times New Roman" w:hAnsi="Times New Roman" w:cs="Times New Roman"/>
          <w:sz w:val="24"/>
          <w:szCs w:val="24"/>
        </w:rPr>
        <w:t xml:space="preserve"> Standard Specifications for Construction Works. </w:t>
      </w:r>
      <w:r w:rsidR="00435EDC" w:rsidRPr="00661465">
        <w:rPr>
          <w:rFonts w:ascii="Times New Roman" w:eastAsia="Times New Roman" w:hAnsi="Times New Roman" w:cs="Times New Roman"/>
          <w:color w:val="000000"/>
          <w:spacing w:val="6"/>
          <w:sz w:val="24"/>
          <w:szCs w:val="24"/>
          <w:lang w:val="en-GB" w:eastAsia="en-GB"/>
        </w:rPr>
        <w:t xml:space="preserve"> </w:t>
      </w:r>
    </w:p>
    <w:p w14:paraId="2438844C" w14:textId="77777777" w:rsidR="001E5657" w:rsidRDefault="001E5657" w:rsidP="00CC0781">
      <w:pPr>
        <w:spacing w:after="0" w:line="360" w:lineRule="auto"/>
        <w:jc w:val="both"/>
        <w:rPr>
          <w:rFonts w:ascii="Times New Roman" w:eastAsia="Times New Roman" w:hAnsi="Times New Roman" w:cs="Times New Roman"/>
          <w:b/>
          <w:color w:val="000000"/>
          <w:spacing w:val="6"/>
          <w:sz w:val="24"/>
          <w:szCs w:val="24"/>
          <w:lang w:val="en-GB" w:eastAsia="en-GB"/>
        </w:rPr>
      </w:pPr>
    </w:p>
    <w:p w14:paraId="27381A4C" w14:textId="77777777" w:rsidR="00FA3845" w:rsidRPr="00661465" w:rsidRDefault="00FA3845" w:rsidP="00CC0781">
      <w:pPr>
        <w:spacing w:after="0" w:line="360" w:lineRule="auto"/>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Stakeholders</w:t>
      </w:r>
    </w:p>
    <w:p w14:paraId="2E55A26A" w14:textId="77777777" w:rsidR="00652A03" w:rsidRPr="00661465" w:rsidRDefault="00652A03" w:rsidP="00CC0781">
      <w:pPr>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264476F4" w14:textId="77777777" w:rsidR="00FA3845" w:rsidRPr="00661465" w:rsidRDefault="00FA3845" w:rsidP="00652A03">
      <w:pPr>
        <w:snapToGrid w:val="0"/>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lastRenderedPageBreak/>
        <w:t>Agrément South Africa is a founding member (and internationally affiliated through its membership) of the World Federation of Technical Assessment Organisations (WFTAO)</w:t>
      </w:r>
      <w:r w:rsidR="00442DA7" w:rsidRPr="00661465">
        <w:rPr>
          <w:rFonts w:ascii="Times New Roman" w:eastAsia="Times New Roman" w:hAnsi="Times New Roman" w:cs="Times New Roman"/>
          <w:color w:val="000000"/>
          <w:spacing w:val="6"/>
          <w:sz w:val="24"/>
          <w:szCs w:val="24"/>
          <w:lang w:val="en-GB" w:eastAsia="en-GB"/>
        </w:rPr>
        <w:t>, which was established in 1996.</w:t>
      </w:r>
      <w:r w:rsidR="00442DA7" w:rsidRPr="00661465">
        <w:rPr>
          <w:rStyle w:val="FootnoteReference"/>
          <w:rFonts w:ascii="Times New Roman" w:eastAsia="Times New Roman" w:hAnsi="Times New Roman" w:cs="Times New Roman"/>
          <w:color w:val="000000"/>
          <w:spacing w:val="6"/>
          <w:sz w:val="24"/>
          <w:szCs w:val="24"/>
          <w:lang w:val="en-GB" w:eastAsia="en-GB"/>
        </w:rPr>
        <w:footnoteReference w:id="45"/>
      </w:r>
      <w:r w:rsidRPr="00661465">
        <w:rPr>
          <w:rFonts w:ascii="Times New Roman" w:eastAsia="Times New Roman" w:hAnsi="Times New Roman" w:cs="Times New Roman"/>
          <w:color w:val="000000"/>
          <w:spacing w:val="6"/>
          <w:sz w:val="24"/>
          <w:szCs w:val="24"/>
          <w:lang w:val="en-GB" w:eastAsia="en-GB"/>
        </w:rPr>
        <w:t xml:space="preserve"> It is a worldwide network for co-ordinating and facilitating the technical assessment of innovation in the construction field.</w:t>
      </w:r>
    </w:p>
    <w:p w14:paraId="2B943C31" w14:textId="77777777" w:rsidR="00FA3845" w:rsidRPr="00661465" w:rsidRDefault="00FA3845" w:rsidP="00CC0781">
      <w:pPr>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70D5FD90" w14:textId="77777777" w:rsidR="00FA3845" w:rsidRPr="00661465" w:rsidRDefault="00FA3845" w:rsidP="00CC0781">
      <w:pPr>
        <w:shd w:val="clear" w:color="auto" w:fill="FFFFFF" w:themeFill="background1"/>
        <w:snapToGrid w:val="0"/>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WFTAO's primary objective is to facilitate the transfer of national products to the global marketplace through the acceptance of technical assessments delivered by its members. Assessments delivered by a WFTAO member will:</w:t>
      </w:r>
      <w:r w:rsidRPr="00661465">
        <w:rPr>
          <w:rFonts w:ascii="Times New Roman" w:eastAsia="Times New Roman" w:hAnsi="Times New Roman" w:cs="Times New Roman"/>
          <w:color w:val="000000"/>
          <w:spacing w:val="6"/>
          <w:sz w:val="24"/>
          <w:szCs w:val="24"/>
          <w:vertAlign w:val="superscript"/>
          <w:lang w:val="en-GB" w:eastAsia="en-GB"/>
        </w:rPr>
        <w:footnoteReference w:id="46"/>
      </w:r>
    </w:p>
    <w:p w14:paraId="5C6D6E61" w14:textId="77777777" w:rsidR="00FA3845" w:rsidRPr="00661465" w:rsidRDefault="00FA3845" w:rsidP="00CC0781">
      <w:pPr>
        <w:shd w:val="clear" w:color="auto" w:fill="FFFFFF" w:themeFill="background1"/>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6D305CD2" w14:textId="77777777" w:rsidR="00FA3845" w:rsidRPr="00661465" w:rsidRDefault="00FA3845" w:rsidP="00CC0781">
      <w:pPr>
        <w:numPr>
          <w:ilvl w:val="0"/>
          <w:numId w:val="20"/>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“Provide a means of demonstrating the fitness for purpose of the product with building regulations.</w:t>
      </w:r>
    </w:p>
    <w:p w14:paraId="7365DF78" w14:textId="77777777" w:rsidR="00FA3845" w:rsidRPr="00661465" w:rsidRDefault="00FA3845" w:rsidP="00CC0781">
      <w:pPr>
        <w:numPr>
          <w:ilvl w:val="0"/>
          <w:numId w:val="20"/>
        </w:numPr>
        <w:shd w:val="clear" w:color="auto" w:fill="FFFFFF" w:themeFill="background1"/>
        <w:snapToGrid w:val="0"/>
        <w:spacing w:after="0" w:line="360" w:lineRule="auto"/>
        <w:ind w:firstLine="0"/>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Be more readily accepted by building control personnel.</w:t>
      </w:r>
    </w:p>
    <w:p w14:paraId="263AF01D" w14:textId="77777777" w:rsidR="00FA3845" w:rsidRPr="00661465" w:rsidRDefault="00FA3845" w:rsidP="00CC0781">
      <w:pPr>
        <w:numPr>
          <w:ilvl w:val="0"/>
          <w:numId w:val="20"/>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Show that the holders manufacturing and Quality Assurance (QA) systems meet high standards.</w:t>
      </w:r>
    </w:p>
    <w:p w14:paraId="3E1A4334" w14:textId="77777777" w:rsidR="00FA3845" w:rsidRPr="00661465" w:rsidRDefault="00FA3845" w:rsidP="001E5657">
      <w:pPr>
        <w:numPr>
          <w:ilvl w:val="0"/>
          <w:numId w:val="20"/>
        </w:numPr>
        <w:shd w:val="clear" w:color="auto" w:fill="FFFFFF" w:themeFill="background1"/>
        <w:snapToGrid w:val="0"/>
        <w:spacing w:after="0" w:line="360" w:lineRule="auto"/>
        <w:ind w:left="720" w:hanging="720"/>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Save valuable selling time, by using acceptance of new products in a conservative market.</w:t>
      </w:r>
    </w:p>
    <w:p w14:paraId="1091045A" w14:textId="77777777" w:rsidR="00FA3845" w:rsidRPr="00661465" w:rsidRDefault="00FA3845" w:rsidP="00CC0781">
      <w:pPr>
        <w:numPr>
          <w:ilvl w:val="0"/>
          <w:numId w:val="20"/>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 xml:space="preserve">Provide a good opportunity for media coverage for the holders to use the distinctive WFTAO logo on advertisements.” </w:t>
      </w:r>
    </w:p>
    <w:p w14:paraId="266097BC" w14:textId="77777777" w:rsidR="00FA3845" w:rsidRPr="00661465" w:rsidRDefault="00FA3845" w:rsidP="00CC0781">
      <w:pPr>
        <w:snapToGrid w:val="0"/>
        <w:spacing w:after="0" w:line="360" w:lineRule="auto"/>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In addition to its ties with the WFTAO, it maintains close working relationships with the following government departments, entities and agencies:</w:t>
      </w:r>
      <w:r w:rsidRPr="00661465">
        <w:rPr>
          <w:rFonts w:ascii="Times New Roman" w:eastAsia="Times New Roman" w:hAnsi="Times New Roman" w:cs="Times New Roman"/>
          <w:color w:val="000000"/>
          <w:spacing w:val="6"/>
          <w:sz w:val="24"/>
          <w:szCs w:val="24"/>
          <w:vertAlign w:val="superscript"/>
          <w:lang w:val="en-GB" w:eastAsia="en-GB"/>
        </w:rPr>
        <w:footnoteReference w:id="47"/>
      </w:r>
    </w:p>
    <w:p w14:paraId="62A9D31F" w14:textId="77777777" w:rsidR="00FA3845" w:rsidRPr="00661465" w:rsidRDefault="00FA3845" w:rsidP="00CC0781">
      <w:pPr>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28154593"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Department of Trade and Industry.</w:t>
      </w:r>
    </w:p>
    <w:p w14:paraId="531ACECD"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 xml:space="preserve">Construction Industry Development Board (CIDB). </w:t>
      </w:r>
    </w:p>
    <w:p w14:paraId="467C635E"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Council for the Built Environment (CBE).</w:t>
      </w:r>
    </w:p>
    <w:p w14:paraId="2CFCDF45"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Independent Development Trust (IDT).</w:t>
      </w:r>
    </w:p>
    <w:p w14:paraId="7C0E36E6" w14:textId="77777777" w:rsidR="0087783B" w:rsidRPr="00661465" w:rsidRDefault="0087783B"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The construction and professional built environment sector.</w:t>
      </w:r>
    </w:p>
    <w:p w14:paraId="485D17C8"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International Council for Building, Research Studies and Documentation (CID).</w:t>
      </w:r>
    </w:p>
    <w:p w14:paraId="366621CF"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National, provincial, and local government departments (for example the Department of Human Settlements</w:t>
      </w:r>
      <w:r w:rsidR="0087783B" w:rsidRPr="00661465">
        <w:rPr>
          <w:rFonts w:ascii="Times New Roman" w:eastAsia="Times New Roman" w:hAnsi="Times New Roman" w:cs="Times New Roman"/>
          <w:color w:val="000000"/>
          <w:spacing w:val="6"/>
          <w:sz w:val="24"/>
          <w:szCs w:val="24"/>
          <w:lang w:val="en-GB" w:eastAsia="en-GB"/>
        </w:rPr>
        <w:t xml:space="preserve"> and Sanitation</w:t>
      </w:r>
      <w:r w:rsidRPr="00661465">
        <w:rPr>
          <w:rFonts w:ascii="Times New Roman" w:eastAsia="Times New Roman" w:hAnsi="Times New Roman" w:cs="Times New Roman"/>
          <w:color w:val="000000"/>
          <w:spacing w:val="6"/>
          <w:sz w:val="24"/>
          <w:szCs w:val="24"/>
          <w:lang w:val="en-GB" w:eastAsia="en-GB"/>
        </w:rPr>
        <w:t>).</w:t>
      </w:r>
    </w:p>
    <w:p w14:paraId="072BC6FD"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lastRenderedPageBreak/>
        <w:t>South African Bureau of Standards (SABS).</w:t>
      </w:r>
    </w:p>
    <w:p w14:paraId="357D81A5"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South African National Roads Agency Limited (SANRAL).</w:t>
      </w:r>
    </w:p>
    <w:p w14:paraId="2AE37773"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National Regulator for Compulsory Standards.</w:t>
      </w:r>
    </w:p>
    <w:p w14:paraId="736A4ED1"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National Home Builders' Registration Council (NHBRC).</w:t>
      </w:r>
    </w:p>
    <w:p w14:paraId="505E922C"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Technology and Innovation Agency.</w:t>
      </w:r>
    </w:p>
    <w:p w14:paraId="571A91B4"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South African Revenue Services (SARS).</w:t>
      </w:r>
    </w:p>
    <w:p w14:paraId="31547990" w14:textId="77777777" w:rsidR="00FA3845" w:rsidRPr="00661465" w:rsidRDefault="00FA3845" w:rsidP="00CC0781">
      <w:pPr>
        <w:numPr>
          <w:ilvl w:val="0"/>
          <w:numId w:val="21"/>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sz w:val="24"/>
          <w:szCs w:val="24"/>
          <w:lang w:val="en-GB" w:eastAsia="en-GB"/>
        </w:rPr>
      </w:pPr>
      <w:r w:rsidRPr="00661465">
        <w:rPr>
          <w:rFonts w:ascii="Times New Roman" w:eastAsia="Times New Roman" w:hAnsi="Times New Roman" w:cs="Times New Roman"/>
          <w:color w:val="000000"/>
          <w:spacing w:val="6"/>
          <w:sz w:val="24"/>
          <w:szCs w:val="24"/>
          <w:lang w:val="en-GB" w:eastAsia="en-GB"/>
        </w:rPr>
        <w:t>National Treasury.</w:t>
      </w:r>
    </w:p>
    <w:p w14:paraId="10C8549E" w14:textId="77777777" w:rsidR="001E4EDA" w:rsidRDefault="001E4EDA" w:rsidP="001E5657">
      <w:pPr>
        <w:tabs>
          <w:tab w:val="left" w:pos="360"/>
          <w:tab w:val="left" w:pos="851"/>
        </w:tabs>
        <w:snapToGrid w:val="0"/>
        <w:spacing w:after="0" w:line="240" w:lineRule="auto"/>
        <w:jc w:val="both"/>
        <w:rPr>
          <w:rFonts w:ascii="Times New Roman" w:eastAsia="Times New Roman" w:hAnsi="Times New Roman" w:cs="Times New Roman"/>
          <w:b/>
          <w:color w:val="000000"/>
          <w:spacing w:val="6"/>
          <w:sz w:val="24"/>
          <w:szCs w:val="24"/>
          <w:lang w:val="en-GB" w:eastAsia="en-GB"/>
        </w:rPr>
      </w:pPr>
    </w:p>
    <w:p w14:paraId="7062F9ED" w14:textId="77777777" w:rsidR="003F3382" w:rsidRPr="00661465" w:rsidRDefault="004779D7" w:rsidP="001E5657">
      <w:pPr>
        <w:tabs>
          <w:tab w:val="left" w:pos="360"/>
          <w:tab w:val="left" w:pos="851"/>
        </w:tabs>
        <w:snapToGrid w:val="0"/>
        <w:spacing w:after="0" w:line="240" w:lineRule="auto"/>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Strategic outcome-oriented goals ASA must implement with its budget</w:t>
      </w:r>
      <w:r w:rsidR="003F3382" w:rsidRPr="00661465">
        <w:rPr>
          <w:rFonts w:ascii="Times New Roman" w:eastAsia="Times New Roman" w:hAnsi="Times New Roman" w:cs="Times New Roman"/>
          <w:b/>
          <w:color w:val="000000"/>
          <w:spacing w:val="6"/>
          <w:sz w:val="24"/>
          <w:szCs w:val="24"/>
          <w:lang w:val="en-GB" w:eastAsia="en-GB"/>
        </w:rPr>
        <w:t>:</w:t>
      </w:r>
    </w:p>
    <w:p w14:paraId="201AF2B5" w14:textId="77777777" w:rsidR="001E5657" w:rsidRDefault="001E5657" w:rsidP="001E5657">
      <w:pPr>
        <w:spacing w:before="119" w:line="240" w:lineRule="auto"/>
        <w:ind w:right="-64"/>
        <w:jc w:val="both"/>
        <w:rPr>
          <w:rFonts w:ascii="Times New Roman" w:hAnsi="Times New Roman" w:cs="Times New Roman"/>
          <w:sz w:val="24"/>
          <w:szCs w:val="24"/>
        </w:rPr>
      </w:pPr>
    </w:p>
    <w:p w14:paraId="44DDDC1A" w14:textId="77777777" w:rsidR="004779D7" w:rsidRPr="00661465" w:rsidRDefault="004779D7" w:rsidP="001E5657">
      <w:pPr>
        <w:spacing w:before="119" w:line="360" w:lineRule="auto"/>
        <w:ind w:right="-64"/>
        <w:jc w:val="both"/>
        <w:rPr>
          <w:rFonts w:ascii="Times New Roman" w:hAnsi="Times New Roman" w:cs="Times New Roman"/>
          <w:sz w:val="24"/>
          <w:szCs w:val="24"/>
        </w:rPr>
      </w:pPr>
      <w:r w:rsidRPr="00661465">
        <w:rPr>
          <w:rFonts w:ascii="Times New Roman" w:hAnsi="Times New Roman" w:cs="Times New Roman"/>
          <w:sz w:val="24"/>
          <w:szCs w:val="24"/>
        </w:rPr>
        <w:t>The ASA Board has concluded a Shareholders Compact with the Ministry of Public Works for the period 1</w:t>
      </w:r>
      <w:r w:rsidRPr="00661465">
        <w:rPr>
          <w:rFonts w:ascii="Times New Roman" w:hAnsi="Times New Roman" w:cs="Times New Roman"/>
          <w:sz w:val="24"/>
          <w:szCs w:val="24"/>
          <w:vertAlign w:val="superscript"/>
        </w:rPr>
        <w:t>st</w:t>
      </w:r>
      <w:r w:rsidRPr="00661465">
        <w:rPr>
          <w:rFonts w:ascii="Times New Roman" w:hAnsi="Times New Roman" w:cs="Times New Roman"/>
          <w:sz w:val="24"/>
          <w:szCs w:val="24"/>
        </w:rPr>
        <w:t xml:space="preserve"> April 2018 to 31</w:t>
      </w:r>
      <w:r w:rsidRPr="00661465">
        <w:rPr>
          <w:rFonts w:ascii="Times New Roman" w:hAnsi="Times New Roman" w:cs="Times New Roman"/>
          <w:sz w:val="24"/>
          <w:szCs w:val="24"/>
          <w:vertAlign w:val="superscript"/>
        </w:rPr>
        <w:t>st</w:t>
      </w:r>
      <w:r w:rsidRPr="00661465">
        <w:rPr>
          <w:rFonts w:ascii="Times New Roman" w:hAnsi="Times New Roman" w:cs="Times New Roman"/>
          <w:sz w:val="24"/>
          <w:szCs w:val="24"/>
        </w:rPr>
        <w:t xml:space="preserve"> March 2019. In terms of this agreement ASA is mandated by the Shareholder to “facilitate the introduction, application and utilization of satisfactory innovation and technology development within the Construction industry by providing assurance of fitness-for-purpose for such technologies in order to optimize resource utilisation and realize cost savings in the industry” (p. 5 of the Shareholder Compact).</w:t>
      </w:r>
    </w:p>
    <w:p w14:paraId="0E519CD4" w14:textId="77777777" w:rsidR="004779D7" w:rsidRPr="00661465" w:rsidRDefault="004779D7" w:rsidP="00CB3854">
      <w:pPr>
        <w:spacing w:before="122" w:line="360" w:lineRule="auto"/>
        <w:ind w:right="-64"/>
        <w:jc w:val="both"/>
        <w:rPr>
          <w:rFonts w:ascii="Times New Roman" w:hAnsi="Times New Roman" w:cs="Times New Roman"/>
          <w:sz w:val="24"/>
          <w:szCs w:val="24"/>
        </w:rPr>
      </w:pPr>
      <w:r w:rsidRPr="00661465">
        <w:rPr>
          <w:rFonts w:ascii="Times New Roman" w:hAnsi="Times New Roman" w:cs="Times New Roman"/>
          <w:sz w:val="24"/>
          <w:szCs w:val="24"/>
        </w:rPr>
        <w:t>In its Revised Strategic Plan, the NDPW has identified five strategic outcome-orientated goals for the 2015-2020 period as follows:</w:t>
      </w:r>
    </w:p>
    <w:p w14:paraId="6BFA1A26" w14:textId="77777777" w:rsidR="004779D7" w:rsidRPr="00661465" w:rsidRDefault="004779D7" w:rsidP="007677F2">
      <w:pPr>
        <w:pStyle w:val="ListParagraph"/>
        <w:widowControl w:val="0"/>
        <w:numPr>
          <w:ilvl w:val="0"/>
          <w:numId w:val="25"/>
        </w:numPr>
        <w:tabs>
          <w:tab w:val="left" w:pos="1418"/>
        </w:tabs>
        <w:autoSpaceDE w:val="0"/>
        <w:autoSpaceDN w:val="0"/>
        <w:spacing w:before="119" w:line="360" w:lineRule="auto"/>
        <w:ind w:left="1260" w:right="-64" w:hanging="267"/>
        <w:contextualSpacing w:val="0"/>
        <w:jc w:val="both"/>
      </w:pPr>
      <w:r w:rsidRPr="00661465">
        <w:t>Transform the Construction and Property Sectors through the development of policy and legislature prescripts;</w:t>
      </w:r>
    </w:p>
    <w:p w14:paraId="74CA194A" w14:textId="77777777" w:rsidR="004779D7" w:rsidRPr="00661465" w:rsidRDefault="004779D7" w:rsidP="007677F2">
      <w:pPr>
        <w:pStyle w:val="ListParagraph"/>
        <w:widowControl w:val="0"/>
        <w:numPr>
          <w:ilvl w:val="0"/>
          <w:numId w:val="25"/>
        </w:numPr>
        <w:tabs>
          <w:tab w:val="left" w:pos="1276"/>
          <w:tab w:val="left" w:pos="1418"/>
        </w:tabs>
        <w:autoSpaceDE w:val="0"/>
        <w:autoSpaceDN w:val="0"/>
        <w:spacing w:before="120" w:line="360" w:lineRule="auto"/>
        <w:ind w:left="1260" w:hanging="267"/>
        <w:contextualSpacing w:val="0"/>
        <w:jc w:val="both"/>
      </w:pPr>
      <w:r w:rsidRPr="00661465">
        <w:t>Provide oversight of the Public Works</w:t>
      </w:r>
      <w:r w:rsidRPr="00661465">
        <w:rPr>
          <w:spacing w:val="-8"/>
        </w:rPr>
        <w:t xml:space="preserve"> </w:t>
      </w:r>
      <w:r w:rsidRPr="00661465">
        <w:t>sector;</w:t>
      </w:r>
    </w:p>
    <w:p w14:paraId="083924E5" w14:textId="77777777" w:rsidR="004779D7" w:rsidRPr="00661465" w:rsidRDefault="004779D7" w:rsidP="007677F2">
      <w:pPr>
        <w:pStyle w:val="ListParagraph"/>
        <w:widowControl w:val="0"/>
        <w:numPr>
          <w:ilvl w:val="0"/>
          <w:numId w:val="25"/>
        </w:numPr>
        <w:tabs>
          <w:tab w:val="left" w:pos="1276"/>
          <w:tab w:val="left" w:pos="1418"/>
        </w:tabs>
        <w:autoSpaceDE w:val="0"/>
        <w:autoSpaceDN w:val="0"/>
        <w:spacing w:before="147" w:line="360" w:lineRule="auto"/>
        <w:ind w:left="1260" w:right="490" w:hanging="267"/>
        <w:contextualSpacing w:val="0"/>
        <w:jc w:val="both"/>
      </w:pPr>
      <w:r w:rsidRPr="00661465">
        <w:t>To</w:t>
      </w:r>
      <w:r w:rsidRPr="00661465">
        <w:rPr>
          <w:spacing w:val="-8"/>
        </w:rPr>
        <w:t xml:space="preserve"> </w:t>
      </w:r>
      <w:r w:rsidRPr="00661465">
        <w:t>provide</w:t>
      </w:r>
      <w:r w:rsidRPr="00661465">
        <w:rPr>
          <w:spacing w:val="-8"/>
        </w:rPr>
        <w:t xml:space="preserve"> </w:t>
      </w:r>
      <w:r w:rsidRPr="00661465">
        <w:t>an</w:t>
      </w:r>
      <w:r w:rsidRPr="00661465">
        <w:rPr>
          <w:spacing w:val="-11"/>
        </w:rPr>
        <w:t xml:space="preserve"> </w:t>
      </w:r>
      <w:r w:rsidRPr="00661465">
        <w:t>oversight</w:t>
      </w:r>
      <w:r w:rsidRPr="00661465">
        <w:rPr>
          <w:spacing w:val="-11"/>
        </w:rPr>
        <w:t xml:space="preserve"> </w:t>
      </w:r>
      <w:r w:rsidRPr="00661465">
        <w:t>role</w:t>
      </w:r>
      <w:r w:rsidRPr="00661465">
        <w:rPr>
          <w:spacing w:val="-8"/>
        </w:rPr>
        <w:t xml:space="preserve"> </w:t>
      </w:r>
      <w:r w:rsidRPr="00661465">
        <w:t>in</w:t>
      </w:r>
      <w:r w:rsidRPr="00661465">
        <w:rPr>
          <w:spacing w:val="-10"/>
        </w:rPr>
        <w:t xml:space="preserve"> </w:t>
      </w:r>
      <w:r w:rsidRPr="00661465">
        <w:t>the</w:t>
      </w:r>
      <w:r w:rsidRPr="00661465">
        <w:rPr>
          <w:spacing w:val="-8"/>
        </w:rPr>
        <w:t xml:space="preserve"> </w:t>
      </w:r>
      <w:r w:rsidRPr="00661465">
        <w:t>implementation</w:t>
      </w:r>
      <w:r w:rsidRPr="00661465">
        <w:rPr>
          <w:spacing w:val="-12"/>
        </w:rPr>
        <w:t xml:space="preserve"> </w:t>
      </w:r>
      <w:r w:rsidRPr="00661465">
        <w:t>of</w:t>
      </w:r>
      <w:r w:rsidRPr="00661465">
        <w:rPr>
          <w:spacing w:val="-12"/>
        </w:rPr>
        <w:t xml:space="preserve"> </w:t>
      </w:r>
      <w:r w:rsidRPr="00661465">
        <w:t>Public</w:t>
      </w:r>
      <w:r w:rsidRPr="00661465">
        <w:rPr>
          <w:spacing w:val="-9"/>
        </w:rPr>
        <w:t xml:space="preserve"> </w:t>
      </w:r>
      <w:r w:rsidRPr="00661465">
        <w:t>Employment</w:t>
      </w:r>
      <w:r w:rsidRPr="00661465">
        <w:rPr>
          <w:spacing w:val="-11"/>
        </w:rPr>
        <w:t xml:space="preserve"> </w:t>
      </w:r>
      <w:r w:rsidRPr="00661465">
        <w:t>Programmes</w:t>
      </w:r>
      <w:r w:rsidRPr="00661465">
        <w:rPr>
          <w:spacing w:val="-11"/>
        </w:rPr>
        <w:t xml:space="preserve"> </w:t>
      </w:r>
      <w:r w:rsidRPr="00661465">
        <w:t>(PEPs) through Expanded Public Works Programme (EPWP) standardised</w:t>
      </w:r>
      <w:r w:rsidRPr="00661465">
        <w:rPr>
          <w:spacing w:val="-15"/>
        </w:rPr>
        <w:t xml:space="preserve"> </w:t>
      </w:r>
      <w:r w:rsidRPr="00661465">
        <w:t>frameworks;</w:t>
      </w:r>
    </w:p>
    <w:p w14:paraId="13492628" w14:textId="77777777" w:rsidR="004779D7" w:rsidRPr="00661465" w:rsidRDefault="004779D7" w:rsidP="007677F2">
      <w:pPr>
        <w:pStyle w:val="ListParagraph"/>
        <w:widowControl w:val="0"/>
        <w:numPr>
          <w:ilvl w:val="0"/>
          <w:numId w:val="25"/>
        </w:numPr>
        <w:tabs>
          <w:tab w:val="left" w:pos="1276"/>
          <w:tab w:val="left" w:pos="1418"/>
        </w:tabs>
        <w:autoSpaceDE w:val="0"/>
        <w:autoSpaceDN w:val="0"/>
        <w:spacing w:before="119" w:line="360" w:lineRule="auto"/>
        <w:ind w:left="1260" w:hanging="267"/>
        <w:contextualSpacing w:val="0"/>
        <w:jc w:val="both"/>
      </w:pPr>
      <w:r w:rsidRPr="00661465">
        <w:t>Oversee the efficient delivery of identified services to Prestige Clients;</w:t>
      </w:r>
      <w:r w:rsidRPr="00661465">
        <w:rPr>
          <w:spacing w:val="-16"/>
        </w:rPr>
        <w:t xml:space="preserve"> </w:t>
      </w:r>
      <w:r w:rsidRPr="00661465">
        <w:t>and</w:t>
      </w:r>
    </w:p>
    <w:p w14:paraId="78499283" w14:textId="77777777" w:rsidR="004779D7" w:rsidRPr="00661465" w:rsidRDefault="004779D7" w:rsidP="007677F2">
      <w:pPr>
        <w:pStyle w:val="ListParagraph"/>
        <w:widowControl w:val="0"/>
        <w:numPr>
          <w:ilvl w:val="0"/>
          <w:numId w:val="25"/>
        </w:numPr>
        <w:tabs>
          <w:tab w:val="left" w:pos="1418"/>
          <w:tab w:val="left" w:pos="1539"/>
        </w:tabs>
        <w:autoSpaceDE w:val="0"/>
        <w:autoSpaceDN w:val="0"/>
        <w:spacing w:before="147" w:line="360" w:lineRule="auto"/>
        <w:ind w:left="1260" w:right="491" w:hanging="267"/>
        <w:contextualSpacing w:val="0"/>
        <w:jc w:val="both"/>
      </w:pPr>
      <w:r w:rsidRPr="00661465">
        <w:t>Support service delivery in a smart, proactive and business centric manner that is aligned to statutory requirements.</w:t>
      </w:r>
    </w:p>
    <w:p w14:paraId="39869E75" w14:textId="77777777" w:rsidR="001E5657" w:rsidRDefault="001E5657" w:rsidP="00CC0781">
      <w:pPr>
        <w:jc w:val="both"/>
        <w:rPr>
          <w:rFonts w:ascii="Times New Roman" w:eastAsia="Times New Roman" w:hAnsi="Times New Roman" w:cs="Times New Roman"/>
          <w:b/>
          <w:color w:val="000000"/>
          <w:spacing w:val="6"/>
          <w:sz w:val="24"/>
          <w:szCs w:val="24"/>
          <w:lang w:val="en-GB" w:eastAsia="en-GB"/>
        </w:rPr>
      </w:pPr>
    </w:p>
    <w:p w14:paraId="7C79B382" w14:textId="77777777" w:rsidR="000D36F0" w:rsidRPr="00661465" w:rsidRDefault="00732A22" w:rsidP="00CC0781">
      <w:pPr>
        <w:jc w:val="both"/>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t>Budget allocations to ASA</w:t>
      </w:r>
      <w:r w:rsidR="000D36F0" w:rsidRPr="00661465">
        <w:rPr>
          <w:rFonts w:ascii="Times New Roman" w:eastAsia="Times New Roman" w:hAnsi="Times New Roman" w:cs="Times New Roman"/>
          <w:b/>
          <w:color w:val="000000"/>
          <w:spacing w:val="6"/>
          <w:sz w:val="24"/>
          <w:szCs w:val="24"/>
          <w:lang w:val="en-GB" w:eastAsia="en-GB"/>
        </w:rPr>
        <w:t>:</w:t>
      </w:r>
    </w:p>
    <w:p w14:paraId="63E88D97" w14:textId="77777777" w:rsidR="00CB3854" w:rsidRPr="00661465" w:rsidRDefault="00CB3854" w:rsidP="00CC0781">
      <w:pPr>
        <w:pStyle w:val="TableParagraph"/>
        <w:spacing w:line="360" w:lineRule="auto"/>
        <w:ind w:left="57"/>
        <w:jc w:val="both"/>
        <w:rPr>
          <w:rFonts w:ascii="Times New Roman" w:hAnsi="Times New Roman" w:cs="Times New Roman"/>
          <w:sz w:val="24"/>
          <w:szCs w:val="24"/>
        </w:rPr>
      </w:pPr>
    </w:p>
    <w:p w14:paraId="6B8CD45C" w14:textId="77777777" w:rsidR="00835DFA" w:rsidRPr="00661465" w:rsidRDefault="000D36F0" w:rsidP="00CB3854">
      <w:pPr>
        <w:pStyle w:val="TableParagraph"/>
        <w:spacing w:line="360" w:lineRule="auto"/>
        <w:ind w:left="57" w:right="-154"/>
        <w:jc w:val="both"/>
        <w:rPr>
          <w:rFonts w:ascii="Times New Roman" w:hAnsi="Times New Roman" w:cs="Times New Roman"/>
          <w:sz w:val="24"/>
          <w:szCs w:val="24"/>
        </w:rPr>
      </w:pPr>
      <w:r w:rsidRPr="00661465">
        <w:rPr>
          <w:rFonts w:ascii="Times New Roman" w:hAnsi="Times New Roman" w:cs="Times New Roman"/>
          <w:sz w:val="24"/>
          <w:szCs w:val="24"/>
        </w:rPr>
        <w:t>ASA</w:t>
      </w:r>
      <w:r w:rsidRPr="00661465">
        <w:rPr>
          <w:rFonts w:ascii="Times New Roman" w:hAnsi="Times New Roman" w:cs="Times New Roman"/>
          <w:spacing w:val="-3"/>
          <w:sz w:val="24"/>
          <w:szCs w:val="24"/>
        </w:rPr>
        <w:t xml:space="preserve"> </w:t>
      </w:r>
      <w:r w:rsidRPr="00661465">
        <w:rPr>
          <w:rFonts w:ascii="Times New Roman" w:hAnsi="Times New Roman" w:cs="Times New Roman"/>
          <w:sz w:val="24"/>
          <w:szCs w:val="24"/>
        </w:rPr>
        <w:t>is</w:t>
      </w:r>
      <w:r w:rsidRPr="00661465">
        <w:rPr>
          <w:rFonts w:ascii="Times New Roman" w:hAnsi="Times New Roman" w:cs="Times New Roman"/>
          <w:spacing w:val="-3"/>
          <w:sz w:val="24"/>
          <w:szCs w:val="24"/>
        </w:rPr>
        <w:t xml:space="preserve"> </w:t>
      </w:r>
      <w:r w:rsidRPr="00661465">
        <w:rPr>
          <w:rFonts w:ascii="Times New Roman" w:hAnsi="Times New Roman" w:cs="Times New Roman"/>
          <w:sz w:val="24"/>
          <w:szCs w:val="24"/>
        </w:rPr>
        <w:t>funded</w:t>
      </w:r>
      <w:r w:rsidRPr="00661465">
        <w:rPr>
          <w:rFonts w:ascii="Times New Roman" w:hAnsi="Times New Roman" w:cs="Times New Roman"/>
          <w:spacing w:val="-4"/>
          <w:sz w:val="24"/>
          <w:szCs w:val="24"/>
        </w:rPr>
        <w:t xml:space="preserve"> </w:t>
      </w:r>
      <w:r w:rsidRPr="00661465">
        <w:rPr>
          <w:rFonts w:ascii="Times New Roman" w:hAnsi="Times New Roman" w:cs="Times New Roman"/>
          <w:sz w:val="24"/>
          <w:szCs w:val="24"/>
        </w:rPr>
        <w:t>mainly</w:t>
      </w:r>
      <w:r w:rsidRPr="00661465">
        <w:rPr>
          <w:rFonts w:ascii="Times New Roman" w:hAnsi="Times New Roman" w:cs="Times New Roman"/>
          <w:spacing w:val="-5"/>
          <w:sz w:val="24"/>
          <w:szCs w:val="24"/>
        </w:rPr>
        <w:t xml:space="preserve"> </w:t>
      </w:r>
      <w:r w:rsidRPr="00661465">
        <w:rPr>
          <w:rFonts w:ascii="Times New Roman" w:hAnsi="Times New Roman" w:cs="Times New Roman"/>
          <w:sz w:val="24"/>
          <w:szCs w:val="24"/>
        </w:rPr>
        <w:t>from</w:t>
      </w:r>
      <w:r w:rsidRPr="00661465">
        <w:rPr>
          <w:rFonts w:ascii="Times New Roman" w:hAnsi="Times New Roman" w:cs="Times New Roman"/>
          <w:spacing w:val="-5"/>
          <w:sz w:val="24"/>
          <w:szCs w:val="24"/>
        </w:rPr>
        <w:t xml:space="preserve"> </w:t>
      </w:r>
      <w:r w:rsidRPr="00661465">
        <w:rPr>
          <w:rFonts w:ascii="Times New Roman" w:hAnsi="Times New Roman" w:cs="Times New Roman"/>
          <w:sz w:val="24"/>
          <w:szCs w:val="24"/>
        </w:rPr>
        <w:t>the</w:t>
      </w:r>
      <w:r w:rsidRPr="00661465">
        <w:rPr>
          <w:rFonts w:ascii="Times New Roman" w:hAnsi="Times New Roman" w:cs="Times New Roman"/>
          <w:spacing w:val="-3"/>
          <w:sz w:val="24"/>
          <w:szCs w:val="24"/>
        </w:rPr>
        <w:t xml:space="preserve"> </w:t>
      </w:r>
      <w:r w:rsidRPr="00661465">
        <w:rPr>
          <w:rFonts w:ascii="Times New Roman" w:hAnsi="Times New Roman" w:cs="Times New Roman"/>
          <w:sz w:val="24"/>
          <w:szCs w:val="24"/>
        </w:rPr>
        <w:t>annual</w:t>
      </w:r>
      <w:r w:rsidRPr="00661465">
        <w:rPr>
          <w:rFonts w:ascii="Times New Roman" w:hAnsi="Times New Roman" w:cs="Times New Roman"/>
          <w:spacing w:val="-4"/>
          <w:sz w:val="24"/>
          <w:szCs w:val="24"/>
        </w:rPr>
        <w:t xml:space="preserve"> </w:t>
      </w:r>
      <w:r w:rsidRPr="00661465">
        <w:rPr>
          <w:rFonts w:ascii="Times New Roman" w:hAnsi="Times New Roman" w:cs="Times New Roman"/>
          <w:sz w:val="24"/>
          <w:szCs w:val="24"/>
        </w:rPr>
        <w:t>government</w:t>
      </w:r>
      <w:r w:rsidRPr="00661465">
        <w:rPr>
          <w:rFonts w:ascii="Times New Roman" w:hAnsi="Times New Roman" w:cs="Times New Roman"/>
          <w:spacing w:val="-5"/>
          <w:sz w:val="24"/>
          <w:szCs w:val="24"/>
        </w:rPr>
        <w:t xml:space="preserve"> </w:t>
      </w:r>
      <w:r w:rsidRPr="00661465">
        <w:rPr>
          <w:rFonts w:ascii="Times New Roman" w:hAnsi="Times New Roman" w:cs="Times New Roman"/>
          <w:sz w:val="24"/>
          <w:szCs w:val="24"/>
        </w:rPr>
        <w:t>grant</w:t>
      </w:r>
      <w:r w:rsidR="00732A22" w:rsidRPr="00661465">
        <w:rPr>
          <w:rFonts w:ascii="Times New Roman" w:hAnsi="Times New Roman" w:cs="Times New Roman"/>
          <w:sz w:val="24"/>
          <w:szCs w:val="24"/>
        </w:rPr>
        <w:t xml:space="preserve"> transferred through the DPWI’s </w:t>
      </w:r>
      <w:r w:rsidR="00732A22" w:rsidRPr="00661465">
        <w:rPr>
          <w:rFonts w:ascii="Times New Roman" w:hAnsi="Times New Roman" w:cs="Times New Roman"/>
          <w:sz w:val="24"/>
          <w:szCs w:val="24"/>
        </w:rPr>
        <w:lastRenderedPageBreak/>
        <w:t>programme 4</w:t>
      </w:r>
      <w:r w:rsidRPr="00661465">
        <w:rPr>
          <w:rFonts w:ascii="Times New Roman" w:hAnsi="Times New Roman" w:cs="Times New Roman"/>
          <w:sz w:val="24"/>
          <w:szCs w:val="24"/>
        </w:rPr>
        <w:t>.</w:t>
      </w:r>
      <w:r w:rsidR="00EC1C6D" w:rsidRPr="00661465">
        <w:rPr>
          <w:rFonts w:ascii="Times New Roman" w:hAnsi="Times New Roman" w:cs="Times New Roman"/>
          <w:sz w:val="24"/>
          <w:szCs w:val="24"/>
        </w:rPr>
        <w:t xml:space="preserve"> It generates additional</w:t>
      </w:r>
      <w:r w:rsidR="005C2542" w:rsidRPr="00661465">
        <w:rPr>
          <w:rFonts w:ascii="Times New Roman" w:hAnsi="Times New Roman" w:cs="Times New Roman"/>
          <w:sz w:val="24"/>
          <w:szCs w:val="24"/>
        </w:rPr>
        <w:t xml:space="preserve"> income </w:t>
      </w:r>
      <w:r w:rsidR="00EC1C6D" w:rsidRPr="00661465">
        <w:rPr>
          <w:rFonts w:ascii="Times New Roman" w:hAnsi="Times New Roman" w:cs="Times New Roman"/>
          <w:sz w:val="24"/>
          <w:szCs w:val="24"/>
        </w:rPr>
        <w:t>through services rendered to the market.</w:t>
      </w:r>
      <w:r w:rsidR="005C2542" w:rsidRPr="00661465">
        <w:rPr>
          <w:rFonts w:ascii="Times New Roman" w:hAnsi="Times New Roman" w:cs="Times New Roman"/>
          <w:sz w:val="24"/>
          <w:szCs w:val="24"/>
        </w:rPr>
        <w:t xml:space="preserve"> </w:t>
      </w:r>
      <w:r w:rsidR="00732A22" w:rsidRPr="00661465">
        <w:rPr>
          <w:rFonts w:ascii="Times New Roman" w:hAnsi="Times New Roman" w:cs="Times New Roman"/>
          <w:sz w:val="24"/>
          <w:szCs w:val="24"/>
        </w:rPr>
        <w:t xml:space="preserve"> </w:t>
      </w:r>
      <w:r w:rsidRPr="00661465">
        <w:rPr>
          <w:rFonts w:ascii="Times New Roman" w:hAnsi="Times New Roman" w:cs="Times New Roman"/>
          <w:spacing w:val="-5"/>
          <w:sz w:val="24"/>
          <w:szCs w:val="24"/>
        </w:rPr>
        <w:t xml:space="preserve"> </w:t>
      </w:r>
    </w:p>
    <w:p w14:paraId="14BBCCF4" w14:textId="77777777" w:rsidR="000D36F0" w:rsidRPr="00661465" w:rsidRDefault="000D36F0" w:rsidP="00CB3854">
      <w:pPr>
        <w:pStyle w:val="BodyText"/>
        <w:spacing w:before="238" w:line="360" w:lineRule="auto"/>
        <w:ind w:right="-154"/>
        <w:rPr>
          <w:rFonts w:ascii="Times New Roman" w:hAnsi="Times New Roman"/>
          <w:szCs w:val="24"/>
        </w:rPr>
      </w:pPr>
      <w:r w:rsidRPr="00661465">
        <w:rPr>
          <w:rFonts w:ascii="Times New Roman" w:hAnsi="Times New Roman"/>
          <w:szCs w:val="24"/>
        </w:rPr>
        <w:t>In</w:t>
      </w:r>
      <w:r w:rsidRPr="00661465">
        <w:rPr>
          <w:rFonts w:ascii="Times New Roman" w:hAnsi="Times New Roman"/>
          <w:spacing w:val="-5"/>
          <w:szCs w:val="24"/>
        </w:rPr>
        <w:t xml:space="preserve"> </w:t>
      </w:r>
      <w:r w:rsidRPr="00661465">
        <w:rPr>
          <w:rFonts w:ascii="Times New Roman" w:hAnsi="Times New Roman"/>
          <w:szCs w:val="24"/>
        </w:rPr>
        <w:t>the</w:t>
      </w:r>
      <w:r w:rsidRPr="00661465">
        <w:rPr>
          <w:rFonts w:ascii="Times New Roman" w:hAnsi="Times New Roman"/>
          <w:spacing w:val="-3"/>
          <w:szCs w:val="24"/>
        </w:rPr>
        <w:t xml:space="preserve"> </w:t>
      </w:r>
      <w:r w:rsidRPr="00661465">
        <w:rPr>
          <w:rFonts w:ascii="Times New Roman" w:hAnsi="Times New Roman"/>
          <w:szCs w:val="24"/>
        </w:rPr>
        <w:t>2017/2018</w:t>
      </w:r>
      <w:r w:rsidRPr="00661465">
        <w:rPr>
          <w:rFonts w:ascii="Times New Roman" w:hAnsi="Times New Roman"/>
          <w:spacing w:val="-5"/>
          <w:szCs w:val="24"/>
        </w:rPr>
        <w:t xml:space="preserve"> </w:t>
      </w:r>
      <w:r w:rsidRPr="00661465">
        <w:rPr>
          <w:rFonts w:ascii="Times New Roman" w:hAnsi="Times New Roman"/>
          <w:szCs w:val="24"/>
        </w:rPr>
        <w:t>financial</w:t>
      </w:r>
      <w:r w:rsidRPr="00661465">
        <w:rPr>
          <w:rFonts w:ascii="Times New Roman" w:hAnsi="Times New Roman"/>
          <w:spacing w:val="-4"/>
          <w:szCs w:val="24"/>
        </w:rPr>
        <w:t xml:space="preserve"> </w:t>
      </w:r>
      <w:r w:rsidRPr="00661465">
        <w:rPr>
          <w:rFonts w:ascii="Times New Roman" w:hAnsi="Times New Roman"/>
          <w:szCs w:val="24"/>
        </w:rPr>
        <w:t>year ASA reflected a total revenue of R32,498,000 comprising</w:t>
      </w:r>
      <w:r w:rsidR="002727E1" w:rsidRPr="00661465">
        <w:rPr>
          <w:rFonts w:ascii="Times New Roman" w:hAnsi="Times New Roman"/>
          <w:szCs w:val="24"/>
          <w:lang w:val="en-ZA"/>
        </w:rPr>
        <w:t xml:space="preserve"> </w:t>
      </w:r>
      <w:r w:rsidRPr="00661465">
        <w:rPr>
          <w:rFonts w:ascii="Times New Roman" w:hAnsi="Times New Roman"/>
          <w:szCs w:val="24"/>
        </w:rPr>
        <w:t>R29,045,000 in the annual transfer from NDPW</w:t>
      </w:r>
      <w:r w:rsidRPr="00661465">
        <w:rPr>
          <w:rFonts w:ascii="Times New Roman" w:hAnsi="Times New Roman"/>
          <w:spacing w:val="-8"/>
          <w:szCs w:val="24"/>
        </w:rPr>
        <w:t xml:space="preserve"> </w:t>
      </w:r>
      <w:r w:rsidRPr="00661465">
        <w:rPr>
          <w:rFonts w:ascii="Times New Roman" w:hAnsi="Times New Roman"/>
          <w:szCs w:val="24"/>
        </w:rPr>
        <w:t>(89%</w:t>
      </w:r>
      <w:r w:rsidRPr="00661465">
        <w:rPr>
          <w:rFonts w:ascii="Times New Roman" w:hAnsi="Times New Roman"/>
          <w:spacing w:val="-8"/>
          <w:szCs w:val="24"/>
        </w:rPr>
        <w:t xml:space="preserve"> </w:t>
      </w:r>
      <w:r w:rsidRPr="00661465">
        <w:rPr>
          <w:rFonts w:ascii="Times New Roman" w:hAnsi="Times New Roman"/>
          <w:szCs w:val="24"/>
        </w:rPr>
        <w:t>of</w:t>
      </w:r>
      <w:r w:rsidRPr="00661465">
        <w:rPr>
          <w:rFonts w:ascii="Times New Roman" w:hAnsi="Times New Roman"/>
          <w:spacing w:val="-7"/>
          <w:szCs w:val="24"/>
        </w:rPr>
        <w:t xml:space="preserve"> </w:t>
      </w:r>
      <w:r w:rsidRPr="00661465">
        <w:rPr>
          <w:rFonts w:ascii="Times New Roman" w:hAnsi="Times New Roman"/>
          <w:szCs w:val="24"/>
        </w:rPr>
        <w:t>total</w:t>
      </w:r>
      <w:r w:rsidRPr="00661465">
        <w:rPr>
          <w:rFonts w:ascii="Times New Roman" w:hAnsi="Times New Roman"/>
          <w:spacing w:val="-8"/>
          <w:szCs w:val="24"/>
        </w:rPr>
        <w:t xml:space="preserve"> </w:t>
      </w:r>
      <w:r w:rsidRPr="00661465">
        <w:rPr>
          <w:rFonts w:ascii="Times New Roman" w:hAnsi="Times New Roman"/>
          <w:szCs w:val="24"/>
        </w:rPr>
        <w:t>income).</w:t>
      </w:r>
      <w:r w:rsidRPr="00661465">
        <w:rPr>
          <w:rFonts w:ascii="Times New Roman" w:hAnsi="Times New Roman"/>
          <w:spacing w:val="-9"/>
          <w:szCs w:val="24"/>
        </w:rPr>
        <w:t xml:space="preserve"> </w:t>
      </w:r>
      <w:r w:rsidRPr="00661465">
        <w:rPr>
          <w:rFonts w:ascii="Times New Roman" w:hAnsi="Times New Roman"/>
          <w:szCs w:val="24"/>
        </w:rPr>
        <w:t>Additional</w:t>
      </w:r>
      <w:r w:rsidRPr="00661465">
        <w:rPr>
          <w:rFonts w:ascii="Times New Roman" w:hAnsi="Times New Roman"/>
          <w:spacing w:val="-7"/>
          <w:szCs w:val="24"/>
        </w:rPr>
        <w:t xml:space="preserve"> </w:t>
      </w:r>
      <w:r w:rsidRPr="00661465">
        <w:rPr>
          <w:rFonts w:ascii="Times New Roman" w:hAnsi="Times New Roman"/>
          <w:szCs w:val="24"/>
        </w:rPr>
        <w:t>income</w:t>
      </w:r>
      <w:r w:rsidR="002727E1" w:rsidRPr="00661465">
        <w:rPr>
          <w:rFonts w:ascii="Times New Roman" w:hAnsi="Times New Roman"/>
          <w:spacing w:val="-8"/>
          <w:szCs w:val="24"/>
        </w:rPr>
        <w:t xml:space="preserve"> </w:t>
      </w:r>
      <w:r w:rsidR="002727E1" w:rsidRPr="00661465">
        <w:rPr>
          <w:rFonts w:ascii="Times New Roman" w:hAnsi="Times New Roman"/>
          <w:spacing w:val="-8"/>
          <w:szCs w:val="24"/>
          <w:lang w:val="en-ZA"/>
        </w:rPr>
        <w:t>c</w:t>
      </w:r>
      <w:r w:rsidRPr="00661465">
        <w:rPr>
          <w:rFonts w:ascii="Times New Roman" w:hAnsi="Times New Roman"/>
          <w:szCs w:val="24"/>
        </w:rPr>
        <w:t>omprised</w:t>
      </w:r>
      <w:r w:rsidRPr="00661465">
        <w:rPr>
          <w:rFonts w:ascii="Times New Roman" w:hAnsi="Times New Roman"/>
          <w:spacing w:val="-8"/>
          <w:szCs w:val="24"/>
        </w:rPr>
        <w:t xml:space="preserve"> </w:t>
      </w:r>
      <w:r w:rsidRPr="00661465">
        <w:rPr>
          <w:rFonts w:ascii="Times New Roman" w:hAnsi="Times New Roman"/>
          <w:szCs w:val="24"/>
        </w:rPr>
        <w:t>of</w:t>
      </w:r>
      <w:r w:rsidRPr="00661465">
        <w:rPr>
          <w:rFonts w:ascii="Times New Roman" w:hAnsi="Times New Roman"/>
          <w:spacing w:val="-7"/>
          <w:szCs w:val="24"/>
        </w:rPr>
        <w:t xml:space="preserve"> </w:t>
      </w:r>
      <w:r w:rsidRPr="00661465">
        <w:rPr>
          <w:rFonts w:ascii="Times New Roman" w:hAnsi="Times New Roman"/>
          <w:szCs w:val="24"/>
        </w:rPr>
        <w:t>R3,453,000.</w:t>
      </w:r>
      <w:r w:rsidRPr="00661465">
        <w:rPr>
          <w:rFonts w:ascii="Times New Roman" w:hAnsi="Times New Roman"/>
          <w:spacing w:val="35"/>
          <w:szCs w:val="24"/>
        </w:rPr>
        <w:t xml:space="preserve"> </w:t>
      </w:r>
      <w:r w:rsidRPr="00661465">
        <w:rPr>
          <w:rFonts w:ascii="Times New Roman" w:hAnsi="Times New Roman"/>
          <w:szCs w:val="24"/>
        </w:rPr>
        <w:t>Own</w:t>
      </w:r>
      <w:r w:rsidRPr="00661465">
        <w:rPr>
          <w:rFonts w:ascii="Times New Roman" w:hAnsi="Times New Roman"/>
          <w:spacing w:val="-8"/>
          <w:szCs w:val="24"/>
        </w:rPr>
        <w:t xml:space="preserve"> </w:t>
      </w:r>
      <w:r w:rsidRPr="00661465">
        <w:rPr>
          <w:rFonts w:ascii="Times New Roman" w:hAnsi="Times New Roman"/>
          <w:szCs w:val="24"/>
        </w:rPr>
        <w:t>revenues</w:t>
      </w:r>
      <w:r w:rsidRPr="00661465">
        <w:rPr>
          <w:rFonts w:ascii="Times New Roman" w:hAnsi="Times New Roman"/>
          <w:spacing w:val="-7"/>
          <w:szCs w:val="24"/>
        </w:rPr>
        <w:t xml:space="preserve"> </w:t>
      </w:r>
      <w:r w:rsidRPr="00661465">
        <w:rPr>
          <w:rFonts w:ascii="Times New Roman" w:hAnsi="Times New Roman"/>
          <w:szCs w:val="24"/>
        </w:rPr>
        <w:t>comprised R1,649,000 for project certification services, R632,000 from annual fees and R1,172,000 from investment</w:t>
      </w:r>
      <w:r w:rsidRPr="00661465">
        <w:rPr>
          <w:rFonts w:ascii="Times New Roman" w:hAnsi="Times New Roman"/>
          <w:spacing w:val="-1"/>
          <w:szCs w:val="24"/>
        </w:rPr>
        <w:t xml:space="preserve"> </w:t>
      </w:r>
      <w:r w:rsidRPr="00661465">
        <w:rPr>
          <w:rFonts w:ascii="Times New Roman" w:hAnsi="Times New Roman"/>
          <w:szCs w:val="24"/>
        </w:rPr>
        <w:t>income.</w:t>
      </w:r>
    </w:p>
    <w:p w14:paraId="03B2661D" w14:textId="77777777" w:rsidR="00E56EE9" w:rsidRPr="00661465" w:rsidRDefault="000D36F0" w:rsidP="00F12443">
      <w:pPr>
        <w:pStyle w:val="BodyText"/>
        <w:spacing w:before="122" w:line="360" w:lineRule="auto"/>
        <w:ind w:right="-154"/>
      </w:pPr>
      <w:r w:rsidRPr="00661465">
        <w:rPr>
          <w:rFonts w:ascii="Times New Roman" w:hAnsi="Times New Roman"/>
          <w:szCs w:val="24"/>
        </w:rPr>
        <w:t xml:space="preserve">A key challenge evident in the </w:t>
      </w:r>
      <w:r w:rsidR="002727E1" w:rsidRPr="00661465">
        <w:rPr>
          <w:rFonts w:ascii="Times New Roman" w:hAnsi="Times New Roman"/>
          <w:szCs w:val="24"/>
          <w:lang w:val="en-ZA"/>
        </w:rPr>
        <w:t xml:space="preserve">allocated funding </w:t>
      </w:r>
      <w:r w:rsidRPr="00661465">
        <w:rPr>
          <w:rFonts w:ascii="Times New Roman" w:hAnsi="Times New Roman"/>
          <w:szCs w:val="24"/>
        </w:rPr>
        <w:t xml:space="preserve">is </w:t>
      </w:r>
      <w:r w:rsidR="002727E1" w:rsidRPr="00661465">
        <w:rPr>
          <w:rFonts w:ascii="Times New Roman" w:hAnsi="Times New Roman"/>
          <w:szCs w:val="24"/>
          <w:lang w:val="en-ZA"/>
        </w:rPr>
        <w:t>a</w:t>
      </w:r>
      <w:r w:rsidRPr="00661465">
        <w:rPr>
          <w:rFonts w:ascii="Times New Roman" w:hAnsi="Times New Roman"/>
          <w:szCs w:val="24"/>
        </w:rPr>
        <w:t xml:space="preserve"> reduced budget allocation which will require ASA to </w:t>
      </w:r>
      <w:r w:rsidRPr="00661465">
        <w:rPr>
          <w:rFonts w:ascii="Times New Roman" w:hAnsi="Times New Roman"/>
          <w:szCs w:val="24"/>
          <w:lang w:val="en-ZA"/>
        </w:rPr>
        <w:t xml:space="preserve">be </w:t>
      </w:r>
      <w:r w:rsidRPr="00661465">
        <w:rPr>
          <w:rFonts w:ascii="Times New Roman" w:hAnsi="Times New Roman"/>
          <w:szCs w:val="24"/>
        </w:rPr>
        <w:t>more cost efficient and seek to increase its project range.</w:t>
      </w:r>
    </w:p>
    <w:p w14:paraId="6E042639" w14:textId="77777777" w:rsidR="000D36F0" w:rsidRPr="00661465" w:rsidRDefault="000D36F0" w:rsidP="00CB3854">
      <w:pPr>
        <w:pStyle w:val="BodyText"/>
        <w:spacing w:before="120" w:line="360" w:lineRule="auto"/>
        <w:ind w:right="-154"/>
        <w:rPr>
          <w:rFonts w:ascii="Times New Roman" w:hAnsi="Times New Roman"/>
          <w:szCs w:val="24"/>
        </w:rPr>
      </w:pPr>
      <w:r w:rsidRPr="00661465">
        <w:rPr>
          <w:rFonts w:ascii="Times New Roman" w:hAnsi="Times New Roman"/>
          <w:szCs w:val="24"/>
        </w:rPr>
        <w:t>In</w:t>
      </w:r>
      <w:r w:rsidRPr="00661465">
        <w:rPr>
          <w:rFonts w:ascii="Times New Roman" w:hAnsi="Times New Roman"/>
          <w:spacing w:val="-11"/>
          <w:szCs w:val="24"/>
        </w:rPr>
        <w:t xml:space="preserve"> </w:t>
      </w:r>
      <w:r w:rsidR="00E56EE9" w:rsidRPr="00661465">
        <w:rPr>
          <w:rFonts w:ascii="Times New Roman" w:hAnsi="Times New Roman"/>
          <w:szCs w:val="24"/>
        </w:rPr>
        <w:t xml:space="preserve">2019/2020 </w:t>
      </w:r>
      <w:r w:rsidRPr="00661465">
        <w:rPr>
          <w:rFonts w:ascii="Times New Roman" w:hAnsi="Times New Roman"/>
          <w:szCs w:val="24"/>
        </w:rPr>
        <w:t>ASA</w:t>
      </w:r>
      <w:r w:rsidRPr="00661465">
        <w:rPr>
          <w:rFonts w:ascii="Times New Roman" w:hAnsi="Times New Roman"/>
          <w:spacing w:val="-9"/>
          <w:szCs w:val="24"/>
        </w:rPr>
        <w:t xml:space="preserve"> </w:t>
      </w:r>
      <w:r w:rsidRPr="00661465">
        <w:rPr>
          <w:rFonts w:ascii="Times New Roman" w:hAnsi="Times New Roman"/>
          <w:szCs w:val="24"/>
        </w:rPr>
        <w:t>plans</w:t>
      </w:r>
      <w:r w:rsidRPr="00661465">
        <w:rPr>
          <w:rFonts w:ascii="Times New Roman" w:hAnsi="Times New Roman"/>
          <w:spacing w:val="-10"/>
          <w:szCs w:val="24"/>
        </w:rPr>
        <w:t xml:space="preserve"> </w:t>
      </w:r>
      <w:r w:rsidRPr="00661465">
        <w:rPr>
          <w:rFonts w:ascii="Times New Roman" w:hAnsi="Times New Roman"/>
          <w:szCs w:val="24"/>
        </w:rPr>
        <w:t>to</w:t>
      </w:r>
      <w:r w:rsidRPr="00661465">
        <w:rPr>
          <w:rFonts w:ascii="Times New Roman" w:hAnsi="Times New Roman"/>
          <w:spacing w:val="-12"/>
          <w:szCs w:val="24"/>
        </w:rPr>
        <w:t xml:space="preserve"> </w:t>
      </w:r>
      <w:r w:rsidRPr="00661465">
        <w:rPr>
          <w:rFonts w:ascii="Times New Roman" w:hAnsi="Times New Roman"/>
          <w:szCs w:val="24"/>
        </w:rPr>
        <w:t>implement</w:t>
      </w:r>
      <w:r w:rsidRPr="00661465">
        <w:rPr>
          <w:rFonts w:ascii="Times New Roman" w:hAnsi="Times New Roman"/>
          <w:spacing w:val="-10"/>
          <w:szCs w:val="24"/>
        </w:rPr>
        <w:t xml:space="preserve"> </w:t>
      </w:r>
      <w:r w:rsidRPr="00661465">
        <w:rPr>
          <w:rFonts w:ascii="Times New Roman" w:hAnsi="Times New Roman"/>
          <w:szCs w:val="24"/>
        </w:rPr>
        <w:t>the</w:t>
      </w:r>
      <w:r w:rsidRPr="00661465">
        <w:rPr>
          <w:rFonts w:ascii="Times New Roman" w:hAnsi="Times New Roman"/>
          <w:spacing w:val="-8"/>
          <w:szCs w:val="24"/>
        </w:rPr>
        <w:t xml:space="preserve"> </w:t>
      </w:r>
      <w:r w:rsidRPr="00661465">
        <w:rPr>
          <w:rFonts w:ascii="Times New Roman" w:hAnsi="Times New Roman"/>
          <w:szCs w:val="24"/>
        </w:rPr>
        <w:t>following</w:t>
      </w:r>
      <w:r w:rsidRPr="00661465">
        <w:rPr>
          <w:rFonts w:ascii="Times New Roman" w:hAnsi="Times New Roman"/>
          <w:spacing w:val="-10"/>
          <w:szCs w:val="24"/>
        </w:rPr>
        <w:t xml:space="preserve"> </w:t>
      </w:r>
      <w:r w:rsidRPr="00661465">
        <w:rPr>
          <w:rFonts w:ascii="Times New Roman" w:hAnsi="Times New Roman"/>
          <w:szCs w:val="24"/>
        </w:rPr>
        <w:t>budget</w:t>
      </w:r>
      <w:r w:rsidRPr="00661465">
        <w:rPr>
          <w:rFonts w:ascii="Times New Roman" w:hAnsi="Times New Roman"/>
          <w:spacing w:val="-9"/>
          <w:szCs w:val="24"/>
        </w:rPr>
        <w:t xml:space="preserve"> </w:t>
      </w:r>
      <w:r w:rsidRPr="00661465">
        <w:rPr>
          <w:rFonts w:ascii="Times New Roman" w:hAnsi="Times New Roman"/>
          <w:szCs w:val="24"/>
        </w:rPr>
        <w:t>programmes which align to the functions of the</w:t>
      </w:r>
      <w:r w:rsidRPr="00661465">
        <w:rPr>
          <w:rFonts w:ascii="Times New Roman" w:hAnsi="Times New Roman"/>
          <w:spacing w:val="-8"/>
          <w:szCs w:val="24"/>
        </w:rPr>
        <w:t xml:space="preserve"> </w:t>
      </w:r>
      <w:r w:rsidRPr="00661465">
        <w:rPr>
          <w:rFonts w:ascii="Times New Roman" w:hAnsi="Times New Roman"/>
          <w:szCs w:val="24"/>
        </w:rPr>
        <w:t>organisation:</w:t>
      </w:r>
    </w:p>
    <w:p w14:paraId="303B41AF" w14:textId="77777777" w:rsidR="000D36F0" w:rsidRPr="00661465" w:rsidRDefault="000D36F0" w:rsidP="00CB3854">
      <w:pPr>
        <w:pStyle w:val="ListParagraph"/>
        <w:widowControl w:val="0"/>
        <w:tabs>
          <w:tab w:val="left" w:pos="1388"/>
        </w:tabs>
        <w:autoSpaceDE w:val="0"/>
        <w:autoSpaceDN w:val="0"/>
        <w:spacing w:before="125" w:line="360" w:lineRule="auto"/>
        <w:ind w:left="0" w:right="-154"/>
        <w:contextualSpacing w:val="0"/>
        <w:jc w:val="both"/>
      </w:pPr>
      <w:r w:rsidRPr="00661465">
        <w:t>Programme 1:</w:t>
      </w:r>
      <w:r w:rsidRPr="00661465">
        <w:rPr>
          <w:spacing w:val="-5"/>
        </w:rPr>
        <w:t xml:space="preserve"> </w:t>
      </w:r>
      <w:r w:rsidRPr="00661465">
        <w:t>Administration.</w:t>
      </w:r>
    </w:p>
    <w:p w14:paraId="6C539C7B" w14:textId="77777777" w:rsidR="000D36F0" w:rsidRPr="00661465" w:rsidRDefault="000D36F0" w:rsidP="00CB3854">
      <w:pPr>
        <w:pStyle w:val="BodyText"/>
        <w:spacing w:before="149" w:line="360" w:lineRule="auto"/>
        <w:ind w:right="-154"/>
        <w:rPr>
          <w:rFonts w:ascii="Times New Roman" w:hAnsi="Times New Roman"/>
          <w:szCs w:val="24"/>
        </w:rPr>
      </w:pPr>
      <w:r w:rsidRPr="00661465">
        <w:rPr>
          <w:rFonts w:ascii="Times New Roman" w:hAnsi="Times New Roman"/>
          <w:szCs w:val="24"/>
        </w:rPr>
        <w:t>Sub programmes as per the strategic outcome-oriented goals are:</w:t>
      </w:r>
    </w:p>
    <w:p w14:paraId="5EA70694" w14:textId="77777777" w:rsidR="000D36F0" w:rsidRPr="00661465" w:rsidRDefault="006C55CD" w:rsidP="00CB3854">
      <w:pPr>
        <w:pStyle w:val="ListParagraph"/>
        <w:widowControl w:val="0"/>
        <w:numPr>
          <w:ilvl w:val="3"/>
          <w:numId w:val="26"/>
        </w:numPr>
        <w:tabs>
          <w:tab w:val="left" w:pos="709"/>
        </w:tabs>
        <w:autoSpaceDE w:val="0"/>
        <w:autoSpaceDN w:val="0"/>
        <w:spacing w:before="146" w:line="360" w:lineRule="auto"/>
        <w:ind w:left="0" w:right="-154" w:firstLine="993"/>
        <w:contextualSpacing w:val="0"/>
        <w:jc w:val="both"/>
      </w:pPr>
      <w:r w:rsidRPr="00661465">
        <w:t>Sub- p</w:t>
      </w:r>
      <w:r w:rsidR="000D36F0" w:rsidRPr="00661465">
        <w:t>rogramme 1: Administrative Services;</w:t>
      </w:r>
    </w:p>
    <w:p w14:paraId="48B44B2F" w14:textId="77777777" w:rsidR="000D36F0" w:rsidRPr="00661465" w:rsidRDefault="006C55CD" w:rsidP="00CB3854">
      <w:pPr>
        <w:pStyle w:val="ListParagraph"/>
        <w:widowControl w:val="0"/>
        <w:numPr>
          <w:ilvl w:val="3"/>
          <w:numId w:val="26"/>
        </w:numPr>
        <w:tabs>
          <w:tab w:val="left" w:pos="709"/>
        </w:tabs>
        <w:autoSpaceDE w:val="0"/>
        <w:autoSpaceDN w:val="0"/>
        <w:spacing w:before="142" w:line="360" w:lineRule="auto"/>
        <w:ind w:left="0" w:right="-154" w:firstLine="993"/>
        <w:contextualSpacing w:val="0"/>
        <w:jc w:val="both"/>
      </w:pPr>
      <w:r w:rsidRPr="00661465">
        <w:t>Sub-p</w:t>
      </w:r>
      <w:r w:rsidR="000D36F0" w:rsidRPr="00661465">
        <w:t>rogramme 2: Technical Services;</w:t>
      </w:r>
      <w:r w:rsidR="000D36F0" w:rsidRPr="00661465">
        <w:rPr>
          <w:spacing w:val="-3"/>
        </w:rPr>
        <w:t xml:space="preserve"> </w:t>
      </w:r>
      <w:r w:rsidR="000D36F0" w:rsidRPr="00661465">
        <w:t>and</w:t>
      </w:r>
    </w:p>
    <w:p w14:paraId="47B527BC" w14:textId="77777777" w:rsidR="000D36F0" w:rsidRPr="00661465" w:rsidRDefault="006C55CD" w:rsidP="00CB3854">
      <w:pPr>
        <w:pStyle w:val="ListParagraph"/>
        <w:widowControl w:val="0"/>
        <w:numPr>
          <w:ilvl w:val="3"/>
          <w:numId w:val="26"/>
        </w:numPr>
        <w:tabs>
          <w:tab w:val="left" w:pos="709"/>
        </w:tabs>
        <w:autoSpaceDE w:val="0"/>
        <w:autoSpaceDN w:val="0"/>
        <w:spacing w:before="141" w:line="360" w:lineRule="auto"/>
        <w:ind w:left="0" w:right="-154" w:firstLine="993"/>
        <w:contextualSpacing w:val="0"/>
        <w:jc w:val="both"/>
      </w:pPr>
      <w:r w:rsidRPr="00661465">
        <w:t>Sub- p</w:t>
      </w:r>
      <w:r w:rsidR="000D36F0" w:rsidRPr="00661465">
        <w:t>rogramme 3: Strategic Partnerships &amp;</w:t>
      </w:r>
      <w:r w:rsidR="000D36F0" w:rsidRPr="00661465">
        <w:rPr>
          <w:spacing w:val="-2"/>
        </w:rPr>
        <w:t xml:space="preserve"> </w:t>
      </w:r>
      <w:r w:rsidR="000D36F0" w:rsidRPr="00661465">
        <w:t>Transformation.</w:t>
      </w:r>
    </w:p>
    <w:p w14:paraId="0BC23316" w14:textId="77777777" w:rsidR="00E56EE9" w:rsidRDefault="00E56EE9" w:rsidP="00CB3854">
      <w:pPr>
        <w:spacing w:line="360" w:lineRule="auto"/>
        <w:jc w:val="both"/>
        <w:rPr>
          <w:rFonts w:ascii="Times New Roman" w:eastAsia="Times New Roman" w:hAnsi="Times New Roman" w:cs="Times New Roman"/>
          <w:b/>
          <w:color w:val="000000"/>
          <w:spacing w:val="6"/>
          <w:sz w:val="24"/>
          <w:szCs w:val="24"/>
          <w:lang w:val="en-GB" w:eastAsia="en-GB"/>
        </w:rPr>
      </w:pPr>
    </w:p>
    <w:p w14:paraId="342E9A06" w14:textId="77777777" w:rsidR="00E2682F" w:rsidRDefault="00E2682F">
      <w:pPr>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br w:type="page"/>
      </w:r>
    </w:p>
    <w:p w14:paraId="7AD7B982" w14:textId="77777777" w:rsidR="004779D7" w:rsidRPr="00661465" w:rsidRDefault="00E56EE9" w:rsidP="00F12443">
      <w:pPr>
        <w:rPr>
          <w:rFonts w:ascii="Times New Roman" w:eastAsia="Times New Roman" w:hAnsi="Times New Roman" w:cs="Times New Roman"/>
          <w:b/>
          <w:color w:val="000000"/>
          <w:spacing w:val="6"/>
          <w:sz w:val="24"/>
          <w:szCs w:val="24"/>
          <w:lang w:val="en-GB" w:eastAsia="en-GB"/>
        </w:rPr>
      </w:pPr>
      <w:r w:rsidRPr="00661465">
        <w:rPr>
          <w:rFonts w:ascii="Times New Roman" w:eastAsia="Times New Roman" w:hAnsi="Times New Roman" w:cs="Times New Roman"/>
          <w:b/>
          <w:color w:val="000000"/>
          <w:spacing w:val="6"/>
          <w:sz w:val="24"/>
          <w:szCs w:val="24"/>
          <w:lang w:val="en-GB" w:eastAsia="en-GB"/>
        </w:rPr>
        <w:lastRenderedPageBreak/>
        <w:t xml:space="preserve">The following table shows transfers from DPW (Programme 4) </w:t>
      </w:r>
      <w:r w:rsidR="001E4EDA" w:rsidRPr="00661465">
        <w:rPr>
          <w:rFonts w:ascii="Times New Roman" w:eastAsia="Times New Roman" w:hAnsi="Times New Roman" w:cs="Times New Roman"/>
          <w:b/>
          <w:color w:val="000000"/>
          <w:spacing w:val="6"/>
          <w:sz w:val="24"/>
          <w:szCs w:val="24"/>
          <w:lang w:val="en-GB" w:eastAsia="en-GB"/>
        </w:rPr>
        <w:t>and income</w:t>
      </w:r>
      <w:r w:rsidRPr="00661465">
        <w:rPr>
          <w:rFonts w:ascii="Times New Roman" w:eastAsia="Times New Roman" w:hAnsi="Times New Roman" w:cs="Times New Roman"/>
          <w:b/>
          <w:color w:val="000000"/>
          <w:spacing w:val="6"/>
          <w:sz w:val="24"/>
          <w:szCs w:val="24"/>
          <w:lang w:val="en-GB" w:eastAsia="en-GB"/>
        </w:rPr>
        <w:t xml:space="preserve"> generated to show the projected amounts ASA would use to accomplish its policy tasks as directed by the DPWI.</w:t>
      </w:r>
    </w:p>
    <w:p w14:paraId="40F4AE8E" w14:textId="77777777" w:rsidR="004779D7" w:rsidRPr="00661465" w:rsidRDefault="004779D7" w:rsidP="00CC0781">
      <w:pPr>
        <w:tabs>
          <w:tab w:val="left" w:pos="360"/>
          <w:tab w:val="left" w:pos="851"/>
        </w:tabs>
        <w:snapToGrid w:val="0"/>
        <w:spacing w:after="0" w:line="360" w:lineRule="auto"/>
        <w:jc w:val="both"/>
        <w:rPr>
          <w:rFonts w:ascii="Times New Roman" w:eastAsia="Times New Roman" w:hAnsi="Times New Roman" w:cs="Times New Roman"/>
          <w:b/>
          <w:color w:val="000000"/>
          <w:spacing w:val="6"/>
          <w:sz w:val="24"/>
          <w:szCs w:val="24"/>
          <w:lang w:val="en-GB" w:eastAsia="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530"/>
        <w:gridCol w:w="1350"/>
        <w:gridCol w:w="1170"/>
        <w:gridCol w:w="1188"/>
        <w:gridCol w:w="72"/>
        <w:gridCol w:w="1062"/>
      </w:tblGrid>
      <w:tr w:rsidR="005F72E1" w:rsidRPr="001E5657" w14:paraId="0C3CE102" w14:textId="77777777" w:rsidTr="00F12443">
        <w:trPr>
          <w:trHeight w:val="1433"/>
        </w:trPr>
        <w:tc>
          <w:tcPr>
            <w:tcW w:w="2700" w:type="dxa"/>
            <w:shd w:val="clear" w:color="auto" w:fill="FFFFFF" w:themeFill="background1"/>
          </w:tcPr>
          <w:p w14:paraId="05D96105" w14:textId="77777777" w:rsidR="002F16A3" w:rsidRPr="001E5657" w:rsidRDefault="002F16A3" w:rsidP="00DC1840">
            <w:pPr>
              <w:pStyle w:val="TableParagraph"/>
              <w:spacing w:line="268" w:lineRule="exact"/>
              <w:ind w:left="57"/>
              <w:rPr>
                <w:rFonts w:ascii="Times New Roman" w:hAnsi="Times New Roman" w:cs="Times New Roman"/>
                <w:b/>
                <w:sz w:val="20"/>
                <w:szCs w:val="20"/>
              </w:rPr>
            </w:pPr>
          </w:p>
          <w:p w14:paraId="7F6BB1B6" w14:textId="77777777" w:rsidR="005F72E1" w:rsidRPr="001E5657" w:rsidRDefault="005F72E1" w:rsidP="00DC1840">
            <w:pPr>
              <w:pStyle w:val="TableParagraph"/>
              <w:spacing w:line="268" w:lineRule="exact"/>
              <w:ind w:left="57"/>
              <w:rPr>
                <w:rFonts w:ascii="Times New Roman" w:hAnsi="Times New Roman" w:cs="Times New Roman"/>
                <w:b/>
                <w:sz w:val="20"/>
                <w:szCs w:val="20"/>
              </w:rPr>
            </w:pPr>
            <w:r w:rsidRPr="001E5657">
              <w:rPr>
                <w:rFonts w:ascii="Times New Roman" w:hAnsi="Times New Roman" w:cs="Times New Roman"/>
                <w:b/>
                <w:sz w:val="20"/>
                <w:szCs w:val="20"/>
              </w:rPr>
              <w:t>Statement of financial</w:t>
            </w:r>
          </w:p>
          <w:p w14:paraId="618D9C76" w14:textId="77777777" w:rsidR="005F72E1" w:rsidRPr="001E5657" w:rsidRDefault="005F72E1" w:rsidP="00DC1840">
            <w:pPr>
              <w:pStyle w:val="TableParagraph"/>
              <w:spacing w:line="249" w:lineRule="exact"/>
              <w:ind w:left="57"/>
              <w:rPr>
                <w:rFonts w:ascii="Times New Roman" w:hAnsi="Times New Roman" w:cs="Times New Roman"/>
                <w:b/>
                <w:sz w:val="20"/>
                <w:szCs w:val="20"/>
              </w:rPr>
            </w:pPr>
            <w:r w:rsidRPr="001E5657">
              <w:rPr>
                <w:rFonts w:ascii="Times New Roman" w:hAnsi="Times New Roman" w:cs="Times New Roman"/>
                <w:b/>
                <w:sz w:val="20"/>
                <w:szCs w:val="20"/>
              </w:rPr>
              <w:t>performance</w:t>
            </w:r>
          </w:p>
        </w:tc>
        <w:tc>
          <w:tcPr>
            <w:tcW w:w="1530" w:type="dxa"/>
            <w:shd w:val="clear" w:color="auto" w:fill="FFFFFF" w:themeFill="background1"/>
            <w:textDirection w:val="btLr"/>
          </w:tcPr>
          <w:p w14:paraId="10B832C3" w14:textId="77777777" w:rsidR="005F72E1" w:rsidRPr="001E5657" w:rsidRDefault="005F72E1" w:rsidP="00CC0781">
            <w:pPr>
              <w:pStyle w:val="TableParagraph"/>
              <w:spacing w:line="268" w:lineRule="exact"/>
              <w:ind w:left="113" w:right="28"/>
              <w:jc w:val="both"/>
              <w:rPr>
                <w:rFonts w:ascii="Times New Roman" w:hAnsi="Times New Roman" w:cs="Times New Roman"/>
                <w:b/>
                <w:sz w:val="20"/>
                <w:szCs w:val="20"/>
              </w:rPr>
            </w:pPr>
            <w:r w:rsidRPr="001E5657">
              <w:rPr>
                <w:rFonts w:ascii="Times New Roman" w:hAnsi="Times New Roman" w:cs="Times New Roman"/>
                <w:b/>
                <w:sz w:val="20"/>
                <w:szCs w:val="20"/>
              </w:rPr>
              <w:t>Budget</w:t>
            </w:r>
          </w:p>
          <w:p w14:paraId="058018CB" w14:textId="77777777" w:rsidR="005F72E1" w:rsidRPr="001E5657" w:rsidRDefault="005F72E1" w:rsidP="00CC0781">
            <w:pPr>
              <w:pStyle w:val="TableParagraph"/>
              <w:spacing w:line="249" w:lineRule="exact"/>
              <w:ind w:left="113" w:right="28"/>
              <w:jc w:val="both"/>
              <w:rPr>
                <w:rFonts w:ascii="Times New Roman" w:hAnsi="Times New Roman" w:cs="Times New Roman"/>
                <w:b/>
                <w:sz w:val="20"/>
                <w:szCs w:val="20"/>
              </w:rPr>
            </w:pPr>
            <w:r w:rsidRPr="001E5657">
              <w:rPr>
                <w:rFonts w:ascii="Times New Roman" w:hAnsi="Times New Roman" w:cs="Times New Roman"/>
                <w:b/>
                <w:sz w:val="20"/>
                <w:szCs w:val="20"/>
              </w:rPr>
              <w:t>estimate</w:t>
            </w:r>
          </w:p>
        </w:tc>
        <w:tc>
          <w:tcPr>
            <w:tcW w:w="1350" w:type="dxa"/>
            <w:shd w:val="clear" w:color="auto" w:fill="FFFFFF" w:themeFill="background1"/>
            <w:textDirection w:val="btLr"/>
          </w:tcPr>
          <w:p w14:paraId="1E43CED5" w14:textId="77777777" w:rsidR="005F72E1" w:rsidRPr="001E5657" w:rsidRDefault="005F72E1" w:rsidP="00CC0781">
            <w:pPr>
              <w:pStyle w:val="TableParagraph"/>
              <w:spacing w:line="268" w:lineRule="exact"/>
              <w:ind w:left="113" w:right="113"/>
              <w:jc w:val="both"/>
              <w:rPr>
                <w:rFonts w:ascii="Times New Roman" w:hAnsi="Times New Roman" w:cs="Times New Roman"/>
                <w:b/>
                <w:sz w:val="20"/>
                <w:szCs w:val="20"/>
              </w:rPr>
            </w:pPr>
            <w:r w:rsidRPr="001E5657">
              <w:rPr>
                <w:rFonts w:ascii="Times New Roman" w:hAnsi="Times New Roman" w:cs="Times New Roman"/>
                <w:b/>
                <w:sz w:val="20"/>
                <w:szCs w:val="20"/>
              </w:rPr>
              <w:t>Approved</w:t>
            </w:r>
          </w:p>
          <w:p w14:paraId="2A6285DD" w14:textId="77777777" w:rsidR="005F72E1" w:rsidRPr="001E5657" w:rsidRDefault="005F72E1" w:rsidP="00CC0781">
            <w:pPr>
              <w:pStyle w:val="TableParagraph"/>
              <w:spacing w:line="249" w:lineRule="exact"/>
              <w:ind w:left="113" w:right="113"/>
              <w:jc w:val="both"/>
              <w:rPr>
                <w:rFonts w:ascii="Times New Roman" w:hAnsi="Times New Roman" w:cs="Times New Roman"/>
                <w:b/>
                <w:sz w:val="20"/>
                <w:szCs w:val="20"/>
              </w:rPr>
            </w:pPr>
            <w:r w:rsidRPr="001E5657">
              <w:rPr>
                <w:rFonts w:ascii="Times New Roman" w:hAnsi="Times New Roman" w:cs="Times New Roman"/>
                <w:b/>
                <w:sz w:val="20"/>
                <w:szCs w:val="20"/>
              </w:rPr>
              <w:t>budget</w:t>
            </w:r>
          </w:p>
        </w:tc>
        <w:tc>
          <w:tcPr>
            <w:tcW w:w="3492" w:type="dxa"/>
            <w:gridSpan w:val="4"/>
            <w:shd w:val="clear" w:color="auto" w:fill="FFFFFF" w:themeFill="background1"/>
            <w:vAlign w:val="center"/>
          </w:tcPr>
          <w:p w14:paraId="20B649E0" w14:textId="77777777" w:rsidR="005F72E1" w:rsidRPr="001E5657" w:rsidRDefault="005F72E1" w:rsidP="00CC0781">
            <w:pPr>
              <w:pStyle w:val="TableParagraph"/>
              <w:spacing w:line="268" w:lineRule="exact"/>
              <w:ind w:left="57"/>
              <w:jc w:val="both"/>
              <w:rPr>
                <w:rFonts w:ascii="Times New Roman" w:hAnsi="Times New Roman" w:cs="Times New Roman"/>
                <w:b/>
                <w:sz w:val="20"/>
                <w:szCs w:val="20"/>
              </w:rPr>
            </w:pPr>
            <w:r w:rsidRPr="001E5657">
              <w:rPr>
                <w:rFonts w:ascii="Times New Roman" w:hAnsi="Times New Roman" w:cs="Times New Roman"/>
                <w:b/>
                <w:sz w:val="20"/>
                <w:szCs w:val="20"/>
              </w:rPr>
              <w:t>Medium-term estimate</w:t>
            </w:r>
          </w:p>
        </w:tc>
      </w:tr>
      <w:tr w:rsidR="005F72E1" w:rsidRPr="001E5657" w14:paraId="0E22BB88" w14:textId="77777777" w:rsidTr="00F12443">
        <w:trPr>
          <w:trHeight w:val="268"/>
        </w:trPr>
        <w:tc>
          <w:tcPr>
            <w:tcW w:w="2700" w:type="dxa"/>
          </w:tcPr>
          <w:p w14:paraId="1690B9E9"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R thousand</w:t>
            </w:r>
          </w:p>
        </w:tc>
        <w:tc>
          <w:tcPr>
            <w:tcW w:w="1530" w:type="dxa"/>
          </w:tcPr>
          <w:p w14:paraId="4938CB41" w14:textId="77777777" w:rsidR="005F72E1" w:rsidRPr="001E5657" w:rsidRDefault="005F72E1" w:rsidP="00DC1840">
            <w:pPr>
              <w:pStyle w:val="TableParagraph"/>
              <w:spacing w:line="248" w:lineRule="exact"/>
              <w:jc w:val="center"/>
              <w:rPr>
                <w:rFonts w:ascii="Times New Roman" w:hAnsi="Times New Roman" w:cs="Times New Roman"/>
                <w:b/>
                <w:sz w:val="20"/>
                <w:szCs w:val="20"/>
              </w:rPr>
            </w:pPr>
            <w:r w:rsidRPr="001E5657">
              <w:rPr>
                <w:rFonts w:ascii="Times New Roman" w:hAnsi="Times New Roman" w:cs="Times New Roman"/>
                <w:b/>
                <w:sz w:val="20"/>
                <w:szCs w:val="20"/>
              </w:rPr>
              <w:t>2018/2019</w:t>
            </w:r>
          </w:p>
        </w:tc>
        <w:tc>
          <w:tcPr>
            <w:tcW w:w="1350" w:type="dxa"/>
          </w:tcPr>
          <w:p w14:paraId="22DA4B84"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2019/2020</w:t>
            </w:r>
          </w:p>
        </w:tc>
        <w:tc>
          <w:tcPr>
            <w:tcW w:w="1170" w:type="dxa"/>
          </w:tcPr>
          <w:p w14:paraId="2B8FC4B2"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2020/2021</w:t>
            </w:r>
          </w:p>
        </w:tc>
        <w:tc>
          <w:tcPr>
            <w:tcW w:w="1260" w:type="dxa"/>
            <w:gridSpan w:val="2"/>
          </w:tcPr>
          <w:p w14:paraId="4579ADEA"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2021/2022</w:t>
            </w:r>
          </w:p>
        </w:tc>
        <w:tc>
          <w:tcPr>
            <w:tcW w:w="1062" w:type="dxa"/>
          </w:tcPr>
          <w:p w14:paraId="6811CE42" w14:textId="77777777" w:rsidR="005F72E1" w:rsidRPr="001E5657" w:rsidRDefault="005F72E1" w:rsidP="00DC1840">
            <w:pPr>
              <w:pStyle w:val="TableParagraph"/>
              <w:spacing w:line="248" w:lineRule="exact"/>
              <w:ind w:left="57"/>
              <w:jc w:val="center"/>
              <w:rPr>
                <w:rFonts w:ascii="Times New Roman" w:hAnsi="Times New Roman" w:cs="Times New Roman"/>
                <w:sz w:val="20"/>
                <w:szCs w:val="20"/>
              </w:rPr>
            </w:pPr>
          </w:p>
        </w:tc>
      </w:tr>
      <w:tr w:rsidR="005F72E1" w:rsidRPr="001E5657" w14:paraId="7657CDCB" w14:textId="77777777" w:rsidTr="00F12443">
        <w:trPr>
          <w:trHeight w:val="268"/>
        </w:trPr>
        <w:tc>
          <w:tcPr>
            <w:tcW w:w="2700" w:type="dxa"/>
          </w:tcPr>
          <w:p w14:paraId="6581060E"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Revenue</w:t>
            </w:r>
          </w:p>
        </w:tc>
        <w:tc>
          <w:tcPr>
            <w:tcW w:w="1530" w:type="dxa"/>
          </w:tcPr>
          <w:p w14:paraId="21D22306" w14:textId="77777777" w:rsidR="005F72E1" w:rsidRPr="001E5657" w:rsidRDefault="005F72E1" w:rsidP="00DC1840">
            <w:pPr>
              <w:pStyle w:val="TableParagraph"/>
              <w:jc w:val="center"/>
              <w:rPr>
                <w:rFonts w:ascii="Times New Roman" w:hAnsi="Times New Roman" w:cs="Times New Roman"/>
                <w:sz w:val="20"/>
                <w:szCs w:val="20"/>
              </w:rPr>
            </w:pPr>
          </w:p>
        </w:tc>
        <w:tc>
          <w:tcPr>
            <w:tcW w:w="1350" w:type="dxa"/>
          </w:tcPr>
          <w:p w14:paraId="15967227" w14:textId="77777777" w:rsidR="005F72E1" w:rsidRPr="001E5657" w:rsidRDefault="005F72E1" w:rsidP="00DC1840">
            <w:pPr>
              <w:pStyle w:val="TableParagraph"/>
              <w:jc w:val="center"/>
              <w:rPr>
                <w:rFonts w:ascii="Times New Roman" w:hAnsi="Times New Roman" w:cs="Times New Roman"/>
                <w:sz w:val="20"/>
                <w:szCs w:val="20"/>
              </w:rPr>
            </w:pPr>
          </w:p>
        </w:tc>
        <w:tc>
          <w:tcPr>
            <w:tcW w:w="1170" w:type="dxa"/>
          </w:tcPr>
          <w:p w14:paraId="47A5F4E5" w14:textId="77777777" w:rsidR="005F72E1" w:rsidRPr="001E5657" w:rsidRDefault="005F72E1" w:rsidP="00DC1840">
            <w:pPr>
              <w:pStyle w:val="TableParagraph"/>
              <w:jc w:val="center"/>
              <w:rPr>
                <w:rFonts w:ascii="Times New Roman" w:hAnsi="Times New Roman" w:cs="Times New Roman"/>
                <w:sz w:val="20"/>
                <w:szCs w:val="20"/>
              </w:rPr>
            </w:pPr>
          </w:p>
        </w:tc>
        <w:tc>
          <w:tcPr>
            <w:tcW w:w="1260" w:type="dxa"/>
            <w:gridSpan w:val="2"/>
          </w:tcPr>
          <w:p w14:paraId="44B0CDE8" w14:textId="77777777" w:rsidR="005F72E1" w:rsidRPr="001E5657" w:rsidRDefault="005F72E1" w:rsidP="00DC1840">
            <w:pPr>
              <w:pStyle w:val="TableParagraph"/>
              <w:jc w:val="center"/>
              <w:rPr>
                <w:rFonts w:ascii="Times New Roman" w:hAnsi="Times New Roman" w:cs="Times New Roman"/>
                <w:sz w:val="20"/>
                <w:szCs w:val="20"/>
              </w:rPr>
            </w:pPr>
          </w:p>
        </w:tc>
        <w:tc>
          <w:tcPr>
            <w:tcW w:w="1062" w:type="dxa"/>
          </w:tcPr>
          <w:p w14:paraId="4DD81984" w14:textId="77777777" w:rsidR="005F72E1" w:rsidRPr="001E5657" w:rsidRDefault="005F72E1" w:rsidP="00DC1840">
            <w:pPr>
              <w:pStyle w:val="TableParagraph"/>
              <w:jc w:val="center"/>
              <w:rPr>
                <w:rFonts w:ascii="Times New Roman" w:hAnsi="Times New Roman" w:cs="Times New Roman"/>
                <w:sz w:val="20"/>
                <w:szCs w:val="20"/>
              </w:rPr>
            </w:pPr>
          </w:p>
        </w:tc>
      </w:tr>
      <w:tr w:rsidR="005F72E1" w:rsidRPr="001E5657" w14:paraId="553D736E" w14:textId="77777777" w:rsidTr="00F12443">
        <w:trPr>
          <w:trHeight w:val="268"/>
        </w:trPr>
        <w:tc>
          <w:tcPr>
            <w:tcW w:w="2700" w:type="dxa"/>
          </w:tcPr>
          <w:p w14:paraId="217ED3B8"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Tax revenue</w:t>
            </w:r>
          </w:p>
        </w:tc>
        <w:tc>
          <w:tcPr>
            <w:tcW w:w="1530" w:type="dxa"/>
          </w:tcPr>
          <w:p w14:paraId="198CEDC6"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350" w:type="dxa"/>
          </w:tcPr>
          <w:p w14:paraId="4E8A73AF"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170" w:type="dxa"/>
          </w:tcPr>
          <w:p w14:paraId="3084E79A"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260" w:type="dxa"/>
            <w:gridSpan w:val="2"/>
          </w:tcPr>
          <w:p w14:paraId="75B5CF6A" w14:textId="77777777" w:rsidR="005F72E1" w:rsidRPr="001E5657" w:rsidRDefault="005F72E1" w:rsidP="00DC1840">
            <w:pPr>
              <w:pStyle w:val="TableParagraph"/>
              <w:spacing w:line="24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062" w:type="dxa"/>
          </w:tcPr>
          <w:p w14:paraId="5AE318DB" w14:textId="77777777" w:rsidR="005F72E1" w:rsidRPr="001E5657" w:rsidRDefault="005F72E1" w:rsidP="00DC1840">
            <w:pPr>
              <w:pStyle w:val="TableParagraph"/>
              <w:spacing w:line="24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r>
      <w:tr w:rsidR="005F72E1" w:rsidRPr="001E5657" w14:paraId="069F669E" w14:textId="77777777" w:rsidTr="00F12443">
        <w:trPr>
          <w:trHeight w:val="268"/>
        </w:trPr>
        <w:tc>
          <w:tcPr>
            <w:tcW w:w="2700" w:type="dxa"/>
          </w:tcPr>
          <w:p w14:paraId="3182360D"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Non-tax revenue</w:t>
            </w:r>
          </w:p>
        </w:tc>
        <w:tc>
          <w:tcPr>
            <w:tcW w:w="1530" w:type="dxa"/>
          </w:tcPr>
          <w:p w14:paraId="6B606A8F"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4,853</w:t>
            </w:r>
          </w:p>
        </w:tc>
        <w:tc>
          <w:tcPr>
            <w:tcW w:w="1350" w:type="dxa"/>
          </w:tcPr>
          <w:p w14:paraId="6CE4E7FB"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3,292</w:t>
            </w:r>
          </w:p>
        </w:tc>
        <w:tc>
          <w:tcPr>
            <w:tcW w:w="1170" w:type="dxa"/>
          </w:tcPr>
          <w:p w14:paraId="24A48817"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3,972</w:t>
            </w:r>
          </w:p>
        </w:tc>
        <w:tc>
          <w:tcPr>
            <w:tcW w:w="1260" w:type="dxa"/>
            <w:gridSpan w:val="2"/>
          </w:tcPr>
          <w:p w14:paraId="5705903A"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4,170</w:t>
            </w:r>
          </w:p>
        </w:tc>
        <w:tc>
          <w:tcPr>
            <w:tcW w:w="1062" w:type="dxa"/>
          </w:tcPr>
          <w:p w14:paraId="0B7AF1EA"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4,379</w:t>
            </w:r>
          </w:p>
        </w:tc>
      </w:tr>
      <w:tr w:rsidR="005F72E1" w:rsidRPr="001E5657" w14:paraId="336EC68C" w14:textId="77777777" w:rsidTr="00F12443">
        <w:trPr>
          <w:trHeight w:val="537"/>
        </w:trPr>
        <w:tc>
          <w:tcPr>
            <w:tcW w:w="2700" w:type="dxa"/>
          </w:tcPr>
          <w:p w14:paraId="2C306F40" w14:textId="77777777" w:rsidR="005F72E1" w:rsidRPr="001E5657" w:rsidRDefault="005F72E1" w:rsidP="00DC1840">
            <w:pPr>
              <w:pStyle w:val="TableParagraph"/>
              <w:spacing w:line="268" w:lineRule="exact"/>
              <w:ind w:left="57"/>
              <w:rPr>
                <w:rFonts w:ascii="Times New Roman" w:hAnsi="Times New Roman" w:cs="Times New Roman"/>
                <w:sz w:val="20"/>
                <w:szCs w:val="20"/>
              </w:rPr>
            </w:pPr>
            <w:r w:rsidRPr="001E5657">
              <w:rPr>
                <w:rFonts w:ascii="Times New Roman" w:hAnsi="Times New Roman" w:cs="Times New Roman"/>
                <w:sz w:val="20"/>
                <w:szCs w:val="20"/>
              </w:rPr>
              <w:t>Sale of goods and services</w:t>
            </w:r>
          </w:p>
          <w:p w14:paraId="5928B866" w14:textId="77777777" w:rsidR="005F72E1" w:rsidRPr="001E5657" w:rsidRDefault="005F72E1" w:rsidP="00DC1840">
            <w:pPr>
              <w:pStyle w:val="TableParagraph"/>
              <w:spacing w:before="1" w:line="249" w:lineRule="exact"/>
              <w:ind w:left="57"/>
              <w:rPr>
                <w:rFonts w:ascii="Times New Roman" w:hAnsi="Times New Roman" w:cs="Times New Roman"/>
                <w:sz w:val="20"/>
                <w:szCs w:val="20"/>
              </w:rPr>
            </w:pPr>
            <w:r w:rsidRPr="001E5657">
              <w:rPr>
                <w:rFonts w:ascii="Times New Roman" w:hAnsi="Times New Roman" w:cs="Times New Roman"/>
                <w:sz w:val="20"/>
                <w:szCs w:val="20"/>
              </w:rPr>
              <w:t>other than capital assets</w:t>
            </w:r>
          </w:p>
        </w:tc>
        <w:tc>
          <w:tcPr>
            <w:tcW w:w="1530" w:type="dxa"/>
          </w:tcPr>
          <w:p w14:paraId="0A370C35"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4,482</w:t>
            </w:r>
          </w:p>
        </w:tc>
        <w:tc>
          <w:tcPr>
            <w:tcW w:w="1350" w:type="dxa"/>
          </w:tcPr>
          <w:p w14:paraId="7CDBF6FC"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2,442</w:t>
            </w:r>
          </w:p>
        </w:tc>
        <w:tc>
          <w:tcPr>
            <w:tcW w:w="1170" w:type="dxa"/>
          </w:tcPr>
          <w:p w14:paraId="1D9F286C"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2,634</w:t>
            </w:r>
          </w:p>
        </w:tc>
        <w:tc>
          <w:tcPr>
            <w:tcW w:w="1260" w:type="dxa"/>
            <w:gridSpan w:val="2"/>
          </w:tcPr>
          <w:p w14:paraId="7DDE68E9" w14:textId="77777777" w:rsidR="005F72E1" w:rsidRPr="001E5657" w:rsidRDefault="005F72E1" w:rsidP="00DC1840">
            <w:pPr>
              <w:pStyle w:val="TableParagraph"/>
              <w:spacing w:line="26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2,765</w:t>
            </w:r>
          </w:p>
        </w:tc>
        <w:tc>
          <w:tcPr>
            <w:tcW w:w="1062" w:type="dxa"/>
          </w:tcPr>
          <w:p w14:paraId="586B9CE4" w14:textId="77777777" w:rsidR="005F72E1" w:rsidRPr="001E5657" w:rsidRDefault="005F72E1" w:rsidP="00DC1840">
            <w:pPr>
              <w:pStyle w:val="TableParagraph"/>
              <w:spacing w:line="26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2,904</w:t>
            </w:r>
          </w:p>
        </w:tc>
      </w:tr>
      <w:tr w:rsidR="005F72E1" w:rsidRPr="001E5657" w14:paraId="10EAADFC" w14:textId="77777777" w:rsidTr="00F12443">
        <w:trPr>
          <w:trHeight w:val="268"/>
        </w:trPr>
        <w:tc>
          <w:tcPr>
            <w:tcW w:w="2700" w:type="dxa"/>
          </w:tcPr>
          <w:p w14:paraId="3BC3BC08" w14:textId="77777777" w:rsidR="005F72E1" w:rsidRPr="001E5657" w:rsidRDefault="005F72E1" w:rsidP="00DC1840">
            <w:pPr>
              <w:pStyle w:val="TableParagraph"/>
              <w:spacing w:line="248" w:lineRule="exact"/>
              <w:ind w:left="57"/>
              <w:rPr>
                <w:rFonts w:ascii="Times New Roman" w:hAnsi="Times New Roman" w:cs="Times New Roman"/>
                <w:i/>
                <w:sz w:val="20"/>
                <w:szCs w:val="20"/>
              </w:rPr>
            </w:pPr>
            <w:r w:rsidRPr="001E5657">
              <w:rPr>
                <w:rFonts w:ascii="Times New Roman" w:hAnsi="Times New Roman" w:cs="Times New Roman"/>
                <w:i/>
                <w:sz w:val="20"/>
                <w:szCs w:val="20"/>
              </w:rPr>
              <w:t>of which:</w:t>
            </w:r>
          </w:p>
        </w:tc>
        <w:tc>
          <w:tcPr>
            <w:tcW w:w="1530" w:type="dxa"/>
          </w:tcPr>
          <w:p w14:paraId="5F114A35" w14:textId="77777777" w:rsidR="005F72E1" w:rsidRPr="001E5657" w:rsidRDefault="005F72E1" w:rsidP="00DC1840">
            <w:pPr>
              <w:pStyle w:val="TableParagraph"/>
              <w:jc w:val="center"/>
              <w:rPr>
                <w:rFonts w:ascii="Times New Roman" w:hAnsi="Times New Roman" w:cs="Times New Roman"/>
                <w:sz w:val="20"/>
                <w:szCs w:val="20"/>
              </w:rPr>
            </w:pPr>
          </w:p>
        </w:tc>
        <w:tc>
          <w:tcPr>
            <w:tcW w:w="1350" w:type="dxa"/>
          </w:tcPr>
          <w:p w14:paraId="3558C226" w14:textId="77777777" w:rsidR="005F72E1" w:rsidRPr="001E5657" w:rsidRDefault="005F72E1" w:rsidP="00DC1840">
            <w:pPr>
              <w:pStyle w:val="TableParagraph"/>
              <w:jc w:val="center"/>
              <w:rPr>
                <w:rFonts w:ascii="Times New Roman" w:hAnsi="Times New Roman" w:cs="Times New Roman"/>
                <w:sz w:val="20"/>
                <w:szCs w:val="20"/>
              </w:rPr>
            </w:pPr>
          </w:p>
        </w:tc>
        <w:tc>
          <w:tcPr>
            <w:tcW w:w="1170" w:type="dxa"/>
          </w:tcPr>
          <w:p w14:paraId="291CFF0D" w14:textId="77777777" w:rsidR="005F72E1" w:rsidRPr="001E5657" w:rsidRDefault="005F72E1" w:rsidP="00DC1840">
            <w:pPr>
              <w:pStyle w:val="TableParagraph"/>
              <w:jc w:val="center"/>
              <w:rPr>
                <w:rFonts w:ascii="Times New Roman" w:hAnsi="Times New Roman" w:cs="Times New Roman"/>
                <w:sz w:val="20"/>
                <w:szCs w:val="20"/>
              </w:rPr>
            </w:pPr>
          </w:p>
        </w:tc>
        <w:tc>
          <w:tcPr>
            <w:tcW w:w="1260" w:type="dxa"/>
            <w:gridSpan w:val="2"/>
          </w:tcPr>
          <w:p w14:paraId="587167FE" w14:textId="77777777" w:rsidR="005F72E1" w:rsidRPr="001E5657" w:rsidRDefault="005F72E1" w:rsidP="00DC1840">
            <w:pPr>
              <w:pStyle w:val="TableParagraph"/>
              <w:jc w:val="center"/>
              <w:rPr>
                <w:rFonts w:ascii="Times New Roman" w:hAnsi="Times New Roman" w:cs="Times New Roman"/>
                <w:sz w:val="20"/>
                <w:szCs w:val="20"/>
              </w:rPr>
            </w:pPr>
          </w:p>
        </w:tc>
        <w:tc>
          <w:tcPr>
            <w:tcW w:w="1062" w:type="dxa"/>
          </w:tcPr>
          <w:p w14:paraId="11AF660D" w14:textId="77777777" w:rsidR="005F72E1" w:rsidRPr="001E5657" w:rsidRDefault="005F72E1" w:rsidP="00DC1840">
            <w:pPr>
              <w:pStyle w:val="TableParagraph"/>
              <w:jc w:val="center"/>
              <w:rPr>
                <w:rFonts w:ascii="Times New Roman" w:hAnsi="Times New Roman" w:cs="Times New Roman"/>
                <w:sz w:val="20"/>
                <w:szCs w:val="20"/>
              </w:rPr>
            </w:pPr>
          </w:p>
        </w:tc>
      </w:tr>
      <w:tr w:rsidR="005F72E1" w:rsidRPr="001E5657" w14:paraId="1937A1F9" w14:textId="77777777" w:rsidTr="00F12443">
        <w:trPr>
          <w:trHeight w:val="268"/>
        </w:trPr>
        <w:tc>
          <w:tcPr>
            <w:tcW w:w="2700" w:type="dxa"/>
          </w:tcPr>
          <w:p w14:paraId="162144F0" w14:textId="77777777" w:rsidR="005F72E1" w:rsidRPr="001E5657" w:rsidRDefault="005F72E1" w:rsidP="00DC1840">
            <w:pPr>
              <w:pStyle w:val="TableParagraph"/>
              <w:spacing w:line="248" w:lineRule="exact"/>
              <w:ind w:left="57"/>
              <w:rPr>
                <w:rFonts w:ascii="Times New Roman" w:hAnsi="Times New Roman" w:cs="Times New Roman"/>
                <w:i/>
                <w:sz w:val="20"/>
                <w:szCs w:val="20"/>
              </w:rPr>
            </w:pPr>
            <w:r w:rsidRPr="001E5657">
              <w:rPr>
                <w:rFonts w:ascii="Times New Roman" w:hAnsi="Times New Roman" w:cs="Times New Roman"/>
                <w:i/>
                <w:sz w:val="20"/>
                <w:szCs w:val="20"/>
              </w:rPr>
              <w:t>Administrative fees</w:t>
            </w:r>
          </w:p>
        </w:tc>
        <w:tc>
          <w:tcPr>
            <w:tcW w:w="1530" w:type="dxa"/>
          </w:tcPr>
          <w:p w14:paraId="155E5AFF"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645</w:t>
            </w:r>
          </w:p>
        </w:tc>
        <w:tc>
          <w:tcPr>
            <w:tcW w:w="1350" w:type="dxa"/>
          </w:tcPr>
          <w:p w14:paraId="5FD597C4"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655</w:t>
            </w:r>
          </w:p>
        </w:tc>
        <w:tc>
          <w:tcPr>
            <w:tcW w:w="1170" w:type="dxa"/>
          </w:tcPr>
          <w:p w14:paraId="202C1DB6"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1,160</w:t>
            </w:r>
          </w:p>
        </w:tc>
        <w:tc>
          <w:tcPr>
            <w:tcW w:w="1260" w:type="dxa"/>
            <w:gridSpan w:val="2"/>
          </w:tcPr>
          <w:p w14:paraId="577C8AFC"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1,218</w:t>
            </w:r>
          </w:p>
        </w:tc>
        <w:tc>
          <w:tcPr>
            <w:tcW w:w="1062" w:type="dxa"/>
          </w:tcPr>
          <w:p w14:paraId="5FECC468"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1,279</w:t>
            </w:r>
          </w:p>
        </w:tc>
      </w:tr>
      <w:tr w:rsidR="005F72E1" w:rsidRPr="001E5657" w14:paraId="54A6A27A" w14:textId="77777777" w:rsidTr="00F12443">
        <w:trPr>
          <w:trHeight w:val="537"/>
        </w:trPr>
        <w:tc>
          <w:tcPr>
            <w:tcW w:w="2700" w:type="dxa"/>
          </w:tcPr>
          <w:p w14:paraId="064D9F48" w14:textId="77777777" w:rsidR="005F72E1" w:rsidRPr="001E5657" w:rsidRDefault="005F72E1" w:rsidP="00DC1840">
            <w:pPr>
              <w:pStyle w:val="TableParagraph"/>
              <w:spacing w:line="268" w:lineRule="exact"/>
              <w:ind w:left="57"/>
              <w:rPr>
                <w:rFonts w:ascii="Times New Roman" w:hAnsi="Times New Roman" w:cs="Times New Roman"/>
                <w:i/>
                <w:sz w:val="20"/>
                <w:szCs w:val="20"/>
              </w:rPr>
            </w:pPr>
            <w:r w:rsidRPr="001E5657">
              <w:rPr>
                <w:rFonts w:ascii="Times New Roman" w:hAnsi="Times New Roman" w:cs="Times New Roman"/>
                <w:i/>
                <w:sz w:val="20"/>
                <w:szCs w:val="20"/>
              </w:rPr>
              <w:t>Sales by market</w:t>
            </w:r>
          </w:p>
          <w:p w14:paraId="6AE44E1E" w14:textId="77777777" w:rsidR="005F72E1" w:rsidRPr="001E5657" w:rsidRDefault="005F72E1" w:rsidP="00DC1840">
            <w:pPr>
              <w:pStyle w:val="TableParagraph"/>
              <w:spacing w:line="249" w:lineRule="exact"/>
              <w:ind w:left="57"/>
              <w:rPr>
                <w:rFonts w:ascii="Times New Roman" w:hAnsi="Times New Roman" w:cs="Times New Roman"/>
                <w:i/>
                <w:sz w:val="20"/>
                <w:szCs w:val="20"/>
              </w:rPr>
            </w:pPr>
            <w:r w:rsidRPr="001E5657">
              <w:rPr>
                <w:rFonts w:ascii="Times New Roman" w:hAnsi="Times New Roman" w:cs="Times New Roman"/>
                <w:i/>
                <w:sz w:val="20"/>
                <w:szCs w:val="20"/>
              </w:rPr>
              <w:t>establishment</w:t>
            </w:r>
          </w:p>
        </w:tc>
        <w:tc>
          <w:tcPr>
            <w:tcW w:w="1530" w:type="dxa"/>
          </w:tcPr>
          <w:p w14:paraId="5395C13E"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3,837</w:t>
            </w:r>
          </w:p>
        </w:tc>
        <w:tc>
          <w:tcPr>
            <w:tcW w:w="1350" w:type="dxa"/>
          </w:tcPr>
          <w:p w14:paraId="33235A8A"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1,787</w:t>
            </w:r>
          </w:p>
        </w:tc>
        <w:tc>
          <w:tcPr>
            <w:tcW w:w="1170" w:type="dxa"/>
          </w:tcPr>
          <w:p w14:paraId="6E553300" w14:textId="77777777" w:rsidR="005F72E1" w:rsidRPr="001E5657" w:rsidRDefault="005F72E1" w:rsidP="00DC1840">
            <w:pPr>
              <w:pStyle w:val="TableParagraph"/>
              <w:spacing w:line="26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1,474</w:t>
            </w:r>
          </w:p>
        </w:tc>
        <w:tc>
          <w:tcPr>
            <w:tcW w:w="1260" w:type="dxa"/>
            <w:gridSpan w:val="2"/>
          </w:tcPr>
          <w:p w14:paraId="55928328" w14:textId="77777777" w:rsidR="005F72E1" w:rsidRPr="001E5657" w:rsidRDefault="005F72E1" w:rsidP="00DC1840">
            <w:pPr>
              <w:pStyle w:val="TableParagraph"/>
              <w:spacing w:line="26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1,547</w:t>
            </w:r>
          </w:p>
        </w:tc>
        <w:tc>
          <w:tcPr>
            <w:tcW w:w="1062" w:type="dxa"/>
          </w:tcPr>
          <w:p w14:paraId="70BE6E9E" w14:textId="77777777" w:rsidR="005F72E1" w:rsidRPr="001E5657" w:rsidRDefault="005F72E1" w:rsidP="00DC1840">
            <w:pPr>
              <w:pStyle w:val="TableParagraph"/>
              <w:spacing w:line="26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1,625</w:t>
            </w:r>
          </w:p>
        </w:tc>
      </w:tr>
      <w:tr w:rsidR="005F72E1" w:rsidRPr="001E5657" w14:paraId="4C794D65" w14:textId="77777777" w:rsidTr="00F12443">
        <w:trPr>
          <w:trHeight w:val="268"/>
        </w:trPr>
        <w:tc>
          <w:tcPr>
            <w:tcW w:w="2700" w:type="dxa"/>
          </w:tcPr>
          <w:p w14:paraId="17B3FE8F" w14:textId="77777777" w:rsidR="005F72E1" w:rsidRPr="001E5657" w:rsidRDefault="005F72E1" w:rsidP="00DC1840">
            <w:pPr>
              <w:pStyle w:val="TableParagraph"/>
              <w:spacing w:line="248" w:lineRule="exact"/>
              <w:ind w:left="57"/>
              <w:rPr>
                <w:rFonts w:ascii="Times New Roman" w:hAnsi="Times New Roman" w:cs="Times New Roman"/>
                <w:i/>
                <w:sz w:val="20"/>
                <w:szCs w:val="20"/>
              </w:rPr>
            </w:pPr>
            <w:r w:rsidRPr="001E5657">
              <w:rPr>
                <w:rFonts w:ascii="Times New Roman" w:hAnsi="Times New Roman" w:cs="Times New Roman"/>
                <w:i/>
                <w:sz w:val="20"/>
                <w:szCs w:val="20"/>
              </w:rPr>
              <w:t>Other sales</w:t>
            </w:r>
          </w:p>
        </w:tc>
        <w:tc>
          <w:tcPr>
            <w:tcW w:w="1530" w:type="dxa"/>
          </w:tcPr>
          <w:p w14:paraId="6F397E6D"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350" w:type="dxa"/>
          </w:tcPr>
          <w:p w14:paraId="0BB40A92"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170" w:type="dxa"/>
          </w:tcPr>
          <w:p w14:paraId="150636F8"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260" w:type="dxa"/>
            <w:gridSpan w:val="2"/>
          </w:tcPr>
          <w:p w14:paraId="2A7776DA" w14:textId="77777777" w:rsidR="005F72E1" w:rsidRPr="001E5657" w:rsidRDefault="005F72E1" w:rsidP="00DC1840">
            <w:pPr>
              <w:pStyle w:val="TableParagraph"/>
              <w:spacing w:line="24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062" w:type="dxa"/>
          </w:tcPr>
          <w:p w14:paraId="441749DC" w14:textId="77777777" w:rsidR="005F72E1" w:rsidRPr="001E5657" w:rsidRDefault="005F72E1" w:rsidP="00DC1840">
            <w:pPr>
              <w:pStyle w:val="TableParagraph"/>
              <w:spacing w:line="24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r>
      <w:tr w:rsidR="005F72E1" w:rsidRPr="001E5657" w14:paraId="07830905" w14:textId="77777777" w:rsidTr="00F12443">
        <w:trPr>
          <w:trHeight w:val="268"/>
        </w:trPr>
        <w:tc>
          <w:tcPr>
            <w:tcW w:w="2700" w:type="dxa"/>
          </w:tcPr>
          <w:p w14:paraId="649AF8AD" w14:textId="77777777" w:rsidR="005F72E1" w:rsidRPr="001E5657" w:rsidRDefault="005F72E1" w:rsidP="00DC1840">
            <w:pPr>
              <w:pStyle w:val="TableParagraph"/>
              <w:spacing w:line="248" w:lineRule="exact"/>
              <w:ind w:left="57"/>
              <w:rPr>
                <w:rFonts w:ascii="Times New Roman" w:hAnsi="Times New Roman" w:cs="Times New Roman"/>
                <w:i/>
                <w:sz w:val="20"/>
                <w:szCs w:val="20"/>
              </w:rPr>
            </w:pPr>
            <w:r w:rsidRPr="001E5657">
              <w:rPr>
                <w:rFonts w:ascii="Times New Roman" w:hAnsi="Times New Roman" w:cs="Times New Roman"/>
                <w:i/>
                <w:sz w:val="20"/>
                <w:szCs w:val="20"/>
              </w:rPr>
              <w:t>Other non-tax revenue</w:t>
            </w:r>
          </w:p>
        </w:tc>
        <w:tc>
          <w:tcPr>
            <w:tcW w:w="1530" w:type="dxa"/>
          </w:tcPr>
          <w:p w14:paraId="2842EEA6"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371</w:t>
            </w:r>
          </w:p>
        </w:tc>
        <w:tc>
          <w:tcPr>
            <w:tcW w:w="1350" w:type="dxa"/>
          </w:tcPr>
          <w:p w14:paraId="2ACA1C11"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850</w:t>
            </w:r>
          </w:p>
        </w:tc>
        <w:tc>
          <w:tcPr>
            <w:tcW w:w="1170" w:type="dxa"/>
          </w:tcPr>
          <w:p w14:paraId="26A36FC6"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1,338</w:t>
            </w:r>
          </w:p>
        </w:tc>
        <w:tc>
          <w:tcPr>
            <w:tcW w:w="1260" w:type="dxa"/>
            <w:gridSpan w:val="2"/>
          </w:tcPr>
          <w:p w14:paraId="6703D03A"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1,405</w:t>
            </w:r>
          </w:p>
        </w:tc>
        <w:tc>
          <w:tcPr>
            <w:tcW w:w="1062" w:type="dxa"/>
          </w:tcPr>
          <w:p w14:paraId="18581DFC"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1,475</w:t>
            </w:r>
          </w:p>
        </w:tc>
      </w:tr>
      <w:tr w:rsidR="005F72E1" w:rsidRPr="001E5657" w14:paraId="0D0A16C0" w14:textId="77777777" w:rsidTr="00F12443">
        <w:trPr>
          <w:trHeight w:val="270"/>
        </w:trPr>
        <w:tc>
          <w:tcPr>
            <w:tcW w:w="2700" w:type="dxa"/>
          </w:tcPr>
          <w:p w14:paraId="48FDA855" w14:textId="77777777" w:rsidR="005F72E1" w:rsidRPr="001E5657" w:rsidRDefault="005F72E1" w:rsidP="00DC1840">
            <w:pPr>
              <w:pStyle w:val="TableParagraph"/>
              <w:spacing w:before="1" w:line="249" w:lineRule="exact"/>
              <w:ind w:left="57"/>
              <w:rPr>
                <w:rFonts w:ascii="Times New Roman" w:hAnsi="Times New Roman" w:cs="Times New Roman"/>
                <w:b/>
                <w:sz w:val="20"/>
                <w:szCs w:val="20"/>
              </w:rPr>
            </w:pPr>
            <w:r w:rsidRPr="001E5657">
              <w:rPr>
                <w:rFonts w:ascii="Times New Roman" w:hAnsi="Times New Roman" w:cs="Times New Roman"/>
                <w:b/>
                <w:sz w:val="20"/>
                <w:szCs w:val="20"/>
              </w:rPr>
              <w:t>Transfers received</w:t>
            </w:r>
          </w:p>
        </w:tc>
        <w:tc>
          <w:tcPr>
            <w:tcW w:w="1530" w:type="dxa"/>
          </w:tcPr>
          <w:p w14:paraId="462FA277" w14:textId="77777777" w:rsidR="005F72E1" w:rsidRPr="001E5657" w:rsidRDefault="005F72E1" w:rsidP="00DC1840">
            <w:pPr>
              <w:pStyle w:val="TableParagraph"/>
              <w:spacing w:before="1" w:line="249"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30,757</w:t>
            </w:r>
          </w:p>
        </w:tc>
        <w:tc>
          <w:tcPr>
            <w:tcW w:w="1350" w:type="dxa"/>
          </w:tcPr>
          <w:p w14:paraId="2C78840D" w14:textId="77777777" w:rsidR="005F72E1" w:rsidRPr="001E5657" w:rsidRDefault="005F72E1" w:rsidP="00DC1840">
            <w:pPr>
              <w:pStyle w:val="TableParagraph"/>
              <w:spacing w:before="1" w:line="249"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29,988</w:t>
            </w:r>
          </w:p>
        </w:tc>
        <w:tc>
          <w:tcPr>
            <w:tcW w:w="1170" w:type="dxa"/>
          </w:tcPr>
          <w:p w14:paraId="266EB1E1" w14:textId="77777777" w:rsidR="005F72E1" w:rsidRPr="001E5657" w:rsidRDefault="005F72E1" w:rsidP="00DC1840">
            <w:pPr>
              <w:pStyle w:val="TableParagraph"/>
              <w:spacing w:before="1" w:line="249"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31,062</w:t>
            </w:r>
          </w:p>
        </w:tc>
        <w:tc>
          <w:tcPr>
            <w:tcW w:w="1260" w:type="dxa"/>
            <w:gridSpan w:val="2"/>
          </w:tcPr>
          <w:p w14:paraId="7FAABF54" w14:textId="77777777" w:rsidR="005F72E1" w:rsidRPr="001E5657" w:rsidRDefault="005F72E1" w:rsidP="00DC1840">
            <w:pPr>
              <w:pStyle w:val="TableParagraph"/>
              <w:spacing w:before="1" w:line="249"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32,804</w:t>
            </w:r>
          </w:p>
        </w:tc>
        <w:tc>
          <w:tcPr>
            <w:tcW w:w="1062" w:type="dxa"/>
          </w:tcPr>
          <w:p w14:paraId="547AFB5E" w14:textId="77777777" w:rsidR="005F72E1" w:rsidRPr="001E5657" w:rsidRDefault="005F72E1" w:rsidP="00DC1840">
            <w:pPr>
              <w:pStyle w:val="TableParagraph"/>
              <w:spacing w:before="1" w:line="249"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34,643</w:t>
            </w:r>
          </w:p>
        </w:tc>
      </w:tr>
      <w:tr w:rsidR="005F72E1" w:rsidRPr="001E5657" w14:paraId="3C5EE782" w14:textId="77777777" w:rsidTr="00F12443">
        <w:trPr>
          <w:trHeight w:val="268"/>
        </w:trPr>
        <w:tc>
          <w:tcPr>
            <w:tcW w:w="2700" w:type="dxa"/>
          </w:tcPr>
          <w:p w14:paraId="57176FCF"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Total revenue</w:t>
            </w:r>
          </w:p>
        </w:tc>
        <w:tc>
          <w:tcPr>
            <w:tcW w:w="1530" w:type="dxa"/>
          </w:tcPr>
          <w:p w14:paraId="39292A8C"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35,610</w:t>
            </w:r>
          </w:p>
        </w:tc>
        <w:tc>
          <w:tcPr>
            <w:tcW w:w="1350" w:type="dxa"/>
          </w:tcPr>
          <w:p w14:paraId="7B52083C"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33,280</w:t>
            </w:r>
          </w:p>
        </w:tc>
        <w:tc>
          <w:tcPr>
            <w:tcW w:w="1170" w:type="dxa"/>
          </w:tcPr>
          <w:p w14:paraId="1512DBA9"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35,034</w:t>
            </w:r>
          </w:p>
        </w:tc>
        <w:tc>
          <w:tcPr>
            <w:tcW w:w="1260" w:type="dxa"/>
            <w:gridSpan w:val="2"/>
          </w:tcPr>
          <w:p w14:paraId="0F81B199"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36,974</w:t>
            </w:r>
          </w:p>
        </w:tc>
        <w:tc>
          <w:tcPr>
            <w:tcW w:w="1062" w:type="dxa"/>
          </w:tcPr>
          <w:p w14:paraId="7D86EDD4"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39,022</w:t>
            </w:r>
          </w:p>
        </w:tc>
      </w:tr>
      <w:tr w:rsidR="005F72E1" w:rsidRPr="001E5657" w14:paraId="7EFB127C" w14:textId="77777777" w:rsidTr="00F12443">
        <w:trPr>
          <w:trHeight w:val="268"/>
        </w:trPr>
        <w:tc>
          <w:tcPr>
            <w:tcW w:w="2700" w:type="dxa"/>
          </w:tcPr>
          <w:p w14:paraId="1FE44C0E" w14:textId="77777777" w:rsidR="005F72E1" w:rsidRPr="001E5657" w:rsidRDefault="005F72E1" w:rsidP="00DC1840">
            <w:pPr>
              <w:pStyle w:val="TableParagraph"/>
              <w:spacing w:line="249" w:lineRule="exact"/>
              <w:ind w:left="57"/>
              <w:rPr>
                <w:rFonts w:ascii="Times New Roman" w:hAnsi="Times New Roman" w:cs="Times New Roman"/>
                <w:b/>
                <w:sz w:val="20"/>
                <w:szCs w:val="20"/>
              </w:rPr>
            </w:pPr>
            <w:r w:rsidRPr="001E5657">
              <w:rPr>
                <w:rFonts w:ascii="Times New Roman" w:hAnsi="Times New Roman" w:cs="Times New Roman"/>
                <w:b/>
                <w:sz w:val="20"/>
                <w:szCs w:val="20"/>
              </w:rPr>
              <w:t>Expenses</w:t>
            </w:r>
          </w:p>
        </w:tc>
        <w:tc>
          <w:tcPr>
            <w:tcW w:w="1530" w:type="dxa"/>
          </w:tcPr>
          <w:p w14:paraId="14468929" w14:textId="77777777" w:rsidR="005F72E1" w:rsidRPr="001E5657" w:rsidRDefault="005F72E1" w:rsidP="00DC1840">
            <w:pPr>
              <w:pStyle w:val="TableParagraph"/>
              <w:jc w:val="center"/>
              <w:rPr>
                <w:rFonts w:ascii="Times New Roman" w:hAnsi="Times New Roman" w:cs="Times New Roman"/>
                <w:sz w:val="20"/>
                <w:szCs w:val="20"/>
              </w:rPr>
            </w:pPr>
          </w:p>
        </w:tc>
        <w:tc>
          <w:tcPr>
            <w:tcW w:w="1350" w:type="dxa"/>
          </w:tcPr>
          <w:p w14:paraId="710895BA" w14:textId="77777777" w:rsidR="005F72E1" w:rsidRPr="001E5657" w:rsidRDefault="005F72E1" w:rsidP="00DC1840">
            <w:pPr>
              <w:pStyle w:val="TableParagraph"/>
              <w:jc w:val="center"/>
              <w:rPr>
                <w:rFonts w:ascii="Times New Roman" w:hAnsi="Times New Roman" w:cs="Times New Roman"/>
                <w:sz w:val="20"/>
                <w:szCs w:val="20"/>
              </w:rPr>
            </w:pPr>
          </w:p>
        </w:tc>
        <w:tc>
          <w:tcPr>
            <w:tcW w:w="1170" w:type="dxa"/>
          </w:tcPr>
          <w:p w14:paraId="7164E45F" w14:textId="77777777" w:rsidR="005F72E1" w:rsidRPr="001E5657" w:rsidRDefault="005F72E1" w:rsidP="00DC1840">
            <w:pPr>
              <w:pStyle w:val="TableParagraph"/>
              <w:jc w:val="center"/>
              <w:rPr>
                <w:rFonts w:ascii="Times New Roman" w:hAnsi="Times New Roman" w:cs="Times New Roman"/>
                <w:sz w:val="20"/>
                <w:szCs w:val="20"/>
              </w:rPr>
            </w:pPr>
          </w:p>
        </w:tc>
        <w:tc>
          <w:tcPr>
            <w:tcW w:w="1260" w:type="dxa"/>
            <w:gridSpan w:val="2"/>
          </w:tcPr>
          <w:p w14:paraId="469A0E9E" w14:textId="77777777" w:rsidR="005F72E1" w:rsidRPr="001E5657" w:rsidRDefault="005F72E1" w:rsidP="00DC1840">
            <w:pPr>
              <w:pStyle w:val="TableParagraph"/>
              <w:jc w:val="center"/>
              <w:rPr>
                <w:rFonts w:ascii="Times New Roman" w:hAnsi="Times New Roman" w:cs="Times New Roman"/>
                <w:sz w:val="20"/>
                <w:szCs w:val="20"/>
              </w:rPr>
            </w:pPr>
          </w:p>
        </w:tc>
        <w:tc>
          <w:tcPr>
            <w:tcW w:w="1062" w:type="dxa"/>
          </w:tcPr>
          <w:p w14:paraId="1F2F91DA" w14:textId="77777777" w:rsidR="005F72E1" w:rsidRPr="001E5657" w:rsidRDefault="005F72E1" w:rsidP="00DC1840">
            <w:pPr>
              <w:pStyle w:val="TableParagraph"/>
              <w:jc w:val="center"/>
              <w:rPr>
                <w:rFonts w:ascii="Times New Roman" w:hAnsi="Times New Roman" w:cs="Times New Roman"/>
                <w:sz w:val="20"/>
                <w:szCs w:val="20"/>
              </w:rPr>
            </w:pPr>
          </w:p>
        </w:tc>
      </w:tr>
      <w:tr w:rsidR="005F72E1" w:rsidRPr="001E5657" w14:paraId="07805480" w14:textId="77777777" w:rsidTr="00F12443">
        <w:trPr>
          <w:trHeight w:val="268"/>
        </w:trPr>
        <w:tc>
          <w:tcPr>
            <w:tcW w:w="2700" w:type="dxa"/>
          </w:tcPr>
          <w:p w14:paraId="01012B64"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Current expenses</w:t>
            </w:r>
          </w:p>
        </w:tc>
        <w:tc>
          <w:tcPr>
            <w:tcW w:w="1530" w:type="dxa"/>
          </w:tcPr>
          <w:p w14:paraId="24EA570C"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35,610</w:t>
            </w:r>
          </w:p>
        </w:tc>
        <w:tc>
          <w:tcPr>
            <w:tcW w:w="1350" w:type="dxa"/>
          </w:tcPr>
          <w:p w14:paraId="4D1A3848"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33,280</w:t>
            </w:r>
          </w:p>
        </w:tc>
        <w:tc>
          <w:tcPr>
            <w:tcW w:w="1170" w:type="dxa"/>
          </w:tcPr>
          <w:p w14:paraId="01EE0E18"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35,034</w:t>
            </w:r>
          </w:p>
        </w:tc>
        <w:tc>
          <w:tcPr>
            <w:tcW w:w="1260" w:type="dxa"/>
            <w:gridSpan w:val="2"/>
          </w:tcPr>
          <w:p w14:paraId="249F681E"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36,974</w:t>
            </w:r>
          </w:p>
        </w:tc>
        <w:tc>
          <w:tcPr>
            <w:tcW w:w="1062" w:type="dxa"/>
          </w:tcPr>
          <w:p w14:paraId="1269FFA0"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39,022</w:t>
            </w:r>
          </w:p>
        </w:tc>
      </w:tr>
      <w:tr w:rsidR="005F72E1" w:rsidRPr="001E5657" w14:paraId="6D8C0DD1" w14:textId="77777777" w:rsidTr="00F12443">
        <w:trPr>
          <w:trHeight w:val="268"/>
        </w:trPr>
        <w:tc>
          <w:tcPr>
            <w:tcW w:w="2700" w:type="dxa"/>
          </w:tcPr>
          <w:p w14:paraId="61366EE4" w14:textId="77777777" w:rsidR="005F72E1" w:rsidRPr="001E5657" w:rsidRDefault="005F72E1" w:rsidP="00DC1840">
            <w:pPr>
              <w:pStyle w:val="TableParagraph"/>
              <w:spacing w:line="248" w:lineRule="exact"/>
              <w:ind w:left="57"/>
              <w:rPr>
                <w:rFonts w:ascii="Times New Roman" w:hAnsi="Times New Roman" w:cs="Times New Roman"/>
                <w:sz w:val="20"/>
                <w:szCs w:val="20"/>
              </w:rPr>
            </w:pPr>
            <w:r w:rsidRPr="001E5657">
              <w:rPr>
                <w:rFonts w:ascii="Times New Roman" w:hAnsi="Times New Roman" w:cs="Times New Roman"/>
                <w:sz w:val="20"/>
                <w:szCs w:val="20"/>
              </w:rPr>
              <w:t>Compensation of employees</w:t>
            </w:r>
          </w:p>
        </w:tc>
        <w:tc>
          <w:tcPr>
            <w:tcW w:w="1530" w:type="dxa"/>
          </w:tcPr>
          <w:p w14:paraId="00490A1B"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19,541</w:t>
            </w:r>
          </w:p>
        </w:tc>
        <w:tc>
          <w:tcPr>
            <w:tcW w:w="1350" w:type="dxa"/>
          </w:tcPr>
          <w:p w14:paraId="0D156928"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19,541</w:t>
            </w:r>
          </w:p>
        </w:tc>
        <w:tc>
          <w:tcPr>
            <w:tcW w:w="1170" w:type="dxa"/>
          </w:tcPr>
          <w:p w14:paraId="096FD19E"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20,810</w:t>
            </w:r>
          </w:p>
        </w:tc>
        <w:tc>
          <w:tcPr>
            <w:tcW w:w="1260" w:type="dxa"/>
            <w:gridSpan w:val="2"/>
          </w:tcPr>
          <w:p w14:paraId="21C95117"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21,955</w:t>
            </w:r>
          </w:p>
        </w:tc>
        <w:tc>
          <w:tcPr>
            <w:tcW w:w="1062" w:type="dxa"/>
          </w:tcPr>
          <w:p w14:paraId="43389A81"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23,493</w:t>
            </w:r>
          </w:p>
        </w:tc>
      </w:tr>
      <w:tr w:rsidR="005F72E1" w:rsidRPr="001E5657" w14:paraId="6FE4B55C" w14:textId="77777777" w:rsidTr="00F12443">
        <w:trPr>
          <w:trHeight w:val="268"/>
        </w:trPr>
        <w:tc>
          <w:tcPr>
            <w:tcW w:w="2700" w:type="dxa"/>
          </w:tcPr>
          <w:p w14:paraId="30FB0BA7" w14:textId="77777777" w:rsidR="005F72E1" w:rsidRPr="001E5657" w:rsidRDefault="005F72E1" w:rsidP="00DC1840">
            <w:pPr>
              <w:pStyle w:val="TableParagraph"/>
              <w:spacing w:line="248" w:lineRule="exact"/>
              <w:ind w:left="57"/>
              <w:rPr>
                <w:rFonts w:ascii="Times New Roman" w:hAnsi="Times New Roman" w:cs="Times New Roman"/>
                <w:sz w:val="20"/>
                <w:szCs w:val="20"/>
              </w:rPr>
            </w:pPr>
            <w:r w:rsidRPr="001E5657">
              <w:rPr>
                <w:rFonts w:ascii="Times New Roman" w:hAnsi="Times New Roman" w:cs="Times New Roman"/>
                <w:sz w:val="20"/>
                <w:szCs w:val="20"/>
              </w:rPr>
              <w:t>Goods and services</w:t>
            </w:r>
          </w:p>
        </w:tc>
        <w:tc>
          <w:tcPr>
            <w:tcW w:w="1530" w:type="dxa"/>
          </w:tcPr>
          <w:p w14:paraId="29FAE1E8"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15,429</w:t>
            </w:r>
          </w:p>
        </w:tc>
        <w:tc>
          <w:tcPr>
            <w:tcW w:w="1350" w:type="dxa"/>
          </w:tcPr>
          <w:p w14:paraId="18B94BC3"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13,099</w:t>
            </w:r>
          </w:p>
        </w:tc>
        <w:tc>
          <w:tcPr>
            <w:tcW w:w="1170" w:type="dxa"/>
          </w:tcPr>
          <w:p w14:paraId="179C4073"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13,974</w:t>
            </w:r>
          </w:p>
        </w:tc>
        <w:tc>
          <w:tcPr>
            <w:tcW w:w="1260" w:type="dxa"/>
            <w:gridSpan w:val="2"/>
          </w:tcPr>
          <w:p w14:paraId="60612FA0"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14,594</w:t>
            </w:r>
          </w:p>
        </w:tc>
        <w:tc>
          <w:tcPr>
            <w:tcW w:w="1062" w:type="dxa"/>
          </w:tcPr>
          <w:p w14:paraId="0B6D01A4"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15,083</w:t>
            </w:r>
          </w:p>
        </w:tc>
      </w:tr>
      <w:tr w:rsidR="005F72E1" w:rsidRPr="001E5657" w14:paraId="4D23AA96" w14:textId="77777777" w:rsidTr="00F12443">
        <w:trPr>
          <w:trHeight w:val="268"/>
        </w:trPr>
        <w:tc>
          <w:tcPr>
            <w:tcW w:w="2700" w:type="dxa"/>
          </w:tcPr>
          <w:p w14:paraId="340E80E2" w14:textId="77777777" w:rsidR="005F72E1" w:rsidRPr="001E5657" w:rsidRDefault="005F72E1" w:rsidP="00DC1840">
            <w:pPr>
              <w:pStyle w:val="TableParagraph"/>
              <w:spacing w:line="248" w:lineRule="exact"/>
              <w:ind w:left="57"/>
              <w:rPr>
                <w:rFonts w:ascii="Times New Roman" w:hAnsi="Times New Roman" w:cs="Times New Roman"/>
                <w:sz w:val="20"/>
                <w:szCs w:val="20"/>
              </w:rPr>
            </w:pPr>
            <w:r w:rsidRPr="001E5657">
              <w:rPr>
                <w:rFonts w:ascii="Times New Roman" w:hAnsi="Times New Roman" w:cs="Times New Roman"/>
                <w:sz w:val="20"/>
                <w:szCs w:val="20"/>
              </w:rPr>
              <w:t>Depreciation</w:t>
            </w:r>
          </w:p>
        </w:tc>
        <w:tc>
          <w:tcPr>
            <w:tcW w:w="1530" w:type="dxa"/>
          </w:tcPr>
          <w:p w14:paraId="2B733EB0"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640</w:t>
            </w:r>
          </w:p>
        </w:tc>
        <w:tc>
          <w:tcPr>
            <w:tcW w:w="1350" w:type="dxa"/>
          </w:tcPr>
          <w:p w14:paraId="7F389E94"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640</w:t>
            </w:r>
          </w:p>
        </w:tc>
        <w:tc>
          <w:tcPr>
            <w:tcW w:w="1170" w:type="dxa"/>
          </w:tcPr>
          <w:p w14:paraId="3A28A042" w14:textId="77777777" w:rsidR="005F72E1" w:rsidRPr="001E5657" w:rsidRDefault="005F72E1" w:rsidP="00DC1840">
            <w:pPr>
              <w:pStyle w:val="TableParagraph"/>
              <w:spacing w:line="248" w:lineRule="exact"/>
              <w:ind w:right="43"/>
              <w:jc w:val="center"/>
              <w:rPr>
                <w:rFonts w:ascii="Times New Roman" w:hAnsi="Times New Roman" w:cs="Times New Roman"/>
                <w:sz w:val="20"/>
                <w:szCs w:val="20"/>
              </w:rPr>
            </w:pPr>
            <w:r w:rsidRPr="001E5657">
              <w:rPr>
                <w:rFonts w:ascii="Times New Roman" w:hAnsi="Times New Roman" w:cs="Times New Roman"/>
                <w:sz w:val="20"/>
                <w:szCs w:val="20"/>
              </w:rPr>
              <w:t>250</w:t>
            </w:r>
          </w:p>
        </w:tc>
        <w:tc>
          <w:tcPr>
            <w:tcW w:w="1260" w:type="dxa"/>
            <w:gridSpan w:val="2"/>
          </w:tcPr>
          <w:p w14:paraId="4398CDA2" w14:textId="77777777" w:rsidR="005F72E1" w:rsidRPr="001E5657" w:rsidRDefault="005F72E1" w:rsidP="00DC1840">
            <w:pPr>
              <w:pStyle w:val="TableParagraph"/>
              <w:spacing w:line="24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425</w:t>
            </w:r>
          </w:p>
        </w:tc>
        <w:tc>
          <w:tcPr>
            <w:tcW w:w="1062" w:type="dxa"/>
          </w:tcPr>
          <w:p w14:paraId="58158888" w14:textId="77777777" w:rsidR="005F72E1" w:rsidRPr="001E5657" w:rsidRDefault="005F72E1" w:rsidP="00DC1840">
            <w:pPr>
              <w:pStyle w:val="TableParagraph"/>
              <w:spacing w:line="248" w:lineRule="exact"/>
              <w:ind w:right="44"/>
              <w:jc w:val="center"/>
              <w:rPr>
                <w:rFonts w:ascii="Times New Roman" w:hAnsi="Times New Roman" w:cs="Times New Roman"/>
                <w:sz w:val="20"/>
                <w:szCs w:val="20"/>
              </w:rPr>
            </w:pPr>
            <w:r w:rsidRPr="001E5657">
              <w:rPr>
                <w:rFonts w:ascii="Times New Roman" w:hAnsi="Times New Roman" w:cs="Times New Roman"/>
                <w:sz w:val="20"/>
                <w:szCs w:val="20"/>
              </w:rPr>
              <w:t>446</w:t>
            </w:r>
          </w:p>
        </w:tc>
      </w:tr>
      <w:tr w:rsidR="005F72E1" w:rsidRPr="001E5657" w14:paraId="0AFBF9B7" w14:textId="77777777" w:rsidTr="00F12443">
        <w:trPr>
          <w:trHeight w:val="537"/>
        </w:trPr>
        <w:tc>
          <w:tcPr>
            <w:tcW w:w="2700" w:type="dxa"/>
          </w:tcPr>
          <w:p w14:paraId="6C542CE2" w14:textId="77777777" w:rsidR="005F72E1" w:rsidRPr="001E5657" w:rsidRDefault="005F72E1" w:rsidP="00DC1840">
            <w:pPr>
              <w:pStyle w:val="TableParagraph"/>
              <w:spacing w:line="268" w:lineRule="exact"/>
              <w:ind w:left="57"/>
              <w:rPr>
                <w:rFonts w:ascii="Times New Roman" w:hAnsi="Times New Roman" w:cs="Times New Roman"/>
                <w:sz w:val="20"/>
                <w:szCs w:val="20"/>
              </w:rPr>
            </w:pPr>
            <w:r w:rsidRPr="001E5657">
              <w:rPr>
                <w:rFonts w:ascii="Times New Roman" w:hAnsi="Times New Roman" w:cs="Times New Roman"/>
                <w:sz w:val="20"/>
                <w:szCs w:val="20"/>
              </w:rPr>
              <w:t>Interest, dividends and rent</w:t>
            </w:r>
          </w:p>
          <w:p w14:paraId="744AC59F" w14:textId="77777777" w:rsidR="005F72E1" w:rsidRPr="001E5657" w:rsidRDefault="005F72E1" w:rsidP="00DC1840">
            <w:pPr>
              <w:pStyle w:val="TableParagraph"/>
              <w:spacing w:line="249" w:lineRule="exact"/>
              <w:ind w:left="57"/>
              <w:rPr>
                <w:rFonts w:ascii="Times New Roman" w:hAnsi="Times New Roman" w:cs="Times New Roman"/>
                <w:sz w:val="20"/>
                <w:szCs w:val="20"/>
              </w:rPr>
            </w:pPr>
            <w:r w:rsidRPr="001E5657">
              <w:rPr>
                <w:rFonts w:ascii="Times New Roman" w:hAnsi="Times New Roman" w:cs="Times New Roman"/>
                <w:sz w:val="20"/>
                <w:szCs w:val="20"/>
              </w:rPr>
              <w:t>on land</w:t>
            </w:r>
          </w:p>
        </w:tc>
        <w:tc>
          <w:tcPr>
            <w:tcW w:w="1530" w:type="dxa"/>
          </w:tcPr>
          <w:p w14:paraId="738C57C6" w14:textId="77777777" w:rsidR="005F72E1" w:rsidRPr="001E5657" w:rsidRDefault="005F72E1" w:rsidP="00DC1840">
            <w:pPr>
              <w:pStyle w:val="TableParagraph"/>
              <w:spacing w:line="26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350" w:type="dxa"/>
          </w:tcPr>
          <w:p w14:paraId="6A10403D" w14:textId="77777777" w:rsidR="005F72E1" w:rsidRPr="001E5657" w:rsidRDefault="005F72E1" w:rsidP="00DC1840">
            <w:pPr>
              <w:pStyle w:val="TableParagraph"/>
              <w:spacing w:line="26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170" w:type="dxa"/>
          </w:tcPr>
          <w:p w14:paraId="0C7D4100" w14:textId="77777777" w:rsidR="005F72E1" w:rsidRPr="001E5657" w:rsidRDefault="005F72E1" w:rsidP="00DC1840">
            <w:pPr>
              <w:pStyle w:val="TableParagraph"/>
              <w:spacing w:line="268" w:lineRule="exact"/>
              <w:ind w:right="45"/>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260" w:type="dxa"/>
            <w:gridSpan w:val="2"/>
          </w:tcPr>
          <w:p w14:paraId="3C335280" w14:textId="77777777" w:rsidR="005F72E1" w:rsidRPr="001E5657" w:rsidRDefault="005F72E1" w:rsidP="00DC1840">
            <w:pPr>
              <w:pStyle w:val="TableParagraph"/>
              <w:spacing w:line="26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062" w:type="dxa"/>
          </w:tcPr>
          <w:p w14:paraId="17F0C681" w14:textId="77777777" w:rsidR="005F72E1" w:rsidRPr="001E5657" w:rsidRDefault="005F72E1" w:rsidP="00DC1840">
            <w:pPr>
              <w:pStyle w:val="TableParagraph"/>
              <w:spacing w:line="268" w:lineRule="exact"/>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r>
      <w:tr w:rsidR="005F72E1" w:rsidRPr="001E5657" w14:paraId="5B234FD2" w14:textId="77777777" w:rsidTr="00F12443">
        <w:trPr>
          <w:trHeight w:val="268"/>
        </w:trPr>
        <w:tc>
          <w:tcPr>
            <w:tcW w:w="2700" w:type="dxa"/>
          </w:tcPr>
          <w:p w14:paraId="7FA79374"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Transfers and subsidies</w:t>
            </w:r>
          </w:p>
        </w:tc>
        <w:tc>
          <w:tcPr>
            <w:tcW w:w="1530" w:type="dxa"/>
          </w:tcPr>
          <w:p w14:paraId="5AD0CF43"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w:t>
            </w:r>
          </w:p>
        </w:tc>
        <w:tc>
          <w:tcPr>
            <w:tcW w:w="1350" w:type="dxa"/>
          </w:tcPr>
          <w:p w14:paraId="17AC1C94"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w:t>
            </w:r>
          </w:p>
        </w:tc>
        <w:tc>
          <w:tcPr>
            <w:tcW w:w="1170" w:type="dxa"/>
          </w:tcPr>
          <w:p w14:paraId="40D10812"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w:t>
            </w:r>
          </w:p>
        </w:tc>
        <w:tc>
          <w:tcPr>
            <w:tcW w:w="1260" w:type="dxa"/>
            <w:gridSpan w:val="2"/>
          </w:tcPr>
          <w:p w14:paraId="2E2F7E1F" w14:textId="77777777" w:rsidR="005F72E1" w:rsidRPr="001E5657" w:rsidRDefault="005F72E1" w:rsidP="00DC1840">
            <w:pPr>
              <w:pStyle w:val="TableParagraph"/>
              <w:spacing w:line="248" w:lineRule="exact"/>
              <w:ind w:right="46"/>
              <w:jc w:val="center"/>
              <w:rPr>
                <w:rFonts w:ascii="Times New Roman" w:hAnsi="Times New Roman" w:cs="Times New Roman"/>
                <w:b/>
                <w:sz w:val="20"/>
                <w:szCs w:val="20"/>
              </w:rPr>
            </w:pPr>
            <w:r w:rsidRPr="001E5657">
              <w:rPr>
                <w:rFonts w:ascii="Times New Roman" w:hAnsi="Times New Roman" w:cs="Times New Roman"/>
                <w:b/>
                <w:sz w:val="20"/>
                <w:szCs w:val="20"/>
              </w:rPr>
              <w:t>–</w:t>
            </w:r>
          </w:p>
        </w:tc>
        <w:tc>
          <w:tcPr>
            <w:tcW w:w="1062" w:type="dxa"/>
          </w:tcPr>
          <w:p w14:paraId="6F062E18" w14:textId="77777777" w:rsidR="005F72E1" w:rsidRPr="001E5657" w:rsidRDefault="005F72E1" w:rsidP="00DC1840">
            <w:pPr>
              <w:pStyle w:val="TableParagraph"/>
              <w:spacing w:line="248" w:lineRule="exact"/>
              <w:ind w:right="46"/>
              <w:jc w:val="center"/>
              <w:rPr>
                <w:rFonts w:ascii="Times New Roman" w:hAnsi="Times New Roman" w:cs="Times New Roman"/>
                <w:b/>
                <w:sz w:val="20"/>
                <w:szCs w:val="20"/>
              </w:rPr>
            </w:pPr>
            <w:r w:rsidRPr="001E5657">
              <w:rPr>
                <w:rFonts w:ascii="Times New Roman" w:hAnsi="Times New Roman" w:cs="Times New Roman"/>
                <w:b/>
                <w:sz w:val="20"/>
                <w:szCs w:val="20"/>
              </w:rPr>
              <w:t>–</w:t>
            </w:r>
          </w:p>
        </w:tc>
      </w:tr>
      <w:tr w:rsidR="005F72E1" w:rsidRPr="001E5657" w14:paraId="08431BBB" w14:textId="77777777" w:rsidTr="00F12443">
        <w:trPr>
          <w:trHeight w:val="268"/>
        </w:trPr>
        <w:tc>
          <w:tcPr>
            <w:tcW w:w="2700" w:type="dxa"/>
          </w:tcPr>
          <w:p w14:paraId="74BA03ED"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Total expenses</w:t>
            </w:r>
          </w:p>
        </w:tc>
        <w:tc>
          <w:tcPr>
            <w:tcW w:w="1530" w:type="dxa"/>
          </w:tcPr>
          <w:p w14:paraId="1F3596BB"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35,610</w:t>
            </w:r>
          </w:p>
        </w:tc>
        <w:tc>
          <w:tcPr>
            <w:tcW w:w="1350" w:type="dxa"/>
          </w:tcPr>
          <w:p w14:paraId="65E452AE" w14:textId="77777777" w:rsidR="005F72E1" w:rsidRPr="001E5657" w:rsidRDefault="005F72E1" w:rsidP="00DC1840">
            <w:pPr>
              <w:pStyle w:val="TableParagraph"/>
              <w:spacing w:line="248" w:lineRule="exact"/>
              <w:ind w:right="43"/>
              <w:jc w:val="center"/>
              <w:rPr>
                <w:rFonts w:ascii="Times New Roman" w:hAnsi="Times New Roman" w:cs="Times New Roman"/>
                <w:b/>
                <w:sz w:val="20"/>
                <w:szCs w:val="20"/>
              </w:rPr>
            </w:pPr>
            <w:r w:rsidRPr="001E5657">
              <w:rPr>
                <w:rFonts w:ascii="Times New Roman" w:hAnsi="Times New Roman" w:cs="Times New Roman"/>
                <w:b/>
                <w:sz w:val="20"/>
                <w:szCs w:val="20"/>
              </w:rPr>
              <w:t>33,280</w:t>
            </w:r>
          </w:p>
        </w:tc>
        <w:tc>
          <w:tcPr>
            <w:tcW w:w="1170" w:type="dxa"/>
          </w:tcPr>
          <w:p w14:paraId="0344D9BF"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35,034</w:t>
            </w:r>
          </w:p>
        </w:tc>
        <w:tc>
          <w:tcPr>
            <w:tcW w:w="1260" w:type="dxa"/>
            <w:gridSpan w:val="2"/>
          </w:tcPr>
          <w:p w14:paraId="03622385" w14:textId="77777777" w:rsidR="005F72E1" w:rsidRPr="001E5657" w:rsidRDefault="005F72E1" w:rsidP="00DC1840">
            <w:pPr>
              <w:pStyle w:val="TableParagraph"/>
              <w:spacing w:line="248" w:lineRule="exact"/>
              <w:ind w:right="45"/>
              <w:jc w:val="center"/>
              <w:rPr>
                <w:rFonts w:ascii="Times New Roman" w:hAnsi="Times New Roman" w:cs="Times New Roman"/>
                <w:b/>
                <w:sz w:val="20"/>
                <w:szCs w:val="20"/>
              </w:rPr>
            </w:pPr>
            <w:r w:rsidRPr="001E5657">
              <w:rPr>
                <w:rFonts w:ascii="Times New Roman" w:hAnsi="Times New Roman" w:cs="Times New Roman"/>
                <w:b/>
                <w:sz w:val="20"/>
                <w:szCs w:val="20"/>
              </w:rPr>
              <w:t>36,974</w:t>
            </w:r>
          </w:p>
        </w:tc>
        <w:tc>
          <w:tcPr>
            <w:tcW w:w="1062" w:type="dxa"/>
          </w:tcPr>
          <w:p w14:paraId="66F96275" w14:textId="77777777" w:rsidR="005F72E1" w:rsidRPr="001E5657" w:rsidRDefault="005F72E1" w:rsidP="00DC1840">
            <w:pPr>
              <w:pStyle w:val="TableParagraph"/>
              <w:spacing w:line="248" w:lineRule="exact"/>
              <w:ind w:right="44"/>
              <w:jc w:val="center"/>
              <w:rPr>
                <w:rFonts w:ascii="Times New Roman" w:hAnsi="Times New Roman" w:cs="Times New Roman"/>
                <w:b/>
                <w:sz w:val="20"/>
                <w:szCs w:val="20"/>
              </w:rPr>
            </w:pPr>
            <w:r w:rsidRPr="001E5657">
              <w:rPr>
                <w:rFonts w:ascii="Times New Roman" w:hAnsi="Times New Roman" w:cs="Times New Roman"/>
                <w:b/>
                <w:sz w:val="20"/>
                <w:szCs w:val="20"/>
              </w:rPr>
              <w:t>39,022</w:t>
            </w:r>
          </w:p>
        </w:tc>
      </w:tr>
      <w:tr w:rsidR="005F72E1" w:rsidRPr="001E5657" w14:paraId="6A6C51BB" w14:textId="77777777" w:rsidTr="00F12443">
        <w:trPr>
          <w:trHeight w:val="268"/>
        </w:trPr>
        <w:tc>
          <w:tcPr>
            <w:tcW w:w="2700" w:type="dxa"/>
          </w:tcPr>
          <w:p w14:paraId="118B9B72" w14:textId="77777777" w:rsidR="005F72E1" w:rsidRPr="001E5657" w:rsidRDefault="005F72E1" w:rsidP="00DC1840">
            <w:pPr>
              <w:pStyle w:val="TableParagraph"/>
              <w:spacing w:line="248" w:lineRule="exact"/>
              <w:ind w:left="57"/>
              <w:rPr>
                <w:rFonts w:ascii="Times New Roman" w:hAnsi="Times New Roman" w:cs="Times New Roman"/>
                <w:b/>
                <w:sz w:val="20"/>
                <w:szCs w:val="20"/>
              </w:rPr>
            </w:pPr>
            <w:r w:rsidRPr="001E5657">
              <w:rPr>
                <w:rFonts w:ascii="Times New Roman" w:hAnsi="Times New Roman" w:cs="Times New Roman"/>
                <w:b/>
                <w:sz w:val="20"/>
                <w:szCs w:val="20"/>
              </w:rPr>
              <w:t>Surplus/(Deficit)</w:t>
            </w:r>
          </w:p>
        </w:tc>
        <w:tc>
          <w:tcPr>
            <w:tcW w:w="1530" w:type="dxa"/>
          </w:tcPr>
          <w:p w14:paraId="33D714F8" w14:textId="77777777" w:rsidR="005F72E1" w:rsidRPr="001E5657" w:rsidRDefault="005F72E1" w:rsidP="00CC0781">
            <w:pPr>
              <w:pStyle w:val="TableParagraph"/>
              <w:spacing w:line="248" w:lineRule="exact"/>
              <w:ind w:right="45"/>
              <w:jc w:val="both"/>
              <w:rPr>
                <w:rFonts w:ascii="Times New Roman" w:hAnsi="Times New Roman" w:cs="Times New Roman"/>
                <w:b/>
                <w:sz w:val="20"/>
                <w:szCs w:val="20"/>
              </w:rPr>
            </w:pPr>
            <w:r w:rsidRPr="001E5657">
              <w:rPr>
                <w:rFonts w:ascii="Times New Roman" w:hAnsi="Times New Roman" w:cs="Times New Roman"/>
                <w:b/>
                <w:sz w:val="20"/>
                <w:szCs w:val="20"/>
              </w:rPr>
              <w:t>–</w:t>
            </w:r>
          </w:p>
        </w:tc>
        <w:tc>
          <w:tcPr>
            <w:tcW w:w="1350" w:type="dxa"/>
          </w:tcPr>
          <w:p w14:paraId="5D4C3C8B" w14:textId="77777777" w:rsidR="005F72E1" w:rsidRPr="001E5657" w:rsidRDefault="005F72E1" w:rsidP="00CC0781">
            <w:pPr>
              <w:pStyle w:val="TableParagraph"/>
              <w:spacing w:line="248" w:lineRule="exact"/>
              <w:ind w:right="45"/>
              <w:jc w:val="both"/>
              <w:rPr>
                <w:rFonts w:ascii="Times New Roman" w:hAnsi="Times New Roman" w:cs="Times New Roman"/>
                <w:b/>
                <w:sz w:val="20"/>
                <w:szCs w:val="20"/>
              </w:rPr>
            </w:pPr>
            <w:r w:rsidRPr="001E5657">
              <w:rPr>
                <w:rFonts w:ascii="Times New Roman" w:hAnsi="Times New Roman" w:cs="Times New Roman"/>
                <w:b/>
                <w:sz w:val="20"/>
                <w:szCs w:val="20"/>
              </w:rPr>
              <w:t>–</w:t>
            </w:r>
          </w:p>
        </w:tc>
        <w:tc>
          <w:tcPr>
            <w:tcW w:w="1170" w:type="dxa"/>
          </w:tcPr>
          <w:p w14:paraId="50BB8127" w14:textId="77777777" w:rsidR="005F72E1" w:rsidRPr="001E5657" w:rsidRDefault="005F72E1" w:rsidP="00CC0781">
            <w:pPr>
              <w:pStyle w:val="TableParagraph"/>
              <w:spacing w:line="248" w:lineRule="exact"/>
              <w:ind w:right="45"/>
              <w:jc w:val="both"/>
              <w:rPr>
                <w:rFonts w:ascii="Times New Roman" w:hAnsi="Times New Roman" w:cs="Times New Roman"/>
                <w:b/>
                <w:sz w:val="20"/>
                <w:szCs w:val="20"/>
              </w:rPr>
            </w:pPr>
            <w:r w:rsidRPr="001E5657">
              <w:rPr>
                <w:rFonts w:ascii="Times New Roman" w:hAnsi="Times New Roman" w:cs="Times New Roman"/>
                <w:b/>
                <w:sz w:val="20"/>
                <w:szCs w:val="20"/>
              </w:rPr>
              <w:t>–</w:t>
            </w:r>
          </w:p>
        </w:tc>
        <w:tc>
          <w:tcPr>
            <w:tcW w:w="1188" w:type="dxa"/>
          </w:tcPr>
          <w:p w14:paraId="44569B25" w14:textId="77777777" w:rsidR="005F72E1" w:rsidRPr="001E5657" w:rsidRDefault="005F72E1" w:rsidP="00CC0781">
            <w:pPr>
              <w:pStyle w:val="TableParagraph"/>
              <w:spacing w:line="248" w:lineRule="exact"/>
              <w:ind w:right="46"/>
              <w:jc w:val="both"/>
              <w:rPr>
                <w:rFonts w:ascii="Times New Roman" w:hAnsi="Times New Roman" w:cs="Times New Roman"/>
                <w:b/>
                <w:sz w:val="20"/>
                <w:szCs w:val="20"/>
              </w:rPr>
            </w:pPr>
            <w:r w:rsidRPr="001E5657">
              <w:rPr>
                <w:rFonts w:ascii="Times New Roman" w:hAnsi="Times New Roman" w:cs="Times New Roman"/>
                <w:b/>
                <w:sz w:val="20"/>
                <w:szCs w:val="20"/>
              </w:rPr>
              <w:t>–</w:t>
            </w:r>
          </w:p>
        </w:tc>
        <w:tc>
          <w:tcPr>
            <w:tcW w:w="1134" w:type="dxa"/>
            <w:gridSpan w:val="2"/>
          </w:tcPr>
          <w:p w14:paraId="498ABC73" w14:textId="77777777" w:rsidR="005F72E1" w:rsidRPr="001E5657" w:rsidRDefault="005F72E1" w:rsidP="00CC0781">
            <w:pPr>
              <w:pStyle w:val="TableParagraph"/>
              <w:spacing w:line="248" w:lineRule="exact"/>
              <w:ind w:right="45"/>
              <w:jc w:val="both"/>
              <w:rPr>
                <w:rFonts w:ascii="Times New Roman" w:hAnsi="Times New Roman" w:cs="Times New Roman"/>
                <w:b/>
                <w:sz w:val="20"/>
                <w:szCs w:val="20"/>
              </w:rPr>
            </w:pPr>
            <w:r w:rsidRPr="001E5657">
              <w:rPr>
                <w:rFonts w:ascii="Times New Roman" w:hAnsi="Times New Roman" w:cs="Times New Roman"/>
                <w:b/>
                <w:sz w:val="20"/>
                <w:szCs w:val="20"/>
              </w:rPr>
              <w:t>-</w:t>
            </w:r>
          </w:p>
        </w:tc>
      </w:tr>
    </w:tbl>
    <w:p w14:paraId="5888577C" w14:textId="77777777" w:rsidR="0048568C" w:rsidRPr="00661465" w:rsidRDefault="0048568C" w:rsidP="0048568C">
      <w:pPr>
        <w:spacing w:after="0" w:line="360" w:lineRule="auto"/>
        <w:jc w:val="both"/>
        <w:rPr>
          <w:rFonts w:ascii="Times New Roman" w:eastAsia="Times New Roman" w:hAnsi="Times New Roman" w:cs="Times New Roman"/>
          <w:spacing w:val="6"/>
          <w:sz w:val="24"/>
          <w:szCs w:val="24"/>
          <w:lang w:val="en-GB" w:eastAsia="en-GB"/>
        </w:rPr>
      </w:pPr>
      <w:r w:rsidRPr="00661465">
        <w:rPr>
          <w:rFonts w:ascii="Times New Roman" w:eastAsia="Times New Roman" w:hAnsi="Times New Roman" w:cs="Times New Roman"/>
          <w:b/>
          <w:spacing w:val="6"/>
          <w:sz w:val="24"/>
          <w:szCs w:val="24"/>
          <w:lang w:val="en-GB" w:eastAsia="en-GB"/>
        </w:rPr>
        <w:t>Matters that emerged from deliberations with the ASA:</w:t>
      </w:r>
    </w:p>
    <w:p w14:paraId="0191271D" w14:textId="77777777" w:rsidR="00CB3854" w:rsidRPr="00661465" w:rsidRDefault="00CB3854" w:rsidP="0048568C">
      <w:pPr>
        <w:tabs>
          <w:tab w:val="left" w:pos="360"/>
          <w:tab w:val="left" w:pos="851"/>
        </w:tabs>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389628B3" w14:textId="77777777" w:rsidR="0048568C" w:rsidRPr="00661465" w:rsidRDefault="00C134A0" w:rsidP="00CB3854">
      <w:pPr>
        <w:pStyle w:val="ListParagraph"/>
        <w:numPr>
          <w:ilvl w:val="0"/>
          <w:numId w:val="44"/>
        </w:numPr>
        <w:tabs>
          <w:tab w:val="left" w:pos="360"/>
          <w:tab w:val="left" w:pos="851"/>
        </w:tabs>
        <w:snapToGrid w:val="0"/>
        <w:spacing w:line="360" w:lineRule="auto"/>
        <w:jc w:val="both"/>
        <w:rPr>
          <w:color w:val="000000"/>
          <w:spacing w:val="6"/>
          <w:lang w:val="en-GB" w:eastAsia="en-GB"/>
        </w:rPr>
      </w:pPr>
      <w:r w:rsidRPr="00661465">
        <w:rPr>
          <w:color w:val="000000"/>
          <w:spacing w:val="6"/>
          <w:lang w:val="en-GB" w:eastAsia="en-GB"/>
        </w:rPr>
        <w:t>The committee urged the Minister to assist the ASA with the popularisation of p</w:t>
      </w:r>
      <w:r w:rsidR="0048568C" w:rsidRPr="00661465">
        <w:rPr>
          <w:color w:val="000000"/>
          <w:spacing w:val="6"/>
          <w:lang w:val="en-GB" w:eastAsia="en-GB"/>
        </w:rPr>
        <w:t xml:space="preserve">roducts </w:t>
      </w:r>
      <w:r w:rsidR="003D3E86" w:rsidRPr="00661465">
        <w:rPr>
          <w:color w:val="000000"/>
          <w:spacing w:val="6"/>
          <w:lang w:val="en-GB" w:eastAsia="en-GB"/>
        </w:rPr>
        <w:t>that may usefully</w:t>
      </w:r>
      <w:r w:rsidR="0048568C" w:rsidRPr="00661465">
        <w:rPr>
          <w:color w:val="000000"/>
          <w:spacing w:val="6"/>
          <w:lang w:val="en-GB" w:eastAsia="en-GB"/>
        </w:rPr>
        <w:t xml:space="preserve"> ensure that human settlement and sanitation needs are satisfied</w:t>
      </w:r>
      <w:r w:rsidR="003D3E86" w:rsidRPr="00661465">
        <w:rPr>
          <w:color w:val="000000"/>
          <w:spacing w:val="6"/>
          <w:lang w:val="en-GB" w:eastAsia="en-GB"/>
        </w:rPr>
        <w:t>. As part of</w:t>
      </w:r>
      <w:r w:rsidR="0048568C" w:rsidRPr="00661465">
        <w:rPr>
          <w:color w:val="000000"/>
          <w:spacing w:val="6"/>
          <w:lang w:val="en-GB" w:eastAsia="en-GB"/>
        </w:rPr>
        <w:t xml:space="preserve"> the executive that coordinates the implementation of infrastructure, </w:t>
      </w:r>
      <w:r w:rsidR="003D3E86" w:rsidRPr="00661465">
        <w:rPr>
          <w:color w:val="000000"/>
          <w:spacing w:val="6"/>
          <w:lang w:val="en-GB" w:eastAsia="en-GB"/>
        </w:rPr>
        <w:t xml:space="preserve">the Minister and other infrastructure departments to instruct the DPWI and PMTE to work with ASA and other departments to </w:t>
      </w:r>
      <w:r w:rsidR="0048568C" w:rsidRPr="00661465">
        <w:rPr>
          <w:color w:val="000000"/>
          <w:spacing w:val="6"/>
          <w:lang w:val="en-GB" w:eastAsia="en-GB"/>
        </w:rPr>
        <w:t xml:space="preserve">look into how innovative building material and systems </w:t>
      </w:r>
      <w:r w:rsidR="003D3E86" w:rsidRPr="00661465">
        <w:rPr>
          <w:color w:val="000000"/>
          <w:spacing w:val="6"/>
          <w:lang w:val="en-GB" w:eastAsia="en-GB"/>
        </w:rPr>
        <w:t>can be</w:t>
      </w:r>
      <w:r w:rsidR="0048568C" w:rsidRPr="00661465">
        <w:rPr>
          <w:color w:val="000000"/>
          <w:spacing w:val="6"/>
          <w:lang w:val="en-GB" w:eastAsia="en-GB"/>
        </w:rPr>
        <w:t xml:space="preserve"> implemented to provide solutions to the human settlement and sanitation</w:t>
      </w:r>
      <w:r w:rsidR="003D3E86" w:rsidRPr="00661465">
        <w:rPr>
          <w:color w:val="000000"/>
          <w:spacing w:val="6"/>
          <w:lang w:val="en-GB" w:eastAsia="en-GB"/>
        </w:rPr>
        <w:t>,</w:t>
      </w:r>
      <w:r w:rsidR="0048568C" w:rsidRPr="00661465">
        <w:rPr>
          <w:color w:val="000000"/>
          <w:spacing w:val="6"/>
          <w:lang w:val="en-GB" w:eastAsia="en-GB"/>
        </w:rPr>
        <w:t xml:space="preserve"> and road building sectors. Infrastructure executives must assist to </w:t>
      </w:r>
      <w:r w:rsidR="003D3E86" w:rsidRPr="00661465">
        <w:rPr>
          <w:color w:val="000000"/>
          <w:spacing w:val="6"/>
          <w:lang w:val="en-GB" w:eastAsia="en-GB"/>
        </w:rPr>
        <w:t>build</w:t>
      </w:r>
      <w:r w:rsidR="0048568C" w:rsidRPr="00661465">
        <w:rPr>
          <w:color w:val="000000"/>
          <w:spacing w:val="6"/>
          <w:lang w:val="en-GB" w:eastAsia="en-GB"/>
        </w:rPr>
        <w:t xml:space="preserve"> the public</w:t>
      </w:r>
      <w:r w:rsidR="003D3E86" w:rsidRPr="00661465">
        <w:rPr>
          <w:color w:val="000000"/>
          <w:spacing w:val="6"/>
          <w:lang w:val="en-GB" w:eastAsia="en-GB"/>
        </w:rPr>
        <w:t xml:space="preserve">’s confidence </w:t>
      </w:r>
      <w:r w:rsidR="0048568C" w:rsidRPr="00661465">
        <w:rPr>
          <w:color w:val="000000"/>
          <w:spacing w:val="6"/>
          <w:lang w:val="en-GB" w:eastAsia="en-GB"/>
        </w:rPr>
        <w:t xml:space="preserve">that </w:t>
      </w:r>
      <w:r w:rsidR="0048568C" w:rsidRPr="00661465">
        <w:rPr>
          <w:color w:val="000000"/>
          <w:spacing w:val="6"/>
          <w:lang w:val="en-GB" w:eastAsia="en-GB"/>
        </w:rPr>
        <w:lastRenderedPageBreak/>
        <w:t xml:space="preserve">innovative </w:t>
      </w:r>
      <w:r w:rsidR="003D3E86" w:rsidRPr="00661465">
        <w:rPr>
          <w:color w:val="000000"/>
          <w:spacing w:val="6"/>
          <w:lang w:val="en-GB" w:eastAsia="en-GB"/>
        </w:rPr>
        <w:t>building material and systems that are tested by ASA are in fact durable and of high quality.</w:t>
      </w:r>
    </w:p>
    <w:p w14:paraId="73A43876" w14:textId="77777777" w:rsidR="00CB3854" w:rsidRPr="00661465" w:rsidRDefault="00CB3854" w:rsidP="0048568C">
      <w:pPr>
        <w:tabs>
          <w:tab w:val="left" w:pos="360"/>
          <w:tab w:val="left" w:pos="851"/>
        </w:tabs>
        <w:snapToGrid w:val="0"/>
        <w:spacing w:after="0" w:line="360" w:lineRule="auto"/>
        <w:jc w:val="both"/>
        <w:rPr>
          <w:rFonts w:ascii="Times New Roman" w:eastAsia="Times New Roman" w:hAnsi="Times New Roman" w:cs="Times New Roman"/>
          <w:color w:val="000000"/>
          <w:spacing w:val="6"/>
          <w:sz w:val="24"/>
          <w:szCs w:val="24"/>
          <w:lang w:val="en-GB" w:eastAsia="en-GB"/>
        </w:rPr>
      </w:pPr>
    </w:p>
    <w:p w14:paraId="7E16FF93" w14:textId="77777777" w:rsidR="0048568C" w:rsidRPr="00661465" w:rsidRDefault="00C92526" w:rsidP="00CB3854">
      <w:pPr>
        <w:pStyle w:val="ListParagraph"/>
        <w:numPr>
          <w:ilvl w:val="0"/>
          <w:numId w:val="44"/>
        </w:numPr>
        <w:tabs>
          <w:tab w:val="left" w:pos="360"/>
          <w:tab w:val="left" w:pos="851"/>
        </w:tabs>
        <w:snapToGrid w:val="0"/>
        <w:spacing w:line="360" w:lineRule="auto"/>
        <w:jc w:val="both"/>
        <w:rPr>
          <w:color w:val="000000"/>
          <w:spacing w:val="6"/>
          <w:lang w:val="en-GB" w:eastAsia="en-GB"/>
        </w:rPr>
      </w:pPr>
      <w:r w:rsidRPr="00661465">
        <w:rPr>
          <w:color w:val="000000"/>
          <w:spacing w:val="6"/>
          <w:lang w:val="en-GB" w:eastAsia="en-GB"/>
        </w:rPr>
        <w:t>The p</w:t>
      </w:r>
      <w:r w:rsidR="0048568C" w:rsidRPr="00661465">
        <w:rPr>
          <w:color w:val="000000"/>
          <w:spacing w:val="6"/>
          <w:lang w:val="en-GB" w:eastAsia="en-GB"/>
        </w:rPr>
        <w:t xml:space="preserve">rocess of </w:t>
      </w:r>
      <w:r w:rsidR="00CB3854" w:rsidRPr="00661465">
        <w:rPr>
          <w:color w:val="000000"/>
          <w:spacing w:val="6"/>
          <w:lang w:val="en-GB" w:eastAsia="en-GB"/>
        </w:rPr>
        <w:t>professionalization</w:t>
      </w:r>
      <w:r w:rsidR="0048568C" w:rsidRPr="00661465">
        <w:rPr>
          <w:color w:val="000000"/>
          <w:spacing w:val="6"/>
          <w:lang w:val="en-GB" w:eastAsia="en-GB"/>
        </w:rPr>
        <w:t xml:space="preserve"> </w:t>
      </w:r>
      <w:r w:rsidRPr="00661465">
        <w:rPr>
          <w:color w:val="000000"/>
          <w:spacing w:val="6"/>
          <w:lang w:val="en-GB" w:eastAsia="en-GB"/>
        </w:rPr>
        <w:t xml:space="preserve">the career of </w:t>
      </w:r>
      <w:r w:rsidR="0048568C" w:rsidRPr="00661465">
        <w:rPr>
          <w:color w:val="000000"/>
          <w:spacing w:val="6"/>
          <w:lang w:val="en-GB" w:eastAsia="en-GB"/>
        </w:rPr>
        <w:t xml:space="preserve">building inspectors </w:t>
      </w:r>
      <w:r w:rsidRPr="00661465">
        <w:rPr>
          <w:color w:val="000000"/>
          <w:spacing w:val="6"/>
          <w:lang w:val="en-GB" w:eastAsia="en-GB"/>
        </w:rPr>
        <w:t>as an</w:t>
      </w:r>
      <w:r w:rsidR="0048568C" w:rsidRPr="00661465">
        <w:rPr>
          <w:color w:val="000000"/>
          <w:spacing w:val="6"/>
          <w:lang w:val="en-GB" w:eastAsia="en-GB"/>
        </w:rPr>
        <w:t xml:space="preserve"> initiative </w:t>
      </w:r>
      <w:r w:rsidRPr="00661465">
        <w:rPr>
          <w:color w:val="000000"/>
          <w:spacing w:val="6"/>
          <w:lang w:val="en-GB" w:eastAsia="en-GB"/>
        </w:rPr>
        <w:t xml:space="preserve">of the </w:t>
      </w:r>
      <w:r w:rsidR="0048568C" w:rsidRPr="00661465">
        <w:rPr>
          <w:color w:val="000000"/>
          <w:spacing w:val="6"/>
          <w:lang w:val="en-GB" w:eastAsia="en-GB"/>
        </w:rPr>
        <w:t>S</w:t>
      </w:r>
      <w:r w:rsidRPr="00661465">
        <w:rPr>
          <w:color w:val="000000"/>
          <w:spacing w:val="6"/>
          <w:lang w:val="en-GB" w:eastAsia="en-GB"/>
        </w:rPr>
        <w:t xml:space="preserve">outh </w:t>
      </w:r>
      <w:r w:rsidR="0048568C" w:rsidRPr="00661465">
        <w:rPr>
          <w:color w:val="000000"/>
          <w:spacing w:val="6"/>
          <w:lang w:val="en-GB" w:eastAsia="en-GB"/>
        </w:rPr>
        <w:t>A</w:t>
      </w:r>
      <w:r w:rsidRPr="00661465">
        <w:rPr>
          <w:color w:val="000000"/>
          <w:spacing w:val="6"/>
          <w:lang w:val="en-GB" w:eastAsia="en-GB"/>
        </w:rPr>
        <w:t>frican</w:t>
      </w:r>
      <w:r w:rsidR="0048568C" w:rsidRPr="00661465">
        <w:rPr>
          <w:color w:val="000000"/>
          <w:spacing w:val="6"/>
          <w:lang w:val="en-GB" w:eastAsia="en-GB"/>
        </w:rPr>
        <w:t xml:space="preserve"> Council of Project Managers </w:t>
      </w:r>
      <w:r w:rsidRPr="00661465">
        <w:rPr>
          <w:color w:val="000000"/>
          <w:spacing w:val="6"/>
          <w:lang w:val="en-GB" w:eastAsia="en-GB"/>
        </w:rPr>
        <w:t xml:space="preserve">(SACPM) </w:t>
      </w:r>
      <w:r w:rsidR="0048568C" w:rsidRPr="00661465">
        <w:rPr>
          <w:color w:val="000000"/>
          <w:spacing w:val="6"/>
          <w:lang w:val="en-GB" w:eastAsia="en-GB"/>
        </w:rPr>
        <w:t xml:space="preserve">and </w:t>
      </w:r>
      <w:r w:rsidRPr="00661465">
        <w:rPr>
          <w:color w:val="000000"/>
          <w:spacing w:val="6"/>
          <w:lang w:val="en-GB" w:eastAsia="en-GB"/>
        </w:rPr>
        <w:t>the South African Council of Architects (</w:t>
      </w:r>
      <w:r w:rsidR="0048568C" w:rsidRPr="00661465">
        <w:rPr>
          <w:color w:val="000000"/>
          <w:spacing w:val="6"/>
          <w:lang w:val="en-GB" w:eastAsia="en-GB"/>
        </w:rPr>
        <w:t>SACAP</w:t>
      </w:r>
      <w:r w:rsidRPr="00661465">
        <w:rPr>
          <w:color w:val="000000"/>
          <w:spacing w:val="6"/>
          <w:lang w:val="en-GB" w:eastAsia="en-GB"/>
        </w:rPr>
        <w:t>)</w:t>
      </w:r>
      <w:r w:rsidR="00412700" w:rsidRPr="00661465">
        <w:rPr>
          <w:color w:val="000000"/>
          <w:spacing w:val="6"/>
          <w:lang w:val="en-GB" w:eastAsia="en-GB"/>
        </w:rPr>
        <w:t xml:space="preserve"> is an important initiative that is supported that is part of the type of partnership</w:t>
      </w:r>
      <w:r w:rsidR="0048568C" w:rsidRPr="00661465">
        <w:rPr>
          <w:color w:val="000000"/>
          <w:spacing w:val="6"/>
          <w:lang w:val="en-GB" w:eastAsia="en-GB"/>
        </w:rPr>
        <w:t xml:space="preserve"> </w:t>
      </w:r>
      <w:r w:rsidR="00412700" w:rsidRPr="00661465">
        <w:rPr>
          <w:color w:val="000000"/>
          <w:spacing w:val="6"/>
          <w:lang w:val="en-GB" w:eastAsia="en-GB"/>
        </w:rPr>
        <w:t>that is</w:t>
      </w:r>
      <w:r w:rsidR="0048568C" w:rsidRPr="00661465">
        <w:rPr>
          <w:color w:val="000000"/>
          <w:spacing w:val="6"/>
          <w:lang w:val="en-GB" w:eastAsia="en-GB"/>
        </w:rPr>
        <w:t xml:space="preserve"> required to ensure that the sector provides a satisfying service to South Africans. </w:t>
      </w:r>
    </w:p>
    <w:p w14:paraId="53579C38" w14:textId="77777777" w:rsidR="00CB3854" w:rsidRPr="00661465" w:rsidRDefault="00CB3854" w:rsidP="00CB3854">
      <w:pPr>
        <w:pStyle w:val="ListParagraph"/>
        <w:rPr>
          <w:color w:val="000000"/>
          <w:spacing w:val="6"/>
          <w:lang w:val="en-GB" w:eastAsia="en-GB"/>
        </w:rPr>
      </w:pPr>
    </w:p>
    <w:p w14:paraId="6310E6E2" w14:textId="77777777" w:rsidR="00CB3854" w:rsidRPr="00661465" w:rsidRDefault="00CB3854" w:rsidP="00CB3854">
      <w:pPr>
        <w:pStyle w:val="ListParagraph"/>
        <w:tabs>
          <w:tab w:val="left" w:pos="360"/>
          <w:tab w:val="left" w:pos="851"/>
        </w:tabs>
        <w:snapToGrid w:val="0"/>
        <w:spacing w:line="360" w:lineRule="auto"/>
        <w:jc w:val="both"/>
        <w:rPr>
          <w:color w:val="000000"/>
          <w:spacing w:val="6"/>
          <w:lang w:val="en-GB" w:eastAsia="en-GB"/>
        </w:rPr>
      </w:pPr>
    </w:p>
    <w:p w14:paraId="1A766470" w14:textId="77777777" w:rsidR="00091902" w:rsidRPr="00661465" w:rsidRDefault="001E4EDA" w:rsidP="00CC078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91902" w:rsidRPr="00661465">
        <w:rPr>
          <w:rFonts w:ascii="Times New Roman" w:hAnsi="Times New Roman" w:cs="Times New Roman"/>
          <w:b/>
          <w:sz w:val="24"/>
          <w:szCs w:val="24"/>
        </w:rPr>
        <w:t>.2. The Construction Industry Development Board (CIDB):</w:t>
      </w:r>
    </w:p>
    <w:p w14:paraId="4AF7EB96" w14:textId="77777777" w:rsidR="003F3382" w:rsidRPr="00661465" w:rsidRDefault="003F3382" w:rsidP="00341289">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CIDB reported that it underwent a collaborative and consultative process to change its mission, strategic goals and indicators. It presented it as follows:</w:t>
      </w:r>
    </w:p>
    <w:p w14:paraId="2415BD99" w14:textId="77777777" w:rsidR="003F3382" w:rsidRPr="00661465" w:rsidRDefault="003F3382" w:rsidP="00341289">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CIDB pres</w:t>
      </w:r>
      <w:r w:rsidR="009A70F0" w:rsidRPr="00661465">
        <w:rPr>
          <w:rFonts w:ascii="Times New Roman" w:hAnsi="Times New Roman" w:cs="Times New Roman"/>
          <w:sz w:val="24"/>
          <w:szCs w:val="24"/>
        </w:rPr>
        <w:t>ented a reviewed mission that s</w:t>
      </w:r>
      <w:r w:rsidRPr="00661465">
        <w:rPr>
          <w:rFonts w:ascii="Times New Roman" w:hAnsi="Times New Roman" w:cs="Times New Roman"/>
          <w:sz w:val="24"/>
          <w:szCs w:val="24"/>
        </w:rPr>
        <w:t>a</w:t>
      </w:r>
      <w:r w:rsidR="009A70F0" w:rsidRPr="00661465">
        <w:rPr>
          <w:rFonts w:ascii="Times New Roman" w:hAnsi="Times New Roman" w:cs="Times New Roman"/>
          <w:sz w:val="24"/>
          <w:szCs w:val="24"/>
        </w:rPr>
        <w:t>i</w:t>
      </w:r>
      <w:r w:rsidRPr="00661465">
        <w:rPr>
          <w:rFonts w:ascii="Times New Roman" w:hAnsi="Times New Roman" w:cs="Times New Roman"/>
          <w:sz w:val="24"/>
          <w:szCs w:val="24"/>
        </w:rPr>
        <w:t>d:</w:t>
      </w:r>
    </w:p>
    <w:p w14:paraId="711763D5" w14:textId="77777777" w:rsidR="00341289" w:rsidRPr="00661465" w:rsidRDefault="003F3382" w:rsidP="00CB3854">
      <w:pPr>
        <w:spacing w:line="360" w:lineRule="auto"/>
        <w:ind w:left="1701" w:right="2222"/>
        <w:jc w:val="both"/>
        <w:rPr>
          <w:rFonts w:ascii="Times New Roman" w:hAnsi="Times New Roman" w:cs="Times New Roman"/>
          <w:bCs/>
          <w:sz w:val="24"/>
          <w:szCs w:val="24"/>
        </w:rPr>
      </w:pPr>
      <w:r w:rsidRPr="00661465">
        <w:rPr>
          <w:rFonts w:ascii="Times New Roman" w:hAnsi="Times New Roman" w:cs="Times New Roman"/>
          <w:bCs/>
          <w:sz w:val="24"/>
          <w:szCs w:val="24"/>
        </w:rPr>
        <w:t>“We exist in order to regulate and develop the construction industry through strategic i</w:t>
      </w:r>
      <w:r w:rsidR="00CB3854" w:rsidRPr="00661465">
        <w:rPr>
          <w:rFonts w:ascii="Times New Roman" w:hAnsi="Times New Roman" w:cs="Times New Roman"/>
          <w:bCs/>
          <w:sz w:val="24"/>
          <w:szCs w:val="24"/>
        </w:rPr>
        <w:t>nterventions and partnerships”.</w:t>
      </w:r>
    </w:p>
    <w:p w14:paraId="295DC6A2" w14:textId="77777777" w:rsidR="00F429BE" w:rsidRPr="00661465" w:rsidRDefault="00F429BE" w:rsidP="00AD545A">
      <w:pPr>
        <w:spacing w:before="110" w:line="360" w:lineRule="auto"/>
        <w:ind w:right="26"/>
        <w:jc w:val="both"/>
        <w:rPr>
          <w:rFonts w:ascii="Times New Roman" w:hAnsi="Times New Roman" w:cs="Times New Roman"/>
          <w:sz w:val="24"/>
          <w:szCs w:val="24"/>
        </w:rPr>
      </w:pPr>
      <w:r w:rsidRPr="00661465">
        <w:rPr>
          <w:rFonts w:ascii="Times New Roman" w:hAnsi="Times New Roman" w:cs="Times New Roman"/>
          <w:w w:val="110"/>
          <w:sz w:val="24"/>
          <w:szCs w:val="24"/>
        </w:rPr>
        <w:t xml:space="preserve">The </w:t>
      </w:r>
      <w:r w:rsidR="00341289" w:rsidRPr="00661465">
        <w:rPr>
          <w:rFonts w:ascii="Times New Roman" w:hAnsi="Times New Roman" w:cs="Times New Roman"/>
          <w:w w:val="110"/>
          <w:sz w:val="24"/>
          <w:szCs w:val="24"/>
        </w:rPr>
        <w:t>CIDB’s APP covered</w:t>
      </w:r>
      <w:r w:rsidRPr="00661465">
        <w:rPr>
          <w:rFonts w:ascii="Times New Roman" w:hAnsi="Times New Roman" w:cs="Times New Roman"/>
          <w:w w:val="110"/>
          <w:sz w:val="24"/>
          <w:szCs w:val="24"/>
        </w:rPr>
        <w:t xml:space="preserve"> the concluding year of the 2014/15 to 2019/20 MTSF. This </w:t>
      </w:r>
      <w:r w:rsidR="00341289" w:rsidRPr="00661465">
        <w:rPr>
          <w:rFonts w:ascii="Times New Roman" w:hAnsi="Times New Roman" w:cs="Times New Roman"/>
          <w:w w:val="110"/>
          <w:sz w:val="24"/>
          <w:szCs w:val="24"/>
        </w:rPr>
        <w:t>five-year</w:t>
      </w:r>
      <w:r w:rsidRPr="00661465">
        <w:rPr>
          <w:rFonts w:ascii="Times New Roman" w:hAnsi="Times New Roman" w:cs="Times New Roman"/>
          <w:w w:val="110"/>
          <w:sz w:val="24"/>
          <w:szCs w:val="24"/>
        </w:rPr>
        <w:t xml:space="preserve"> plan is anchored on the </w:t>
      </w:r>
      <w:r w:rsidR="00341289" w:rsidRPr="00661465">
        <w:rPr>
          <w:rFonts w:ascii="Times New Roman" w:hAnsi="Times New Roman" w:cs="Times New Roman"/>
          <w:w w:val="110"/>
          <w:sz w:val="24"/>
          <w:szCs w:val="24"/>
        </w:rPr>
        <w:t>entity’s</w:t>
      </w:r>
      <w:r w:rsidRPr="00661465">
        <w:rPr>
          <w:rFonts w:ascii="Times New Roman" w:hAnsi="Times New Roman" w:cs="Times New Roman"/>
          <w:w w:val="110"/>
          <w:sz w:val="24"/>
          <w:szCs w:val="24"/>
        </w:rPr>
        <w:t xml:space="preserve"> strategic pillars, which are aligned to government policy expressed in the National Development Plan (NDP) and the Medium Term Strategic Framework</w:t>
      </w:r>
      <w:r w:rsidRPr="00661465">
        <w:rPr>
          <w:rFonts w:ascii="Times New Roman" w:hAnsi="Times New Roman" w:cs="Times New Roman"/>
          <w:spacing w:val="-29"/>
          <w:w w:val="110"/>
          <w:sz w:val="24"/>
          <w:szCs w:val="24"/>
        </w:rPr>
        <w:t xml:space="preserve"> </w:t>
      </w:r>
      <w:r w:rsidRPr="00661465">
        <w:rPr>
          <w:rFonts w:ascii="Times New Roman" w:hAnsi="Times New Roman" w:cs="Times New Roman"/>
          <w:w w:val="110"/>
          <w:sz w:val="24"/>
          <w:szCs w:val="24"/>
        </w:rPr>
        <w:t>(MTSF):</w:t>
      </w:r>
    </w:p>
    <w:p w14:paraId="0D9A1031" w14:textId="77777777" w:rsidR="00F429BE" w:rsidRDefault="00F429BE" w:rsidP="00F12443">
      <w:pPr>
        <w:pStyle w:val="BodyText"/>
        <w:spacing w:line="240" w:lineRule="auto"/>
        <w:ind w:right="26"/>
        <w:rPr>
          <w:rFonts w:ascii="Times New Roman" w:hAnsi="Times New Roman"/>
          <w:b/>
          <w:szCs w:val="24"/>
        </w:rPr>
      </w:pPr>
    </w:p>
    <w:p w14:paraId="6A6BEB62" w14:textId="77777777" w:rsidR="00F429BE" w:rsidRPr="00661465" w:rsidRDefault="00F429BE" w:rsidP="00F12443">
      <w:pPr>
        <w:pStyle w:val="ListParagraph"/>
        <w:widowControl w:val="0"/>
        <w:numPr>
          <w:ilvl w:val="0"/>
          <w:numId w:val="34"/>
        </w:numPr>
        <w:tabs>
          <w:tab w:val="left" w:pos="993"/>
        </w:tabs>
        <w:autoSpaceDE w:val="0"/>
        <w:autoSpaceDN w:val="0"/>
        <w:spacing w:line="360" w:lineRule="auto"/>
        <w:ind w:left="993" w:right="26" w:hanging="426"/>
        <w:contextualSpacing w:val="0"/>
        <w:jc w:val="both"/>
      </w:pPr>
      <w:r w:rsidRPr="00661465">
        <w:rPr>
          <w:b/>
        </w:rPr>
        <w:t xml:space="preserve">Transformation: </w:t>
      </w:r>
      <w:r w:rsidRPr="00661465">
        <w:t xml:space="preserve">To transform the construction industry by increasing infrastructure spend to support and reflect </w:t>
      </w:r>
      <w:r w:rsidRPr="00661465">
        <w:rPr>
          <w:spacing w:val="-6"/>
        </w:rPr>
        <w:t xml:space="preserve">the </w:t>
      </w:r>
      <w:r w:rsidRPr="00661465">
        <w:t>demographics of South</w:t>
      </w:r>
      <w:r w:rsidRPr="00661465">
        <w:rPr>
          <w:spacing w:val="27"/>
        </w:rPr>
        <w:t xml:space="preserve"> </w:t>
      </w:r>
      <w:r w:rsidRPr="00661465">
        <w:t>Africa.</w:t>
      </w:r>
    </w:p>
    <w:p w14:paraId="493208A9" w14:textId="77777777" w:rsidR="00F429BE" w:rsidRPr="00661465" w:rsidRDefault="00F429BE" w:rsidP="00AD545A">
      <w:pPr>
        <w:pStyle w:val="BodyText"/>
        <w:tabs>
          <w:tab w:val="left" w:pos="993"/>
        </w:tabs>
        <w:spacing w:before="10" w:line="360" w:lineRule="auto"/>
        <w:ind w:left="993" w:right="26" w:hanging="426"/>
        <w:rPr>
          <w:rFonts w:ascii="Times New Roman" w:hAnsi="Times New Roman"/>
          <w:szCs w:val="24"/>
        </w:rPr>
      </w:pPr>
    </w:p>
    <w:p w14:paraId="1F83111D" w14:textId="77777777" w:rsidR="00F429BE" w:rsidRPr="00661465" w:rsidRDefault="00F429BE" w:rsidP="00AD545A">
      <w:pPr>
        <w:pStyle w:val="ListParagraph"/>
        <w:widowControl w:val="0"/>
        <w:numPr>
          <w:ilvl w:val="0"/>
          <w:numId w:val="34"/>
        </w:numPr>
        <w:tabs>
          <w:tab w:val="left" w:pos="993"/>
        </w:tabs>
        <w:autoSpaceDE w:val="0"/>
        <w:autoSpaceDN w:val="0"/>
        <w:spacing w:line="360" w:lineRule="auto"/>
        <w:ind w:left="993" w:right="26" w:hanging="426"/>
        <w:contextualSpacing w:val="0"/>
        <w:jc w:val="both"/>
      </w:pPr>
      <w:r w:rsidRPr="00661465">
        <w:rPr>
          <w:b/>
        </w:rPr>
        <w:t xml:space="preserve">Development: </w:t>
      </w:r>
      <w:r w:rsidRPr="00661465">
        <w:t xml:space="preserve">Provide mechanisms and support to enterprises to be competitive and sustainable and to deliver value </w:t>
      </w:r>
      <w:r w:rsidRPr="00661465">
        <w:rPr>
          <w:spacing w:val="-6"/>
        </w:rPr>
        <w:t xml:space="preserve">for </w:t>
      </w:r>
      <w:r w:rsidRPr="00661465">
        <w:t>money within the construction</w:t>
      </w:r>
      <w:r w:rsidRPr="00661465">
        <w:rPr>
          <w:spacing w:val="35"/>
        </w:rPr>
        <w:t xml:space="preserve"> </w:t>
      </w:r>
      <w:r w:rsidRPr="00661465">
        <w:t>industry.</w:t>
      </w:r>
    </w:p>
    <w:p w14:paraId="02345796" w14:textId="77777777" w:rsidR="00F429BE" w:rsidRPr="00661465" w:rsidRDefault="00F429BE" w:rsidP="00AD545A">
      <w:pPr>
        <w:pStyle w:val="BodyText"/>
        <w:tabs>
          <w:tab w:val="left" w:pos="993"/>
        </w:tabs>
        <w:spacing w:before="10" w:line="360" w:lineRule="auto"/>
        <w:ind w:left="993" w:right="26" w:hanging="426"/>
        <w:rPr>
          <w:rFonts w:ascii="Times New Roman" w:hAnsi="Times New Roman"/>
          <w:szCs w:val="24"/>
        </w:rPr>
      </w:pPr>
    </w:p>
    <w:p w14:paraId="2D10C500" w14:textId="77777777" w:rsidR="00F429BE" w:rsidRPr="00661465" w:rsidRDefault="00F429BE" w:rsidP="00661465">
      <w:pPr>
        <w:pStyle w:val="ListParagraph"/>
        <w:widowControl w:val="0"/>
        <w:numPr>
          <w:ilvl w:val="0"/>
          <w:numId w:val="34"/>
        </w:numPr>
        <w:tabs>
          <w:tab w:val="left" w:pos="993"/>
        </w:tabs>
        <w:autoSpaceDE w:val="0"/>
        <w:autoSpaceDN w:val="0"/>
        <w:spacing w:before="1" w:line="360" w:lineRule="auto"/>
        <w:ind w:left="993" w:right="26" w:hanging="426"/>
        <w:contextualSpacing w:val="0"/>
        <w:jc w:val="both"/>
      </w:pPr>
      <w:r w:rsidRPr="00661465">
        <w:rPr>
          <w:b/>
        </w:rPr>
        <w:t xml:space="preserve">Regulation: </w:t>
      </w:r>
      <w:r w:rsidRPr="00661465">
        <w:t>To regulate the construction industry in the public interest to ensure a fair, inclusive, ethical, transformed, enabling and reputable construction</w:t>
      </w:r>
      <w:r w:rsidRPr="00661465">
        <w:rPr>
          <w:spacing w:val="36"/>
        </w:rPr>
        <w:t xml:space="preserve"> </w:t>
      </w:r>
      <w:r w:rsidRPr="00661465">
        <w:t>environment.</w:t>
      </w:r>
    </w:p>
    <w:p w14:paraId="77624A9F" w14:textId="77777777" w:rsidR="00F429BE" w:rsidRPr="00661465" w:rsidRDefault="00F429BE" w:rsidP="00AD545A">
      <w:pPr>
        <w:pStyle w:val="ListParagraph"/>
        <w:widowControl w:val="0"/>
        <w:numPr>
          <w:ilvl w:val="0"/>
          <w:numId w:val="34"/>
        </w:numPr>
        <w:tabs>
          <w:tab w:val="left" w:pos="993"/>
        </w:tabs>
        <w:autoSpaceDE w:val="0"/>
        <w:autoSpaceDN w:val="0"/>
        <w:spacing w:before="1" w:line="360" w:lineRule="auto"/>
        <w:ind w:left="993" w:right="26" w:hanging="426"/>
        <w:contextualSpacing w:val="0"/>
        <w:jc w:val="both"/>
      </w:pPr>
      <w:r w:rsidRPr="00661465">
        <w:rPr>
          <w:b/>
        </w:rPr>
        <w:t>Partnerships:</w:t>
      </w:r>
      <w:r w:rsidRPr="00661465">
        <w:rPr>
          <w:b/>
          <w:spacing w:val="10"/>
        </w:rPr>
        <w:t xml:space="preserve"> </w:t>
      </w:r>
      <w:r w:rsidRPr="00661465">
        <w:t>Pursuing</w:t>
      </w:r>
      <w:r w:rsidRPr="00661465">
        <w:rPr>
          <w:spacing w:val="10"/>
        </w:rPr>
        <w:t xml:space="preserve"> </w:t>
      </w:r>
      <w:r w:rsidRPr="00661465">
        <w:t>progressive</w:t>
      </w:r>
      <w:r w:rsidRPr="00661465">
        <w:rPr>
          <w:spacing w:val="11"/>
        </w:rPr>
        <w:t xml:space="preserve"> </w:t>
      </w:r>
      <w:r w:rsidRPr="00661465">
        <w:t>partnerships</w:t>
      </w:r>
      <w:r w:rsidRPr="00661465">
        <w:rPr>
          <w:spacing w:val="10"/>
        </w:rPr>
        <w:t xml:space="preserve"> </w:t>
      </w:r>
      <w:r w:rsidRPr="00661465">
        <w:t>and</w:t>
      </w:r>
      <w:r w:rsidRPr="00661465">
        <w:rPr>
          <w:spacing w:val="11"/>
        </w:rPr>
        <w:t xml:space="preserve"> </w:t>
      </w:r>
      <w:r w:rsidRPr="00661465">
        <w:t>alliances</w:t>
      </w:r>
      <w:r w:rsidRPr="00661465">
        <w:rPr>
          <w:spacing w:val="10"/>
        </w:rPr>
        <w:t xml:space="preserve"> </w:t>
      </w:r>
      <w:r w:rsidRPr="00661465">
        <w:t>with</w:t>
      </w:r>
      <w:r w:rsidRPr="00661465">
        <w:rPr>
          <w:spacing w:val="11"/>
        </w:rPr>
        <w:t xml:space="preserve"> </w:t>
      </w:r>
      <w:r w:rsidRPr="00661465">
        <w:t>industry</w:t>
      </w:r>
      <w:r w:rsidRPr="00661465">
        <w:rPr>
          <w:spacing w:val="10"/>
        </w:rPr>
        <w:t xml:space="preserve"> </w:t>
      </w:r>
      <w:r w:rsidRPr="00661465">
        <w:lastRenderedPageBreak/>
        <w:t>stakeholders</w:t>
      </w:r>
      <w:r w:rsidRPr="00661465">
        <w:rPr>
          <w:spacing w:val="11"/>
        </w:rPr>
        <w:t xml:space="preserve"> </w:t>
      </w:r>
      <w:r w:rsidRPr="00661465">
        <w:t>to</w:t>
      </w:r>
      <w:r w:rsidRPr="00661465">
        <w:rPr>
          <w:spacing w:val="10"/>
        </w:rPr>
        <w:t xml:space="preserve"> </w:t>
      </w:r>
      <w:r w:rsidRPr="00661465">
        <w:t>achieve</w:t>
      </w:r>
      <w:r w:rsidRPr="00661465">
        <w:rPr>
          <w:spacing w:val="11"/>
        </w:rPr>
        <w:t xml:space="preserve"> </w:t>
      </w:r>
      <w:r w:rsidR="005051D9" w:rsidRPr="00661465">
        <w:t>CIDB</w:t>
      </w:r>
      <w:r w:rsidRPr="00661465">
        <w:t>’s</w:t>
      </w:r>
      <w:r w:rsidRPr="00661465">
        <w:rPr>
          <w:spacing w:val="10"/>
        </w:rPr>
        <w:t xml:space="preserve"> </w:t>
      </w:r>
      <w:r w:rsidRPr="00661465">
        <w:t>strategic</w:t>
      </w:r>
      <w:r w:rsidRPr="00661465">
        <w:rPr>
          <w:spacing w:val="11"/>
        </w:rPr>
        <w:t xml:space="preserve"> </w:t>
      </w:r>
      <w:r w:rsidRPr="00661465">
        <w:t>intent.</w:t>
      </w:r>
    </w:p>
    <w:p w14:paraId="10D59A65" w14:textId="77777777" w:rsidR="00F429BE" w:rsidRPr="00661465" w:rsidRDefault="00F429BE" w:rsidP="00AD545A">
      <w:pPr>
        <w:pStyle w:val="BodyText"/>
        <w:tabs>
          <w:tab w:val="left" w:pos="993"/>
        </w:tabs>
        <w:spacing w:before="10" w:line="360" w:lineRule="auto"/>
        <w:ind w:left="993" w:right="26" w:hanging="426"/>
        <w:rPr>
          <w:rFonts w:ascii="Times New Roman" w:hAnsi="Times New Roman"/>
          <w:szCs w:val="24"/>
        </w:rPr>
      </w:pPr>
    </w:p>
    <w:p w14:paraId="6D90C611" w14:textId="77777777" w:rsidR="00F429BE" w:rsidRPr="00661465" w:rsidRDefault="00F429BE" w:rsidP="00AD545A">
      <w:pPr>
        <w:pStyle w:val="ListParagraph"/>
        <w:widowControl w:val="0"/>
        <w:numPr>
          <w:ilvl w:val="0"/>
          <w:numId w:val="34"/>
        </w:numPr>
        <w:tabs>
          <w:tab w:val="left" w:pos="993"/>
        </w:tabs>
        <w:autoSpaceDE w:val="0"/>
        <w:autoSpaceDN w:val="0"/>
        <w:spacing w:line="360" w:lineRule="auto"/>
        <w:ind w:left="993" w:right="26" w:hanging="426"/>
        <w:contextualSpacing w:val="0"/>
        <w:jc w:val="both"/>
      </w:pPr>
      <w:r w:rsidRPr="00661465">
        <w:rPr>
          <w:b/>
        </w:rPr>
        <w:t>High-performance</w:t>
      </w:r>
      <w:r w:rsidRPr="00661465">
        <w:rPr>
          <w:b/>
          <w:spacing w:val="15"/>
        </w:rPr>
        <w:t xml:space="preserve"> </w:t>
      </w:r>
      <w:r w:rsidRPr="00661465">
        <w:rPr>
          <w:b/>
        </w:rPr>
        <w:t>organisation:</w:t>
      </w:r>
      <w:r w:rsidRPr="00661465">
        <w:rPr>
          <w:b/>
          <w:spacing w:val="15"/>
        </w:rPr>
        <w:t xml:space="preserve"> </w:t>
      </w:r>
      <w:r w:rsidRPr="00661465">
        <w:t>An</w:t>
      </w:r>
      <w:r w:rsidRPr="00661465">
        <w:rPr>
          <w:spacing w:val="16"/>
        </w:rPr>
        <w:t xml:space="preserve"> </w:t>
      </w:r>
      <w:r w:rsidRPr="00661465">
        <w:t>effective,</w:t>
      </w:r>
      <w:r w:rsidRPr="00661465">
        <w:rPr>
          <w:spacing w:val="15"/>
        </w:rPr>
        <w:t xml:space="preserve"> </w:t>
      </w:r>
      <w:r w:rsidRPr="00661465">
        <w:t>efficient,</w:t>
      </w:r>
      <w:r w:rsidRPr="00661465">
        <w:rPr>
          <w:spacing w:val="15"/>
        </w:rPr>
        <w:t xml:space="preserve"> </w:t>
      </w:r>
      <w:r w:rsidRPr="00661465">
        <w:t>adequately</w:t>
      </w:r>
      <w:r w:rsidRPr="00661465">
        <w:rPr>
          <w:spacing w:val="16"/>
        </w:rPr>
        <w:t xml:space="preserve"> </w:t>
      </w:r>
      <w:r w:rsidR="00F12443" w:rsidRPr="00661465">
        <w:t>structured</w:t>
      </w:r>
      <w:r w:rsidRPr="00661465">
        <w:rPr>
          <w:spacing w:val="15"/>
        </w:rPr>
        <w:t xml:space="preserve"> </w:t>
      </w:r>
      <w:r w:rsidRPr="00661465">
        <w:t>well-governed</w:t>
      </w:r>
      <w:r w:rsidRPr="00661465">
        <w:rPr>
          <w:spacing w:val="16"/>
        </w:rPr>
        <w:t xml:space="preserve"> </w:t>
      </w:r>
      <w:r w:rsidRPr="00661465">
        <w:t>and</w:t>
      </w:r>
      <w:r w:rsidRPr="00661465">
        <w:rPr>
          <w:spacing w:val="15"/>
        </w:rPr>
        <w:t xml:space="preserve"> </w:t>
      </w:r>
      <w:r w:rsidRPr="00661465">
        <w:t>sustainable</w:t>
      </w:r>
      <w:r w:rsidRPr="00661465">
        <w:rPr>
          <w:spacing w:val="15"/>
        </w:rPr>
        <w:t xml:space="preserve"> </w:t>
      </w:r>
      <w:r w:rsidRPr="00661465">
        <w:t>institution.</w:t>
      </w:r>
    </w:p>
    <w:p w14:paraId="660B6EE9" w14:textId="77777777" w:rsidR="00F429BE" w:rsidRPr="00661465" w:rsidRDefault="00F429BE" w:rsidP="00AD545A">
      <w:pPr>
        <w:pStyle w:val="BodyText"/>
        <w:spacing w:before="11" w:line="360" w:lineRule="auto"/>
        <w:ind w:right="26"/>
        <w:rPr>
          <w:rFonts w:ascii="Times New Roman" w:hAnsi="Times New Roman"/>
          <w:szCs w:val="24"/>
        </w:rPr>
      </w:pPr>
    </w:p>
    <w:p w14:paraId="5FAAE0D8" w14:textId="77777777" w:rsidR="00BB7CEC" w:rsidRPr="00661465" w:rsidRDefault="004C3865" w:rsidP="00AD545A">
      <w:pPr>
        <w:pStyle w:val="BodyText"/>
        <w:spacing w:line="360" w:lineRule="auto"/>
        <w:ind w:right="26"/>
        <w:rPr>
          <w:rFonts w:ascii="Times New Roman" w:hAnsi="Times New Roman"/>
          <w:szCs w:val="24"/>
        </w:rPr>
      </w:pPr>
      <w:r w:rsidRPr="00661465">
        <w:rPr>
          <w:rFonts w:ascii="Times New Roman" w:hAnsi="Times New Roman"/>
          <w:szCs w:val="24"/>
          <w:lang w:val="en-ZA"/>
        </w:rPr>
        <w:t>Like the other entities and the DPWI and PMTE, the APP showed evidence that the entity was aware of</w:t>
      </w:r>
      <w:r w:rsidR="00F429BE" w:rsidRPr="00661465">
        <w:rPr>
          <w:rFonts w:ascii="Times New Roman" w:hAnsi="Times New Roman"/>
          <w:szCs w:val="24"/>
        </w:rPr>
        <w:t xml:space="preserve"> the difficult economic conditions </w:t>
      </w:r>
      <w:r w:rsidRPr="00661465">
        <w:rPr>
          <w:rFonts w:ascii="Times New Roman" w:hAnsi="Times New Roman"/>
          <w:szCs w:val="24"/>
          <w:lang w:val="en-ZA"/>
        </w:rPr>
        <w:t>that</w:t>
      </w:r>
      <w:r w:rsidR="00F429BE" w:rsidRPr="00661465">
        <w:rPr>
          <w:rFonts w:ascii="Times New Roman" w:hAnsi="Times New Roman"/>
          <w:szCs w:val="24"/>
        </w:rPr>
        <w:t xml:space="preserve"> faced </w:t>
      </w:r>
      <w:r w:rsidRPr="00661465">
        <w:rPr>
          <w:rFonts w:ascii="Times New Roman" w:hAnsi="Times New Roman"/>
          <w:szCs w:val="24"/>
        </w:rPr>
        <w:t>the construction industry. These includ</w:t>
      </w:r>
      <w:r w:rsidRPr="00661465">
        <w:rPr>
          <w:rFonts w:ascii="Times New Roman" w:hAnsi="Times New Roman"/>
          <w:szCs w:val="24"/>
          <w:lang w:val="en-ZA"/>
        </w:rPr>
        <w:t>ed</w:t>
      </w:r>
      <w:r w:rsidR="00F429BE" w:rsidRPr="00661465">
        <w:rPr>
          <w:rFonts w:ascii="Times New Roman" w:hAnsi="Times New Roman"/>
          <w:szCs w:val="24"/>
        </w:rPr>
        <w:t xml:space="preserve"> constraints to business growth, </w:t>
      </w:r>
      <w:r w:rsidR="00695AF9" w:rsidRPr="00661465">
        <w:rPr>
          <w:rFonts w:ascii="Times New Roman" w:hAnsi="Times New Roman"/>
          <w:szCs w:val="24"/>
          <w:lang w:val="en-ZA"/>
        </w:rPr>
        <w:t xml:space="preserve">a </w:t>
      </w:r>
      <w:r w:rsidR="00F429BE" w:rsidRPr="00661465">
        <w:rPr>
          <w:rFonts w:ascii="Times New Roman" w:hAnsi="Times New Roman"/>
          <w:szCs w:val="24"/>
        </w:rPr>
        <w:t xml:space="preserve">decrease in employment and increased labour shedding, </w:t>
      </w:r>
      <w:r w:rsidR="00695AF9" w:rsidRPr="00661465">
        <w:rPr>
          <w:rFonts w:ascii="Times New Roman" w:hAnsi="Times New Roman"/>
          <w:szCs w:val="24"/>
          <w:lang w:val="en-ZA"/>
        </w:rPr>
        <w:t xml:space="preserve">project </w:t>
      </w:r>
      <w:r w:rsidR="00F429BE" w:rsidRPr="00661465">
        <w:rPr>
          <w:rFonts w:ascii="Times New Roman" w:hAnsi="Times New Roman"/>
          <w:szCs w:val="24"/>
        </w:rPr>
        <w:t xml:space="preserve">site instability, delays in payments </w:t>
      </w:r>
      <w:r w:rsidR="00695AF9" w:rsidRPr="00661465">
        <w:rPr>
          <w:rFonts w:ascii="Times New Roman" w:hAnsi="Times New Roman"/>
          <w:szCs w:val="24"/>
          <w:lang w:val="en-ZA"/>
        </w:rPr>
        <w:t xml:space="preserve">to service providers, </w:t>
      </w:r>
      <w:r w:rsidR="00F429BE" w:rsidRPr="00661465">
        <w:rPr>
          <w:rFonts w:ascii="Times New Roman" w:hAnsi="Times New Roman"/>
          <w:szCs w:val="24"/>
        </w:rPr>
        <w:t xml:space="preserve">and the liquidation or business rescue of several large construction companies. These difficult economic conditions </w:t>
      </w:r>
      <w:r w:rsidR="00695AF9" w:rsidRPr="00661465">
        <w:rPr>
          <w:rFonts w:ascii="Times New Roman" w:hAnsi="Times New Roman"/>
          <w:szCs w:val="24"/>
          <w:lang w:val="en-ZA"/>
        </w:rPr>
        <w:t>affect the work of</w:t>
      </w:r>
      <w:r w:rsidR="00F429BE" w:rsidRPr="00661465">
        <w:rPr>
          <w:rFonts w:ascii="Times New Roman" w:hAnsi="Times New Roman"/>
          <w:szCs w:val="24"/>
        </w:rPr>
        <w:t xml:space="preserve"> the </w:t>
      </w:r>
      <w:r w:rsidR="003B1189">
        <w:rPr>
          <w:rFonts w:ascii="Times New Roman" w:hAnsi="Times New Roman"/>
          <w:szCs w:val="24"/>
          <w:lang w:val="en-ZA"/>
        </w:rPr>
        <w:t>CIDB</w:t>
      </w:r>
      <w:r w:rsidR="00695AF9" w:rsidRPr="00661465">
        <w:rPr>
          <w:rFonts w:ascii="Times New Roman" w:hAnsi="Times New Roman"/>
          <w:szCs w:val="24"/>
          <w:lang w:val="en-ZA"/>
        </w:rPr>
        <w:t xml:space="preserve">. It constrained the </w:t>
      </w:r>
      <w:r w:rsidR="005051D9" w:rsidRPr="00661465">
        <w:rPr>
          <w:rFonts w:ascii="Times New Roman" w:hAnsi="Times New Roman"/>
          <w:szCs w:val="24"/>
          <w:lang w:val="en-ZA"/>
        </w:rPr>
        <w:t>CIDB</w:t>
      </w:r>
      <w:r w:rsidR="00695AF9" w:rsidRPr="00661465">
        <w:rPr>
          <w:rFonts w:ascii="Times New Roman" w:hAnsi="Times New Roman"/>
          <w:szCs w:val="24"/>
          <w:lang w:val="en-ZA"/>
        </w:rPr>
        <w:t xml:space="preserve"> in its attempts to</w:t>
      </w:r>
      <w:r w:rsidR="00F429BE" w:rsidRPr="00661465">
        <w:rPr>
          <w:rFonts w:ascii="Times New Roman" w:hAnsi="Times New Roman"/>
          <w:szCs w:val="24"/>
        </w:rPr>
        <w:t xml:space="preserve"> achiev</w:t>
      </w:r>
      <w:r w:rsidR="00695AF9" w:rsidRPr="00661465">
        <w:rPr>
          <w:rFonts w:ascii="Times New Roman" w:hAnsi="Times New Roman"/>
          <w:szCs w:val="24"/>
          <w:lang w:val="en-ZA"/>
        </w:rPr>
        <w:t>e</w:t>
      </w:r>
      <w:r w:rsidR="00F429BE" w:rsidRPr="00661465">
        <w:rPr>
          <w:rFonts w:ascii="Times New Roman" w:hAnsi="Times New Roman"/>
          <w:szCs w:val="24"/>
        </w:rPr>
        <w:t xml:space="preserve"> strategic goals </w:t>
      </w:r>
      <w:r w:rsidR="00695AF9" w:rsidRPr="00661465">
        <w:rPr>
          <w:rFonts w:ascii="Times New Roman" w:hAnsi="Times New Roman"/>
          <w:szCs w:val="24"/>
          <w:lang w:val="en-ZA"/>
        </w:rPr>
        <w:t xml:space="preserve">related to </w:t>
      </w:r>
      <w:r w:rsidR="00F429BE" w:rsidRPr="00661465">
        <w:rPr>
          <w:rFonts w:ascii="Times New Roman" w:hAnsi="Times New Roman"/>
          <w:szCs w:val="24"/>
        </w:rPr>
        <w:t xml:space="preserve">transforming and developing the </w:t>
      </w:r>
      <w:r w:rsidR="00436083" w:rsidRPr="00661465">
        <w:rPr>
          <w:rFonts w:ascii="Times New Roman" w:hAnsi="Times New Roman"/>
          <w:szCs w:val="24"/>
          <w:lang w:val="en-ZA"/>
        </w:rPr>
        <w:t xml:space="preserve">construction </w:t>
      </w:r>
      <w:r w:rsidR="00F429BE" w:rsidRPr="00661465">
        <w:rPr>
          <w:rFonts w:ascii="Times New Roman" w:hAnsi="Times New Roman"/>
          <w:szCs w:val="24"/>
        </w:rPr>
        <w:t xml:space="preserve">sector. </w:t>
      </w:r>
    </w:p>
    <w:p w14:paraId="3980B681" w14:textId="77777777" w:rsidR="00BB7CEC" w:rsidRPr="00661465" w:rsidRDefault="00BB7CEC" w:rsidP="00341289">
      <w:pPr>
        <w:pStyle w:val="BodyText"/>
        <w:spacing w:line="360" w:lineRule="auto"/>
        <w:ind w:right="960"/>
        <w:rPr>
          <w:rFonts w:ascii="Times New Roman" w:hAnsi="Times New Roman"/>
          <w:szCs w:val="24"/>
        </w:rPr>
      </w:pPr>
    </w:p>
    <w:p w14:paraId="19E64C41" w14:textId="77777777" w:rsidR="00F429BE" w:rsidRPr="00661465" w:rsidRDefault="00BB7CEC" w:rsidP="00661465">
      <w:pPr>
        <w:pStyle w:val="BodyText"/>
        <w:spacing w:line="360" w:lineRule="auto"/>
        <w:ind w:right="26"/>
        <w:rPr>
          <w:rFonts w:ascii="Times New Roman" w:hAnsi="Times New Roman"/>
          <w:szCs w:val="24"/>
        </w:rPr>
      </w:pPr>
      <w:r w:rsidRPr="00661465">
        <w:rPr>
          <w:rFonts w:ascii="Times New Roman" w:hAnsi="Times New Roman"/>
          <w:szCs w:val="24"/>
          <w:lang w:val="en-ZA"/>
        </w:rPr>
        <w:t>T</w:t>
      </w:r>
      <w:r w:rsidR="00F429BE" w:rsidRPr="00661465">
        <w:rPr>
          <w:rFonts w:ascii="Times New Roman" w:hAnsi="Times New Roman"/>
          <w:szCs w:val="24"/>
        </w:rPr>
        <w:t xml:space="preserve">he plan </w:t>
      </w:r>
      <w:r w:rsidRPr="00661465">
        <w:rPr>
          <w:rFonts w:ascii="Times New Roman" w:hAnsi="Times New Roman"/>
          <w:szCs w:val="24"/>
          <w:lang w:val="en-ZA"/>
        </w:rPr>
        <w:t>shows that in</w:t>
      </w:r>
      <w:r w:rsidR="00F429BE" w:rsidRPr="00661465">
        <w:rPr>
          <w:rFonts w:ascii="Times New Roman" w:hAnsi="Times New Roman"/>
          <w:szCs w:val="24"/>
        </w:rPr>
        <w:t xml:space="preserve"> its medium budget review, </w:t>
      </w:r>
      <w:r w:rsidR="00236B10" w:rsidRPr="00661465">
        <w:rPr>
          <w:rFonts w:ascii="Times New Roman" w:hAnsi="Times New Roman"/>
          <w:szCs w:val="24"/>
          <w:lang w:val="en-ZA"/>
        </w:rPr>
        <w:t xml:space="preserve">the entity was aware of </w:t>
      </w:r>
      <w:r w:rsidR="00F429BE" w:rsidRPr="00661465">
        <w:rPr>
          <w:rFonts w:ascii="Times New Roman" w:hAnsi="Times New Roman"/>
          <w:szCs w:val="24"/>
        </w:rPr>
        <w:t>government</w:t>
      </w:r>
      <w:r w:rsidR="00E55CD5" w:rsidRPr="00661465">
        <w:rPr>
          <w:rFonts w:ascii="Times New Roman" w:hAnsi="Times New Roman"/>
          <w:szCs w:val="24"/>
          <w:lang w:val="en-ZA"/>
        </w:rPr>
        <w:t>’s</w:t>
      </w:r>
      <w:r w:rsidR="00F429BE" w:rsidRPr="00661465">
        <w:rPr>
          <w:rFonts w:ascii="Times New Roman" w:hAnsi="Times New Roman"/>
          <w:szCs w:val="24"/>
        </w:rPr>
        <w:t xml:space="preserve"> aims to prioritise infrastructure spending as a critical driver of economic activity. As</w:t>
      </w:r>
      <w:r w:rsidR="00F429BE" w:rsidRPr="00661465">
        <w:rPr>
          <w:rFonts w:ascii="Times New Roman" w:hAnsi="Times New Roman"/>
          <w:spacing w:val="-27"/>
          <w:szCs w:val="24"/>
        </w:rPr>
        <w:t xml:space="preserve"> </w:t>
      </w:r>
      <w:r w:rsidR="00F429BE" w:rsidRPr="00661465">
        <w:rPr>
          <w:rFonts w:ascii="Times New Roman" w:hAnsi="Times New Roman"/>
          <w:szCs w:val="24"/>
        </w:rPr>
        <w:t xml:space="preserve">outlined in this plan, it is imperative therefore that the </w:t>
      </w:r>
      <w:r w:rsidR="005051D9" w:rsidRPr="00661465">
        <w:rPr>
          <w:rFonts w:ascii="Times New Roman" w:hAnsi="Times New Roman"/>
          <w:szCs w:val="24"/>
          <w:lang w:val="en-ZA"/>
        </w:rPr>
        <w:t>CIDB</w:t>
      </w:r>
      <w:r w:rsidR="00F429BE" w:rsidRPr="00661465">
        <w:rPr>
          <w:rFonts w:ascii="Times New Roman" w:hAnsi="Times New Roman"/>
          <w:szCs w:val="24"/>
        </w:rPr>
        <w:t xml:space="preserve"> continues to provide concrete actions to nurture the industry to continue </w:t>
      </w:r>
      <w:r w:rsidR="00F429BE" w:rsidRPr="00661465">
        <w:rPr>
          <w:rFonts w:ascii="Times New Roman" w:hAnsi="Times New Roman"/>
          <w:spacing w:val="-8"/>
          <w:szCs w:val="24"/>
        </w:rPr>
        <w:t xml:space="preserve">to </w:t>
      </w:r>
      <w:r w:rsidR="00F429BE" w:rsidRPr="00661465">
        <w:rPr>
          <w:rFonts w:ascii="Times New Roman" w:hAnsi="Times New Roman"/>
          <w:szCs w:val="24"/>
        </w:rPr>
        <w:t xml:space="preserve">deliver quality </w:t>
      </w:r>
      <w:r w:rsidR="00C9777E" w:rsidRPr="00661465">
        <w:rPr>
          <w:rFonts w:ascii="Times New Roman" w:hAnsi="Times New Roman"/>
          <w:szCs w:val="24"/>
          <w:lang w:val="en-ZA"/>
        </w:rPr>
        <w:t>construction professionals that complete projects that provide</w:t>
      </w:r>
      <w:r w:rsidR="00F429BE" w:rsidRPr="00661465">
        <w:rPr>
          <w:rFonts w:ascii="Times New Roman" w:hAnsi="Times New Roman"/>
          <w:szCs w:val="24"/>
        </w:rPr>
        <w:t xml:space="preserve"> value for money. </w:t>
      </w:r>
    </w:p>
    <w:p w14:paraId="330827D7" w14:textId="77777777" w:rsidR="00F429BE" w:rsidRPr="00661465" w:rsidRDefault="00F429BE" w:rsidP="00341289">
      <w:pPr>
        <w:pStyle w:val="BodyText"/>
        <w:spacing w:before="6" w:line="360" w:lineRule="auto"/>
        <w:rPr>
          <w:rFonts w:ascii="Times New Roman" w:hAnsi="Times New Roman"/>
          <w:szCs w:val="24"/>
        </w:rPr>
      </w:pPr>
    </w:p>
    <w:p w14:paraId="5AED2EDB" w14:textId="77777777" w:rsidR="00F429BE" w:rsidRPr="00661465" w:rsidRDefault="00F429BE" w:rsidP="00341289">
      <w:pPr>
        <w:spacing w:before="1" w:line="360" w:lineRule="auto"/>
        <w:jc w:val="both"/>
        <w:rPr>
          <w:rFonts w:ascii="Times New Roman" w:hAnsi="Times New Roman" w:cs="Times New Roman"/>
          <w:b/>
          <w:sz w:val="24"/>
          <w:szCs w:val="24"/>
        </w:rPr>
      </w:pPr>
      <w:r w:rsidRPr="00661465">
        <w:rPr>
          <w:rFonts w:ascii="Times New Roman" w:hAnsi="Times New Roman" w:cs="Times New Roman"/>
          <w:b/>
          <w:w w:val="105"/>
          <w:sz w:val="24"/>
          <w:szCs w:val="24"/>
        </w:rPr>
        <w:t>Specific concrete actions that have been identified</w:t>
      </w:r>
      <w:r w:rsidR="00950BEA" w:rsidRPr="00661465">
        <w:rPr>
          <w:rFonts w:ascii="Times New Roman" w:hAnsi="Times New Roman" w:cs="Times New Roman"/>
          <w:b/>
          <w:w w:val="105"/>
          <w:sz w:val="24"/>
          <w:szCs w:val="24"/>
        </w:rPr>
        <w:t xml:space="preserve"> to complete its strategic task</w:t>
      </w:r>
      <w:r w:rsidRPr="00661465">
        <w:rPr>
          <w:rFonts w:ascii="Times New Roman" w:hAnsi="Times New Roman" w:cs="Times New Roman"/>
          <w:b/>
          <w:w w:val="105"/>
          <w:sz w:val="24"/>
          <w:szCs w:val="24"/>
        </w:rPr>
        <w:t xml:space="preserve"> include</w:t>
      </w:r>
      <w:r w:rsidR="00950BEA" w:rsidRPr="00661465">
        <w:rPr>
          <w:rFonts w:ascii="Times New Roman" w:hAnsi="Times New Roman" w:cs="Times New Roman"/>
          <w:b/>
          <w:w w:val="105"/>
          <w:sz w:val="24"/>
          <w:szCs w:val="24"/>
        </w:rPr>
        <w:t>d</w:t>
      </w:r>
      <w:r w:rsidRPr="00661465">
        <w:rPr>
          <w:rFonts w:ascii="Times New Roman" w:hAnsi="Times New Roman" w:cs="Times New Roman"/>
          <w:b/>
          <w:w w:val="105"/>
          <w:sz w:val="24"/>
          <w:szCs w:val="24"/>
        </w:rPr>
        <w:t>:</w:t>
      </w:r>
    </w:p>
    <w:p w14:paraId="582B79E6" w14:textId="77777777" w:rsidR="00F429BE" w:rsidRPr="00661465" w:rsidRDefault="00F429BE" w:rsidP="00661465">
      <w:pPr>
        <w:pStyle w:val="ListParagraph"/>
        <w:widowControl w:val="0"/>
        <w:numPr>
          <w:ilvl w:val="0"/>
          <w:numId w:val="33"/>
        </w:numPr>
        <w:tabs>
          <w:tab w:val="left" w:pos="993"/>
        </w:tabs>
        <w:autoSpaceDE w:val="0"/>
        <w:autoSpaceDN w:val="0"/>
        <w:ind w:left="993" w:right="961" w:hanging="426"/>
        <w:contextualSpacing w:val="0"/>
        <w:jc w:val="both"/>
      </w:pPr>
      <w:r w:rsidRPr="00661465">
        <w:t xml:space="preserve">implementation of the review of the cidb grading criteria to better reflect economic conditions and retain capacity </w:t>
      </w:r>
      <w:r w:rsidRPr="00661465">
        <w:rPr>
          <w:spacing w:val="-4"/>
        </w:rPr>
        <w:t xml:space="preserve">and </w:t>
      </w:r>
      <w:r w:rsidRPr="00661465">
        <w:t>capability;</w:t>
      </w:r>
    </w:p>
    <w:p w14:paraId="16F04D71" w14:textId="77777777" w:rsidR="00F429BE" w:rsidRPr="00661465" w:rsidRDefault="00F429BE" w:rsidP="00661465">
      <w:pPr>
        <w:pStyle w:val="BodyText"/>
        <w:tabs>
          <w:tab w:val="left" w:pos="993"/>
        </w:tabs>
        <w:spacing w:before="10" w:line="240" w:lineRule="auto"/>
        <w:ind w:left="993" w:hanging="426"/>
        <w:rPr>
          <w:rFonts w:ascii="Times New Roman" w:hAnsi="Times New Roman"/>
          <w:szCs w:val="24"/>
        </w:rPr>
      </w:pPr>
    </w:p>
    <w:p w14:paraId="1BD79636" w14:textId="77777777" w:rsidR="00F429BE" w:rsidRPr="00661465" w:rsidRDefault="00F429BE" w:rsidP="00661465">
      <w:pPr>
        <w:pStyle w:val="ListParagraph"/>
        <w:widowControl w:val="0"/>
        <w:numPr>
          <w:ilvl w:val="0"/>
          <w:numId w:val="33"/>
        </w:numPr>
        <w:tabs>
          <w:tab w:val="left" w:pos="993"/>
        </w:tabs>
        <w:autoSpaceDE w:val="0"/>
        <w:autoSpaceDN w:val="0"/>
        <w:ind w:left="993" w:right="961" w:hanging="426"/>
        <w:contextualSpacing w:val="0"/>
        <w:jc w:val="both"/>
      </w:pPr>
      <w:r w:rsidRPr="00661465">
        <w:t xml:space="preserve">monitoring public sector expenditure, and production of an annual report on the impact of public expenditure on </w:t>
      </w:r>
      <w:r w:rsidRPr="00661465">
        <w:rPr>
          <w:spacing w:val="-5"/>
        </w:rPr>
        <w:t xml:space="preserve">the </w:t>
      </w:r>
      <w:r w:rsidRPr="00661465">
        <w:t>industry;</w:t>
      </w:r>
    </w:p>
    <w:p w14:paraId="38AA44E6" w14:textId="77777777" w:rsidR="00F429BE" w:rsidRPr="00661465" w:rsidRDefault="00F429BE" w:rsidP="00661465">
      <w:pPr>
        <w:pStyle w:val="BodyText"/>
        <w:tabs>
          <w:tab w:val="left" w:pos="993"/>
        </w:tabs>
        <w:spacing w:before="10" w:line="240" w:lineRule="auto"/>
        <w:ind w:left="993" w:hanging="426"/>
        <w:rPr>
          <w:rFonts w:ascii="Times New Roman" w:hAnsi="Times New Roman"/>
          <w:szCs w:val="24"/>
        </w:rPr>
      </w:pPr>
    </w:p>
    <w:p w14:paraId="7721F6A1" w14:textId="77777777" w:rsidR="00F429BE" w:rsidRPr="00661465" w:rsidRDefault="00F429BE" w:rsidP="00661465">
      <w:pPr>
        <w:pStyle w:val="ListParagraph"/>
        <w:widowControl w:val="0"/>
        <w:numPr>
          <w:ilvl w:val="0"/>
          <w:numId w:val="33"/>
        </w:numPr>
        <w:tabs>
          <w:tab w:val="left" w:pos="993"/>
        </w:tabs>
        <w:autoSpaceDE w:val="0"/>
        <w:autoSpaceDN w:val="0"/>
        <w:spacing w:before="1"/>
        <w:ind w:left="993" w:right="961" w:hanging="426"/>
        <w:contextualSpacing w:val="0"/>
        <w:jc w:val="both"/>
      </w:pPr>
      <w:r w:rsidRPr="00661465">
        <w:t xml:space="preserve">the cidb </w:t>
      </w:r>
      <w:r w:rsidRPr="00661465">
        <w:rPr>
          <w:i/>
        </w:rPr>
        <w:t xml:space="preserve">Standard for Prompt Payment </w:t>
      </w:r>
      <w:r w:rsidRPr="00661465">
        <w:t xml:space="preserve">and the cidb </w:t>
      </w:r>
      <w:r w:rsidRPr="00661465">
        <w:rPr>
          <w:i/>
        </w:rPr>
        <w:t xml:space="preserve">Standard for Adjudication </w:t>
      </w:r>
      <w:r w:rsidRPr="00661465">
        <w:t>to address the scourge of delayed payments  in the</w:t>
      </w:r>
      <w:r w:rsidRPr="00661465">
        <w:rPr>
          <w:spacing w:val="17"/>
        </w:rPr>
        <w:t xml:space="preserve"> </w:t>
      </w:r>
      <w:r w:rsidRPr="00661465">
        <w:t>industry;</w:t>
      </w:r>
    </w:p>
    <w:p w14:paraId="6CFF7ED7" w14:textId="77777777" w:rsidR="00F429BE" w:rsidRPr="00661465" w:rsidRDefault="00F429BE" w:rsidP="00661465">
      <w:pPr>
        <w:pStyle w:val="BodyText"/>
        <w:tabs>
          <w:tab w:val="left" w:pos="993"/>
        </w:tabs>
        <w:spacing w:before="9" w:line="240" w:lineRule="auto"/>
        <w:ind w:left="993" w:hanging="426"/>
        <w:rPr>
          <w:rFonts w:ascii="Times New Roman" w:hAnsi="Times New Roman"/>
          <w:szCs w:val="24"/>
        </w:rPr>
      </w:pPr>
    </w:p>
    <w:p w14:paraId="20B1DDCB" w14:textId="77777777" w:rsidR="00F429BE" w:rsidRPr="00661465" w:rsidRDefault="00F429BE" w:rsidP="00661465">
      <w:pPr>
        <w:pStyle w:val="ListParagraph"/>
        <w:widowControl w:val="0"/>
        <w:numPr>
          <w:ilvl w:val="0"/>
          <w:numId w:val="33"/>
        </w:numPr>
        <w:tabs>
          <w:tab w:val="left" w:pos="993"/>
        </w:tabs>
        <w:autoSpaceDE w:val="0"/>
        <w:autoSpaceDN w:val="0"/>
        <w:spacing w:before="1"/>
        <w:ind w:left="993" w:hanging="426"/>
        <w:contextualSpacing w:val="0"/>
        <w:jc w:val="both"/>
      </w:pPr>
      <w:r w:rsidRPr="00661465">
        <w:t>a</w:t>
      </w:r>
      <w:r w:rsidRPr="00661465">
        <w:rPr>
          <w:spacing w:val="8"/>
        </w:rPr>
        <w:t xml:space="preserve"> </w:t>
      </w:r>
      <w:r w:rsidRPr="00661465">
        <w:t>credit</w:t>
      </w:r>
      <w:r w:rsidRPr="00661465">
        <w:rPr>
          <w:spacing w:val="9"/>
        </w:rPr>
        <w:t xml:space="preserve"> </w:t>
      </w:r>
      <w:r w:rsidRPr="00661465">
        <w:t>fund</w:t>
      </w:r>
      <w:r w:rsidRPr="00661465">
        <w:rPr>
          <w:spacing w:val="9"/>
        </w:rPr>
        <w:t xml:space="preserve"> </w:t>
      </w:r>
      <w:r w:rsidRPr="00661465">
        <w:t>to</w:t>
      </w:r>
      <w:r w:rsidRPr="00661465">
        <w:rPr>
          <w:spacing w:val="9"/>
        </w:rPr>
        <w:t xml:space="preserve"> </w:t>
      </w:r>
      <w:r w:rsidRPr="00661465">
        <w:t>ease</w:t>
      </w:r>
      <w:r w:rsidRPr="00661465">
        <w:rPr>
          <w:spacing w:val="9"/>
        </w:rPr>
        <w:t xml:space="preserve"> </w:t>
      </w:r>
      <w:r w:rsidRPr="00661465">
        <w:t>access</w:t>
      </w:r>
      <w:r w:rsidRPr="00661465">
        <w:rPr>
          <w:spacing w:val="9"/>
        </w:rPr>
        <w:t xml:space="preserve"> </w:t>
      </w:r>
      <w:r w:rsidRPr="00661465">
        <w:t>to</w:t>
      </w:r>
      <w:r w:rsidRPr="00661465">
        <w:rPr>
          <w:spacing w:val="9"/>
        </w:rPr>
        <w:t xml:space="preserve"> </w:t>
      </w:r>
      <w:r w:rsidRPr="00661465">
        <w:t>credit</w:t>
      </w:r>
      <w:r w:rsidRPr="00661465">
        <w:rPr>
          <w:spacing w:val="9"/>
        </w:rPr>
        <w:t xml:space="preserve"> </w:t>
      </w:r>
      <w:r w:rsidRPr="00661465">
        <w:t>for</w:t>
      </w:r>
      <w:r w:rsidRPr="00661465">
        <w:rPr>
          <w:spacing w:val="9"/>
        </w:rPr>
        <w:t xml:space="preserve"> </w:t>
      </w:r>
      <w:r w:rsidRPr="00661465">
        <w:t>small</w:t>
      </w:r>
      <w:r w:rsidRPr="00661465">
        <w:rPr>
          <w:spacing w:val="9"/>
        </w:rPr>
        <w:t xml:space="preserve"> </w:t>
      </w:r>
      <w:r w:rsidRPr="00661465">
        <w:t>and</w:t>
      </w:r>
      <w:r w:rsidRPr="00661465">
        <w:rPr>
          <w:spacing w:val="9"/>
        </w:rPr>
        <w:t xml:space="preserve"> </w:t>
      </w:r>
      <w:r w:rsidRPr="00661465">
        <w:t>medium</w:t>
      </w:r>
      <w:r w:rsidRPr="00661465">
        <w:rPr>
          <w:spacing w:val="9"/>
        </w:rPr>
        <w:t xml:space="preserve"> </w:t>
      </w:r>
      <w:r w:rsidRPr="00661465">
        <w:t>contractors;</w:t>
      </w:r>
    </w:p>
    <w:p w14:paraId="62966692" w14:textId="77777777" w:rsidR="00F429BE" w:rsidRPr="00661465" w:rsidRDefault="00F429BE" w:rsidP="00661465">
      <w:pPr>
        <w:pStyle w:val="ListParagraph"/>
        <w:widowControl w:val="0"/>
        <w:numPr>
          <w:ilvl w:val="0"/>
          <w:numId w:val="33"/>
        </w:numPr>
        <w:tabs>
          <w:tab w:val="left" w:pos="993"/>
        </w:tabs>
        <w:autoSpaceDE w:val="0"/>
        <w:autoSpaceDN w:val="0"/>
        <w:ind w:left="993" w:hanging="426"/>
        <w:contextualSpacing w:val="0"/>
        <w:jc w:val="both"/>
      </w:pPr>
      <w:r w:rsidRPr="00661465">
        <w:t>business</w:t>
      </w:r>
      <w:r w:rsidRPr="00661465">
        <w:rPr>
          <w:spacing w:val="8"/>
        </w:rPr>
        <w:t xml:space="preserve"> </w:t>
      </w:r>
      <w:r w:rsidRPr="00661465">
        <w:t>advisory</w:t>
      </w:r>
      <w:r w:rsidRPr="00661465">
        <w:rPr>
          <w:spacing w:val="9"/>
        </w:rPr>
        <w:t xml:space="preserve"> </w:t>
      </w:r>
      <w:r w:rsidRPr="00661465">
        <w:t>services</w:t>
      </w:r>
      <w:r w:rsidRPr="00661465">
        <w:rPr>
          <w:spacing w:val="9"/>
        </w:rPr>
        <w:t xml:space="preserve"> </w:t>
      </w:r>
      <w:r w:rsidRPr="00661465">
        <w:t>for</w:t>
      </w:r>
      <w:r w:rsidRPr="00661465">
        <w:rPr>
          <w:spacing w:val="8"/>
        </w:rPr>
        <w:t xml:space="preserve"> </w:t>
      </w:r>
      <w:r w:rsidRPr="00661465">
        <w:t>small</w:t>
      </w:r>
      <w:r w:rsidRPr="00661465">
        <w:rPr>
          <w:spacing w:val="9"/>
        </w:rPr>
        <w:t xml:space="preserve"> </w:t>
      </w:r>
      <w:r w:rsidRPr="00661465">
        <w:t>and</w:t>
      </w:r>
      <w:r w:rsidRPr="00661465">
        <w:rPr>
          <w:spacing w:val="9"/>
        </w:rPr>
        <w:t xml:space="preserve"> </w:t>
      </w:r>
      <w:r w:rsidRPr="00661465">
        <w:t>medium</w:t>
      </w:r>
      <w:r w:rsidRPr="00661465">
        <w:rPr>
          <w:spacing w:val="9"/>
        </w:rPr>
        <w:t xml:space="preserve"> </w:t>
      </w:r>
      <w:r w:rsidRPr="00661465">
        <w:t>contractors;</w:t>
      </w:r>
    </w:p>
    <w:p w14:paraId="3EE9E739" w14:textId="77777777" w:rsidR="00F429BE" w:rsidRPr="00661465" w:rsidRDefault="00F429BE" w:rsidP="00661465">
      <w:pPr>
        <w:pStyle w:val="BodyText"/>
        <w:tabs>
          <w:tab w:val="left" w:pos="993"/>
        </w:tabs>
        <w:spacing w:before="11" w:line="240" w:lineRule="auto"/>
        <w:ind w:left="993" w:hanging="426"/>
        <w:rPr>
          <w:rFonts w:ascii="Times New Roman" w:hAnsi="Times New Roman"/>
          <w:szCs w:val="24"/>
        </w:rPr>
      </w:pPr>
    </w:p>
    <w:p w14:paraId="2E585D09" w14:textId="77777777" w:rsidR="00F429BE" w:rsidRPr="00661465" w:rsidRDefault="00F429BE" w:rsidP="00661465">
      <w:pPr>
        <w:pStyle w:val="ListParagraph"/>
        <w:widowControl w:val="0"/>
        <w:numPr>
          <w:ilvl w:val="0"/>
          <w:numId w:val="33"/>
        </w:numPr>
        <w:tabs>
          <w:tab w:val="left" w:pos="993"/>
        </w:tabs>
        <w:autoSpaceDE w:val="0"/>
        <w:autoSpaceDN w:val="0"/>
        <w:ind w:left="993" w:right="962" w:hanging="426"/>
        <w:contextualSpacing w:val="0"/>
        <w:jc w:val="both"/>
      </w:pPr>
      <w:r w:rsidRPr="00661465">
        <w:t>advisory services to medium and large contractors to support contractors’ access to opportunities in neighbouring countries; and</w:t>
      </w:r>
    </w:p>
    <w:p w14:paraId="0EF5E842" w14:textId="77777777" w:rsidR="00F429BE" w:rsidRPr="00661465" w:rsidRDefault="00F429BE" w:rsidP="00661465">
      <w:pPr>
        <w:pStyle w:val="BodyText"/>
        <w:tabs>
          <w:tab w:val="left" w:pos="993"/>
        </w:tabs>
        <w:spacing w:before="10" w:line="240" w:lineRule="auto"/>
        <w:ind w:left="993" w:hanging="426"/>
        <w:rPr>
          <w:rFonts w:ascii="Times New Roman" w:hAnsi="Times New Roman"/>
          <w:szCs w:val="24"/>
        </w:rPr>
      </w:pPr>
    </w:p>
    <w:p w14:paraId="0ADBD21E" w14:textId="77777777" w:rsidR="00412700" w:rsidRPr="00661465" w:rsidRDefault="00F429BE" w:rsidP="00412700">
      <w:pPr>
        <w:pStyle w:val="ListParagraph"/>
        <w:widowControl w:val="0"/>
        <w:numPr>
          <w:ilvl w:val="0"/>
          <w:numId w:val="33"/>
        </w:numPr>
        <w:tabs>
          <w:tab w:val="left" w:pos="993"/>
        </w:tabs>
        <w:autoSpaceDE w:val="0"/>
        <w:autoSpaceDN w:val="0"/>
        <w:ind w:left="993" w:hanging="426"/>
        <w:contextualSpacing w:val="0"/>
        <w:jc w:val="both"/>
      </w:pPr>
      <w:r w:rsidRPr="00661465">
        <w:t>construction skills</w:t>
      </w:r>
      <w:r w:rsidRPr="00661465">
        <w:rPr>
          <w:spacing w:val="17"/>
        </w:rPr>
        <w:t xml:space="preserve"> </w:t>
      </w:r>
      <w:r w:rsidRPr="00661465">
        <w:t>development.</w:t>
      </w:r>
    </w:p>
    <w:p w14:paraId="2E188DD5" w14:textId="77777777" w:rsidR="001E5657" w:rsidRDefault="001E5657" w:rsidP="00412700">
      <w:pPr>
        <w:rPr>
          <w:rFonts w:ascii="Times New Roman" w:hAnsi="Times New Roman" w:cs="Times New Roman"/>
          <w:b/>
          <w:sz w:val="24"/>
          <w:szCs w:val="24"/>
        </w:rPr>
      </w:pPr>
    </w:p>
    <w:p w14:paraId="7F060269" w14:textId="77777777" w:rsidR="00412700" w:rsidRPr="00661465" w:rsidRDefault="00412700" w:rsidP="00412700">
      <w:pPr>
        <w:rPr>
          <w:rFonts w:ascii="Times New Roman" w:hAnsi="Times New Roman" w:cs="Times New Roman"/>
          <w:b/>
          <w:sz w:val="24"/>
          <w:szCs w:val="24"/>
        </w:rPr>
      </w:pPr>
      <w:r w:rsidRPr="00661465">
        <w:rPr>
          <w:rFonts w:ascii="Times New Roman" w:hAnsi="Times New Roman" w:cs="Times New Roman"/>
          <w:b/>
          <w:sz w:val="24"/>
          <w:szCs w:val="24"/>
        </w:rPr>
        <w:t>The CIDB budget:</w:t>
      </w:r>
    </w:p>
    <w:p w14:paraId="249774C6" w14:textId="77777777" w:rsidR="00412700" w:rsidRPr="00661465" w:rsidRDefault="00412700" w:rsidP="001E5657">
      <w:pPr>
        <w:spacing w:after="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Allocation to programmes:</w:t>
      </w:r>
    </w:p>
    <w:tbl>
      <w:tblPr>
        <w:tblpPr w:leftFromText="180" w:rightFromText="180" w:vertAnchor="text" w:horzAnchor="margin" w:tblpX="-152" w:tblpY="41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4"/>
        <w:gridCol w:w="993"/>
        <w:gridCol w:w="936"/>
        <w:gridCol w:w="1048"/>
        <w:gridCol w:w="992"/>
        <w:gridCol w:w="993"/>
      </w:tblGrid>
      <w:tr w:rsidR="00BF0F0B" w:rsidRPr="00F7213D" w14:paraId="5342AAA1" w14:textId="77777777" w:rsidTr="00900A50">
        <w:trPr>
          <w:trHeight w:val="423"/>
        </w:trPr>
        <w:tc>
          <w:tcPr>
            <w:tcW w:w="4824" w:type="dxa"/>
            <w:shd w:val="clear" w:color="auto" w:fill="FFFFFF" w:themeFill="background1"/>
          </w:tcPr>
          <w:p w14:paraId="6167A8DE" w14:textId="77777777" w:rsidR="00BF0F0B" w:rsidRPr="00F7213D" w:rsidRDefault="00BF0F0B" w:rsidP="001E5657">
            <w:pPr>
              <w:pStyle w:val="TableParagraph"/>
              <w:spacing w:before="115"/>
              <w:ind w:left="170"/>
              <w:rPr>
                <w:rFonts w:ascii="Times New Roman" w:hAnsi="Times New Roman" w:cs="Times New Roman"/>
                <w:b/>
                <w:sz w:val="20"/>
                <w:szCs w:val="20"/>
              </w:rPr>
            </w:pPr>
            <w:r w:rsidRPr="00F7213D">
              <w:rPr>
                <w:rFonts w:ascii="Times New Roman" w:hAnsi="Times New Roman" w:cs="Times New Roman"/>
                <w:b/>
                <w:w w:val="110"/>
                <w:sz w:val="20"/>
                <w:szCs w:val="20"/>
              </w:rPr>
              <w:t>Programmes</w:t>
            </w:r>
          </w:p>
        </w:tc>
        <w:tc>
          <w:tcPr>
            <w:tcW w:w="993" w:type="dxa"/>
            <w:shd w:val="clear" w:color="auto" w:fill="FFFFFF" w:themeFill="background1"/>
          </w:tcPr>
          <w:p w14:paraId="60C63DCA" w14:textId="77777777" w:rsidR="00BF0F0B" w:rsidRPr="00F7213D" w:rsidRDefault="00BF0F0B" w:rsidP="001E5657">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2017/18</w:t>
            </w:r>
          </w:p>
        </w:tc>
        <w:tc>
          <w:tcPr>
            <w:tcW w:w="936" w:type="dxa"/>
            <w:shd w:val="clear" w:color="auto" w:fill="FFFFFF" w:themeFill="background1"/>
          </w:tcPr>
          <w:p w14:paraId="303D52DD" w14:textId="77777777" w:rsidR="00BF0F0B" w:rsidRPr="00F7213D" w:rsidRDefault="00BF0F0B" w:rsidP="001E5657">
            <w:pPr>
              <w:pStyle w:val="TableParagraph"/>
              <w:spacing w:before="115"/>
              <w:ind w:right="158"/>
              <w:jc w:val="center"/>
              <w:rPr>
                <w:rFonts w:ascii="Times New Roman" w:hAnsi="Times New Roman" w:cs="Times New Roman"/>
                <w:b/>
                <w:sz w:val="20"/>
                <w:szCs w:val="20"/>
              </w:rPr>
            </w:pPr>
            <w:r w:rsidRPr="00F7213D">
              <w:rPr>
                <w:rFonts w:ascii="Times New Roman" w:hAnsi="Times New Roman" w:cs="Times New Roman"/>
                <w:b/>
                <w:w w:val="105"/>
                <w:sz w:val="20"/>
                <w:szCs w:val="20"/>
              </w:rPr>
              <w:t>2018/19</w:t>
            </w:r>
          </w:p>
        </w:tc>
        <w:tc>
          <w:tcPr>
            <w:tcW w:w="1048" w:type="dxa"/>
            <w:shd w:val="clear" w:color="auto" w:fill="FFFFFF" w:themeFill="background1"/>
          </w:tcPr>
          <w:p w14:paraId="3BA0B204" w14:textId="77777777" w:rsidR="00BF0F0B" w:rsidRPr="00F7213D" w:rsidRDefault="00BF0F0B" w:rsidP="001E5657">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2019/20</w:t>
            </w:r>
          </w:p>
        </w:tc>
        <w:tc>
          <w:tcPr>
            <w:tcW w:w="992" w:type="dxa"/>
            <w:shd w:val="clear" w:color="auto" w:fill="FFFFFF" w:themeFill="background1"/>
          </w:tcPr>
          <w:p w14:paraId="1EDA131B" w14:textId="77777777" w:rsidR="00BF0F0B" w:rsidRPr="00F7213D" w:rsidRDefault="00BF0F0B" w:rsidP="001E5657">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2020/21</w:t>
            </w:r>
          </w:p>
        </w:tc>
        <w:tc>
          <w:tcPr>
            <w:tcW w:w="993" w:type="dxa"/>
            <w:shd w:val="clear" w:color="auto" w:fill="FFFFFF" w:themeFill="background1"/>
          </w:tcPr>
          <w:p w14:paraId="2F1BA982" w14:textId="77777777" w:rsidR="00BF0F0B" w:rsidRPr="00F7213D" w:rsidRDefault="00BF0F0B" w:rsidP="001E5657">
            <w:pPr>
              <w:pStyle w:val="TableParagraph"/>
              <w:spacing w:before="115"/>
              <w:ind w:left="187"/>
              <w:jc w:val="center"/>
              <w:rPr>
                <w:rFonts w:ascii="Times New Roman" w:hAnsi="Times New Roman" w:cs="Times New Roman"/>
                <w:b/>
                <w:sz w:val="20"/>
                <w:szCs w:val="20"/>
              </w:rPr>
            </w:pPr>
            <w:r w:rsidRPr="00F7213D">
              <w:rPr>
                <w:rFonts w:ascii="Times New Roman" w:hAnsi="Times New Roman" w:cs="Times New Roman"/>
                <w:b/>
                <w:w w:val="105"/>
                <w:sz w:val="20"/>
                <w:szCs w:val="20"/>
              </w:rPr>
              <w:t>2021/22</w:t>
            </w:r>
          </w:p>
        </w:tc>
      </w:tr>
      <w:tr w:rsidR="00BF0F0B" w:rsidRPr="00F7213D" w14:paraId="20B789B8" w14:textId="77777777" w:rsidTr="00900A50">
        <w:trPr>
          <w:trHeight w:val="380"/>
        </w:trPr>
        <w:tc>
          <w:tcPr>
            <w:tcW w:w="4824" w:type="dxa"/>
          </w:tcPr>
          <w:p w14:paraId="3F98CA7D" w14:textId="77777777" w:rsidR="00BF0F0B" w:rsidRPr="00F7213D" w:rsidRDefault="00BF0F0B" w:rsidP="00900A50">
            <w:pPr>
              <w:pStyle w:val="TableParagraph"/>
              <w:spacing w:before="91"/>
              <w:ind w:left="189"/>
              <w:rPr>
                <w:rFonts w:ascii="Times New Roman" w:hAnsi="Times New Roman" w:cs="Times New Roman"/>
                <w:sz w:val="20"/>
                <w:szCs w:val="20"/>
              </w:rPr>
            </w:pPr>
            <w:r w:rsidRPr="00F7213D">
              <w:rPr>
                <w:rFonts w:ascii="Times New Roman" w:hAnsi="Times New Roman" w:cs="Times New Roman"/>
                <w:sz w:val="20"/>
                <w:szCs w:val="20"/>
              </w:rPr>
              <w:t>Administration</w:t>
            </w:r>
          </w:p>
        </w:tc>
        <w:tc>
          <w:tcPr>
            <w:tcW w:w="993" w:type="dxa"/>
          </w:tcPr>
          <w:p w14:paraId="639CFBBE" w14:textId="77777777" w:rsidR="00BF0F0B" w:rsidRPr="00F7213D" w:rsidRDefault="00BF0F0B" w:rsidP="00900A50">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75 967</w:t>
            </w:r>
          </w:p>
        </w:tc>
        <w:tc>
          <w:tcPr>
            <w:tcW w:w="936" w:type="dxa"/>
          </w:tcPr>
          <w:p w14:paraId="18729C2A" w14:textId="77777777" w:rsidR="00BF0F0B" w:rsidRPr="00F7213D" w:rsidRDefault="00BF0F0B" w:rsidP="00900A50">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77 693</w:t>
            </w:r>
          </w:p>
        </w:tc>
        <w:tc>
          <w:tcPr>
            <w:tcW w:w="1048" w:type="dxa"/>
          </w:tcPr>
          <w:p w14:paraId="7FDDBF8F" w14:textId="77777777" w:rsidR="00BF0F0B" w:rsidRPr="00F7213D" w:rsidRDefault="00BF0F0B" w:rsidP="00900A50">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82 044</w:t>
            </w:r>
          </w:p>
        </w:tc>
        <w:tc>
          <w:tcPr>
            <w:tcW w:w="992" w:type="dxa"/>
          </w:tcPr>
          <w:p w14:paraId="790ADC03" w14:textId="77777777" w:rsidR="00BF0F0B" w:rsidRPr="00F7213D" w:rsidRDefault="00BF0F0B" w:rsidP="00900A50">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86 556</w:t>
            </w:r>
          </w:p>
        </w:tc>
        <w:tc>
          <w:tcPr>
            <w:tcW w:w="993" w:type="dxa"/>
          </w:tcPr>
          <w:p w14:paraId="30A76417" w14:textId="77777777" w:rsidR="00BF0F0B" w:rsidRPr="00F7213D" w:rsidRDefault="00BF0F0B" w:rsidP="00900A50">
            <w:pPr>
              <w:pStyle w:val="TableParagraph"/>
              <w:spacing w:before="91"/>
              <w:ind w:right="93"/>
              <w:jc w:val="center"/>
              <w:rPr>
                <w:rFonts w:ascii="Times New Roman" w:hAnsi="Times New Roman" w:cs="Times New Roman"/>
                <w:sz w:val="20"/>
                <w:szCs w:val="20"/>
              </w:rPr>
            </w:pPr>
            <w:r w:rsidRPr="00F7213D">
              <w:rPr>
                <w:rFonts w:ascii="Times New Roman" w:hAnsi="Times New Roman" w:cs="Times New Roman"/>
                <w:w w:val="105"/>
                <w:sz w:val="20"/>
                <w:szCs w:val="20"/>
              </w:rPr>
              <w:t>91 317</w:t>
            </w:r>
          </w:p>
        </w:tc>
      </w:tr>
      <w:tr w:rsidR="00BF0F0B" w:rsidRPr="00F7213D" w14:paraId="46578478" w14:textId="77777777" w:rsidTr="00900A50">
        <w:trPr>
          <w:trHeight w:val="395"/>
        </w:trPr>
        <w:tc>
          <w:tcPr>
            <w:tcW w:w="4824" w:type="dxa"/>
          </w:tcPr>
          <w:p w14:paraId="3C2B16A2" w14:textId="77777777" w:rsidR="00BF0F0B" w:rsidRPr="00F7213D" w:rsidRDefault="00BF0F0B" w:rsidP="00900A50">
            <w:pPr>
              <w:pStyle w:val="TableParagraph"/>
              <w:spacing w:before="98"/>
              <w:ind w:left="189"/>
              <w:rPr>
                <w:rFonts w:ascii="Times New Roman" w:hAnsi="Times New Roman" w:cs="Times New Roman"/>
                <w:sz w:val="20"/>
                <w:szCs w:val="20"/>
              </w:rPr>
            </w:pPr>
            <w:r w:rsidRPr="00F7213D">
              <w:rPr>
                <w:rFonts w:ascii="Times New Roman" w:hAnsi="Times New Roman" w:cs="Times New Roman"/>
                <w:sz w:val="20"/>
                <w:szCs w:val="20"/>
              </w:rPr>
              <w:t>Construction Industry Regulation and Advocacy</w:t>
            </w:r>
          </w:p>
        </w:tc>
        <w:tc>
          <w:tcPr>
            <w:tcW w:w="993" w:type="dxa"/>
          </w:tcPr>
          <w:p w14:paraId="5C1026EE"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64 710</w:t>
            </w:r>
          </w:p>
        </w:tc>
        <w:tc>
          <w:tcPr>
            <w:tcW w:w="936" w:type="dxa"/>
          </w:tcPr>
          <w:p w14:paraId="72B26FBE"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67 628</w:t>
            </w:r>
          </w:p>
        </w:tc>
        <w:tc>
          <w:tcPr>
            <w:tcW w:w="1048" w:type="dxa"/>
          </w:tcPr>
          <w:p w14:paraId="4275D2D2"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71 415</w:t>
            </w:r>
          </w:p>
        </w:tc>
        <w:tc>
          <w:tcPr>
            <w:tcW w:w="992" w:type="dxa"/>
          </w:tcPr>
          <w:p w14:paraId="3D259370"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75 343</w:t>
            </w:r>
          </w:p>
        </w:tc>
        <w:tc>
          <w:tcPr>
            <w:tcW w:w="993" w:type="dxa"/>
          </w:tcPr>
          <w:p w14:paraId="6595FEA9" w14:textId="77777777" w:rsidR="00BF0F0B" w:rsidRPr="00F7213D" w:rsidRDefault="00BF0F0B" w:rsidP="00900A50">
            <w:pPr>
              <w:pStyle w:val="TableParagraph"/>
              <w:spacing w:before="98"/>
              <w:ind w:right="93"/>
              <w:jc w:val="center"/>
              <w:rPr>
                <w:rFonts w:ascii="Times New Roman" w:hAnsi="Times New Roman" w:cs="Times New Roman"/>
                <w:sz w:val="20"/>
                <w:szCs w:val="20"/>
              </w:rPr>
            </w:pPr>
            <w:r w:rsidRPr="00F7213D">
              <w:rPr>
                <w:rFonts w:ascii="Times New Roman" w:hAnsi="Times New Roman" w:cs="Times New Roman"/>
                <w:w w:val="105"/>
                <w:sz w:val="20"/>
                <w:szCs w:val="20"/>
              </w:rPr>
              <w:t>79 487</w:t>
            </w:r>
          </w:p>
        </w:tc>
      </w:tr>
      <w:tr w:rsidR="00BF0F0B" w:rsidRPr="00F7213D" w14:paraId="45C181A4" w14:textId="77777777" w:rsidTr="00900A50">
        <w:trPr>
          <w:trHeight w:val="395"/>
        </w:trPr>
        <w:tc>
          <w:tcPr>
            <w:tcW w:w="4824" w:type="dxa"/>
          </w:tcPr>
          <w:p w14:paraId="2681B8BA" w14:textId="77777777" w:rsidR="00BF0F0B" w:rsidRPr="00F7213D" w:rsidRDefault="00BF0F0B" w:rsidP="00900A50">
            <w:pPr>
              <w:pStyle w:val="TableParagraph"/>
              <w:spacing w:before="98"/>
              <w:ind w:left="189"/>
              <w:rPr>
                <w:rFonts w:ascii="Times New Roman" w:hAnsi="Times New Roman" w:cs="Times New Roman"/>
                <w:sz w:val="20"/>
                <w:szCs w:val="20"/>
              </w:rPr>
            </w:pPr>
            <w:r w:rsidRPr="00F7213D">
              <w:rPr>
                <w:rFonts w:ascii="Times New Roman" w:hAnsi="Times New Roman" w:cs="Times New Roman"/>
                <w:sz w:val="20"/>
                <w:szCs w:val="20"/>
              </w:rPr>
              <w:t>Construction Industry Performance and Transformation</w:t>
            </w:r>
          </w:p>
        </w:tc>
        <w:tc>
          <w:tcPr>
            <w:tcW w:w="993" w:type="dxa"/>
          </w:tcPr>
          <w:p w14:paraId="599875D6"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14 497</w:t>
            </w:r>
          </w:p>
        </w:tc>
        <w:tc>
          <w:tcPr>
            <w:tcW w:w="936" w:type="dxa"/>
          </w:tcPr>
          <w:p w14:paraId="48ED6A68"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15 188</w:t>
            </w:r>
          </w:p>
        </w:tc>
        <w:tc>
          <w:tcPr>
            <w:tcW w:w="1048" w:type="dxa"/>
          </w:tcPr>
          <w:p w14:paraId="5718058D"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16 039</w:t>
            </w:r>
          </w:p>
        </w:tc>
        <w:tc>
          <w:tcPr>
            <w:tcW w:w="992" w:type="dxa"/>
          </w:tcPr>
          <w:p w14:paraId="4F99D008"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16 921</w:t>
            </w:r>
          </w:p>
        </w:tc>
        <w:tc>
          <w:tcPr>
            <w:tcW w:w="993" w:type="dxa"/>
          </w:tcPr>
          <w:p w14:paraId="5ACEACA1" w14:textId="77777777" w:rsidR="00BF0F0B" w:rsidRPr="00F7213D" w:rsidRDefault="00BF0F0B" w:rsidP="00900A50">
            <w:pPr>
              <w:pStyle w:val="TableParagraph"/>
              <w:spacing w:before="98"/>
              <w:ind w:right="94"/>
              <w:jc w:val="center"/>
              <w:rPr>
                <w:rFonts w:ascii="Times New Roman" w:hAnsi="Times New Roman" w:cs="Times New Roman"/>
                <w:sz w:val="20"/>
                <w:szCs w:val="20"/>
              </w:rPr>
            </w:pPr>
            <w:r w:rsidRPr="00F7213D">
              <w:rPr>
                <w:rFonts w:ascii="Times New Roman" w:hAnsi="Times New Roman" w:cs="Times New Roman"/>
                <w:w w:val="105"/>
                <w:sz w:val="20"/>
                <w:szCs w:val="20"/>
              </w:rPr>
              <w:t>17 850</w:t>
            </w:r>
          </w:p>
        </w:tc>
      </w:tr>
      <w:tr w:rsidR="00BF0F0B" w:rsidRPr="00F7213D" w14:paraId="2A91CDB0" w14:textId="77777777" w:rsidTr="00900A50">
        <w:trPr>
          <w:trHeight w:val="395"/>
        </w:trPr>
        <w:tc>
          <w:tcPr>
            <w:tcW w:w="4824" w:type="dxa"/>
          </w:tcPr>
          <w:p w14:paraId="2B9752A9" w14:textId="77777777" w:rsidR="00BF0F0B" w:rsidRPr="00F7213D" w:rsidRDefault="00BF0F0B" w:rsidP="00900A50">
            <w:pPr>
              <w:pStyle w:val="TableParagraph"/>
              <w:spacing w:before="98"/>
              <w:ind w:left="189"/>
              <w:rPr>
                <w:rFonts w:ascii="Times New Roman" w:hAnsi="Times New Roman" w:cs="Times New Roman"/>
                <w:sz w:val="20"/>
                <w:szCs w:val="20"/>
              </w:rPr>
            </w:pPr>
            <w:r w:rsidRPr="00F7213D">
              <w:rPr>
                <w:rFonts w:ascii="Times New Roman" w:hAnsi="Times New Roman" w:cs="Times New Roman"/>
                <w:sz w:val="20"/>
                <w:szCs w:val="20"/>
              </w:rPr>
              <w:t>Development and Capacitation</w:t>
            </w:r>
          </w:p>
        </w:tc>
        <w:tc>
          <w:tcPr>
            <w:tcW w:w="993" w:type="dxa"/>
          </w:tcPr>
          <w:p w14:paraId="674AEE51"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13 303</w:t>
            </w:r>
          </w:p>
        </w:tc>
        <w:tc>
          <w:tcPr>
            <w:tcW w:w="936" w:type="dxa"/>
          </w:tcPr>
          <w:p w14:paraId="40A579DC"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13 914</w:t>
            </w:r>
          </w:p>
        </w:tc>
        <w:tc>
          <w:tcPr>
            <w:tcW w:w="1048" w:type="dxa"/>
          </w:tcPr>
          <w:p w14:paraId="2740BDFF"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14 693</w:t>
            </w:r>
          </w:p>
        </w:tc>
        <w:tc>
          <w:tcPr>
            <w:tcW w:w="992" w:type="dxa"/>
          </w:tcPr>
          <w:p w14:paraId="79C5A7A4"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15 502</w:t>
            </w:r>
          </w:p>
        </w:tc>
        <w:tc>
          <w:tcPr>
            <w:tcW w:w="993" w:type="dxa"/>
          </w:tcPr>
          <w:p w14:paraId="2EBD2DC6" w14:textId="77777777" w:rsidR="00BF0F0B" w:rsidRPr="00F7213D" w:rsidRDefault="00BF0F0B" w:rsidP="00900A50">
            <w:pPr>
              <w:pStyle w:val="TableParagraph"/>
              <w:spacing w:before="98"/>
              <w:ind w:right="94"/>
              <w:jc w:val="center"/>
              <w:rPr>
                <w:rFonts w:ascii="Times New Roman" w:hAnsi="Times New Roman" w:cs="Times New Roman"/>
                <w:sz w:val="20"/>
                <w:szCs w:val="20"/>
              </w:rPr>
            </w:pPr>
            <w:r w:rsidRPr="00F7213D">
              <w:rPr>
                <w:rFonts w:ascii="Times New Roman" w:hAnsi="Times New Roman" w:cs="Times New Roman"/>
                <w:w w:val="105"/>
                <w:sz w:val="20"/>
                <w:szCs w:val="20"/>
              </w:rPr>
              <w:t>16 354</w:t>
            </w:r>
          </w:p>
        </w:tc>
      </w:tr>
      <w:tr w:rsidR="00BF0F0B" w:rsidRPr="00F7213D" w14:paraId="71303C19" w14:textId="77777777" w:rsidTr="00900A50">
        <w:trPr>
          <w:trHeight w:val="395"/>
        </w:trPr>
        <w:tc>
          <w:tcPr>
            <w:tcW w:w="4824" w:type="dxa"/>
          </w:tcPr>
          <w:p w14:paraId="368C9ABA" w14:textId="77777777" w:rsidR="00BF0F0B" w:rsidRPr="00F7213D" w:rsidRDefault="00BF0F0B" w:rsidP="00900A50">
            <w:pPr>
              <w:pStyle w:val="TableParagraph"/>
              <w:spacing w:before="98"/>
              <w:ind w:left="189"/>
              <w:rPr>
                <w:rFonts w:ascii="Times New Roman" w:hAnsi="Times New Roman" w:cs="Times New Roman"/>
                <w:b/>
                <w:sz w:val="20"/>
                <w:szCs w:val="20"/>
              </w:rPr>
            </w:pPr>
            <w:r w:rsidRPr="00F7213D">
              <w:rPr>
                <w:rFonts w:ascii="Times New Roman" w:hAnsi="Times New Roman" w:cs="Times New Roman"/>
                <w:b/>
                <w:w w:val="110"/>
                <w:sz w:val="20"/>
                <w:szCs w:val="20"/>
              </w:rPr>
              <w:t>Total budget</w:t>
            </w:r>
          </w:p>
        </w:tc>
        <w:tc>
          <w:tcPr>
            <w:tcW w:w="993" w:type="dxa"/>
          </w:tcPr>
          <w:p w14:paraId="4B18977A" w14:textId="77777777" w:rsidR="00BF0F0B" w:rsidRPr="00F7213D" w:rsidRDefault="00BF0F0B" w:rsidP="00900A50">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168 477</w:t>
            </w:r>
          </w:p>
        </w:tc>
        <w:tc>
          <w:tcPr>
            <w:tcW w:w="936" w:type="dxa"/>
          </w:tcPr>
          <w:p w14:paraId="09780F39" w14:textId="77777777" w:rsidR="00BF0F0B" w:rsidRPr="00F7213D" w:rsidRDefault="00BF0F0B" w:rsidP="00900A50">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174 423</w:t>
            </w:r>
          </w:p>
        </w:tc>
        <w:tc>
          <w:tcPr>
            <w:tcW w:w="1048" w:type="dxa"/>
          </w:tcPr>
          <w:p w14:paraId="5DECA066" w14:textId="77777777" w:rsidR="00BF0F0B" w:rsidRPr="00F7213D" w:rsidRDefault="00BF0F0B" w:rsidP="00900A50">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184 191</w:t>
            </w:r>
          </w:p>
        </w:tc>
        <w:tc>
          <w:tcPr>
            <w:tcW w:w="992" w:type="dxa"/>
          </w:tcPr>
          <w:p w14:paraId="59D246B7" w14:textId="77777777" w:rsidR="00BF0F0B" w:rsidRPr="00F7213D" w:rsidRDefault="00BF0F0B" w:rsidP="00900A50">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194 321</w:t>
            </w:r>
          </w:p>
        </w:tc>
        <w:tc>
          <w:tcPr>
            <w:tcW w:w="993" w:type="dxa"/>
          </w:tcPr>
          <w:p w14:paraId="72EFB644" w14:textId="77777777" w:rsidR="00BF0F0B" w:rsidRPr="00F7213D" w:rsidRDefault="00BF0F0B" w:rsidP="00900A50">
            <w:pPr>
              <w:pStyle w:val="TableParagraph"/>
              <w:spacing w:before="98"/>
              <w:ind w:right="94"/>
              <w:jc w:val="center"/>
              <w:rPr>
                <w:rFonts w:ascii="Times New Roman" w:hAnsi="Times New Roman" w:cs="Times New Roman"/>
                <w:b/>
                <w:sz w:val="20"/>
                <w:szCs w:val="20"/>
              </w:rPr>
            </w:pPr>
            <w:r w:rsidRPr="00F7213D">
              <w:rPr>
                <w:rFonts w:ascii="Times New Roman" w:hAnsi="Times New Roman" w:cs="Times New Roman"/>
                <w:b/>
                <w:w w:val="105"/>
                <w:sz w:val="20"/>
                <w:szCs w:val="20"/>
              </w:rPr>
              <w:t>205 008</w:t>
            </w:r>
          </w:p>
        </w:tc>
      </w:tr>
      <w:tr w:rsidR="00BF0F0B" w:rsidRPr="00F7213D" w14:paraId="45913F68" w14:textId="77777777" w:rsidTr="00900A50">
        <w:trPr>
          <w:trHeight w:val="395"/>
        </w:trPr>
        <w:tc>
          <w:tcPr>
            <w:tcW w:w="4824" w:type="dxa"/>
            <w:shd w:val="clear" w:color="auto" w:fill="FFFFFF" w:themeFill="background1"/>
          </w:tcPr>
          <w:p w14:paraId="627E6C6A" w14:textId="77777777" w:rsidR="00BF0F0B" w:rsidRPr="00F7213D" w:rsidRDefault="00BF0F0B" w:rsidP="00900A50">
            <w:pPr>
              <w:pStyle w:val="TableParagraph"/>
              <w:spacing w:before="98"/>
              <w:ind w:left="189"/>
              <w:rPr>
                <w:rFonts w:ascii="Times New Roman" w:hAnsi="Times New Roman" w:cs="Times New Roman"/>
                <w:sz w:val="20"/>
                <w:szCs w:val="20"/>
              </w:rPr>
            </w:pPr>
            <w:r w:rsidRPr="00F7213D">
              <w:rPr>
                <w:rFonts w:ascii="Times New Roman" w:hAnsi="Times New Roman" w:cs="Times New Roman"/>
                <w:sz w:val="20"/>
                <w:szCs w:val="20"/>
              </w:rPr>
              <w:t>Revenue</w:t>
            </w:r>
          </w:p>
        </w:tc>
        <w:tc>
          <w:tcPr>
            <w:tcW w:w="993" w:type="dxa"/>
            <w:shd w:val="clear" w:color="auto" w:fill="FFFFFF" w:themeFill="background1"/>
          </w:tcPr>
          <w:p w14:paraId="2711F68D"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168 477</w:t>
            </w:r>
          </w:p>
        </w:tc>
        <w:tc>
          <w:tcPr>
            <w:tcW w:w="936" w:type="dxa"/>
            <w:shd w:val="clear" w:color="auto" w:fill="FFFFFF" w:themeFill="background1"/>
          </w:tcPr>
          <w:p w14:paraId="772C431B"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174 423</w:t>
            </w:r>
          </w:p>
        </w:tc>
        <w:tc>
          <w:tcPr>
            <w:tcW w:w="1048" w:type="dxa"/>
            <w:shd w:val="clear" w:color="auto" w:fill="FFFFFF" w:themeFill="background1"/>
          </w:tcPr>
          <w:p w14:paraId="78175260"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184 191</w:t>
            </w:r>
          </w:p>
        </w:tc>
        <w:tc>
          <w:tcPr>
            <w:tcW w:w="992" w:type="dxa"/>
            <w:shd w:val="clear" w:color="auto" w:fill="FFFFFF" w:themeFill="background1"/>
          </w:tcPr>
          <w:p w14:paraId="31C0188C" w14:textId="77777777" w:rsidR="00BF0F0B" w:rsidRPr="00F7213D" w:rsidRDefault="00BF0F0B" w:rsidP="00900A50">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194 321</w:t>
            </w:r>
          </w:p>
        </w:tc>
        <w:tc>
          <w:tcPr>
            <w:tcW w:w="993" w:type="dxa"/>
            <w:shd w:val="clear" w:color="auto" w:fill="FFFFFF" w:themeFill="background1"/>
          </w:tcPr>
          <w:p w14:paraId="317A8D73" w14:textId="77777777" w:rsidR="00BF0F0B" w:rsidRPr="00F7213D" w:rsidRDefault="00BF0F0B" w:rsidP="00900A50">
            <w:pPr>
              <w:pStyle w:val="TableParagraph"/>
              <w:spacing w:before="98"/>
              <w:ind w:right="94"/>
              <w:jc w:val="center"/>
              <w:rPr>
                <w:rFonts w:ascii="Times New Roman" w:hAnsi="Times New Roman" w:cs="Times New Roman"/>
                <w:sz w:val="20"/>
                <w:szCs w:val="20"/>
              </w:rPr>
            </w:pPr>
            <w:r w:rsidRPr="00F7213D">
              <w:rPr>
                <w:rFonts w:ascii="Times New Roman" w:hAnsi="Times New Roman" w:cs="Times New Roman"/>
                <w:w w:val="105"/>
                <w:sz w:val="20"/>
                <w:szCs w:val="20"/>
              </w:rPr>
              <w:t>205 008</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992"/>
        <w:gridCol w:w="993"/>
        <w:gridCol w:w="1015"/>
        <w:gridCol w:w="969"/>
        <w:gridCol w:w="992"/>
      </w:tblGrid>
      <w:tr w:rsidR="00BF0F0B" w:rsidRPr="00F7213D" w14:paraId="0AF1F1B8" w14:textId="77777777" w:rsidTr="00900A50">
        <w:trPr>
          <w:trHeight w:val="423"/>
        </w:trPr>
        <w:tc>
          <w:tcPr>
            <w:tcW w:w="4820" w:type="dxa"/>
            <w:shd w:val="clear" w:color="auto" w:fill="FFFFFF" w:themeFill="background1"/>
          </w:tcPr>
          <w:p w14:paraId="703A4F52" w14:textId="77777777" w:rsidR="00BF0F0B" w:rsidRPr="00F7213D" w:rsidRDefault="00BF0F0B" w:rsidP="00CC0781">
            <w:pPr>
              <w:pStyle w:val="TableParagraph"/>
              <w:spacing w:before="115"/>
              <w:ind w:left="170"/>
              <w:jc w:val="both"/>
              <w:rPr>
                <w:rFonts w:ascii="Times New Roman" w:hAnsi="Times New Roman" w:cs="Times New Roman"/>
                <w:b/>
                <w:sz w:val="20"/>
                <w:szCs w:val="20"/>
              </w:rPr>
            </w:pPr>
            <w:r w:rsidRPr="00F7213D">
              <w:rPr>
                <w:rFonts w:ascii="Times New Roman" w:hAnsi="Times New Roman" w:cs="Times New Roman"/>
                <w:b/>
                <w:w w:val="110"/>
                <w:sz w:val="20"/>
                <w:szCs w:val="20"/>
              </w:rPr>
              <w:t>Revenue Collection</w:t>
            </w:r>
          </w:p>
        </w:tc>
        <w:tc>
          <w:tcPr>
            <w:tcW w:w="992" w:type="dxa"/>
            <w:shd w:val="clear" w:color="auto" w:fill="FFFFFF" w:themeFill="background1"/>
          </w:tcPr>
          <w:p w14:paraId="0801F521" w14:textId="77777777" w:rsidR="00BF0F0B" w:rsidRPr="00F7213D" w:rsidRDefault="00BF0F0B" w:rsidP="00493D78">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2017/18</w:t>
            </w:r>
          </w:p>
        </w:tc>
        <w:tc>
          <w:tcPr>
            <w:tcW w:w="993" w:type="dxa"/>
            <w:shd w:val="clear" w:color="auto" w:fill="FFFFFF" w:themeFill="background1"/>
          </w:tcPr>
          <w:p w14:paraId="4E259BAC" w14:textId="77777777" w:rsidR="00BF0F0B" w:rsidRPr="00F7213D" w:rsidRDefault="00BF0F0B" w:rsidP="00493D78">
            <w:pPr>
              <w:pStyle w:val="TableParagraph"/>
              <w:spacing w:before="115"/>
              <w:ind w:right="158"/>
              <w:jc w:val="center"/>
              <w:rPr>
                <w:rFonts w:ascii="Times New Roman" w:hAnsi="Times New Roman" w:cs="Times New Roman"/>
                <w:b/>
                <w:sz w:val="20"/>
                <w:szCs w:val="20"/>
              </w:rPr>
            </w:pPr>
            <w:r w:rsidRPr="00F7213D">
              <w:rPr>
                <w:rFonts w:ascii="Times New Roman" w:hAnsi="Times New Roman" w:cs="Times New Roman"/>
                <w:b/>
                <w:w w:val="105"/>
                <w:sz w:val="20"/>
                <w:szCs w:val="20"/>
              </w:rPr>
              <w:t>2018/19</w:t>
            </w:r>
          </w:p>
        </w:tc>
        <w:tc>
          <w:tcPr>
            <w:tcW w:w="1015" w:type="dxa"/>
            <w:shd w:val="clear" w:color="auto" w:fill="FFFFFF" w:themeFill="background1"/>
          </w:tcPr>
          <w:p w14:paraId="13D20787" w14:textId="77777777" w:rsidR="00BF0F0B" w:rsidRPr="00F7213D" w:rsidRDefault="00BF0F0B" w:rsidP="00493D78">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2019/20</w:t>
            </w:r>
          </w:p>
        </w:tc>
        <w:tc>
          <w:tcPr>
            <w:tcW w:w="969" w:type="dxa"/>
            <w:shd w:val="clear" w:color="auto" w:fill="FFFFFF" w:themeFill="background1"/>
          </w:tcPr>
          <w:p w14:paraId="7B778B0C" w14:textId="77777777" w:rsidR="00BF0F0B" w:rsidRPr="00F7213D" w:rsidRDefault="00BF0F0B" w:rsidP="00493D78">
            <w:pPr>
              <w:pStyle w:val="TableParagraph"/>
              <w:spacing w:before="115"/>
              <w:ind w:left="181"/>
              <w:jc w:val="center"/>
              <w:rPr>
                <w:rFonts w:ascii="Times New Roman" w:hAnsi="Times New Roman" w:cs="Times New Roman"/>
                <w:b/>
                <w:sz w:val="20"/>
                <w:szCs w:val="20"/>
              </w:rPr>
            </w:pPr>
            <w:r w:rsidRPr="00F7213D">
              <w:rPr>
                <w:rFonts w:ascii="Times New Roman" w:hAnsi="Times New Roman" w:cs="Times New Roman"/>
                <w:b/>
                <w:w w:val="105"/>
                <w:sz w:val="20"/>
                <w:szCs w:val="20"/>
              </w:rPr>
              <w:t>2020/21</w:t>
            </w:r>
          </w:p>
        </w:tc>
        <w:tc>
          <w:tcPr>
            <w:tcW w:w="992" w:type="dxa"/>
            <w:shd w:val="clear" w:color="auto" w:fill="FFFFFF" w:themeFill="background1"/>
          </w:tcPr>
          <w:p w14:paraId="341E56BA" w14:textId="77777777" w:rsidR="00BF0F0B" w:rsidRPr="00F7213D" w:rsidRDefault="00BF0F0B" w:rsidP="00493D78">
            <w:pPr>
              <w:pStyle w:val="TableParagraph"/>
              <w:spacing w:before="115"/>
              <w:ind w:left="187"/>
              <w:jc w:val="center"/>
              <w:rPr>
                <w:rFonts w:ascii="Times New Roman" w:hAnsi="Times New Roman" w:cs="Times New Roman"/>
                <w:b/>
                <w:sz w:val="20"/>
                <w:szCs w:val="20"/>
              </w:rPr>
            </w:pPr>
            <w:r w:rsidRPr="00F7213D">
              <w:rPr>
                <w:rFonts w:ascii="Times New Roman" w:hAnsi="Times New Roman" w:cs="Times New Roman"/>
                <w:b/>
                <w:w w:val="105"/>
                <w:sz w:val="20"/>
                <w:szCs w:val="20"/>
              </w:rPr>
              <w:t>2021/22</w:t>
            </w:r>
          </w:p>
        </w:tc>
      </w:tr>
      <w:tr w:rsidR="00BF0F0B" w:rsidRPr="00F7213D" w14:paraId="2031FB46" w14:textId="77777777" w:rsidTr="00900A50">
        <w:trPr>
          <w:trHeight w:val="380"/>
        </w:trPr>
        <w:tc>
          <w:tcPr>
            <w:tcW w:w="4820" w:type="dxa"/>
          </w:tcPr>
          <w:p w14:paraId="7ED2D2A4" w14:textId="77777777" w:rsidR="00BF0F0B" w:rsidRPr="00F7213D" w:rsidRDefault="00BF0F0B" w:rsidP="00CC0781">
            <w:pPr>
              <w:pStyle w:val="TableParagraph"/>
              <w:spacing w:before="91"/>
              <w:ind w:left="189"/>
              <w:jc w:val="both"/>
              <w:rPr>
                <w:rFonts w:ascii="Times New Roman" w:hAnsi="Times New Roman" w:cs="Times New Roman"/>
                <w:sz w:val="20"/>
                <w:szCs w:val="20"/>
              </w:rPr>
            </w:pPr>
            <w:r w:rsidRPr="00F7213D">
              <w:rPr>
                <w:rFonts w:ascii="Times New Roman" w:hAnsi="Times New Roman" w:cs="Times New Roman"/>
                <w:sz w:val="20"/>
                <w:szCs w:val="20"/>
              </w:rPr>
              <w:t>Government Grant</w:t>
            </w:r>
          </w:p>
        </w:tc>
        <w:tc>
          <w:tcPr>
            <w:tcW w:w="992" w:type="dxa"/>
          </w:tcPr>
          <w:p w14:paraId="78E7E39F" w14:textId="77777777" w:rsidR="00BF0F0B" w:rsidRPr="00F7213D" w:rsidRDefault="00BF0F0B" w:rsidP="00493D78">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74 984</w:t>
            </w:r>
          </w:p>
        </w:tc>
        <w:tc>
          <w:tcPr>
            <w:tcW w:w="993" w:type="dxa"/>
          </w:tcPr>
          <w:p w14:paraId="73144950" w14:textId="77777777" w:rsidR="00BF0F0B" w:rsidRPr="00F7213D" w:rsidRDefault="00BF0F0B" w:rsidP="00493D78">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73 323</w:t>
            </w:r>
          </w:p>
        </w:tc>
        <w:tc>
          <w:tcPr>
            <w:tcW w:w="1015" w:type="dxa"/>
          </w:tcPr>
          <w:p w14:paraId="6C4D7A52" w14:textId="77777777" w:rsidR="00BF0F0B" w:rsidRPr="00F7213D" w:rsidRDefault="00BF0F0B" w:rsidP="00493D78">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76 191</w:t>
            </w:r>
          </w:p>
        </w:tc>
        <w:tc>
          <w:tcPr>
            <w:tcW w:w="969" w:type="dxa"/>
          </w:tcPr>
          <w:p w14:paraId="735A8A28" w14:textId="77777777" w:rsidR="00BF0F0B" w:rsidRPr="00F7213D" w:rsidRDefault="00BF0F0B" w:rsidP="00493D78">
            <w:pPr>
              <w:pStyle w:val="TableParagraph"/>
              <w:spacing w:before="91"/>
              <w:ind w:right="89"/>
              <w:jc w:val="center"/>
              <w:rPr>
                <w:rFonts w:ascii="Times New Roman" w:hAnsi="Times New Roman" w:cs="Times New Roman"/>
                <w:sz w:val="20"/>
                <w:szCs w:val="20"/>
              </w:rPr>
            </w:pPr>
            <w:r w:rsidRPr="00F7213D">
              <w:rPr>
                <w:rFonts w:ascii="Times New Roman" w:hAnsi="Times New Roman" w:cs="Times New Roman"/>
                <w:w w:val="105"/>
                <w:sz w:val="20"/>
                <w:szCs w:val="20"/>
              </w:rPr>
              <w:t>80 463</w:t>
            </w:r>
          </w:p>
        </w:tc>
        <w:tc>
          <w:tcPr>
            <w:tcW w:w="992" w:type="dxa"/>
          </w:tcPr>
          <w:p w14:paraId="73730FCC" w14:textId="77777777" w:rsidR="00BF0F0B" w:rsidRPr="00F7213D" w:rsidRDefault="00BF0F0B" w:rsidP="00493D78">
            <w:pPr>
              <w:pStyle w:val="TableParagraph"/>
              <w:spacing w:before="91"/>
              <w:ind w:right="93"/>
              <w:jc w:val="center"/>
              <w:rPr>
                <w:rFonts w:ascii="Times New Roman" w:hAnsi="Times New Roman" w:cs="Times New Roman"/>
                <w:sz w:val="20"/>
                <w:szCs w:val="20"/>
              </w:rPr>
            </w:pPr>
            <w:r w:rsidRPr="00F7213D">
              <w:rPr>
                <w:rFonts w:ascii="Times New Roman" w:hAnsi="Times New Roman" w:cs="Times New Roman"/>
                <w:w w:val="105"/>
                <w:sz w:val="20"/>
                <w:szCs w:val="20"/>
              </w:rPr>
              <w:t>84 973</w:t>
            </w:r>
          </w:p>
        </w:tc>
      </w:tr>
      <w:tr w:rsidR="00BF0F0B" w:rsidRPr="00F7213D" w14:paraId="168E896E" w14:textId="77777777" w:rsidTr="00900A50">
        <w:trPr>
          <w:trHeight w:val="395"/>
        </w:trPr>
        <w:tc>
          <w:tcPr>
            <w:tcW w:w="4820" w:type="dxa"/>
          </w:tcPr>
          <w:p w14:paraId="38817124" w14:textId="77777777" w:rsidR="00BF0F0B" w:rsidRPr="00F7213D" w:rsidRDefault="00BF0F0B" w:rsidP="00CC0781">
            <w:pPr>
              <w:pStyle w:val="TableParagraph"/>
              <w:spacing w:before="98"/>
              <w:ind w:left="189"/>
              <w:jc w:val="both"/>
              <w:rPr>
                <w:rFonts w:ascii="Times New Roman" w:hAnsi="Times New Roman" w:cs="Times New Roman"/>
                <w:sz w:val="20"/>
                <w:szCs w:val="20"/>
              </w:rPr>
            </w:pPr>
            <w:r w:rsidRPr="00F7213D">
              <w:rPr>
                <w:rFonts w:ascii="Times New Roman" w:hAnsi="Times New Roman" w:cs="Times New Roman"/>
                <w:sz w:val="20"/>
                <w:szCs w:val="20"/>
              </w:rPr>
              <w:t>Registration fees</w:t>
            </w:r>
          </w:p>
        </w:tc>
        <w:tc>
          <w:tcPr>
            <w:tcW w:w="992" w:type="dxa"/>
          </w:tcPr>
          <w:p w14:paraId="58DE3B35"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85 553</w:t>
            </w:r>
          </w:p>
        </w:tc>
        <w:tc>
          <w:tcPr>
            <w:tcW w:w="993" w:type="dxa"/>
          </w:tcPr>
          <w:p w14:paraId="609244E2"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92 766</w:t>
            </w:r>
          </w:p>
        </w:tc>
        <w:tc>
          <w:tcPr>
            <w:tcW w:w="1015" w:type="dxa"/>
          </w:tcPr>
          <w:p w14:paraId="666969C4"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99 200</w:t>
            </w:r>
          </w:p>
        </w:tc>
        <w:tc>
          <w:tcPr>
            <w:tcW w:w="969" w:type="dxa"/>
          </w:tcPr>
          <w:p w14:paraId="750B71F8"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104 573</w:t>
            </w:r>
          </w:p>
        </w:tc>
        <w:tc>
          <w:tcPr>
            <w:tcW w:w="992" w:type="dxa"/>
          </w:tcPr>
          <w:p w14:paraId="53203B44" w14:textId="77777777" w:rsidR="00BF0F0B" w:rsidRPr="00F7213D" w:rsidRDefault="00BF0F0B" w:rsidP="00493D78">
            <w:pPr>
              <w:pStyle w:val="TableParagraph"/>
              <w:spacing w:before="98"/>
              <w:ind w:right="93"/>
              <w:jc w:val="center"/>
              <w:rPr>
                <w:rFonts w:ascii="Times New Roman" w:hAnsi="Times New Roman" w:cs="Times New Roman"/>
                <w:sz w:val="20"/>
                <w:szCs w:val="20"/>
              </w:rPr>
            </w:pPr>
            <w:r w:rsidRPr="00F7213D">
              <w:rPr>
                <w:rFonts w:ascii="Times New Roman" w:hAnsi="Times New Roman" w:cs="Times New Roman"/>
                <w:w w:val="105"/>
                <w:sz w:val="20"/>
                <w:szCs w:val="20"/>
              </w:rPr>
              <w:t>110 240</w:t>
            </w:r>
          </w:p>
        </w:tc>
      </w:tr>
      <w:tr w:rsidR="00BF0F0B" w:rsidRPr="00F7213D" w14:paraId="69FCDE5F" w14:textId="77777777" w:rsidTr="00900A50">
        <w:trPr>
          <w:trHeight w:val="395"/>
        </w:trPr>
        <w:tc>
          <w:tcPr>
            <w:tcW w:w="4820" w:type="dxa"/>
          </w:tcPr>
          <w:p w14:paraId="753AFFBF" w14:textId="77777777" w:rsidR="00BF0F0B" w:rsidRPr="00F7213D" w:rsidRDefault="00BF0F0B" w:rsidP="00CC0781">
            <w:pPr>
              <w:pStyle w:val="TableParagraph"/>
              <w:spacing w:before="98"/>
              <w:ind w:left="189"/>
              <w:jc w:val="both"/>
              <w:rPr>
                <w:rFonts w:ascii="Times New Roman" w:hAnsi="Times New Roman" w:cs="Times New Roman"/>
                <w:sz w:val="20"/>
                <w:szCs w:val="20"/>
              </w:rPr>
            </w:pPr>
            <w:r w:rsidRPr="00F7213D">
              <w:rPr>
                <w:rFonts w:ascii="Times New Roman" w:hAnsi="Times New Roman" w:cs="Times New Roman"/>
                <w:sz w:val="20"/>
                <w:szCs w:val="20"/>
              </w:rPr>
              <w:t>Finance income</w:t>
            </w:r>
          </w:p>
        </w:tc>
        <w:tc>
          <w:tcPr>
            <w:tcW w:w="992" w:type="dxa"/>
          </w:tcPr>
          <w:p w14:paraId="73724AD4"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7 940</w:t>
            </w:r>
          </w:p>
        </w:tc>
        <w:tc>
          <w:tcPr>
            <w:tcW w:w="993" w:type="dxa"/>
          </w:tcPr>
          <w:p w14:paraId="02AD9E61"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8 334</w:t>
            </w:r>
          </w:p>
        </w:tc>
        <w:tc>
          <w:tcPr>
            <w:tcW w:w="1015" w:type="dxa"/>
          </w:tcPr>
          <w:p w14:paraId="59A1B05A"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8 801</w:t>
            </w:r>
          </w:p>
        </w:tc>
        <w:tc>
          <w:tcPr>
            <w:tcW w:w="969" w:type="dxa"/>
          </w:tcPr>
          <w:p w14:paraId="2AF7409E" w14:textId="77777777" w:rsidR="00BF0F0B" w:rsidRPr="00F7213D" w:rsidRDefault="00BF0F0B" w:rsidP="00493D78">
            <w:pPr>
              <w:pStyle w:val="TableParagraph"/>
              <w:spacing w:before="98"/>
              <w:ind w:right="89"/>
              <w:jc w:val="center"/>
              <w:rPr>
                <w:rFonts w:ascii="Times New Roman" w:hAnsi="Times New Roman" w:cs="Times New Roman"/>
                <w:sz w:val="20"/>
                <w:szCs w:val="20"/>
              </w:rPr>
            </w:pPr>
            <w:r w:rsidRPr="00F7213D">
              <w:rPr>
                <w:rFonts w:ascii="Times New Roman" w:hAnsi="Times New Roman" w:cs="Times New Roman"/>
                <w:w w:val="105"/>
                <w:sz w:val="20"/>
                <w:szCs w:val="20"/>
              </w:rPr>
              <w:t>9 285</w:t>
            </w:r>
          </w:p>
        </w:tc>
        <w:tc>
          <w:tcPr>
            <w:tcW w:w="992" w:type="dxa"/>
          </w:tcPr>
          <w:p w14:paraId="6A76C8A9" w14:textId="77777777" w:rsidR="00BF0F0B" w:rsidRPr="00F7213D" w:rsidRDefault="00BF0F0B" w:rsidP="00493D78">
            <w:pPr>
              <w:pStyle w:val="TableParagraph"/>
              <w:spacing w:before="98"/>
              <w:ind w:right="94"/>
              <w:jc w:val="center"/>
              <w:rPr>
                <w:rFonts w:ascii="Times New Roman" w:hAnsi="Times New Roman" w:cs="Times New Roman"/>
                <w:sz w:val="20"/>
                <w:szCs w:val="20"/>
              </w:rPr>
            </w:pPr>
            <w:r w:rsidRPr="00F7213D">
              <w:rPr>
                <w:rFonts w:ascii="Times New Roman" w:hAnsi="Times New Roman" w:cs="Times New Roman"/>
                <w:w w:val="105"/>
                <w:sz w:val="20"/>
                <w:szCs w:val="20"/>
              </w:rPr>
              <w:t>9 795</w:t>
            </w:r>
          </w:p>
        </w:tc>
      </w:tr>
      <w:tr w:rsidR="00BF0F0B" w:rsidRPr="00F7213D" w14:paraId="10F397F3" w14:textId="77777777" w:rsidTr="00900A50">
        <w:trPr>
          <w:trHeight w:val="395"/>
        </w:trPr>
        <w:tc>
          <w:tcPr>
            <w:tcW w:w="4820" w:type="dxa"/>
          </w:tcPr>
          <w:p w14:paraId="24EBE0B1" w14:textId="77777777" w:rsidR="00BF0F0B" w:rsidRPr="00F7213D" w:rsidRDefault="00BF0F0B" w:rsidP="00CC0781">
            <w:pPr>
              <w:pStyle w:val="TableParagraph"/>
              <w:spacing w:before="98"/>
              <w:ind w:left="189"/>
              <w:jc w:val="both"/>
              <w:rPr>
                <w:rFonts w:ascii="Times New Roman" w:hAnsi="Times New Roman" w:cs="Times New Roman"/>
                <w:b/>
                <w:sz w:val="20"/>
                <w:szCs w:val="20"/>
              </w:rPr>
            </w:pPr>
            <w:r w:rsidRPr="00F7213D">
              <w:rPr>
                <w:rFonts w:ascii="Times New Roman" w:hAnsi="Times New Roman" w:cs="Times New Roman"/>
                <w:b/>
                <w:w w:val="110"/>
                <w:sz w:val="20"/>
                <w:szCs w:val="20"/>
              </w:rPr>
              <w:t>Total budget</w:t>
            </w:r>
          </w:p>
        </w:tc>
        <w:tc>
          <w:tcPr>
            <w:tcW w:w="992" w:type="dxa"/>
          </w:tcPr>
          <w:p w14:paraId="0817BBA6" w14:textId="77777777" w:rsidR="00BF0F0B" w:rsidRPr="00F7213D" w:rsidRDefault="00BF0F0B" w:rsidP="00493D78">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168 477</w:t>
            </w:r>
          </w:p>
        </w:tc>
        <w:tc>
          <w:tcPr>
            <w:tcW w:w="993" w:type="dxa"/>
          </w:tcPr>
          <w:p w14:paraId="11867E83" w14:textId="77777777" w:rsidR="00BF0F0B" w:rsidRPr="00F7213D" w:rsidRDefault="00BF0F0B" w:rsidP="00493D78">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174 423</w:t>
            </w:r>
          </w:p>
        </w:tc>
        <w:tc>
          <w:tcPr>
            <w:tcW w:w="1015" w:type="dxa"/>
          </w:tcPr>
          <w:p w14:paraId="6FB02BB2" w14:textId="77777777" w:rsidR="00BF0F0B" w:rsidRPr="00F7213D" w:rsidRDefault="00BF0F0B" w:rsidP="00493D78">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184 191</w:t>
            </w:r>
          </w:p>
        </w:tc>
        <w:tc>
          <w:tcPr>
            <w:tcW w:w="969" w:type="dxa"/>
          </w:tcPr>
          <w:p w14:paraId="54895023" w14:textId="77777777" w:rsidR="00BF0F0B" w:rsidRPr="00F7213D" w:rsidRDefault="00BF0F0B" w:rsidP="00493D78">
            <w:pPr>
              <w:pStyle w:val="TableParagraph"/>
              <w:spacing w:before="98"/>
              <w:ind w:right="89"/>
              <w:jc w:val="center"/>
              <w:rPr>
                <w:rFonts w:ascii="Times New Roman" w:hAnsi="Times New Roman" w:cs="Times New Roman"/>
                <w:b/>
                <w:sz w:val="20"/>
                <w:szCs w:val="20"/>
              </w:rPr>
            </w:pPr>
            <w:r w:rsidRPr="00F7213D">
              <w:rPr>
                <w:rFonts w:ascii="Times New Roman" w:hAnsi="Times New Roman" w:cs="Times New Roman"/>
                <w:b/>
                <w:w w:val="105"/>
                <w:sz w:val="20"/>
                <w:szCs w:val="20"/>
              </w:rPr>
              <w:t>194 321</w:t>
            </w:r>
          </w:p>
        </w:tc>
        <w:tc>
          <w:tcPr>
            <w:tcW w:w="992" w:type="dxa"/>
          </w:tcPr>
          <w:p w14:paraId="32D42DF3" w14:textId="77777777" w:rsidR="00BF0F0B" w:rsidRPr="00F7213D" w:rsidRDefault="00BF0F0B" w:rsidP="00493D78">
            <w:pPr>
              <w:pStyle w:val="TableParagraph"/>
              <w:spacing w:before="98"/>
              <w:ind w:right="94"/>
              <w:jc w:val="center"/>
              <w:rPr>
                <w:rFonts w:ascii="Times New Roman" w:hAnsi="Times New Roman" w:cs="Times New Roman"/>
                <w:b/>
                <w:sz w:val="20"/>
                <w:szCs w:val="20"/>
              </w:rPr>
            </w:pPr>
            <w:r w:rsidRPr="00F7213D">
              <w:rPr>
                <w:rFonts w:ascii="Times New Roman" w:hAnsi="Times New Roman" w:cs="Times New Roman"/>
                <w:b/>
                <w:w w:val="105"/>
                <w:sz w:val="20"/>
                <w:szCs w:val="20"/>
              </w:rPr>
              <w:t>205 008</w:t>
            </w:r>
          </w:p>
        </w:tc>
      </w:tr>
    </w:tbl>
    <w:p w14:paraId="6C19027E" w14:textId="77777777" w:rsidR="00EB097D" w:rsidRPr="00661465" w:rsidRDefault="00EB097D" w:rsidP="00CC0781">
      <w:pPr>
        <w:spacing w:line="360" w:lineRule="auto"/>
        <w:jc w:val="both"/>
        <w:rPr>
          <w:rFonts w:ascii="Times New Roman" w:hAnsi="Times New Roman" w:cs="Times New Roman"/>
          <w:b/>
          <w:sz w:val="24"/>
          <w:szCs w:val="24"/>
        </w:rPr>
      </w:pPr>
    </w:p>
    <w:p w14:paraId="168184FA" w14:textId="77777777" w:rsidR="00091902" w:rsidRPr="00661465" w:rsidRDefault="00E4228A" w:rsidP="009218B1">
      <w:pPr>
        <w:rPr>
          <w:rFonts w:ascii="Times New Roman" w:hAnsi="Times New Roman" w:cs="Times New Roman"/>
          <w:b/>
          <w:sz w:val="24"/>
          <w:szCs w:val="24"/>
        </w:rPr>
      </w:pPr>
      <w:r>
        <w:rPr>
          <w:rFonts w:ascii="Times New Roman" w:hAnsi="Times New Roman" w:cs="Times New Roman"/>
          <w:b/>
          <w:sz w:val="24"/>
          <w:szCs w:val="24"/>
        </w:rPr>
        <w:t xml:space="preserve">4.3. </w:t>
      </w:r>
      <w:r w:rsidR="00091902" w:rsidRPr="00661465">
        <w:rPr>
          <w:rFonts w:ascii="Times New Roman" w:hAnsi="Times New Roman" w:cs="Times New Roman"/>
          <w:b/>
          <w:sz w:val="24"/>
          <w:szCs w:val="24"/>
        </w:rPr>
        <w:t>The Council for the Built Environment (CBE):</w:t>
      </w:r>
    </w:p>
    <w:p w14:paraId="01D71F33" w14:textId="77777777" w:rsidR="001E5657" w:rsidRDefault="0082793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CBE is a schedule 3A entity established by the Council for the Built Environment Act (No. 43 of 2000). “The CBE and Professional Councils in the built environment value chain are to regulate those Built Environment Professions who conceptualise, design, build, maintain and transfer social and economic infrastructure.”</w:t>
      </w:r>
      <w:r w:rsidRPr="00661465">
        <w:rPr>
          <w:rStyle w:val="FootnoteReference"/>
          <w:rFonts w:ascii="Times New Roman" w:hAnsi="Times New Roman" w:cs="Times New Roman"/>
          <w:sz w:val="24"/>
          <w:szCs w:val="24"/>
        </w:rPr>
        <w:footnoteReference w:id="48"/>
      </w:r>
      <w:r w:rsidRPr="00661465">
        <w:rPr>
          <w:rFonts w:ascii="Times New Roman" w:hAnsi="Times New Roman" w:cs="Times New Roman"/>
          <w:sz w:val="24"/>
          <w:szCs w:val="24"/>
        </w:rPr>
        <w:t xml:space="preserve">  </w:t>
      </w:r>
    </w:p>
    <w:p w14:paraId="34D499BB" w14:textId="77777777" w:rsidR="00827934" w:rsidRPr="00661465" w:rsidRDefault="0082793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six Built Environment Professional Councils (BEPCs</w:t>
      </w:r>
      <w:r w:rsidRPr="00661465">
        <w:rPr>
          <w:rStyle w:val="FootnoteReference"/>
          <w:rFonts w:ascii="Times New Roman" w:hAnsi="Times New Roman" w:cs="Times New Roman"/>
          <w:sz w:val="24"/>
          <w:szCs w:val="24"/>
        </w:rPr>
        <w:footnoteReference w:id="49"/>
      </w:r>
      <w:r w:rsidRPr="00661465">
        <w:rPr>
          <w:rFonts w:ascii="Times New Roman" w:hAnsi="Times New Roman" w:cs="Times New Roman"/>
          <w:sz w:val="24"/>
          <w:szCs w:val="24"/>
        </w:rPr>
        <w:t xml:space="preserve">) are the: </w:t>
      </w:r>
    </w:p>
    <w:p w14:paraId="5B1A693C"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South African Council for Architectural Professions (SACAP).</w:t>
      </w:r>
    </w:p>
    <w:p w14:paraId="1F440C86"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Engineering Council of South Africa (ECSA).</w:t>
      </w:r>
    </w:p>
    <w:p w14:paraId="10A12F79"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South African Council for the Project and Construction Management Professions (SACPCMP).</w:t>
      </w:r>
    </w:p>
    <w:p w14:paraId="12A6F0AE"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South African Council for the Landscape Architectural Profession (SACLAP).</w:t>
      </w:r>
    </w:p>
    <w:p w14:paraId="296BEDC6"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lastRenderedPageBreak/>
        <w:t>South African Council for the Quantity Surveying Profession (SACQSP).</w:t>
      </w:r>
    </w:p>
    <w:p w14:paraId="2C8D7F00" w14:textId="77777777" w:rsidR="00827934" w:rsidRPr="00661465" w:rsidRDefault="00827934" w:rsidP="00CC0781">
      <w:pPr>
        <w:numPr>
          <w:ilvl w:val="0"/>
          <w:numId w:val="23"/>
        </w:num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South African Council for the Property Valuers Profession (SACPVP).</w:t>
      </w:r>
    </w:p>
    <w:p w14:paraId="4B4DF412" w14:textId="77777777" w:rsidR="001E5657" w:rsidRDefault="001E5657" w:rsidP="00CC0781">
      <w:pPr>
        <w:spacing w:line="360" w:lineRule="auto"/>
        <w:jc w:val="both"/>
        <w:rPr>
          <w:rFonts w:ascii="Times New Roman" w:hAnsi="Times New Roman" w:cs="Times New Roman"/>
          <w:sz w:val="24"/>
          <w:szCs w:val="24"/>
        </w:rPr>
      </w:pPr>
    </w:p>
    <w:p w14:paraId="089944EA" w14:textId="77777777" w:rsidR="00827934" w:rsidRPr="00661465" w:rsidRDefault="0082793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CBE is a Statutory Council established in terms of the CBE Act as an overarching body for the six Built Environment Professions and mandated to:</w:t>
      </w:r>
      <w:r w:rsidRPr="00661465">
        <w:rPr>
          <w:rStyle w:val="FootnoteReference"/>
          <w:rFonts w:ascii="Times New Roman" w:hAnsi="Times New Roman" w:cs="Times New Roman"/>
          <w:sz w:val="24"/>
          <w:szCs w:val="24"/>
        </w:rPr>
        <w:footnoteReference w:id="50"/>
      </w:r>
      <w:r w:rsidRPr="00661465">
        <w:rPr>
          <w:rFonts w:ascii="Times New Roman" w:hAnsi="Times New Roman" w:cs="Times New Roman"/>
          <w:sz w:val="24"/>
          <w:szCs w:val="24"/>
        </w:rPr>
        <w:t xml:space="preserve"> </w:t>
      </w:r>
    </w:p>
    <w:p w14:paraId="7AF56779"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and protect the interest of the public in the built environment.</w:t>
      </w:r>
    </w:p>
    <w:p w14:paraId="338F7C14"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and maintain a sustainable built environment and natural environment.</w:t>
      </w:r>
    </w:p>
    <w:p w14:paraId="2297CD21"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on-going human resources development in the Built Environment.</w:t>
      </w:r>
    </w:p>
    <w:p w14:paraId="34A537DE"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Facilitate participation by the Built Environment Professions in integrated development in the context of national goals.</w:t>
      </w:r>
    </w:p>
    <w:p w14:paraId="415D0110"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appropriate standards of health, safety and environmental protection within the built environment.</w:t>
      </w:r>
    </w:p>
    <w:p w14:paraId="27FE8C3E"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sound governance of the Built Environment Professions.</w:t>
      </w:r>
    </w:p>
    <w:p w14:paraId="6B5700A9"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color w:val="auto"/>
        </w:rPr>
      </w:pPr>
      <w:r w:rsidRPr="00661465">
        <w:rPr>
          <w:rFonts w:ascii="Times New Roman" w:hAnsi="Times New Roman" w:cs="Times New Roman"/>
          <w:color w:val="auto"/>
        </w:rPr>
        <w:t>Promote liaison in the field of training in the Republic and elsewhere and to promote the standards of such training in the Republic.</w:t>
      </w:r>
    </w:p>
    <w:p w14:paraId="03C140F2"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b/>
          <w:color w:val="auto"/>
        </w:rPr>
      </w:pPr>
      <w:r w:rsidRPr="00661465">
        <w:rPr>
          <w:rFonts w:ascii="Times New Roman" w:hAnsi="Times New Roman" w:cs="Times New Roman"/>
          <w:color w:val="auto"/>
        </w:rPr>
        <w:t xml:space="preserve">Serve as a forum where the Built Environment Professions can discuss relevant issues. </w:t>
      </w:r>
    </w:p>
    <w:p w14:paraId="27E5269C" w14:textId="77777777" w:rsidR="00827934" w:rsidRPr="00661465" w:rsidRDefault="00827934" w:rsidP="00CC0781">
      <w:pPr>
        <w:pStyle w:val="Default"/>
        <w:numPr>
          <w:ilvl w:val="0"/>
          <w:numId w:val="22"/>
        </w:numPr>
        <w:spacing w:after="20" w:line="360" w:lineRule="auto"/>
        <w:jc w:val="both"/>
        <w:rPr>
          <w:rFonts w:ascii="Times New Roman" w:hAnsi="Times New Roman" w:cs="Times New Roman"/>
          <w:b/>
          <w:color w:val="auto"/>
        </w:rPr>
      </w:pPr>
      <w:r w:rsidRPr="00661465">
        <w:rPr>
          <w:rFonts w:ascii="Times New Roman" w:hAnsi="Times New Roman" w:cs="Times New Roman"/>
          <w:color w:val="auto"/>
        </w:rPr>
        <w:t>Ensure uniform application of norms and guidelines set by the Professional Councils throughout the Built Environment.”</w:t>
      </w:r>
    </w:p>
    <w:p w14:paraId="1D06E5F9" w14:textId="77777777" w:rsidR="00827934" w:rsidRDefault="00827934" w:rsidP="00CC0781">
      <w:pPr>
        <w:jc w:val="both"/>
        <w:rPr>
          <w:rFonts w:ascii="Times New Roman" w:eastAsia="Calibri" w:hAnsi="Times New Roman" w:cs="Times New Roman"/>
          <w:b/>
          <w:color w:val="000000"/>
          <w:sz w:val="24"/>
          <w:szCs w:val="24"/>
          <w:lang w:eastAsia="en-ZA"/>
        </w:rPr>
      </w:pPr>
    </w:p>
    <w:p w14:paraId="2CB136E2" w14:textId="77777777" w:rsidR="00827934" w:rsidRPr="00661465" w:rsidRDefault="00827934" w:rsidP="00CC0781">
      <w:pPr>
        <w:pStyle w:val="Default"/>
        <w:spacing w:after="20" w:line="360" w:lineRule="auto"/>
        <w:jc w:val="both"/>
        <w:rPr>
          <w:rFonts w:ascii="Times New Roman" w:hAnsi="Times New Roman" w:cs="Times New Roman"/>
          <w:b/>
        </w:rPr>
      </w:pPr>
      <w:r w:rsidRPr="00661465">
        <w:rPr>
          <w:rFonts w:ascii="Times New Roman" w:hAnsi="Times New Roman" w:cs="Times New Roman"/>
          <w:b/>
        </w:rPr>
        <w:t>Key Priorities of the CBE</w:t>
      </w:r>
    </w:p>
    <w:p w14:paraId="25934323" w14:textId="77777777" w:rsidR="00827934" w:rsidRPr="00661465" w:rsidRDefault="00827934" w:rsidP="00CC0781">
      <w:pPr>
        <w:pStyle w:val="Default"/>
        <w:spacing w:after="20" w:line="360" w:lineRule="auto"/>
        <w:jc w:val="both"/>
        <w:rPr>
          <w:rFonts w:ascii="Times New Roman" w:hAnsi="Times New Roman" w:cs="Times New Roman"/>
        </w:rPr>
      </w:pPr>
    </w:p>
    <w:p w14:paraId="1D8350B0" w14:textId="77777777" w:rsidR="00827934" w:rsidRPr="00661465" w:rsidRDefault="00827934" w:rsidP="00CC0781">
      <w:pPr>
        <w:pStyle w:val="Default"/>
        <w:spacing w:after="20" w:line="360" w:lineRule="auto"/>
        <w:jc w:val="both"/>
        <w:rPr>
          <w:rFonts w:ascii="Times New Roman" w:hAnsi="Times New Roman" w:cs="Times New Roman"/>
        </w:rPr>
      </w:pPr>
      <w:r w:rsidRPr="00661465">
        <w:rPr>
          <w:rFonts w:ascii="Times New Roman" w:hAnsi="Times New Roman" w:cs="Times New Roman"/>
        </w:rPr>
        <w:t>The CBE highlighted the following ten priorities for the Medium Term Strategic Framework (MTSF):</w:t>
      </w:r>
      <w:r w:rsidRPr="00661465">
        <w:rPr>
          <w:rStyle w:val="FootnoteReference"/>
          <w:rFonts w:ascii="Times New Roman" w:hAnsi="Times New Roman" w:cs="Times New Roman"/>
        </w:rPr>
        <w:footnoteReference w:id="51"/>
      </w:r>
      <w:r w:rsidRPr="00661465">
        <w:rPr>
          <w:rFonts w:ascii="Times New Roman" w:hAnsi="Times New Roman" w:cs="Times New Roman"/>
        </w:rPr>
        <w:t xml:space="preserve"> </w:t>
      </w:r>
    </w:p>
    <w:p w14:paraId="51BB218A" w14:textId="77777777" w:rsidR="00827934" w:rsidRPr="00661465" w:rsidRDefault="00827934" w:rsidP="00CC0781">
      <w:pPr>
        <w:pStyle w:val="Default"/>
        <w:spacing w:after="20" w:line="360" w:lineRule="auto"/>
        <w:jc w:val="both"/>
        <w:rPr>
          <w:rFonts w:ascii="Times New Roman" w:hAnsi="Times New Roman" w:cs="Times New Roman"/>
        </w:rPr>
      </w:pPr>
    </w:p>
    <w:p w14:paraId="13028E6A"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“Ensuring that Built Environment (BE) academic programmes curricula addresses issues of Labour-Intensive Construction, implementation of the Infrastructure Delivery Management System (IDMS), Sustainable Development and Health and Safety.</w:t>
      </w:r>
    </w:p>
    <w:p w14:paraId="641E45D5"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Promotion of high demand skills for Strategic Infrastructure Projects (SIPs).</w:t>
      </w:r>
    </w:p>
    <w:p w14:paraId="7869E799"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lastRenderedPageBreak/>
        <w:t>Stepping up mechanisms, programmes, projects and interventions to drive transformation and ensure adequate representation of woman and black people within the BE through the CBE Transformation Model.</w:t>
      </w:r>
    </w:p>
    <w:p w14:paraId="11E6D604"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Maths and Science Support Programme to reach learners in Grade 8 to 12 by 2018.</w:t>
      </w:r>
    </w:p>
    <w:p w14:paraId="5FAD0DA0"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Establishing a structured candidacy programme for candidates and interns to address bottlenecks in the skills pipeline.</w:t>
      </w:r>
    </w:p>
    <w:p w14:paraId="0CF0997B"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Supporting workplace training of BE graduates/candidates and interns to bolster competencies and to promote professional registration.</w:t>
      </w:r>
    </w:p>
    <w:p w14:paraId="053CBBCF"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Strengthening the technical capacity of Local, Provincial and National Government.</w:t>
      </w:r>
    </w:p>
    <w:p w14:paraId="05FDA98D"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Aligning the policy planning and reporting processes of Built Environment Professional Councils the (BEPCs) to the Government’s planning cycles and the Government’s priorities.</w:t>
      </w:r>
    </w:p>
    <w:p w14:paraId="6F5E4649" w14:textId="77777777" w:rsidR="00827934" w:rsidRPr="00661465" w:rsidRDefault="00827934" w:rsidP="00CC0781">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Strengthening monitoring and regulatory work on delegated public functions of the BEPCs.</w:t>
      </w:r>
    </w:p>
    <w:p w14:paraId="0EBB43FA" w14:textId="77777777" w:rsidR="00573CE9" w:rsidRPr="001E5657" w:rsidRDefault="00827934" w:rsidP="001E5657">
      <w:pPr>
        <w:pStyle w:val="Default"/>
        <w:numPr>
          <w:ilvl w:val="0"/>
          <w:numId w:val="24"/>
        </w:numPr>
        <w:spacing w:after="20" w:line="360" w:lineRule="auto"/>
        <w:jc w:val="both"/>
        <w:rPr>
          <w:rFonts w:ascii="Times New Roman" w:hAnsi="Times New Roman" w:cs="Times New Roman"/>
        </w:rPr>
      </w:pPr>
      <w:r w:rsidRPr="00661465">
        <w:rPr>
          <w:rFonts w:ascii="Times New Roman" w:hAnsi="Times New Roman" w:cs="Times New Roman"/>
        </w:rPr>
        <w:t>Enhancing internal systems, controls and capabilities to allow the organisation to deliver on its mandate and strategic goals.”</w:t>
      </w:r>
      <w:bookmarkStart w:id="10" w:name="_Toc511946612"/>
    </w:p>
    <w:p w14:paraId="412B7F33" w14:textId="77777777" w:rsidR="00827934" w:rsidRPr="00661465" w:rsidRDefault="00827934" w:rsidP="00CC0781">
      <w:pPr>
        <w:pStyle w:val="Heading1"/>
        <w:spacing w:line="280" w:lineRule="exact"/>
        <w:jc w:val="both"/>
        <w:rPr>
          <w:rFonts w:ascii="Times New Roman" w:hAnsi="Times New Roman" w:cs="Times New Roman"/>
          <w:b/>
          <w:color w:val="auto"/>
          <w:sz w:val="24"/>
          <w:szCs w:val="24"/>
        </w:rPr>
      </w:pPr>
      <w:r w:rsidRPr="00661465">
        <w:rPr>
          <w:rFonts w:ascii="Times New Roman" w:hAnsi="Times New Roman" w:cs="Times New Roman"/>
          <w:b/>
          <w:color w:val="auto"/>
          <w:sz w:val="24"/>
          <w:szCs w:val="24"/>
        </w:rPr>
        <w:t xml:space="preserve">Planned Programme Performance for </w:t>
      </w:r>
      <w:bookmarkEnd w:id="10"/>
      <w:r w:rsidR="00573CE9" w:rsidRPr="00661465">
        <w:rPr>
          <w:rFonts w:ascii="Times New Roman" w:hAnsi="Times New Roman" w:cs="Times New Roman"/>
          <w:b/>
          <w:color w:val="auto"/>
          <w:sz w:val="24"/>
          <w:szCs w:val="24"/>
        </w:rPr>
        <w:t>2019/20</w:t>
      </w:r>
    </w:p>
    <w:p w14:paraId="3CBB95E7" w14:textId="77777777" w:rsidR="00827934" w:rsidRPr="00661465" w:rsidRDefault="00827934" w:rsidP="00CC0781">
      <w:pPr>
        <w:jc w:val="both"/>
        <w:rPr>
          <w:rFonts w:ascii="Times New Roman" w:hAnsi="Times New Roman" w:cs="Times New Roman"/>
          <w:sz w:val="24"/>
          <w:szCs w:val="24"/>
        </w:rPr>
      </w:pPr>
    </w:p>
    <w:p w14:paraId="0372989C" w14:textId="77777777" w:rsidR="00827934" w:rsidRPr="00661465" w:rsidRDefault="00827934" w:rsidP="00CC0781">
      <w:pPr>
        <w:pStyle w:val="FootnoteText"/>
        <w:spacing w:line="360" w:lineRule="auto"/>
        <w:jc w:val="both"/>
        <w:rPr>
          <w:sz w:val="24"/>
          <w:szCs w:val="24"/>
          <w:lang w:val="en-GB"/>
        </w:rPr>
      </w:pPr>
      <w:r w:rsidRPr="00661465">
        <w:rPr>
          <w:sz w:val="24"/>
          <w:szCs w:val="24"/>
        </w:rPr>
        <w:t>The CBE’s programmes for 2018/19 have remained unchanged from that of the previous financial year.</w:t>
      </w:r>
      <w:r w:rsidRPr="00661465">
        <w:rPr>
          <w:rStyle w:val="FootnoteReference"/>
          <w:sz w:val="24"/>
          <w:szCs w:val="24"/>
        </w:rPr>
        <w:footnoteReference w:id="52"/>
      </w:r>
      <w:r w:rsidRPr="00661465">
        <w:rPr>
          <w:sz w:val="24"/>
          <w:szCs w:val="24"/>
        </w:rPr>
        <w:t xml:space="preserve"> However, the acronym for Programme 4 BEPCs, the </w:t>
      </w:r>
      <w:r w:rsidRPr="00661465">
        <w:rPr>
          <w:sz w:val="24"/>
          <w:szCs w:val="24"/>
          <w:lang w:val="en-GB"/>
        </w:rPr>
        <w:t xml:space="preserve">Built Environment Professional Councils, </w:t>
      </w:r>
      <w:r w:rsidRPr="00661465">
        <w:rPr>
          <w:sz w:val="24"/>
          <w:szCs w:val="24"/>
        </w:rPr>
        <w:t xml:space="preserve">has been changed from </w:t>
      </w:r>
      <w:r w:rsidRPr="00661465">
        <w:rPr>
          <w:sz w:val="24"/>
          <w:szCs w:val="24"/>
          <w:lang w:val="en-GB"/>
        </w:rPr>
        <w:t>(BEPCs), to Councils for the Built Environment Professions (CBEP).</w:t>
      </w:r>
      <w:r w:rsidRPr="00661465">
        <w:rPr>
          <w:rStyle w:val="FootnoteReference"/>
          <w:sz w:val="24"/>
          <w:szCs w:val="24"/>
          <w:lang w:val="en-GB"/>
        </w:rPr>
        <w:footnoteReference w:id="53"/>
      </w:r>
      <w:r w:rsidRPr="00661465">
        <w:rPr>
          <w:sz w:val="24"/>
          <w:szCs w:val="24"/>
          <w:lang w:val="en-GB"/>
        </w:rPr>
        <w:t xml:space="preserve"> </w:t>
      </w:r>
    </w:p>
    <w:p w14:paraId="5E555C68" w14:textId="77777777" w:rsidR="00827934" w:rsidRPr="00661465" w:rsidRDefault="00827934" w:rsidP="00CC0781">
      <w:pPr>
        <w:pStyle w:val="Default"/>
        <w:spacing w:after="20" w:line="360" w:lineRule="auto"/>
        <w:jc w:val="both"/>
        <w:rPr>
          <w:rFonts w:ascii="Times New Roman" w:hAnsi="Times New Roman" w:cs="Times New Roman"/>
        </w:rPr>
      </w:pPr>
    </w:p>
    <w:p w14:paraId="0BC6E36B" w14:textId="77777777" w:rsidR="00827934" w:rsidRPr="00661465" w:rsidRDefault="00573CE9" w:rsidP="00CC0781">
      <w:pPr>
        <w:pStyle w:val="Default"/>
        <w:spacing w:after="20" w:line="360" w:lineRule="auto"/>
        <w:jc w:val="both"/>
        <w:rPr>
          <w:rFonts w:ascii="Times New Roman" w:hAnsi="Times New Roman" w:cs="Times New Roman"/>
          <w:b/>
        </w:rPr>
      </w:pPr>
      <w:r w:rsidRPr="00661465">
        <w:rPr>
          <w:rFonts w:ascii="Times New Roman" w:hAnsi="Times New Roman" w:cs="Times New Roman"/>
          <w:b/>
        </w:rPr>
        <w:t>Budgetary allocation</w:t>
      </w:r>
      <w:r w:rsidR="00650F1E" w:rsidRPr="00661465">
        <w:rPr>
          <w:rFonts w:ascii="Times New Roman" w:hAnsi="Times New Roman" w:cs="Times New Roman"/>
          <w:b/>
        </w:rPr>
        <w:t xml:space="preserve"> per programme</w:t>
      </w:r>
      <w:r w:rsidR="00827934" w:rsidRPr="00661465">
        <w:rPr>
          <w:rFonts w:ascii="Times New Roman" w:hAnsi="Times New Roman" w:cs="Times New Roman"/>
          <w:b/>
        </w:rPr>
        <w:t>:</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411"/>
        <w:gridCol w:w="1147"/>
        <w:gridCol w:w="1134"/>
        <w:gridCol w:w="1134"/>
        <w:gridCol w:w="1121"/>
        <w:gridCol w:w="863"/>
        <w:gridCol w:w="993"/>
        <w:gridCol w:w="979"/>
      </w:tblGrid>
      <w:tr w:rsidR="001F4670" w:rsidRPr="001E5657" w14:paraId="73E48273" w14:textId="77777777" w:rsidTr="000D38E5">
        <w:trPr>
          <w:trHeight w:val="492"/>
        </w:trPr>
        <w:tc>
          <w:tcPr>
            <w:tcW w:w="2411" w:type="dxa"/>
            <w:shd w:val="clear" w:color="auto" w:fill="FFFFFF" w:themeFill="background1"/>
          </w:tcPr>
          <w:p w14:paraId="680F26FB" w14:textId="77777777" w:rsidR="00573CE9" w:rsidRPr="001E5657" w:rsidRDefault="00573CE9" w:rsidP="00CC0781">
            <w:pPr>
              <w:pStyle w:val="TableParagraph"/>
              <w:spacing w:before="129"/>
              <w:jc w:val="both"/>
              <w:rPr>
                <w:rFonts w:ascii="Times New Roman" w:hAnsi="Times New Roman" w:cs="Times New Roman"/>
                <w:b/>
                <w:sz w:val="20"/>
                <w:szCs w:val="20"/>
              </w:rPr>
            </w:pPr>
            <w:r w:rsidRPr="001E5657">
              <w:rPr>
                <w:rFonts w:ascii="Times New Roman" w:hAnsi="Times New Roman" w:cs="Times New Roman"/>
                <w:b/>
                <w:sz w:val="20"/>
                <w:szCs w:val="20"/>
              </w:rPr>
              <w:t>Programme</w:t>
            </w:r>
          </w:p>
        </w:tc>
        <w:tc>
          <w:tcPr>
            <w:tcW w:w="1147" w:type="dxa"/>
            <w:shd w:val="clear" w:color="auto" w:fill="FFFFFF" w:themeFill="background1"/>
          </w:tcPr>
          <w:p w14:paraId="28576458" w14:textId="77777777" w:rsidR="00573CE9" w:rsidRPr="001E5657" w:rsidRDefault="00573CE9" w:rsidP="00CC0781">
            <w:pPr>
              <w:pStyle w:val="TableParagraph"/>
              <w:spacing w:before="4" w:line="240" w:lineRule="atLeast"/>
              <w:ind w:left="123" w:right="92" w:firstLine="46"/>
              <w:jc w:val="both"/>
              <w:rPr>
                <w:rFonts w:ascii="Times New Roman" w:hAnsi="Times New Roman" w:cs="Times New Roman"/>
                <w:b/>
                <w:sz w:val="20"/>
                <w:szCs w:val="20"/>
              </w:rPr>
            </w:pPr>
            <w:r w:rsidRPr="001E5657">
              <w:rPr>
                <w:rFonts w:ascii="Times New Roman" w:hAnsi="Times New Roman" w:cs="Times New Roman"/>
                <w:b/>
                <w:sz w:val="20"/>
                <w:szCs w:val="20"/>
              </w:rPr>
              <w:t>Audited Outcome</w:t>
            </w:r>
          </w:p>
        </w:tc>
        <w:tc>
          <w:tcPr>
            <w:tcW w:w="1134" w:type="dxa"/>
            <w:shd w:val="clear" w:color="auto" w:fill="FFFFFF" w:themeFill="background1"/>
          </w:tcPr>
          <w:p w14:paraId="3BB152CB" w14:textId="77777777" w:rsidR="00573CE9" w:rsidRPr="001E5657" w:rsidRDefault="00573CE9" w:rsidP="00CC0781">
            <w:pPr>
              <w:pStyle w:val="TableParagraph"/>
              <w:spacing w:before="4" w:line="240" w:lineRule="atLeast"/>
              <w:ind w:left="122" w:right="93" w:firstLine="46"/>
              <w:jc w:val="both"/>
              <w:rPr>
                <w:rFonts w:ascii="Times New Roman" w:hAnsi="Times New Roman" w:cs="Times New Roman"/>
                <w:b/>
                <w:sz w:val="20"/>
                <w:szCs w:val="20"/>
              </w:rPr>
            </w:pPr>
            <w:r w:rsidRPr="001E5657">
              <w:rPr>
                <w:rFonts w:ascii="Times New Roman" w:hAnsi="Times New Roman" w:cs="Times New Roman"/>
                <w:b/>
                <w:sz w:val="20"/>
                <w:szCs w:val="20"/>
              </w:rPr>
              <w:t>Audited Outcome</w:t>
            </w:r>
          </w:p>
        </w:tc>
        <w:tc>
          <w:tcPr>
            <w:tcW w:w="1134" w:type="dxa"/>
            <w:shd w:val="clear" w:color="auto" w:fill="FFFFFF" w:themeFill="background1"/>
          </w:tcPr>
          <w:p w14:paraId="1CC212E2" w14:textId="77777777" w:rsidR="00573CE9" w:rsidRPr="001E5657" w:rsidRDefault="00573CE9" w:rsidP="00CC0781">
            <w:pPr>
              <w:pStyle w:val="TableParagraph"/>
              <w:spacing w:before="4" w:line="240" w:lineRule="atLeast"/>
              <w:ind w:left="122" w:right="93" w:firstLine="46"/>
              <w:jc w:val="both"/>
              <w:rPr>
                <w:rFonts w:ascii="Times New Roman" w:hAnsi="Times New Roman" w:cs="Times New Roman"/>
                <w:b/>
                <w:sz w:val="20"/>
                <w:szCs w:val="20"/>
              </w:rPr>
            </w:pPr>
            <w:r w:rsidRPr="001E5657">
              <w:rPr>
                <w:rFonts w:ascii="Times New Roman" w:hAnsi="Times New Roman" w:cs="Times New Roman"/>
                <w:b/>
                <w:sz w:val="20"/>
                <w:szCs w:val="20"/>
              </w:rPr>
              <w:t>Audited Outcome</w:t>
            </w:r>
          </w:p>
        </w:tc>
        <w:tc>
          <w:tcPr>
            <w:tcW w:w="1121" w:type="dxa"/>
            <w:shd w:val="clear" w:color="auto" w:fill="FFFFFF" w:themeFill="background1"/>
          </w:tcPr>
          <w:p w14:paraId="5C5B3979" w14:textId="77777777" w:rsidR="00573CE9" w:rsidRPr="001E5657" w:rsidRDefault="00573CE9" w:rsidP="00CC0781">
            <w:pPr>
              <w:pStyle w:val="TableParagraph"/>
              <w:spacing w:before="4" w:line="240" w:lineRule="atLeast"/>
              <w:ind w:left="324" w:right="92" w:hanging="139"/>
              <w:jc w:val="both"/>
              <w:rPr>
                <w:rFonts w:ascii="Times New Roman" w:hAnsi="Times New Roman" w:cs="Times New Roman"/>
                <w:b/>
                <w:sz w:val="20"/>
                <w:szCs w:val="20"/>
              </w:rPr>
            </w:pPr>
            <w:r w:rsidRPr="001E5657">
              <w:rPr>
                <w:rFonts w:ascii="Times New Roman" w:hAnsi="Times New Roman" w:cs="Times New Roman"/>
                <w:b/>
                <w:sz w:val="20"/>
                <w:szCs w:val="20"/>
              </w:rPr>
              <w:t>Current Year</w:t>
            </w:r>
          </w:p>
        </w:tc>
        <w:tc>
          <w:tcPr>
            <w:tcW w:w="2835" w:type="dxa"/>
            <w:gridSpan w:val="3"/>
            <w:shd w:val="clear" w:color="auto" w:fill="FFFFFF" w:themeFill="background1"/>
          </w:tcPr>
          <w:p w14:paraId="32B8BAD6" w14:textId="77777777" w:rsidR="00573CE9" w:rsidRPr="001E5657" w:rsidRDefault="00573CE9" w:rsidP="00CC0781">
            <w:pPr>
              <w:pStyle w:val="TableParagraph"/>
              <w:spacing w:before="129"/>
              <w:ind w:left="557"/>
              <w:jc w:val="both"/>
              <w:rPr>
                <w:rFonts w:ascii="Times New Roman" w:hAnsi="Times New Roman" w:cs="Times New Roman"/>
                <w:b/>
                <w:sz w:val="20"/>
                <w:szCs w:val="20"/>
              </w:rPr>
            </w:pPr>
            <w:r w:rsidRPr="001E5657">
              <w:rPr>
                <w:rFonts w:ascii="Times New Roman" w:hAnsi="Times New Roman" w:cs="Times New Roman"/>
                <w:b/>
                <w:sz w:val="20"/>
                <w:szCs w:val="20"/>
              </w:rPr>
              <w:t>Medium-term estimate</w:t>
            </w:r>
          </w:p>
        </w:tc>
      </w:tr>
      <w:tr w:rsidR="001F4670" w:rsidRPr="001E5657" w14:paraId="1DE68DA0" w14:textId="77777777" w:rsidTr="000D38E5">
        <w:trPr>
          <w:trHeight w:val="245"/>
        </w:trPr>
        <w:tc>
          <w:tcPr>
            <w:tcW w:w="2411" w:type="dxa"/>
            <w:shd w:val="clear" w:color="auto" w:fill="FFFFFF" w:themeFill="background1"/>
          </w:tcPr>
          <w:p w14:paraId="206D6666" w14:textId="77777777" w:rsidR="00573CE9" w:rsidRPr="001E5657" w:rsidRDefault="00573CE9" w:rsidP="00CC0781">
            <w:pPr>
              <w:pStyle w:val="TableParagraph"/>
              <w:spacing w:before="6" w:line="219" w:lineRule="exact"/>
              <w:ind w:left="91"/>
              <w:jc w:val="both"/>
              <w:rPr>
                <w:rFonts w:ascii="Times New Roman" w:hAnsi="Times New Roman" w:cs="Times New Roman"/>
                <w:b/>
                <w:i/>
                <w:sz w:val="20"/>
                <w:szCs w:val="20"/>
              </w:rPr>
            </w:pPr>
            <w:r w:rsidRPr="001E5657">
              <w:rPr>
                <w:rFonts w:ascii="Times New Roman" w:hAnsi="Times New Roman" w:cs="Times New Roman"/>
                <w:b/>
                <w:i/>
                <w:sz w:val="20"/>
                <w:szCs w:val="20"/>
              </w:rPr>
              <w:t>R in thousands</w:t>
            </w:r>
          </w:p>
        </w:tc>
        <w:tc>
          <w:tcPr>
            <w:tcW w:w="1147" w:type="dxa"/>
            <w:shd w:val="clear" w:color="auto" w:fill="FFFFFF" w:themeFill="background1"/>
          </w:tcPr>
          <w:p w14:paraId="1FFE0AD5" w14:textId="77777777" w:rsidR="00573CE9" w:rsidRPr="001E5657" w:rsidRDefault="00573CE9" w:rsidP="000D38E5">
            <w:pPr>
              <w:pStyle w:val="TableParagraph"/>
              <w:spacing w:before="6" w:line="220" w:lineRule="exact"/>
              <w:ind w:left="162"/>
              <w:jc w:val="center"/>
              <w:rPr>
                <w:rFonts w:ascii="Times New Roman" w:hAnsi="Times New Roman" w:cs="Times New Roman"/>
                <w:b/>
                <w:sz w:val="20"/>
                <w:szCs w:val="20"/>
              </w:rPr>
            </w:pPr>
            <w:r w:rsidRPr="001E5657">
              <w:rPr>
                <w:rFonts w:ascii="Times New Roman" w:hAnsi="Times New Roman" w:cs="Times New Roman"/>
                <w:b/>
                <w:sz w:val="20"/>
                <w:szCs w:val="20"/>
              </w:rPr>
              <w:t>2015/16</w:t>
            </w:r>
          </w:p>
        </w:tc>
        <w:tc>
          <w:tcPr>
            <w:tcW w:w="1134" w:type="dxa"/>
            <w:shd w:val="clear" w:color="auto" w:fill="FFFFFF" w:themeFill="background1"/>
          </w:tcPr>
          <w:p w14:paraId="6FF2548F" w14:textId="77777777" w:rsidR="00573CE9" w:rsidRPr="001E5657" w:rsidRDefault="00573CE9" w:rsidP="000D38E5">
            <w:pPr>
              <w:pStyle w:val="TableParagraph"/>
              <w:spacing w:before="6" w:line="220" w:lineRule="exact"/>
              <w:ind w:left="161"/>
              <w:jc w:val="center"/>
              <w:rPr>
                <w:rFonts w:ascii="Times New Roman" w:hAnsi="Times New Roman" w:cs="Times New Roman"/>
                <w:b/>
                <w:sz w:val="20"/>
                <w:szCs w:val="20"/>
              </w:rPr>
            </w:pPr>
            <w:r w:rsidRPr="001E5657">
              <w:rPr>
                <w:rFonts w:ascii="Times New Roman" w:hAnsi="Times New Roman" w:cs="Times New Roman"/>
                <w:b/>
                <w:sz w:val="20"/>
                <w:szCs w:val="20"/>
              </w:rPr>
              <w:t>2016/17</w:t>
            </w:r>
          </w:p>
        </w:tc>
        <w:tc>
          <w:tcPr>
            <w:tcW w:w="1134" w:type="dxa"/>
            <w:shd w:val="clear" w:color="auto" w:fill="FFFFFF" w:themeFill="background1"/>
          </w:tcPr>
          <w:p w14:paraId="3EA2E138" w14:textId="77777777" w:rsidR="00573CE9" w:rsidRPr="001E5657" w:rsidRDefault="00573CE9" w:rsidP="000D38E5">
            <w:pPr>
              <w:pStyle w:val="TableParagraph"/>
              <w:spacing w:before="6" w:line="220" w:lineRule="exact"/>
              <w:ind w:left="161"/>
              <w:jc w:val="center"/>
              <w:rPr>
                <w:rFonts w:ascii="Times New Roman" w:hAnsi="Times New Roman" w:cs="Times New Roman"/>
                <w:b/>
                <w:sz w:val="20"/>
                <w:szCs w:val="20"/>
              </w:rPr>
            </w:pPr>
            <w:r w:rsidRPr="001E5657">
              <w:rPr>
                <w:rFonts w:ascii="Times New Roman" w:hAnsi="Times New Roman" w:cs="Times New Roman"/>
                <w:b/>
                <w:sz w:val="20"/>
                <w:szCs w:val="20"/>
              </w:rPr>
              <w:t>2017/18</w:t>
            </w:r>
          </w:p>
        </w:tc>
        <w:tc>
          <w:tcPr>
            <w:tcW w:w="1121" w:type="dxa"/>
            <w:shd w:val="clear" w:color="auto" w:fill="FFFFFF" w:themeFill="background1"/>
          </w:tcPr>
          <w:p w14:paraId="09A6F125" w14:textId="77777777" w:rsidR="00573CE9" w:rsidRPr="001E5657" w:rsidRDefault="00573CE9" w:rsidP="000D38E5">
            <w:pPr>
              <w:pStyle w:val="TableParagraph"/>
              <w:spacing w:before="6" w:line="220" w:lineRule="exact"/>
              <w:ind w:left="160"/>
              <w:jc w:val="center"/>
              <w:rPr>
                <w:rFonts w:ascii="Times New Roman" w:hAnsi="Times New Roman" w:cs="Times New Roman"/>
                <w:b/>
                <w:sz w:val="20"/>
                <w:szCs w:val="20"/>
              </w:rPr>
            </w:pPr>
            <w:r w:rsidRPr="001E5657">
              <w:rPr>
                <w:rFonts w:ascii="Times New Roman" w:hAnsi="Times New Roman" w:cs="Times New Roman"/>
                <w:b/>
                <w:sz w:val="20"/>
                <w:szCs w:val="20"/>
              </w:rPr>
              <w:t>2018/19</w:t>
            </w:r>
          </w:p>
        </w:tc>
        <w:tc>
          <w:tcPr>
            <w:tcW w:w="863" w:type="dxa"/>
            <w:shd w:val="clear" w:color="auto" w:fill="FFFFFF" w:themeFill="background1"/>
          </w:tcPr>
          <w:p w14:paraId="647DDD13" w14:textId="77777777" w:rsidR="00573CE9" w:rsidRPr="001E5657" w:rsidRDefault="00573CE9" w:rsidP="000D38E5">
            <w:pPr>
              <w:pStyle w:val="TableParagraph"/>
              <w:spacing w:before="6" w:line="220" w:lineRule="exact"/>
              <w:ind w:left="160"/>
              <w:jc w:val="center"/>
              <w:rPr>
                <w:rFonts w:ascii="Times New Roman" w:hAnsi="Times New Roman" w:cs="Times New Roman"/>
                <w:b/>
                <w:sz w:val="20"/>
                <w:szCs w:val="20"/>
              </w:rPr>
            </w:pPr>
            <w:r w:rsidRPr="001E5657">
              <w:rPr>
                <w:rFonts w:ascii="Times New Roman" w:hAnsi="Times New Roman" w:cs="Times New Roman"/>
                <w:b/>
                <w:sz w:val="20"/>
                <w:szCs w:val="20"/>
              </w:rPr>
              <w:t>2019/20</w:t>
            </w:r>
          </w:p>
        </w:tc>
        <w:tc>
          <w:tcPr>
            <w:tcW w:w="993" w:type="dxa"/>
            <w:shd w:val="clear" w:color="auto" w:fill="FFFFFF" w:themeFill="background1"/>
          </w:tcPr>
          <w:p w14:paraId="4B970A6D" w14:textId="77777777" w:rsidR="00573CE9" w:rsidRPr="001E5657" w:rsidRDefault="00573CE9" w:rsidP="000D38E5">
            <w:pPr>
              <w:pStyle w:val="TableParagraph"/>
              <w:spacing w:before="6" w:line="220" w:lineRule="exact"/>
              <w:ind w:left="159"/>
              <w:jc w:val="center"/>
              <w:rPr>
                <w:rFonts w:ascii="Times New Roman" w:hAnsi="Times New Roman" w:cs="Times New Roman"/>
                <w:b/>
                <w:sz w:val="20"/>
                <w:szCs w:val="20"/>
              </w:rPr>
            </w:pPr>
            <w:r w:rsidRPr="001E5657">
              <w:rPr>
                <w:rFonts w:ascii="Times New Roman" w:hAnsi="Times New Roman" w:cs="Times New Roman"/>
                <w:b/>
                <w:sz w:val="20"/>
                <w:szCs w:val="20"/>
              </w:rPr>
              <w:t>2020/21</w:t>
            </w:r>
          </w:p>
        </w:tc>
        <w:tc>
          <w:tcPr>
            <w:tcW w:w="979" w:type="dxa"/>
            <w:shd w:val="clear" w:color="auto" w:fill="FFFFFF" w:themeFill="background1"/>
          </w:tcPr>
          <w:p w14:paraId="7C77E058" w14:textId="77777777" w:rsidR="00573CE9" w:rsidRPr="001E5657" w:rsidRDefault="00573CE9" w:rsidP="000D38E5">
            <w:pPr>
              <w:pStyle w:val="TableParagraph"/>
              <w:spacing w:before="6" w:line="220" w:lineRule="exact"/>
              <w:ind w:left="159"/>
              <w:jc w:val="center"/>
              <w:rPr>
                <w:rFonts w:ascii="Times New Roman" w:hAnsi="Times New Roman" w:cs="Times New Roman"/>
                <w:b/>
                <w:sz w:val="20"/>
                <w:szCs w:val="20"/>
              </w:rPr>
            </w:pPr>
            <w:r w:rsidRPr="001E5657">
              <w:rPr>
                <w:rFonts w:ascii="Times New Roman" w:hAnsi="Times New Roman" w:cs="Times New Roman"/>
                <w:b/>
                <w:sz w:val="20"/>
                <w:szCs w:val="20"/>
              </w:rPr>
              <w:t>2021/22</w:t>
            </w:r>
          </w:p>
        </w:tc>
      </w:tr>
      <w:tr w:rsidR="001F4670" w:rsidRPr="001E5657" w14:paraId="0B2B1A77" w14:textId="77777777" w:rsidTr="000D38E5">
        <w:trPr>
          <w:trHeight w:val="266"/>
        </w:trPr>
        <w:tc>
          <w:tcPr>
            <w:tcW w:w="2411" w:type="dxa"/>
            <w:shd w:val="clear" w:color="auto" w:fill="FFFFFF" w:themeFill="background1"/>
          </w:tcPr>
          <w:p w14:paraId="30D3FE21" w14:textId="77777777" w:rsidR="00573CE9" w:rsidRPr="001E5657" w:rsidRDefault="00573CE9" w:rsidP="000D38E5">
            <w:pPr>
              <w:pStyle w:val="TableParagraph"/>
              <w:spacing w:before="46" w:line="200" w:lineRule="exact"/>
              <w:rPr>
                <w:rFonts w:ascii="Times New Roman" w:hAnsi="Times New Roman" w:cs="Times New Roman"/>
                <w:sz w:val="20"/>
                <w:szCs w:val="20"/>
              </w:rPr>
            </w:pPr>
            <w:r w:rsidRPr="001E5657">
              <w:rPr>
                <w:rFonts w:ascii="Times New Roman" w:hAnsi="Times New Roman" w:cs="Times New Roman"/>
                <w:sz w:val="20"/>
                <w:szCs w:val="20"/>
              </w:rPr>
              <w:t>Programme 1: Administration</w:t>
            </w:r>
          </w:p>
        </w:tc>
        <w:tc>
          <w:tcPr>
            <w:tcW w:w="1147" w:type="dxa"/>
            <w:shd w:val="clear" w:color="auto" w:fill="FFFFFF" w:themeFill="background1"/>
          </w:tcPr>
          <w:p w14:paraId="4FC90B02" w14:textId="77777777" w:rsidR="00573CE9" w:rsidRPr="001E5657" w:rsidRDefault="00573CE9" w:rsidP="000D38E5">
            <w:pPr>
              <w:pStyle w:val="TableParagraph"/>
              <w:spacing w:before="18"/>
              <w:ind w:right="45"/>
              <w:jc w:val="center"/>
              <w:rPr>
                <w:rFonts w:ascii="Times New Roman" w:hAnsi="Times New Roman" w:cs="Times New Roman"/>
                <w:sz w:val="20"/>
                <w:szCs w:val="20"/>
              </w:rPr>
            </w:pPr>
            <w:r w:rsidRPr="001E5657">
              <w:rPr>
                <w:rFonts w:ascii="Times New Roman" w:hAnsi="Times New Roman" w:cs="Times New Roman"/>
                <w:sz w:val="20"/>
                <w:szCs w:val="20"/>
              </w:rPr>
              <w:t>38,222</w:t>
            </w:r>
          </w:p>
        </w:tc>
        <w:tc>
          <w:tcPr>
            <w:tcW w:w="1134" w:type="dxa"/>
            <w:shd w:val="clear" w:color="auto" w:fill="FFFFFF" w:themeFill="background1"/>
          </w:tcPr>
          <w:p w14:paraId="6EB82F74" w14:textId="77777777" w:rsidR="00573CE9" w:rsidRPr="001E5657" w:rsidRDefault="00573CE9" w:rsidP="000D38E5">
            <w:pPr>
              <w:pStyle w:val="TableParagraph"/>
              <w:spacing w:before="18"/>
              <w:ind w:right="45"/>
              <w:jc w:val="center"/>
              <w:rPr>
                <w:rFonts w:ascii="Times New Roman" w:hAnsi="Times New Roman" w:cs="Times New Roman"/>
                <w:sz w:val="20"/>
                <w:szCs w:val="20"/>
              </w:rPr>
            </w:pPr>
            <w:r w:rsidRPr="001E5657">
              <w:rPr>
                <w:rFonts w:ascii="Times New Roman" w:hAnsi="Times New Roman" w:cs="Times New Roman"/>
                <w:sz w:val="20"/>
                <w:szCs w:val="20"/>
              </w:rPr>
              <w:t>38,549</w:t>
            </w:r>
          </w:p>
        </w:tc>
        <w:tc>
          <w:tcPr>
            <w:tcW w:w="1134" w:type="dxa"/>
            <w:shd w:val="clear" w:color="auto" w:fill="FFFFFF" w:themeFill="background1"/>
          </w:tcPr>
          <w:p w14:paraId="2B016C47"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41,884</w:t>
            </w:r>
          </w:p>
        </w:tc>
        <w:tc>
          <w:tcPr>
            <w:tcW w:w="1121" w:type="dxa"/>
            <w:shd w:val="clear" w:color="auto" w:fill="FFFFFF" w:themeFill="background1"/>
          </w:tcPr>
          <w:p w14:paraId="70A3B270"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45,540</w:t>
            </w:r>
          </w:p>
        </w:tc>
        <w:tc>
          <w:tcPr>
            <w:tcW w:w="863" w:type="dxa"/>
            <w:shd w:val="clear" w:color="auto" w:fill="FFFFFF" w:themeFill="background1"/>
          </w:tcPr>
          <w:p w14:paraId="530159F0"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47,710</w:t>
            </w:r>
          </w:p>
        </w:tc>
        <w:tc>
          <w:tcPr>
            <w:tcW w:w="993" w:type="dxa"/>
            <w:shd w:val="clear" w:color="auto" w:fill="FFFFFF" w:themeFill="background1"/>
          </w:tcPr>
          <w:p w14:paraId="75E431B6"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50,468</w:t>
            </w:r>
          </w:p>
        </w:tc>
        <w:tc>
          <w:tcPr>
            <w:tcW w:w="979" w:type="dxa"/>
            <w:shd w:val="clear" w:color="auto" w:fill="FFFFFF" w:themeFill="background1"/>
          </w:tcPr>
          <w:p w14:paraId="4E54180A"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53,375</w:t>
            </w:r>
          </w:p>
        </w:tc>
      </w:tr>
      <w:tr w:rsidR="001F4670" w:rsidRPr="001E5657" w14:paraId="7B9B8BB8" w14:textId="77777777" w:rsidTr="000D38E5">
        <w:trPr>
          <w:trHeight w:val="478"/>
        </w:trPr>
        <w:tc>
          <w:tcPr>
            <w:tcW w:w="2411" w:type="dxa"/>
            <w:shd w:val="clear" w:color="auto" w:fill="FFFFFF" w:themeFill="background1"/>
          </w:tcPr>
          <w:p w14:paraId="0FA3111D" w14:textId="77777777" w:rsidR="00573CE9" w:rsidRPr="001E5657" w:rsidRDefault="00573CE9" w:rsidP="000D38E5">
            <w:pPr>
              <w:pStyle w:val="TableParagraph"/>
              <w:spacing w:before="18"/>
              <w:rPr>
                <w:rFonts w:ascii="Times New Roman" w:hAnsi="Times New Roman" w:cs="Times New Roman"/>
                <w:sz w:val="20"/>
                <w:szCs w:val="20"/>
              </w:rPr>
            </w:pPr>
            <w:r w:rsidRPr="001E5657">
              <w:rPr>
                <w:rFonts w:ascii="Times New Roman" w:hAnsi="Times New Roman" w:cs="Times New Roman"/>
                <w:sz w:val="20"/>
                <w:szCs w:val="20"/>
              </w:rPr>
              <w:t>Programme 2: Skills</w:t>
            </w:r>
            <w:r w:rsidRPr="001E5657">
              <w:rPr>
                <w:rFonts w:ascii="Times New Roman" w:hAnsi="Times New Roman" w:cs="Times New Roman"/>
                <w:spacing w:val="-8"/>
                <w:sz w:val="20"/>
                <w:szCs w:val="20"/>
              </w:rPr>
              <w:t xml:space="preserve"> </w:t>
            </w:r>
            <w:r w:rsidRPr="001E5657">
              <w:rPr>
                <w:rFonts w:ascii="Times New Roman" w:hAnsi="Times New Roman" w:cs="Times New Roman"/>
                <w:sz w:val="20"/>
                <w:szCs w:val="20"/>
              </w:rPr>
              <w:t>for</w:t>
            </w:r>
          </w:p>
          <w:p w14:paraId="7DD43CC1" w14:textId="77777777" w:rsidR="00573CE9" w:rsidRPr="001E5657" w:rsidRDefault="00573CE9" w:rsidP="000D38E5">
            <w:pPr>
              <w:pStyle w:val="TableParagraph"/>
              <w:spacing w:before="27" w:line="200" w:lineRule="exact"/>
              <w:rPr>
                <w:rFonts w:ascii="Times New Roman" w:hAnsi="Times New Roman" w:cs="Times New Roman"/>
                <w:sz w:val="20"/>
                <w:szCs w:val="20"/>
              </w:rPr>
            </w:pPr>
            <w:r w:rsidRPr="001E5657">
              <w:rPr>
                <w:rFonts w:ascii="Times New Roman" w:hAnsi="Times New Roman" w:cs="Times New Roman"/>
                <w:sz w:val="20"/>
                <w:szCs w:val="20"/>
              </w:rPr>
              <w:t>Infrastructure</w:t>
            </w:r>
            <w:r w:rsidRPr="001E5657">
              <w:rPr>
                <w:rFonts w:ascii="Times New Roman" w:hAnsi="Times New Roman" w:cs="Times New Roman"/>
                <w:spacing w:val="5"/>
                <w:sz w:val="20"/>
                <w:szCs w:val="20"/>
              </w:rPr>
              <w:t xml:space="preserve"> </w:t>
            </w:r>
            <w:r w:rsidRPr="001E5657">
              <w:rPr>
                <w:rFonts w:ascii="Times New Roman" w:hAnsi="Times New Roman" w:cs="Times New Roman"/>
                <w:sz w:val="20"/>
                <w:szCs w:val="20"/>
              </w:rPr>
              <w:t>Delivery</w:t>
            </w:r>
          </w:p>
        </w:tc>
        <w:tc>
          <w:tcPr>
            <w:tcW w:w="1147" w:type="dxa"/>
            <w:shd w:val="clear" w:color="auto" w:fill="FFFFFF" w:themeFill="background1"/>
          </w:tcPr>
          <w:p w14:paraId="522BB34B" w14:textId="77777777" w:rsidR="00573CE9" w:rsidRPr="001E5657" w:rsidRDefault="00573CE9" w:rsidP="000D38E5">
            <w:pPr>
              <w:pStyle w:val="TableParagraph"/>
              <w:spacing w:before="18"/>
              <w:ind w:right="45"/>
              <w:jc w:val="center"/>
              <w:rPr>
                <w:rFonts w:ascii="Times New Roman" w:hAnsi="Times New Roman" w:cs="Times New Roman"/>
                <w:sz w:val="20"/>
                <w:szCs w:val="20"/>
              </w:rPr>
            </w:pPr>
            <w:r w:rsidRPr="001E5657">
              <w:rPr>
                <w:rFonts w:ascii="Times New Roman" w:hAnsi="Times New Roman" w:cs="Times New Roman"/>
                <w:sz w:val="20"/>
                <w:szCs w:val="20"/>
              </w:rPr>
              <w:t>9,655</w:t>
            </w:r>
          </w:p>
        </w:tc>
        <w:tc>
          <w:tcPr>
            <w:tcW w:w="1134" w:type="dxa"/>
            <w:shd w:val="clear" w:color="auto" w:fill="FFFFFF" w:themeFill="background1"/>
          </w:tcPr>
          <w:p w14:paraId="718A35C2"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8,224</w:t>
            </w:r>
          </w:p>
        </w:tc>
        <w:tc>
          <w:tcPr>
            <w:tcW w:w="1134" w:type="dxa"/>
            <w:shd w:val="clear" w:color="auto" w:fill="FFFFFF" w:themeFill="background1"/>
          </w:tcPr>
          <w:p w14:paraId="5E3D5ACC"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7,243</w:t>
            </w:r>
          </w:p>
        </w:tc>
        <w:tc>
          <w:tcPr>
            <w:tcW w:w="1121" w:type="dxa"/>
            <w:shd w:val="clear" w:color="auto" w:fill="FFFFFF" w:themeFill="background1"/>
          </w:tcPr>
          <w:p w14:paraId="72D11FBE"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6,399</w:t>
            </w:r>
          </w:p>
        </w:tc>
        <w:tc>
          <w:tcPr>
            <w:tcW w:w="863" w:type="dxa"/>
            <w:shd w:val="clear" w:color="auto" w:fill="FFFFFF" w:themeFill="background1"/>
          </w:tcPr>
          <w:p w14:paraId="5BBBC1D8"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6,564</w:t>
            </w:r>
          </w:p>
        </w:tc>
        <w:tc>
          <w:tcPr>
            <w:tcW w:w="993" w:type="dxa"/>
            <w:shd w:val="clear" w:color="auto" w:fill="FFFFFF" w:themeFill="background1"/>
          </w:tcPr>
          <w:p w14:paraId="4D086531"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6,829</w:t>
            </w:r>
          </w:p>
        </w:tc>
        <w:tc>
          <w:tcPr>
            <w:tcW w:w="979" w:type="dxa"/>
            <w:shd w:val="clear" w:color="auto" w:fill="FFFFFF" w:themeFill="background1"/>
          </w:tcPr>
          <w:p w14:paraId="561EEDF4"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7,111</w:t>
            </w:r>
          </w:p>
        </w:tc>
      </w:tr>
      <w:tr w:rsidR="001F4670" w:rsidRPr="001E5657" w14:paraId="035237F7" w14:textId="77777777" w:rsidTr="000D38E5">
        <w:trPr>
          <w:trHeight w:val="718"/>
        </w:trPr>
        <w:tc>
          <w:tcPr>
            <w:tcW w:w="2411" w:type="dxa"/>
            <w:shd w:val="clear" w:color="auto" w:fill="FFFFFF" w:themeFill="background1"/>
          </w:tcPr>
          <w:p w14:paraId="194C0922" w14:textId="77777777" w:rsidR="00573CE9" w:rsidRPr="001E5657" w:rsidRDefault="00573CE9" w:rsidP="000D38E5">
            <w:pPr>
              <w:pStyle w:val="TableParagraph"/>
              <w:spacing w:before="18" w:line="268" w:lineRule="auto"/>
              <w:ind w:left="55"/>
              <w:rPr>
                <w:rFonts w:ascii="Times New Roman" w:hAnsi="Times New Roman" w:cs="Times New Roman"/>
                <w:sz w:val="20"/>
                <w:szCs w:val="20"/>
              </w:rPr>
            </w:pPr>
            <w:r w:rsidRPr="001E5657">
              <w:rPr>
                <w:rFonts w:ascii="Times New Roman" w:hAnsi="Times New Roman" w:cs="Times New Roman"/>
                <w:sz w:val="20"/>
                <w:szCs w:val="20"/>
              </w:rPr>
              <w:t>Programme 3: Built Environment Research, Information and</w:t>
            </w:r>
          </w:p>
          <w:p w14:paraId="1507176D" w14:textId="77777777" w:rsidR="00573CE9" w:rsidRPr="001E5657" w:rsidRDefault="00573CE9" w:rsidP="000D38E5">
            <w:pPr>
              <w:pStyle w:val="TableParagraph"/>
              <w:spacing w:before="2" w:line="200" w:lineRule="exact"/>
              <w:ind w:left="55"/>
              <w:rPr>
                <w:rFonts w:ascii="Times New Roman" w:hAnsi="Times New Roman" w:cs="Times New Roman"/>
                <w:sz w:val="20"/>
                <w:szCs w:val="20"/>
              </w:rPr>
            </w:pPr>
            <w:r w:rsidRPr="001E5657">
              <w:rPr>
                <w:rFonts w:ascii="Times New Roman" w:hAnsi="Times New Roman" w:cs="Times New Roman"/>
                <w:sz w:val="20"/>
                <w:szCs w:val="20"/>
              </w:rPr>
              <w:t>Advisory</w:t>
            </w:r>
          </w:p>
        </w:tc>
        <w:tc>
          <w:tcPr>
            <w:tcW w:w="1147" w:type="dxa"/>
            <w:shd w:val="clear" w:color="auto" w:fill="FFFFFF" w:themeFill="background1"/>
          </w:tcPr>
          <w:p w14:paraId="4C1A5B4E"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919</w:t>
            </w:r>
          </w:p>
        </w:tc>
        <w:tc>
          <w:tcPr>
            <w:tcW w:w="1134" w:type="dxa"/>
            <w:shd w:val="clear" w:color="auto" w:fill="FFFFFF" w:themeFill="background1"/>
          </w:tcPr>
          <w:p w14:paraId="2A2DADB5"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881</w:t>
            </w:r>
          </w:p>
        </w:tc>
        <w:tc>
          <w:tcPr>
            <w:tcW w:w="1134" w:type="dxa"/>
            <w:shd w:val="clear" w:color="auto" w:fill="FFFFFF" w:themeFill="background1"/>
          </w:tcPr>
          <w:p w14:paraId="356DC196"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728</w:t>
            </w:r>
          </w:p>
        </w:tc>
        <w:tc>
          <w:tcPr>
            <w:tcW w:w="1121" w:type="dxa"/>
            <w:shd w:val="clear" w:color="auto" w:fill="FFFFFF" w:themeFill="background1"/>
          </w:tcPr>
          <w:p w14:paraId="4EA8603F"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615</w:t>
            </w:r>
          </w:p>
        </w:tc>
        <w:tc>
          <w:tcPr>
            <w:tcW w:w="863" w:type="dxa"/>
            <w:shd w:val="clear" w:color="auto" w:fill="FFFFFF" w:themeFill="background1"/>
          </w:tcPr>
          <w:p w14:paraId="2C81390A"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631</w:t>
            </w:r>
          </w:p>
        </w:tc>
        <w:tc>
          <w:tcPr>
            <w:tcW w:w="993" w:type="dxa"/>
            <w:shd w:val="clear" w:color="auto" w:fill="FFFFFF" w:themeFill="background1"/>
          </w:tcPr>
          <w:p w14:paraId="7475FA8A"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656</w:t>
            </w:r>
          </w:p>
        </w:tc>
        <w:tc>
          <w:tcPr>
            <w:tcW w:w="979" w:type="dxa"/>
            <w:shd w:val="clear" w:color="auto" w:fill="FFFFFF" w:themeFill="background1"/>
          </w:tcPr>
          <w:p w14:paraId="6D196C07"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683</w:t>
            </w:r>
          </w:p>
        </w:tc>
      </w:tr>
      <w:tr w:rsidR="001F4670" w:rsidRPr="001E5657" w14:paraId="3F935B1C" w14:textId="77777777" w:rsidTr="000D38E5">
        <w:trPr>
          <w:trHeight w:val="718"/>
        </w:trPr>
        <w:tc>
          <w:tcPr>
            <w:tcW w:w="2411" w:type="dxa"/>
            <w:shd w:val="clear" w:color="auto" w:fill="FFFFFF" w:themeFill="background1"/>
          </w:tcPr>
          <w:p w14:paraId="0439B61B" w14:textId="77777777" w:rsidR="00573CE9" w:rsidRPr="001E5657" w:rsidRDefault="00573CE9" w:rsidP="000D38E5">
            <w:pPr>
              <w:pStyle w:val="TableParagraph"/>
              <w:spacing w:before="18" w:line="268" w:lineRule="auto"/>
              <w:ind w:left="55"/>
              <w:rPr>
                <w:rFonts w:ascii="Times New Roman" w:hAnsi="Times New Roman" w:cs="Times New Roman"/>
                <w:sz w:val="20"/>
                <w:szCs w:val="20"/>
              </w:rPr>
            </w:pPr>
            <w:r w:rsidRPr="001E5657">
              <w:rPr>
                <w:rFonts w:ascii="Times New Roman" w:hAnsi="Times New Roman" w:cs="Times New Roman"/>
                <w:sz w:val="20"/>
                <w:szCs w:val="20"/>
              </w:rPr>
              <w:lastRenderedPageBreak/>
              <w:t>Programme 4: Regulation and oversight of six Councils for the</w:t>
            </w:r>
          </w:p>
          <w:p w14:paraId="350BE634" w14:textId="77777777" w:rsidR="00573CE9" w:rsidRPr="001E5657" w:rsidRDefault="00573CE9" w:rsidP="000D38E5">
            <w:pPr>
              <w:pStyle w:val="TableParagraph"/>
              <w:spacing w:before="2" w:line="200" w:lineRule="exact"/>
              <w:ind w:left="55"/>
              <w:rPr>
                <w:rFonts w:ascii="Times New Roman" w:hAnsi="Times New Roman" w:cs="Times New Roman"/>
                <w:sz w:val="20"/>
                <w:szCs w:val="20"/>
              </w:rPr>
            </w:pPr>
            <w:r w:rsidRPr="001E5657">
              <w:rPr>
                <w:rFonts w:ascii="Times New Roman" w:hAnsi="Times New Roman" w:cs="Times New Roman"/>
                <w:sz w:val="20"/>
                <w:szCs w:val="20"/>
              </w:rPr>
              <w:t>Built Environment Professions</w:t>
            </w:r>
          </w:p>
        </w:tc>
        <w:tc>
          <w:tcPr>
            <w:tcW w:w="1147" w:type="dxa"/>
            <w:shd w:val="clear" w:color="auto" w:fill="FFFFFF" w:themeFill="background1"/>
          </w:tcPr>
          <w:p w14:paraId="248B32CC"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566</w:t>
            </w:r>
          </w:p>
        </w:tc>
        <w:tc>
          <w:tcPr>
            <w:tcW w:w="1134" w:type="dxa"/>
            <w:shd w:val="clear" w:color="auto" w:fill="FFFFFF" w:themeFill="background1"/>
          </w:tcPr>
          <w:p w14:paraId="0B288581"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598</w:t>
            </w:r>
          </w:p>
        </w:tc>
        <w:tc>
          <w:tcPr>
            <w:tcW w:w="1134" w:type="dxa"/>
            <w:shd w:val="clear" w:color="auto" w:fill="FFFFFF" w:themeFill="background1"/>
          </w:tcPr>
          <w:p w14:paraId="2C966956"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930</w:t>
            </w:r>
          </w:p>
        </w:tc>
        <w:tc>
          <w:tcPr>
            <w:tcW w:w="1121" w:type="dxa"/>
            <w:shd w:val="clear" w:color="auto" w:fill="FFFFFF" w:themeFill="background1"/>
          </w:tcPr>
          <w:p w14:paraId="2153E4AB"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1,006</w:t>
            </w:r>
          </w:p>
        </w:tc>
        <w:tc>
          <w:tcPr>
            <w:tcW w:w="863" w:type="dxa"/>
            <w:shd w:val="clear" w:color="auto" w:fill="FFFFFF" w:themeFill="background1"/>
          </w:tcPr>
          <w:p w14:paraId="2A783CD7"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1,032</w:t>
            </w:r>
          </w:p>
        </w:tc>
        <w:tc>
          <w:tcPr>
            <w:tcW w:w="993" w:type="dxa"/>
            <w:shd w:val="clear" w:color="auto" w:fill="FFFFFF" w:themeFill="background1"/>
          </w:tcPr>
          <w:p w14:paraId="61C2D597"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1,074</w:t>
            </w:r>
          </w:p>
        </w:tc>
        <w:tc>
          <w:tcPr>
            <w:tcW w:w="979" w:type="dxa"/>
            <w:shd w:val="clear" w:color="auto" w:fill="FFFFFF" w:themeFill="background1"/>
          </w:tcPr>
          <w:p w14:paraId="0A88DD02"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1,118</w:t>
            </w:r>
          </w:p>
        </w:tc>
      </w:tr>
      <w:tr w:rsidR="001F4670" w:rsidRPr="001E5657" w14:paraId="000455BF" w14:textId="77777777" w:rsidTr="000D38E5">
        <w:trPr>
          <w:trHeight w:val="478"/>
        </w:trPr>
        <w:tc>
          <w:tcPr>
            <w:tcW w:w="2411" w:type="dxa"/>
            <w:shd w:val="clear" w:color="auto" w:fill="FFFFFF" w:themeFill="background1"/>
          </w:tcPr>
          <w:p w14:paraId="131B22A8" w14:textId="77777777" w:rsidR="00573CE9" w:rsidRPr="001E5657" w:rsidRDefault="00573CE9" w:rsidP="000D38E5">
            <w:pPr>
              <w:pStyle w:val="TableParagraph"/>
              <w:spacing w:before="18"/>
              <w:ind w:left="55"/>
              <w:rPr>
                <w:rFonts w:ascii="Times New Roman" w:hAnsi="Times New Roman" w:cs="Times New Roman"/>
                <w:sz w:val="20"/>
                <w:szCs w:val="20"/>
              </w:rPr>
            </w:pPr>
            <w:r w:rsidRPr="001E5657">
              <w:rPr>
                <w:rFonts w:ascii="Times New Roman" w:hAnsi="Times New Roman" w:cs="Times New Roman"/>
                <w:sz w:val="20"/>
                <w:szCs w:val="20"/>
              </w:rPr>
              <w:t>Programme 5: Government</w:t>
            </w:r>
          </w:p>
          <w:p w14:paraId="130D4693" w14:textId="77777777" w:rsidR="00573CE9" w:rsidRPr="001E5657" w:rsidRDefault="00573CE9" w:rsidP="000D38E5">
            <w:pPr>
              <w:pStyle w:val="TableParagraph"/>
              <w:spacing w:before="26" w:line="200" w:lineRule="exact"/>
              <w:ind w:left="55"/>
              <w:rPr>
                <w:rFonts w:ascii="Times New Roman" w:hAnsi="Times New Roman" w:cs="Times New Roman"/>
                <w:sz w:val="20"/>
                <w:szCs w:val="20"/>
              </w:rPr>
            </w:pPr>
            <w:r w:rsidRPr="001E5657">
              <w:rPr>
                <w:rFonts w:ascii="Times New Roman" w:hAnsi="Times New Roman" w:cs="Times New Roman"/>
                <w:sz w:val="20"/>
                <w:szCs w:val="20"/>
              </w:rPr>
              <w:t>Policies and Priorities</w:t>
            </w:r>
          </w:p>
        </w:tc>
        <w:tc>
          <w:tcPr>
            <w:tcW w:w="1147" w:type="dxa"/>
            <w:shd w:val="clear" w:color="auto" w:fill="FFFFFF" w:themeFill="background1"/>
          </w:tcPr>
          <w:p w14:paraId="7F592A13" w14:textId="77777777" w:rsidR="00573CE9" w:rsidRPr="001E5657" w:rsidRDefault="00573CE9" w:rsidP="000D38E5">
            <w:pPr>
              <w:pStyle w:val="TableParagraph"/>
              <w:spacing w:before="18"/>
              <w:ind w:right="46"/>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134" w:type="dxa"/>
            <w:shd w:val="clear" w:color="auto" w:fill="FFFFFF" w:themeFill="background1"/>
          </w:tcPr>
          <w:p w14:paraId="1AB00F58"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w:t>
            </w:r>
          </w:p>
        </w:tc>
        <w:tc>
          <w:tcPr>
            <w:tcW w:w="1134" w:type="dxa"/>
            <w:shd w:val="clear" w:color="auto" w:fill="FFFFFF" w:themeFill="background1"/>
          </w:tcPr>
          <w:p w14:paraId="6F4960EF" w14:textId="77777777" w:rsidR="00573CE9" w:rsidRPr="001E5657" w:rsidRDefault="00573CE9" w:rsidP="000D38E5">
            <w:pPr>
              <w:pStyle w:val="TableParagraph"/>
              <w:spacing w:before="18"/>
              <w:ind w:right="47"/>
              <w:jc w:val="center"/>
              <w:rPr>
                <w:rFonts w:ascii="Times New Roman" w:hAnsi="Times New Roman" w:cs="Times New Roman"/>
                <w:sz w:val="20"/>
                <w:szCs w:val="20"/>
              </w:rPr>
            </w:pPr>
            <w:r w:rsidRPr="001E5657">
              <w:rPr>
                <w:rFonts w:ascii="Times New Roman" w:hAnsi="Times New Roman" w:cs="Times New Roman"/>
                <w:sz w:val="20"/>
                <w:szCs w:val="20"/>
              </w:rPr>
              <w:t>341</w:t>
            </w:r>
          </w:p>
        </w:tc>
        <w:tc>
          <w:tcPr>
            <w:tcW w:w="1121" w:type="dxa"/>
            <w:shd w:val="clear" w:color="auto" w:fill="FFFFFF" w:themeFill="background1"/>
          </w:tcPr>
          <w:p w14:paraId="6D1892FA" w14:textId="77777777" w:rsidR="00573CE9" w:rsidRPr="001E5657" w:rsidRDefault="00573CE9" w:rsidP="000D38E5">
            <w:pPr>
              <w:pStyle w:val="TableParagraph"/>
              <w:spacing w:before="18"/>
              <w:ind w:right="48"/>
              <w:jc w:val="center"/>
              <w:rPr>
                <w:rFonts w:ascii="Times New Roman" w:hAnsi="Times New Roman" w:cs="Times New Roman"/>
                <w:sz w:val="20"/>
                <w:szCs w:val="20"/>
              </w:rPr>
            </w:pPr>
            <w:r w:rsidRPr="001E5657">
              <w:rPr>
                <w:rFonts w:ascii="Times New Roman" w:hAnsi="Times New Roman" w:cs="Times New Roman"/>
                <w:sz w:val="20"/>
                <w:szCs w:val="20"/>
              </w:rPr>
              <w:t>167</w:t>
            </w:r>
          </w:p>
        </w:tc>
        <w:tc>
          <w:tcPr>
            <w:tcW w:w="863" w:type="dxa"/>
            <w:shd w:val="clear" w:color="auto" w:fill="FFFFFF" w:themeFill="background1"/>
          </w:tcPr>
          <w:p w14:paraId="62CB7F39"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171</w:t>
            </w:r>
          </w:p>
        </w:tc>
        <w:tc>
          <w:tcPr>
            <w:tcW w:w="993" w:type="dxa"/>
            <w:shd w:val="clear" w:color="auto" w:fill="FFFFFF" w:themeFill="background1"/>
          </w:tcPr>
          <w:p w14:paraId="33DC9808" w14:textId="77777777" w:rsidR="00573CE9" w:rsidRPr="001E5657" w:rsidRDefault="00573CE9" w:rsidP="000D38E5">
            <w:pPr>
              <w:pStyle w:val="TableParagraph"/>
              <w:spacing w:before="18"/>
              <w:ind w:right="49"/>
              <w:jc w:val="center"/>
              <w:rPr>
                <w:rFonts w:ascii="Times New Roman" w:hAnsi="Times New Roman" w:cs="Times New Roman"/>
                <w:sz w:val="20"/>
                <w:szCs w:val="20"/>
              </w:rPr>
            </w:pPr>
            <w:r w:rsidRPr="001E5657">
              <w:rPr>
                <w:rFonts w:ascii="Times New Roman" w:hAnsi="Times New Roman" w:cs="Times New Roman"/>
                <w:sz w:val="20"/>
                <w:szCs w:val="20"/>
              </w:rPr>
              <w:t>178</w:t>
            </w:r>
          </w:p>
        </w:tc>
        <w:tc>
          <w:tcPr>
            <w:tcW w:w="979" w:type="dxa"/>
            <w:shd w:val="clear" w:color="auto" w:fill="FFFFFF" w:themeFill="background1"/>
          </w:tcPr>
          <w:p w14:paraId="30C13B15" w14:textId="77777777" w:rsidR="00573CE9" w:rsidRPr="001E5657" w:rsidRDefault="00573CE9" w:rsidP="000D38E5">
            <w:pPr>
              <w:pStyle w:val="TableParagraph"/>
              <w:spacing w:before="18"/>
              <w:ind w:right="50"/>
              <w:jc w:val="center"/>
              <w:rPr>
                <w:rFonts w:ascii="Times New Roman" w:hAnsi="Times New Roman" w:cs="Times New Roman"/>
                <w:sz w:val="20"/>
                <w:szCs w:val="20"/>
              </w:rPr>
            </w:pPr>
            <w:r w:rsidRPr="001E5657">
              <w:rPr>
                <w:rFonts w:ascii="Times New Roman" w:hAnsi="Times New Roman" w:cs="Times New Roman"/>
                <w:sz w:val="20"/>
                <w:szCs w:val="20"/>
              </w:rPr>
              <w:t>186</w:t>
            </w:r>
          </w:p>
        </w:tc>
      </w:tr>
      <w:tr w:rsidR="001F4670" w:rsidRPr="001E5657" w14:paraId="5BB0CCF5" w14:textId="77777777" w:rsidTr="000D38E5">
        <w:trPr>
          <w:trHeight w:val="238"/>
        </w:trPr>
        <w:tc>
          <w:tcPr>
            <w:tcW w:w="2411" w:type="dxa"/>
            <w:shd w:val="clear" w:color="auto" w:fill="FFFFFF" w:themeFill="background1"/>
          </w:tcPr>
          <w:p w14:paraId="415A2DF2" w14:textId="77777777" w:rsidR="00573CE9" w:rsidRPr="001E5657" w:rsidRDefault="00573CE9" w:rsidP="000D38E5">
            <w:pPr>
              <w:pStyle w:val="TableParagraph"/>
              <w:spacing w:before="8" w:line="210" w:lineRule="exact"/>
              <w:ind w:left="54"/>
              <w:rPr>
                <w:rFonts w:ascii="Times New Roman" w:hAnsi="Times New Roman" w:cs="Times New Roman"/>
                <w:b/>
                <w:sz w:val="20"/>
                <w:szCs w:val="20"/>
              </w:rPr>
            </w:pPr>
            <w:r w:rsidRPr="001E5657">
              <w:rPr>
                <w:rFonts w:ascii="Times New Roman" w:hAnsi="Times New Roman" w:cs="Times New Roman"/>
                <w:b/>
                <w:sz w:val="20"/>
                <w:szCs w:val="20"/>
              </w:rPr>
              <w:t>Total expenditure</w:t>
            </w:r>
          </w:p>
        </w:tc>
        <w:tc>
          <w:tcPr>
            <w:tcW w:w="1147" w:type="dxa"/>
            <w:shd w:val="clear" w:color="auto" w:fill="FFFFFF" w:themeFill="background1"/>
          </w:tcPr>
          <w:p w14:paraId="3BA1612D" w14:textId="77777777" w:rsidR="00573CE9" w:rsidRPr="001E5657" w:rsidRDefault="00573CE9" w:rsidP="000D38E5">
            <w:pPr>
              <w:pStyle w:val="TableParagraph"/>
              <w:spacing w:before="8" w:line="210" w:lineRule="exact"/>
              <w:ind w:right="47"/>
              <w:jc w:val="center"/>
              <w:rPr>
                <w:rFonts w:ascii="Times New Roman" w:hAnsi="Times New Roman" w:cs="Times New Roman"/>
                <w:b/>
                <w:sz w:val="20"/>
                <w:szCs w:val="20"/>
              </w:rPr>
            </w:pPr>
            <w:r w:rsidRPr="001E5657">
              <w:rPr>
                <w:rFonts w:ascii="Times New Roman" w:hAnsi="Times New Roman" w:cs="Times New Roman"/>
                <w:b/>
                <w:sz w:val="20"/>
                <w:szCs w:val="20"/>
              </w:rPr>
              <w:t>49,362</w:t>
            </w:r>
          </w:p>
        </w:tc>
        <w:tc>
          <w:tcPr>
            <w:tcW w:w="1134" w:type="dxa"/>
            <w:shd w:val="clear" w:color="auto" w:fill="FFFFFF" w:themeFill="background1"/>
          </w:tcPr>
          <w:p w14:paraId="3919CEE5" w14:textId="77777777" w:rsidR="00573CE9" w:rsidRPr="001E5657" w:rsidRDefault="00573CE9" w:rsidP="000D38E5">
            <w:pPr>
              <w:pStyle w:val="TableParagraph"/>
              <w:spacing w:before="8" w:line="210" w:lineRule="exact"/>
              <w:ind w:right="47"/>
              <w:jc w:val="center"/>
              <w:rPr>
                <w:rFonts w:ascii="Times New Roman" w:hAnsi="Times New Roman" w:cs="Times New Roman"/>
                <w:b/>
                <w:sz w:val="20"/>
                <w:szCs w:val="20"/>
              </w:rPr>
            </w:pPr>
            <w:r w:rsidRPr="001E5657">
              <w:rPr>
                <w:rFonts w:ascii="Times New Roman" w:hAnsi="Times New Roman" w:cs="Times New Roman"/>
                <w:b/>
                <w:sz w:val="20"/>
                <w:szCs w:val="20"/>
              </w:rPr>
              <w:t>48,252</w:t>
            </w:r>
          </w:p>
        </w:tc>
        <w:tc>
          <w:tcPr>
            <w:tcW w:w="1134" w:type="dxa"/>
            <w:shd w:val="clear" w:color="auto" w:fill="FFFFFF" w:themeFill="background1"/>
          </w:tcPr>
          <w:p w14:paraId="2E22EEF9" w14:textId="77777777" w:rsidR="00573CE9" w:rsidRPr="001E5657" w:rsidRDefault="00573CE9" w:rsidP="000D38E5">
            <w:pPr>
              <w:pStyle w:val="TableParagraph"/>
              <w:spacing w:before="8" w:line="210" w:lineRule="exact"/>
              <w:ind w:right="48"/>
              <w:jc w:val="center"/>
              <w:rPr>
                <w:rFonts w:ascii="Times New Roman" w:hAnsi="Times New Roman" w:cs="Times New Roman"/>
                <w:b/>
                <w:sz w:val="20"/>
                <w:szCs w:val="20"/>
              </w:rPr>
            </w:pPr>
            <w:r w:rsidRPr="001E5657">
              <w:rPr>
                <w:rFonts w:ascii="Times New Roman" w:hAnsi="Times New Roman" w:cs="Times New Roman"/>
                <w:b/>
                <w:sz w:val="20"/>
                <w:szCs w:val="20"/>
              </w:rPr>
              <w:t>51,126</w:t>
            </w:r>
          </w:p>
        </w:tc>
        <w:tc>
          <w:tcPr>
            <w:tcW w:w="1121" w:type="dxa"/>
            <w:shd w:val="clear" w:color="auto" w:fill="FFFFFF" w:themeFill="background1"/>
          </w:tcPr>
          <w:p w14:paraId="0D36A0C0" w14:textId="77777777" w:rsidR="00573CE9" w:rsidRPr="001E5657" w:rsidRDefault="00573CE9" w:rsidP="000D38E5">
            <w:pPr>
              <w:pStyle w:val="TableParagraph"/>
              <w:spacing w:before="8" w:line="210" w:lineRule="exact"/>
              <w:ind w:right="48"/>
              <w:jc w:val="center"/>
              <w:rPr>
                <w:rFonts w:ascii="Times New Roman" w:hAnsi="Times New Roman" w:cs="Times New Roman"/>
                <w:b/>
                <w:sz w:val="20"/>
                <w:szCs w:val="20"/>
              </w:rPr>
            </w:pPr>
            <w:r w:rsidRPr="001E5657">
              <w:rPr>
                <w:rFonts w:ascii="Times New Roman" w:hAnsi="Times New Roman" w:cs="Times New Roman"/>
                <w:b/>
                <w:sz w:val="20"/>
                <w:szCs w:val="20"/>
              </w:rPr>
              <w:t>53,727</w:t>
            </w:r>
          </w:p>
        </w:tc>
        <w:tc>
          <w:tcPr>
            <w:tcW w:w="863" w:type="dxa"/>
            <w:shd w:val="clear" w:color="auto" w:fill="FFFFFF" w:themeFill="background1"/>
          </w:tcPr>
          <w:p w14:paraId="03C19482" w14:textId="77777777" w:rsidR="00573CE9" w:rsidRPr="001E5657" w:rsidRDefault="00573CE9" w:rsidP="000D38E5">
            <w:pPr>
              <w:pStyle w:val="TableParagraph"/>
              <w:spacing w:before="8" w:line="210" w:lineRule="exact"/>
              <w:ind w:right="49"/>
              <w:jc w:val="center"/>
              <w:rPr>
                <w:rFonts w:ascii="Times New Roman" w:hAnsi="Times New Roman" w:cs="Times New Roman"/>
                <w:b/>
                <w:sz w:val="20"/>
                <w:szCs w:val="20"/>
              </w:rPr>
            </w:pPr>
            <w:r w:rsidRPr="001E5657">
              <w:rPr>
                <w:rFonts w:ascii="Times New Roman" w:hAnsi="Times New Roman" w:cs="Times New Roman"/>
                <w:b/>
                <w:sz w:val="20"/>
                <w:szCs w:val="20"/>
              </w:rPr>
              <w:t>56,108</w:t>
            </w:r>
          </w:p>
        </w:tc>
        <w:tc>
          <w:tcPr>
            <w:tcW w:w="993" w:type="dxa"/>
            <w:shd w:val="clear" w:color="auto" w:fill="FFFFFF" w:themeFill="background1"/>
          </w:tcPr>
          <w:p w14:paraId="346AFFE4" w14:textId="77777777" w:rsidR="00573CE9" w:rsidRPr="001E5657" w:rsidRDefault="00573CE9" w:rsidP="000D38E5">
            <w:pPr>
              <w:pStyle w:val="TableParagraph"/>
              <w:spacing w:before="8" w:line="210" w:lineRule="exact"/>
              <w:ind w:right="50"/>
              <w:jc w:val="center"/>
              <w:rPr>
                <w:rFonts w:ascii="Times New Roman" w:hAnsi="Times New Roman" w:cs="Times New Roman"/>
                <w:b/>
                <w:sz w:val="20"/>
                <w:szCs w:val="20"/>
              </w:rPr>
            </w:pPr>
            <w:r w:rsidRPr="001E5657">
              <w:rPr>
                <w:rFonts w:ascii="Times New Roman" w:hAnsi="Times New Roman" w:cs="Times New Roman"/>
                <w:b/>
                <w:sz w:val="20"/>
                <w:szCs w:val="20"/>
              </w:rPr>
              <w:t>59,205</w:t>
            </w:r>
          </w:p>
        </w:tc>
        <w:tc>
          <w:tcPr>
            <w:tcW w:w="979" w:type="dxa"/>
            <w:shd w:val="clear" w:color="auto" w:fill="FFFFFF" w:themeFill="background1"/>
          </w:tcPr>
          <w:p w14:paraId="07E79E4E" w14:textId="77777777" w:rsidR="00573CE9" w:rsidRPr="001E5657" w:rsidRDefault="00573CE9" w:rsidP="000D38E5">
            <w:pPr>
              <w:pStyle w:val="TableParagraph"/>
              <w:spacing w:before="8" w:line="210" w:lineRule="exact"/>
              <w:ind w:right="50"/>
              <w:jc w:val="center"/>
              <w:rPr>
                <w:rFonts w:ascii="Times New Roman" w:hAnsi="Times New Roman" w:cs="Times New Roman"/>
                <w:b/>
                <w:sz w:val="20"/>
                <w:szCs w:val="20"/>
              </w:rPr>
            </w:pPr>
            <w:r w:rsidRPr="001E5657">
              <w:rPr>
                <w:rFonts w:ascii="Times New Roman" w:hAnsi="Times New Roman" w:cs="Times New Roman"/>
                <w:b/>
                <w:sz w:val="20"/>
                <w:szCs w:val="20"/>
              </w:rPr>
              <w:t>62,473</w:t>
            </w:r>
          </w:p>
        </w:tc>
      </w:tr>
    </w:tbl>
    <w:p w14:paraId="28B3BCCE" w14:textId="77777777" w:rsidR="00573CE9" w:rsidRPr="00661465" w:rsidRDefault="00573CE9" w:rsidP="00CC0781">
      <w:pPr>
        <w:pStyle w:val="Default"/>
        <w:spacing w:after="20" w:line="360" w:lineRule="auto"/>
        <w:jc w:val="both"/>
        <w:rPr>
          <w:rFonts w:ascii="Times New Roman" w:hAnsi="Times New Roman" w:cs="Times New Roman"/>
        </w:rPr>
      </w:pPr>
    </w:p>
    <w:p w14:paraId="125EF099" w14:textId="77777777" w:rsidR="00BC4B0A" w:rsidRPr="00661465" w:rsidRDefault="00BC4B0A" w:rsidP="0001591E">
      <w:pPr>
        <w:spacing w:after="0" w:line="360" w:lineRule="auto"/>
        <w:jc w:val="both"/>
        <w:rPr>
          <w:rFonts w:ascii="Times New Roman" w:eastAsia="Times New Roman" w:hAnsi="Times New Roman" w:cs="Times New Roman"/>
          <w:b/>
          <w:spacing w:val="6"/>
          <w:sz w:val="24"/>
          <w:szCs w:val="24"/>
          <w:lang w:val="en-GB" w:eastAsia="en-GB"/>
        </w:rPr>
      </w:pPr>
    </w:p>
    <w:p w14:paraId="5F40D52D" w14:textId="77777777" w:rsidR="0001591E" w:rsidRPr="00661465" w:rsidRDefault="0001591E" w:rsidP="0001591E">
      <w:pPr>
        <w:spacing w:after="0" w:line="360" w:lineRule="auto"/>
        <w:jc w:val="both"/>
        <w:rPr>
          <w:rFonts w:ascii="Times New Roman" w:eastAsia="Times New Roman" w:hAnsi="Times New Roman" w:cs="Times New Roman"/>
          <w:b/>
          <w:spacing w:val="6"/>
          <w:sz w:val="24"/>
          <w:szCs w:val="24"/>
          <w:lang w:val="en-GB" w:eastAsia="en-GB"/>
        </w:rPr>
      </w:pPr>
      <w:r w:rsidRPr="00661465">
        <w:rPr>
          <w:rFonts w:ascii="Times New Roman" w:eastAsia="Times New Roman" w:hAnsi="Times New Roman" w:cs="Times New Roman"/>
          <w:b/>
          <w:spacing w:val="6"/>
          <w:sz w:val="24"/>
          <w:szCs w:val="24"/>
          <w:lang w:val="en-GB" w:eastAsia="en-GB"/>
        </w:rPr>
        <w:t xml:space="preserve">Matters that emerged from deliberations with the </w:t>
      </w:r>
      <w:r w:rsidR="006816D5" w:rsidRPr="00661465">
        <w:rPr>
          <w:rFonts w:ascii="Times New Roman" w:eastAsia="Times New Roman" w:hAnsi="Times New Roman" w:cs="Times New Roman"/>
          <w:b/>
          <w:spacing w:val="6"/>
          <w:sz w:val="24"/>
          <w:szCs w:val="24"/>
          <w:lang w:val="en-GB" w:eastAsia="en-GB"/>
        </w:rPr>
        <w:t xml:space="preserve">CIDB and the </w:t>
      </w:r>
      <w:r w:rsidRPr="00661465">
        <w:rPr>
          <w:rFonts w:ascii="Times New Roman" w:eastAsia="Times New Roman" w:hAnsi="Times New Roman" w:cs="Times New Roman"/>
          <w:b/>
          <w:spacing w:val="6"/>
          <w:sz w:val="24"/>
          <w:szCs w:val="24"/>
          <w:lang w:val="en-GB" w:eastAsia="en-GB"/>
        </w:rPr>
        <w:t>CBE:</w:t>
      </w:r>
    </w:p>
    <w:p w14:paraId="553F1702" w14:textId="77777777" w:rsidR="00661465" w:rsidRPr="00661465" w:rsidRDefault="00661465" w:rsidP="0001591E">
      <w:pPr>
        <w:spacing w:after="0" w:line="360" w:lineRule="auto"/>
        <w:jc w:val="both"/>
        <w:rPr>
          <w:rFonts w:ascii="Times New Roman" w:eastAsia="Times New Roman" w:hAnsi="Times New Roman" w:cs="Times New Roman"/>
          <w:spacing w:val="6"/>
          <w:sz w:val="24"/>
          <w:szCs w:val="24"/>
          <w:lang w:val="en-GB" w:eastAsia="en-GB"/>
        </w:rPr>
      </w:pPr>
    </w:p>
    <w:p w14:paraId="706284A3" w14:textId="77777777" w:rsidR="0001591E" w:rsidRPr="00661465" w:rsidRDefault="00EF4616"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The committee requires a report that shows a spreadsheet of the cand</w:t>
      </w:r>
      <w:r w:rsidR="00ED054E">
        <w:rPr>
          <w:rFonts w:ascii="Times New Roman" w:hAnsi="Times New Roman" w:cs="Times New Roman"/>
        </w:rPr>
        <w:t xml:space="preserve">idates that </w:t>
      </w:r>
      <w:r w:rsidR="00ED054E" w:rsidRPr="009374EB">
        <w:rPr>
          <w:rFonts w:ascii="Times New Roman" w:hAnsi="Times New Roman" w:cs="Times New Roman"/>
          <w:color w:val="auto"/>
        </w:rPr>
        <w:t xml:space="preserve">participate in the </w:t>
      </w:r>
      <w:r w:rsidR="008E27AD" w:rsidRPr="009374EB">
        <w:rPr>
          <w:rFonts w:ascii="Times New Roman" w:hAnsi="Times New Roman" w:cs="Times New Roman"/>
          <w:color w:val="auto"/>
        </w:rPr>
        <w:t>contractor development programme with the Sector Education and Training Authorities</w:t>
      </w:r>
      <w:r w:rsidR="0001591E" w:rsidRPr="009374EB">
        <w:rPr>
          <w:rFonts w:ascii="Times New Roman" w:hAnsi="Times New Roman" w:cs="Times New Roman"/>
          <w:color w:val="auto"/>
        </w:rPr>
        <w:t xml:space="preserve"> </w:t>
      </w:r>
      <w:r w:rsidR="008E27AD" w:rsidRPr="009374EB">
        <w:rPr>
          <w:rFonts w:ascii="Times New Roman" w:hAnsi="Times New Roman" w:cs="Times New Roman"/>
          <w:color w:val="auto"/>
        </w:rPr>
        <w:t>(</w:t>
      </w:r>
      <w:r w:rsidR="00ED054E" w:rsidRPr="009374EB">
        <w:rPr>
          <w:rFonts w:ascii="Times New Roman" w:hAnsi="Times New Roman" w:cs="Times New Roman"/>
          <w:color w:val="auto"/>
        </w:rPr>
        <w:t>SETA</w:t>
      </w:r>
      <w:r w:rsidR="008E27AD" w:rsidRPr="009374EB">
        <w:rPr>
          <w:rFonts w:ascii="Times New Roman" w:hAnsi="Times New Roman" w:cs="Times New Roman"/>
          <w:color w:val="auto"/>
        </w:rPr>
        <w:t>s)</w:t>
      </w:r>
      <w:r w:rsidR="00ED054E" w:rsidRPr="009374EB">
        <w:rPr>
          <w:rFonts w:ascii="Times New Roman" w:hAnsi="Times New Roman" w:cs="Times New Roman"/>
          <w:color w:val="auto"/>
        </w:rPr>
        <w:t xml:space="preserve"> </w:t>
      </w:r>
      <w:r w:rsidR="0001591E" w:rsidRPr="009374EB">
        <w:rPr>
          <w:rFonts w:ascii="Times New Roman" w:hAnsi="Times New Roman" w:cs="Times New Roman"/>
          <w:color w:val="auto"/>
        </w:rPr>
        <w:t>to ensure that graduates are streamed into</w:t>
      </w:r>
      <w:r w:rsidR="00970561" w:rsidRPr="009374EB">
        <w:rPr>
          <w:rFonts w:ascii="Times New Roman" w:hAnsi="Times New Roman" w:cs="Times New Roman"/>
          <w:color w:val="auto"/>
        </w:rPr>
        <w:t xml:space="preserve"> careers as</w:t>
      </w:r>
      <w:r w:rsidR="0001591E" w:rsidRPr="009374EB">
        <w:rPr>
          <w:rFonts w:ascii="Times New Roman" w:hAnsi="Times New Roman" w:cs="Times New Roman"/>
          <w:color w:val="auto"/>
        </w:rPr>
        <w:t xml:space="preserve"> professional </w:t>
      </w:r>
      <w:r w:rsidR="005C62FD" w:rsidRPr="009374EB">
        <w:rPr>
          <w:rFonts w:ascii="Times New Roman" w:hAnsi="Times New Roman" w:cs="Times New Roman"/>
          <w:color w:val="auto"/>
        </w:rPr>
        <w:t>contractors</w:t>
      </w:r>
      <w:r w:rsidR="0001591E" w:rsidRPr="009374EB">
        <w:rPr>
          <w:rFonts w:ascii="Times New Roman" w:hAnsi="Times New Roman" w:cs="Times New Roman"/>
          <w:color w:val="auto"/>
        </w:rPr>
        <w:t xml:space="preserve">. </w:t>
      </w:r>
      <w:r w:rsidRPr="009374EB">
        <w:rPr>
          <w:rFonts w:ascii="Times New Roman" w:hAnsi="Times New Roman" w:cs="Times New Roman"/>
          <w:color w:val="auto"/>
        </w:rPr>
        <w:t>The spreadsheet should show information per professional build environment category, race, gender, youth, province and region.</w:t>
      </w:r>
    </w:p>
    <w:p w14:paraId="0E87440C" w14:textId="77777777" w:rsidR="0001591E" w:rsidRPr="00661465" w:rsidRDefault="008E03DD"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With regards to the governance of the CIDB and CBE, the r</w:t>
      </w:r>
      <w:r w:rsidR="0001591E" w:rsidRPr="00661465">
        <w:rPr>
          <w:rFonts w:ascii="Times New Roman" w:hAnsi="Times New Roman" w:cs="Times New Roman"/>
        </w:rPr>
        <w:t>isk function</w:t>
      </w:r>
      <w:r w:rsidRPr="00661465">
        <w:rPr>
          <w:rFonts w:ascii="Times New Roman" w:hAnsi="Times New Roman" w:cs="Times New Roman"/>
        </w:rPr>
        <w:t xml:space="preserve">s were reported as being fully functional. It is important that quarterly performance reports are made available to the committee. These reports should include filling of vacancies, of women, people with disabilities, and the youth. It should also provide progress </w:t>
      </w:r>
      <w:r w:rsidR="00C54DC3" w:rsidRPr="00661465">
        <w:rPr>
          <w:rFonts w:ascii="Times New Roman" w:hAnsi="Times New Roman" w:cs="Times New Roman"/>
        </w:rPr>
        <w:t xml:space="preserve">made </w:t>
      </w:r>
      <w:r w:rsidRPr="00661465">
        <w:rPr>
          <w:rFonts w:ascii="Times New Roman" w:hAnsi="Times New Roman" w:cs="Times New Roman"/>
        </w:rPr>
        <w:t xml:space="preserve">to ensure that invoices received from service providers are paid </w:t>
      </w:r>
      <w:r w:rsidR="0001591E" w:rsidRPr="00661465">
        <w:rPr>
          <w:rFonts w:ascii="Times New Roman" w:hAnsi="Times New Roman" w:cs="Times New Roman"/>
        </w:rPr>
        <w:t>within 30 days of receipt of invoice.</w:t>
      </w:r>
    </w:p>
    <w:p w14:paraId="764A4A50" w14:textId="77777777" w:rsidR="00822748" w:rsidRPr="00661465" w:rsidRDefault="00B670B4"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 xml:space="preserve">The CIDB is mandated to establish a register of contractors and ensure improvement of contractors. The matter of what has become known as ‘construction mafia’ is related to the policy to ensure that 30% of contractors on projects should be locally sourced. A cabinet memorandum has been developed by CIDB on the matter and the former Minister placed it before cabinet for its consideration. Accordingly, the DPWI and CIDB may host a construction industry summit to address these matters. </w:t>
      </w:r>
    </w:p>
    <w:p w14:paraId="1B11C39E" w14:textId="77777777" w:rsidR="00FF2614" w:rsidRPr="00661465" w:rsidRDefault="001471A6"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 xml:space="preserve">As per the settlement reached after the collusion investigation of the Competition Commission, the CIDB plays </w:t>
      </w:r>
      <w:r w:rsidR="00FF2614" w:rsidRPr="00661465">
        <w:rPr>
          <w:rFonts w:ascii="Times New Roman" w:hAnsi="Times New Roman" w:cs="Times New Roman"/>
        </w:rPr>
        <w:t xml:space="preserve">a </w:t>
      </w:r>
      <w:r w:rsidRPr="00661465">
        <w:rPr>
          <w:rFonts w:ascii="Times New Roman" w:hAnsi="Times New Roman" w:cs="Times New Roman"/>
        </w:rPr>
        <w:t xml:space="preserve">role to monitor monies with the appointed Trust Administrator. </w:t>
      </w:r>
      <w:r w:rsidR="00FF2614" w:rsidRPr="00661465">
        <w:rPr>
          <w:rFonts w:ascii="Times New Roman" w:hAnsi="Times New Roman" w:cs="Times New Roman"/>
        </w:rPr>
        <w:t>the CIDB’s Boa</w:t>
      </w:r>
      <w:r w:rsidR="003B0270">
        <w:rPr>
          <w:rFonts w:ascii="Times New Roman" w:hAnsi="Times New Roman" w:cs="Times New Roman"/>
        </w:rPr>
        <w:t>rd took a decision to sanction c</w:t>
      </w:r>
      <w:r w:rsidR="00FF2614" w:rsidRPr="00661465">
        <w:rPr>
          <w:rFonts w:ascii="Times New Roman" w:hAnsi="Times New Roman" w:cs="Times New Roman"/>
        </w:rPr>
        <w:t xml:space="preserve">ompanies that were not part of the settlement agreement. Where they want to go the legal route, the Board is prepared to test the CIDB Act. </w:t>
      </w:r>
      <w:r w:rsidR="00822748" w:rsidRPr="00661465">
        <w:rPr>
          <w:rFonts w:ascii="Times New Roman" w:hAnsi="Times New Roman" w:cs="Times New Roman"/>
        </w:rPr>
        <w:t xml:space="preserve"> </w:t>
      </w:r>
    </w:p>
    <w:p w14:paraId="138A5540" w14:textId="77777777" w:rsidR="00573C68" w:rsidRPr="00661465" w:rsidRDefault="00573C68"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lastRenderedPageBreak/>
        <w:t>CIDB developed a draft contractor performance system. Performance reports must be crafted carefully to not penalise contractors, but to develop them through the report. More work is continuing to ensure progression on the contractors register.</w:t>
      </w:r>
    </w:p>
    <w:p w14:paraId="3CF52B5A" w14:textId="77777777" w:rsidR="006D0A23" w:rsidRPr="00661465" w:rsidRDefault="003F3FCC"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The CIDB Incubator Programme in partnership with the Small Enterprise Development Agency (SEDA) where 100 contractors in f</w:t>
      </w:r>
      <w:r w:rsidR="00554667" w:rsidRPr="00661465">
        <w:rPr>
          <w:rFonts w:ascii="Times New Roman" w:hAnsi="Times New Roman" w:cs="Times New Roman"/>
        </w:rPr>
        <w:t>our</w:t>
      </w:r>
      <w:r w:rsidRPr="00661465">
        <w:rPr>
          <w:rFonts w:ascii="Times New Roman" w:hAnsi="Times New Roman" w:cs="Times New Roman"/>
        </w:rPr>
        <w:t xml:space="preserve"> provinces (KZN, Gauteng, Eastern Cape, Northern Cape) is in a pilot stage. After this stage it will be run in all nine provinces and will be fully advertised. </w:t>
      </w:r>
    </w:p>
    <w:p w14:paraId="248CF0E4" w14:textId="77777777" w:rsidR="0001591E" w:rsidRPr="00661465" w:rsidRDefault="00EB280B" w:rsidP="00F12443">
      <w:pPr>
        <w:pStyle w:val="Default"/>
        <w:numPr>
          <w:ilvl w:val="0"/>
          <w:numId w:val="48"/>
        </w:numPr>
        <w:spacing w:after="20" w:line="360" w:lineRule="auto"/>
        <w:jc w:val="both"/>
        <w:rPr>
          <w:rFonts w:ascii="Times New Roman" w:hAnsi="Times New Roman" w:cs="Times New Roman"/>
        </w:rPr>
      </w:pPr>
      <w:r w:rsidRPr="00661465">
        <w:rPr>
          <w:rFonts w:ascii="Times New Roman" w:hAnsi="Times New Roman" w:cs="Times New Roman"/>
        </w:rPr>
        <w:t xml:space="preserve">CIDB have vacancies that must be filled. The Board anticipate that after the Organisational Development exercise has been completed, the positions will be filled in the following two months. </w:t>
      </w:r>
    </w:p>
    <w:p w14:paraId="4E022276" w14:textId="77777777" w:rsidR="00661465" w:rsidRPr="00661465" w:rsidRDefault="00661465" w:rsidP="00661465">
      <w:pPr>
        <w:pStyle w:val="Default"/>
        <w:spacing w:after="20" w:line="360" w:lineRule="auto"/>
        <w:ind w:left="720"/>
        <w:jc w:val="both"/>
        <w:rPr>
          <w:rFonts w:ascii="Times New Roman" w:hAnsi="Times New Roman" w:cs="Times New Roman"/>
        </w:rPr>
      </w:pPr>
    </w:p>
    <w:p w14:paraId="42F0D538" w14:textId="77777777" w:rsidR="00091902" w:rsidRPr="00661465" w:rsidRDefault="00E4228A" w:rsidP="00CC078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sidR="00091902" w:rsidRPr="00661465">
        <w:rPr>
          <w:rFonts w:ascii="Times New Roman" w:hAnsi="Times New Roman" w:cs="Times New Roman"/>
          <w:b/>
          <w:sz w:val="24"/>
          <w:szCs w:val="24"/>
        </w:rPr>
        <w:t>The Independent Development Trust (IDT):</w:t>
      </w:r>
    </w:p>
    <w:p w14:paraId="2C30A2B5" w14:textId="77777777" w:rsidR="00827934" w:rsidRPr="00661465" w:rsidRDefault="00827934" w:rsidP="00CC0781">
      <w:pPr>
        <w:pStyle w:val="NormalWeb"/>
        <w:spacing w:line="360" w:lineRule="auto"/>
        <w:jc w:val="both"/>
      </w:pPr>
      <w:r w:rsidRPr="00661465">
        <w:t>The IDT was established in 1990, as a temporary grant-making agency by the former apartheid government. It was set up with a R2bn government endowment grant that was invested, and the returns was to be used for development purposes in poor communities.</w:t>
      </w:r>
    </w:p>
    <w:p w14:paraId="60DEB9AB" w14:textId="77777777" w:rsidR="00827934" w:rsidRPr="00661465" w:rsidRDefault="00827934" w:rsidP="00CC0781">
      <w:pPr>
        <w:pStyle w:val="NormalWeb"/>
        <w:spacing w:line="360" w:lineRule="auto"/>
        <w:jc w:val="both"/>
      </w:pPr>
      <w:r w:rsidRPr="00661465">
        <w:t>In 1997 the first democratic government changed the IDT’s mandate from being independent to that of a “government agency that will implement projects which are commissioned by government departments”. The idea was that the invested endowment grant, in combination with project cost which client departments would pay to the IDT, would mean that the entity did not need to be funded by the fiscus. Unfortunately, the enhanced mandate, and due to the massive social infrastructure backlogs in poor communities, meant that the IDT’s project load was vastly increased. The cost of projects that should have funded the IDT did not have the desired result as higher number of projects that went unpaid over a long period, actually eroded the capital base of the IDT.</w:t>
      </w:r>
    </w:p>
    <w:p w14:paraId="5B85ACA3" w14:textId="77777777" w:rsidR="00827934" w:rsidRPr="00661465" w:rsidRDefault="00827934" w:rsidP="00CC0781">
      <w:pPr>
        <w:pStyle w:val="NormalWeb"/>
        <w:spacing w:line="360" w:lineRule="auto"/>
        <w:jc w:val="both"/>
      </w:pPr>
      <w:r w:rsidRPr="00661465">
        <w:t>In 2006 in an effort to ensure longer-term sustainability, the IDT initiated a “cost recovery” principle to its projects, Unfortunately, this approach did not bring the financial stability that was required.</w:t>
      </w:r>
    </w:p>
    <w:p w14:paraId="323CC90D" w14:textId="77777777" w:rsidR="00827934" w:rsidRPr="00661465" w:rsidRDefault="00827934" w:rsidP="00CC0781">
      <w:pPr>
        <w:pStyle w:val="NormalWeb"/>
        <w:spacing w:line="360" w:lineRule="auto"/>
        <w:jc w:val="both"/>
      </w:pPr>
      <w:r w:rsidRPr="00661465">
        <w:t xml:space="preserve">Government remains convinced that the IDT has a key role to play as a project manager of social infrastructure construction. The IDT developed a specific niche in the form of community consultation and participation in decision- making as part of the planning, construction and maintenance of social infrastructure. The community ownership that was </w:t>
      </w:r>
      <w:r w:rsidRPr="00661465">
        <w:lastRenderedPageBreak/>
        <w:t>part of its social infrastructure project management is a vital cog in future social development initiatives of government in the Presidential Infrastructure Coordinating Commission (PICC)</w:t>
      </w:r>
      <w:r w:rsidRPr="00661465">
        <w:rPr>
          <w:rStyle w:val="FootnoteReference"/>
        </w:rPr>
        <w:footnoteReference w:id="54"/>
      </w:r>
      <w:r w:rsidRPr="00661465">
        <w:t xml:space="preserve">.  </w:t>
      </w:r>
    </w:p>
    <w:p w14:paraId="60F9B769" w14:textId="77777777" w:rsidR="00827934" w:rsidRPr="00661465" w:rsidRDefault="00827934" w:rsidP="00CC0781">
      <w:pPr>
        <w:pStyle w:val="NormalWeb"/>
        <w:spacing w:line="360" w:lineRule="auto"/>
        <w:jc w:val="both"/>
      </w:pPr>
      <w:r w:rsidRPr="00661465">
        <w:t>In the PICC, the DPW is a key role-player in Strategic Integrated Project (SIP) 13</w:t>
      </w:r>
      <w:r w:rsidRPr="00661465">
        <w:rPr>
          <w:rStyle w:val="FootnoteReference"/>
        </w:rPr>
        <w:footnoteReference w:id="55"/>
      </w:r>
      <w:r w:rsidRPr="00661465">
        <w:t xml:space="preserve"> that addresses the backlog in educational infrastructure. The IDT is playing a critical role as an implementing agency in the eradication of unsuitable school structures and in the beautification of schools.</w:t>
      </w:r>
    </w:p>
    <w:p w14:paraId="66FE201E" w14:textId="77777777" w:rsidR="00827934" w:rsidRPr="00661465" w:rsidRDefault="00827934" w:rsidP="00CC0781">
      <w:pPr>
        <w:pStyle w:val="NormalWeb"/>
        <w:spacing w:line="360" w:lineRule="auto"/>
        <w:jc w:val="both"/>
      </w:pPr>
      <w:r w:rsidRPr="00661465">
        <w:t>In order to consolidate these synergies between the IDT and DPW, government is working on a new business plan, which will see the IDT become a Schedule 3A Public Entity reporting to the Minister of Public Works. This will enable the IDT to give effect to the 1997 Cabinet mandate to be “a government development agency that will implement projects which are commissioned by government departments”.</w:t>
      </w:r>
    </w:p>
    <w:p w14:paraId="3E230B18" w14:textId="77777777" w:rsidR="00827934" w:rsidRPr="00661465" w:rsidRDefault="00827934" w:rsidP="00CC0781">
      <w:pPr>
        <w:pStyle w:val="Normalbold"/>
        <w:spacing w:line="360" w:lineRule="auto"/>
        <w:rPr>
          <w:rFonts w:ascii="Times New Roman" w:hAnsi="Times New Roman"/>
          <w:sz w:val="24"/>
          <w:szCs w:val="24"/>
        </w:rPr>
      </w:pPr>
      <w:r w:rsidRPr="00661465">
        <w:rPr>
          <w:rFonts w:ascii="Times New Roman" w:hAnsi="Times New Roman"/>
          <w:sz w:val="24"/>
          <w:szCs w:val="24"/>
        </w:rPr>
        <w:t>An Overview of the 201</w:t>
      </w:r>
      <w:r w:rsidR="00650F1E" w:rsidRPr="00661465">
        <w:rPr>
          <w:rFonts w:ascii="Times New Roman" w:hAnsi="Times New Roman"/>
          <w:sz w:val="24"/>
          <w:szCs w:val="24"/>
        </w:rPr>
        <w:t xml:space="preserve">9/20 </w:t>
      </w:r>
      <w:r w:rsidRPr="00661465">
        <w:rPr>
          <w:rFonts w:ascii="Times New Roman" w:hAnsi="Times New Roman"/>
          <w:sz w:val="24"/>
          <w:szCs w:val="24"/>
        </w:rPr>
        <w:t xml:space="preserve">Annual Performance Plan </w:t>
      </w:r>
    </w:p>
    <w:p w14:paraId="616D7CA5" w14:textId="77777777" w:rsidR="00827934" w:rsidRPr="00661465" w:rsidRDefault="00827934" w:rsidP="00CC0781">
      <w:pPr>
        <w:pStyle w:val="Normalbold"/>
        <w:spacing w:line="360" w:lineRule="auto"/>
        <w:rPr>
          <w:rFonts w:ascii="Times New Roman" w:hAnsi="Times New Roman"/>
          <w:b w:val="0"/>
          <w:sz w:val="24"/>
          <w:szCs w:val="24"/>
        </w:rPr>
      </w:pPr>
    </w:p>
    <w:p w14:paraId="4053B97B" w14:textId="77777777" w:rsidR="00827934" w:rsidRPr="00661465" w:rsidRDefault="0082793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IDT is set up as a strategic partner in the management, integration and implementation of certain government’s development programmes. It plays a key role as implementer of social infrastructure projects. It also assists the Department of Public Works in efforts to address the priorities of job creation and sector skills development. The IDT further contributes to the work of other entities in the built environment and construction industry through the promotion of alternative construction initiatives in the building of school infrastructure. It also invests in professional registration of built environment employees, and supports human resources and talent development. </w:t>
      </w:r>
    </w:p>
    <w:p w14:paraId="66FF80F8" w14:textId="77777777" w:rsidR="00827934" w:rsidRPr="00661465" w:rsidRDefault="00827934"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role of the IDT in addressing the priorities of job creation and skills development sees the entity play a key part in EPWP projects with other departments and municipalities.</w:t>
      </w:r>
      <w:r w:rsidRPr="00661465">
        <w:rPr>
          <w:rStyle w:val="FootnoteReference"/>
          <w:rFonts w:ascii="Times New Roman" w:hAnsi="Times New Roman" w:cs="Times New Roman"/>
          <w:sz w:val="24"/>
          <w:szCs w:val="24"/>
        </w:rPr>
        <w:footnoteReference w:id="56"/>
      </w:r>
      <w:r w:rsidRPr="00661465">
        <w:rPr>
          <w:rFonts w:ascii="Times New Roman" w:hAnsi="Times New Roman" w:cs="Times New Roman"/>
          <w:sz w:val="24"/>
          <w:szCs w:val="24"/>
        </w:rPr>
        <w:t xml:space="preserve"> </w:t>
      </w:r>
    </w:p>
    <w:p w14:paraId="73038966" w14:textId="77777777" w:rsidR="00650F1E" w:rsidRPr="00661465" w:rsidRDefault="00650F1E"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In spite of the severe income challenge that the entity faced over the last few financial years, the entity remains an important player in the </w:t>
      </w:r>
      <w:r w:rsidR="007F59E0" w:rsidRPr="00661465">
        <w:rPr>
          <w:rFonts w:ascii="Times New Roman" w:hAnsi="Times New Roman" w:cs="Times New Roman"/>
          <w:sz w:val="24"/>
          <w:szCs w:val="24"/>
        </w:rPr>
        <w:t>DPWI sector. To ensure its continued existence, “the D</w:t>
      </w:r>
      <w:r w:rsidRPr="00661465">
        <w:rPr>
          <w:rFonts w:ascii="Times New Roman" w:hAnsi="Times New Roman" w:cs="Times New Roman"/>
          <w:sz w:val="24"/>
          <w:szCs w:val="24"/>
        </w:rPr>
        <w:t xml:space="preserve">epartment of Public Works is fast tracking the transformation of the IDT among other; to be an </w:t>
      </w:r>
      <w:r w:rsidRPr="00661465">
        <w:rPr>
          <w:rFonts w:ascii="Times New Roman" w:hAnsi="Times New Roman" w:cs="Times New Roman"/>
          <w:b/>
          <w:bCs/>
          <w:i/>
          <w:iCs/>
          <w:sz w:val="24"/>
          <w:szCs w:val="24"/>
          <w:lang w:val="en-GB"/>
        </w:rPr>
        <w:t xml:space="preserve">established government agency to develop social infrastructure commissioned by </w:t>
      </w:r>
      <w:r w:rsidRPr="00661465">
        <w:rPr>
          <w:rFonts w:ascii="Times New Roman" w:hAnsi="Times New Roman" w:cs="Times New Roman"/>
          <w:b/>
          <w:bCs/>
          <w:i/>
          <w:iCs/>
          <w:sz w:val="24"/>
          <w:szCs w:val="24"/>
          <w:lang w:val="en-GB"/>
        </w:rPr>
        <w:lastRenderedPageBreak/>
        <w:t>government in a manner that helps eradicate poverty, creates employment, and fosters sustainable and cohesive communities</w:t>
      </w:r>
      <w:r w:rsidRPr="00661465">
        <w:rPr>
          <w:rFonts w:ascii="Times New Roman" w:hAnsi="Times New Roman" w:cs="Times New Roman"/>
          <w:sz w:val="24"/>
          <w:szCs w:val="24"/>
          <w:lang w:val="en-GB"/>
        </w:rPr>
        <w:t>”</w:t>
      </w:r>
      <w:r w:rsidR="007F59E0" w:rsidRPr="00661465">
        <w:rPr>
          <w:rStyle w:val="FootnoteReference"/>
          <w:rFonts w:ascii="Times New Roman" w:hAnsi="Times New Roman" w:cs="Times New Roman"/>
          <w:sz w:val="24"/>
          <w:szCs w:val="24"/>
          <w:lang w:val="en-GB"/>
        </w:rPr>
        <w:footnoteReference w:id="57"/>
      </w:r>
      <w:r w:rsidRPr="00661465">
        <w:rPr>
          <w:rFonts w:ascii="Times New Roman" w:hAnsi="Times New Roman" w:cs="Times New Roman"/>
          <w:sz w:val="24"/>
          <w:szCs w:val="24"/>
          <w:lang w:val="en-GB"/>
        </w:rPr>
        <w:t>.</w:t>
      </w:r>
    </w:p>
    <w:p w14:paraId="69BB100E" w14:textId="77777777" w:rsidR="00827934" w:rsidRPr="00661465" w:rsidRDefault="00827934" w:rsidP="00CC0781">
      <w:pPr>
        <w:spacing w:after="0" w:line="360" w:lineRule="auto"/>
        <w:jc w:val="both"/>
        <w:rPr>
          <w:rFonts w:ascii="Times New Roman" w:hAnsi="Times New Roman" w:cs="Times New Roman"/>
          <w:sz w:val="24"/>
          <w:szCs w:val="24"/>
          <w:lang w:val="en-GB"/>
        </w:rPr>
      </w:pPr>
      <w:r w:rsidRPr="00661465">
        <w:rPr>
          <w:rFonts w:ascii="Times New Roman" w:hAnsi="Times New Roman" w:cs="Times New Roman"/>
          <w:sz w:val="24"/>
          <w:szCs w:val="24"/>
        </w:rPr>
        <w:t xml:space="preserve">In its Annual Performance Plan, the IDT </w:t>
      </w:r>
      <w:r w:rsidR="002F480A" w:rsidRPr="00661465">
        <w:rPr>
          <w:rFonts w:ascii="Times New Roman" w:hAnsi="Times New Roman" w:cs="Times New Roman"/>
          <w:sz w:val="24"/>
          <w:szCs w:val="24"/>
        </w:rPr>
        <w:t>state</w:t>
      </w:r>
      <w:r w:rsidRPr="00661465">
        <w:rPr>
          <w:rFonts w:ascii="Times New Roman" w:hAnsi="Times New Roman" w:cs="Times New Roman"/>
          <w:sz w:val="24"/>
          <w:szCs w:val="24"/>
        </w:rPr>
        <w:t xml:space="preserve">s that it mainly generates income from </w:t>
      </w:r>
      <w:r w:rsidRPr="00661465">
        <w:rPr>
          <w:rFonts w:ascii="Times New Roman" w:hAnsi="Times New Roman" w:cs="Times New Roman"/>
          <w:sz w:val="24"/>
          <w:szCs w:val="24"/>
          <w:lang w:val="en-GB"/>
        </w:rPr>
        <w:t xml:space="preserve">management fees derived from managing the implementation of social infrastructure projects on behalf of government. </w:t>
      </w:r>
      <w:r w:rsidR="002F480A" w:rsidRPr="00661465">
        <w:rPr>
          <w:rFonts w:ascii="Times New Roman" w:hAnsi="Times New Roman" w:cs="Times New Roman"/>
          <w:sz w:val="24"/>
          <w:szCs w:val="24"/>
          <w:lang w:val="en-GB"/>
        </w:rPr>
        <w:t>Over the period of the MTSF (2014-2019) it has struggled to collect management fees from departments and municipalities. Unless radical changes are made, based on material evidence over the last five years, it is foreseen that during the current MTEF (2019-2022) this</w:t>
      </w:r>
      <w:r w:rsidRPr="00661465">
        <w:rPr>
          <w:rFonts w:ascii="Times New Roman" w:hAnsi="Times New Roman" w:cs="Times New Roman"/>
          <w:sz w:val="24"/>
          <w:szCs w:val="24"/>
          <w:lang w:val="en-GB"/>
        </w:rPr>
        <w:t xml:space="preserve"> struggle</w:t>
      </w:r>
      <w:r w:rsidR="002F480A" w:rsidRPr="00661465">
        <w:rPr>
          <w:rFonts w:ascii="Times New Roman" w:hAnsi="Times New Roman" w:cs="Times New Roman"/>
          <w:sz w:val="24"/>
          <w:szCs w:val="24"/>
          <w:lang w:val="en-GB"/>
        </w:rPr>
        <w:t xml:space="preserve"> will continue. This view is further strengthened with the IDT’s APP showing that the entity is undergoing an organisational development process</w:t>
      </w:r>
      <w:r w:rsidR="00AA7FDA" w:rsidRPr="00661465">
        <w:rPr>
          <w:rStyle w:val="FootnoteReference"/>
          <w:rFonts w:ascii="Times New Roman" w:hAnsi="Times New Roman" w:cs="Times New Roman"/>
          <w:sz w:val="24"/>
          <w:szCs w:val="24"/>
          <w:lang w:val="en-GB"/>
        </w:rPr>
        <w:footnoteReference w:id="58"/>
      </w:r>
      <w:r w:rsidR="002F480A" w:rsidRPr="00661465">
        <w:rPr>
          <w:rFonts w:ascii="Times New Roman" w:hAnsi="Times New Roman" w:cs="Times New Roman"/>
          <w:sz w:val="24"/>
          <w:szCs w:val="24"/>
          <w:lang w:val="en-GB"/>
        </w:rPr>
        <w:t xml:space="preserve"> which in itself may result in the status quo continuing for at least the</w:t>
      </w:r>
      <w:r w:rsidR="00F945CB" w:rsidRPr="00661465">
        <w:rPr>
          <w:rFonts w:ascii="Times New Roman" w:hAnsi="Times New Roman" w:cs="Times New Roman"/>
          <w:sz w:val="24"/>
          <w:szCs w:val="24"/>
          <w:lang w:val="en-GB"/>
        </w:rPr>
        <w:t xml:space="preserve"> next two</w:t>
      </w:r>
      <w:r w:rsidR="002F480A" w:rsidRPr="00661465">
        <w:rPr>
          <w:rFonts w:ascii="Times New Roman" w:hAnsi="Times New Roman" w:cs="Times New Roman"/>
          <w:sz w:val="24"/>
          <w:szCs w:val="24"/>
          <w:lang w:val="en-GB"/>
        </w:rPr>
        <w:t xml:space="preserve"> financial year</w:t>
      </w:r>
      <w:r w:rsidR="00F945CB" w:rsidRPr="00661465">
        <w:rPr>
          <w:rFonts w:ascii="Times New Roman" w:hAnsi="Times New Roman" w:cs="Times New Roman"/>
          <w:sz w:val="24"/>
          <w:szCs w:val="24"/>
          <w:lang w:val="en-GB"/>
        </w:rPr>
        <w:t>s</w:t>
      </w:r>
      <w:r w:rsidR="002F480A" w:rsidRPr="00661465">
        <w:rPr>
          <w:rFonts w:ascii="Times New Roman" w:hAnsi="Times New Roman" w:cs="Times New Roman"/>
          <w:sz w:val="24"/>
          <w:szCs w:val="24"/>
          <w:lang w:val="en-GB"/>
        </w:rPr>
        <w:t>.</w:t>
      </w:r>
    </w:p>
    <w:p w14:paraId="4863C89F" w14:textId="77777777" w:rsidR="00827934" w:rsidRPr="00661465" w:rsidRDefault="00827934" w:rsidP="00CC0781">
      <w:pPr>
        <w:spacing w:after="0" w:line="360" w:lineRule="auto"/>
        <w:jc w:val="both"/>
        <w:rPr>
          <w:rFonts w:ascii="Times New Roman" w:hAnsi="Times New Roman" w:cs="Times New Roman"/>
          <w:sz w:val="24"/>
          <w:szCs w:val="24"/>
          <w:lang w:val="en-GB"/>
        </w:rPr>
      </w:pPr>
    </w:p>
    <w:p w14:paraId="371445F1" w14:textId="77777777" w:rsidR="00827934" w:rsidRPr="00661465" w:rsidRDefault="00EA6D53" w:rsidP="00CC0781">
      <w:p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lang w:val="en-GB"/>
        </w:rPr>
        <w:t>In all the APPs, and financial statements in annual reports since 2014 evidence showed that t</w:t>
      </w:r>
      <w:r w:rsidR="00827934" w:rsidRPr="00661465">
        <w:rPr>
          <w:rFonts w:ascii="Times New Roman" w:hAnsi="Times New Roman" w:cs="Times New Roman"/>
          <w:sz w:val="24"/>
          <w:szCs w:val="24"/>
          <w:lang w:val="en-GB"/>
        </w:rPr>
        <w:t>he IDT was unable to generate revenue</w:t>
      </w:r>
      <w:r w:rsidR="00470331" w:rsidRPr="00661465">
        <w:rPr>
          <w:rFonts w:ascii="Times New Roman" w:hAnsi="Times New Roman" w:cs="Times New Roman"/>
          <w:sz w:val="24"/>
          <w:szCs w:val="24"/>
          <w:lang w:val="en-GB"/>
        </w:rPr>
        <w:t>.</w:t>
      </w:r>
      <w:r w:rsidR="00827934" w:rsidRPr="00661465">
        <w:rPr>
          <w:rFonts w:ascii="Times New Roman" w:hAnsi="Times New Roman" w:cs="Times New Roman"/>
          <w:sz w:val="24"/>
          <w:szCs w:val="24"/>
          <w:lang w:val="en-GB"/>
        </w:rPr>
        <w:t xml:space="preserve"> </w:t>
      </w:r>
      <w:r w:rsidR="00470331" w:rsidRPr="00661465">
        <w:rPr>
          <w:rFonts w:ascii="Times New Roman" w:hAnsi="Times New Roman" w:cs="Times New Roman"/>
          <w:sz w:val="24"/>
          <w:szCs w:val="24"/>
          <w:lang w:val="en-GB"/>
        </w:rPr>
        <w:t>In 2018/19 it</w:t>
      </w:r>
      <w:r w:rsidR="00827934" w:rsidRPr="00661465">
        <w:rPr>
          <w:rFonts w:ascii="Times New Roman" w:hAnsi="Times New Roman" w:cs="Times New Roman"/>
          <w:sz w:val="24"/>
          <w:szCs w:val="24"/>
          <w:lang w:val="en-GB"/>
        </w:rPr>
        <w:t xml:space="preserve"> ascribe</w:t>
      </w:r>
      <w:r w:rsidR="00470331" w:rsidRPr="00661465">
        <w:rPr>
          <w:rFonts w:ascii="Times New Roman" w:hAnsi="Times New Roman" w:cs="Times New Roman"/>
          <w:sz w:val="24"/>
          <w:szCs w:val="24"/>
          <w:lang w:val="en-GB"/>
        </w:rPr>
        <w:t>d</w:t>
      </w:r>
      <w:r w:rsidR="00827934" w:rsidRPr="00661465">
        <w:rPr>
          <w:rFonts w:ascii="Times New Roman" w:hAnsi="Times New Roman" w:cs="Times New Roman"/>
          <w:sz w:val="24"/>
          <w:szCs w:val="24"/>
          <w:lang w:val="en-GB"/>
        </w:rPr>
        <w:t xml:space="preserve"> this challenge in its presentation to the Committee as “</w:t>
      </w:r>
      <w:r w:rsidR="00827934" w:rsidRPr="00661465">
        <w:rPr>
          <w:rFonts w:ascii="Times New Roman" w:hAnsi="Times New Roman" w:cs="Times New Roman"/>
          <w:sz w:val="24"/>
          <w:szCs w:val="24"/>
        </w:rPr>
        <w:t xml:space="preserve">Owing to operational, governance and financial challenges experienced over the last three years”. The IDT has been unstable in terms of both financial income as well as management and government has had to take steps to reposition and renew it. </w:t>
      </w:r>
    </w:p>
    <w:p w14:paraId="1FCC01A6" w14:textId="77777777" w:rsidR="00827934" w:rsidRPr="00661465" w:rsidRDefault="00827934" w:rsidP="00CC0781">
      <w:pPr>
        <w:spacing w:after="0" w:line="360" w:lineRule="auto"/>
        <w:jc w:val="both"/>
        <w:rPr>
          <w:rFonts w:ascii="Times New Roman" w:hAnsi="Times New Roman" w:cs="Times New Roman"/>
          <w:sz w:val="24"/>
          <w:szCs w:val="24"/>
        </w:rPr>
      </w:pPr>
    </w:p>
    <w:p w14:paraId="706801A3" w14:textId="77777777" w:rsidR="00827934" w:rsidRPr="00661465" w:rsidRDefault="00827934" w:rsidP="00CC0781">
      <w:pPr>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This process of renewal and repositioning was approved by the Board and included an Operating Model and Turnaround Plan. The Executive Authority and the Department of Public Works has assisted to secure transition funding, as a structured response to the entity’s mentioned operati</w:t>
      </w:r>
      <w:r w:rsidR="00661465" w:rsidRPr="00661465">
        <w:rPr>
          <w:rFonts w:ascii="Times New Roman" w:hAnsi="Times New Roman" w:cs="Times New Roman"/>
          <w:sz w:val="24"/>
          <w:szCs w:val="24"/>
        </w:rPr>
        <w:t xml:space="preserve">onal and financial challenges. </w:t>
      </w:r>
    </w:p>
    <w:p w14:paraId="6113BD3A" w14:textId="77777777" w:rsidR="00661465" w:rsidRPr="00661465" w:rsidRDefault="00D97F26" w:rsidP="00661465">
      <w:pPr>
        <w:tabs>
          <w:tab w:val="left" w:pos="15168"/>
        </w:tabs>
        <w:spacing w:before="360" w:after="220" w:line="240" w:lineRule="auto"/>
        <w:jc w:val="both"/>
        <w:rPr>
          <w:rFonts w:ascii="Times New Roman" w:hAnsi="Times New Roman" w:cs="Times New Roman"/>
          <w:b/>
          <w:sz w:val="24"/>
          <w:szCs w:val="24"/>
          <w:lang w:eastAsia="en-GB"/>
        </w:rPr>
      </w:pPr>
      <w:r w:rsidRPr="00661465">
        <w:rPr>
          <w:rFonts w:ascii="Times New Roman" w:hAnsi="Times New Roman" w:cs="Times New Roman"/>
          <w:b/>
          <w:sz w:val="24"/>
          <w:szCs w:val="24"/>
          <w:lang w:eastAsia="en-GB"/>
        </w:rPr>
        <w:t>The policy environme</w:t>
      </w:r>
      <w:bookmarkStart w:id="11" w:name="_Toc498094366"/>
      <w:r w:rsidR="00661465" w:rsidRPr="00661465">
        <w:rPr>
          <w:rFonts w:ascii="Times New Roman" w:hAnsi="Times New Roman" w:cs="Times New Roman"/>
          <w:b/>
          <w:sz w:val="24"/>
          <w:szCs w:val="24"/>
          <w:lang w:eastAsia="en-GB"/>
        </w:rPr>
        <w:t xml:space="preserve">nt – IDT’s role as implementer </w:t>
      </w:r>
    </w:p>
    <w:p w14:paraId="4D4F5361" w14:textId="77777777" w:rsidR="00661465" w:rsidRPr="00661465" w:rsidRDefault="00661465" w:rsidP="00661465">
      <w:pPr>
        <w:spacing w:line="240" w:lineRule="auto"/>
        <w:jc w:val="both"/>
        <w:rPr>
          <w:rFonts w:ascii="Times New Roman" w:hAnsi="Times New Roman" w:cs="Times New Roman"/>
          <w:sz w:val="24"/>
          <w:szCs w:val="24"/>
          <w:lang w:val="en"/>
        </w:rPr>
      </w:pPr>
    </w:p>
    <w:p w14:paraId="773E8CFF" w14:textId="77777777" w:rsidR="00D97F26" w:rsidRPr="00661465" w:rsidRDefault="00E2784B" w:rsidP="00CC0781">
      <w:pPr>
        <w:spacing w:line="360" w:lineRule="auto"/>
        <w:jc w:val="both"/>
        <w:rPr>
          <w:rFonts w:ascii="Times New Roman" w:hAnsi="Times New Roman" w:cs="Times New Roman"/>
          <w:sz w:val="24"/>
          <w:szCs w:val="24"/>
          <w:lang w:val="en"/>
        </w:rPr>
      </w:pPr>
      <w:r w:rsidRPr="00661465">
        <w:rPr>
          <w:rFonts w:ascii="Times New Roman" w:hAnsi="Times New Roman" w:cs="Times New Roman"/>
          <w:sz w:val="24"/>
          <w:szCs w:val="24"/>
          <w:lang w:val="en"/>
        </w:rPr>
        <w:t>The IDT is government’s project management entity for the construction of service delivery and social infrastructure</w:t>
      </w:r>
      <w:r w:rsidR="00A0047D" w:rsidRPr="00661465">
        <w:rPr>
          <w:rFonts w:ascii="Times New Roman" w:hAnsi="Times New Roman" w:cs="Times New Roman"/>
          <w:sz w:val="24"/>
          <w:szCs w:val="24"/>
          <w:lang w:val="en"/>
        </w:rPr>
        <w:t>.</w:t>
      </w:r>
    </w:p>
    <w:p w14:paraId="35B40DE5" w14:textId="77777777" w:rsidR="006554AF" w:rsidRDefault="003C730D"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IDT, DPWI and the PMTE</w:t>
      </w:r>
      <w:r w:rsidR="00D97F26" w:rsidRPr="00661465">
        <w:rPr>
          <w:rFonts w:ascii="Times New Roman" w:hAnsi="Times New Roman" w:cs="Times New Roman"/>
          <w:sz w:val="24"/>
          <w:szCs w:val="24"/>
        </w:rPr>
        <w:t xml:space="preserve"> acknowledges that there are lengthy delays and cost overruns in </w:t>
      </w:r>
      <w:r w:rsidR="00973D03" w:rsidRPr="00661465">
        <w:rPr>
          <w:rFonts w:ascii="Times New Roman" w:hAnsi="Times New Roman" w:cs="Times New Roman"/>
          <w:sz w:val="24"/>
          <w:szCs w:val="24"/>
        </w:rPr>
        <w:t xml:space="preserve">the delivery of social infrastructure </w:t>
      </w:r>
      <w:r w:rsidR="00D97F26" w:rsidRPr="00661465">
        <w:rPr>
          <w:rFonts w:ascii="Times New Roman" w:hAnsi="Times New Roman" w:cs="Times New Roman"/>
          <w:sz w:val="24"/>
          <w:szCs w:val="24"/>
        </w:rPr>
        <w:t xml:space="preserve">projects. </w:t>
      </w:r>
      <w:r w:rsidR="00D85576" w:rsidRPr="00661465">
        <w:rPr>
          <w:rFonts w:ascii="Times New Roman" w:hAnsi="Times New Roman" w:cs="Times New Roman"/>
          <w:sz w:val="24"/>
          <w:szCs w:val="24"/>
        </w:rPr>
        <w:t>More</w:t>
      </w:r>
      <w:r w:rsidR="00D97F26" w:rsidRPr="00661465">
        <w:rPr>
          <w:rFonts w:ascii="Times New Roman" w:hAnsi="Times New Roman" w:cs="Times New Roman"/>
          <w:sz w:val="24"/>
          <w:szCs w:val="24"/>
        </w:rPr>
        <w:t xml:space="preserve"> efforts </w:t>
      </w:r>
      <w:r w:rsidR="00D85576" w:rsidRPr="00661465">
        <w:rPr>
          <w:rFonts w:ascii="Times New Roman" w:hAnsi="Times New Roman" w:cs="Times New Roman"/>
          <w:sz w:val="24"/>
          <w:szCs w:val="24"/>
        </w:rPr>
        <w:t>must be made</w:t>
      </w:r>
      <w:r w:rsidR="00D97F26" w:rsidRPr="00661465">
        <w:rPr>
          <w:rFonts w:ascii="Times New Roman" w:hAnsi="Times New Roman" w:cs="Times New Roman"/>
          <w:sz w:val="24"/>
          <w:szCs w:val="24"/>
        </w:rPr>
        <w:t xml:space="preserve"> to improv</w:t>
      </w:r>
      <w:r w:rsidR="00D85576" w:rsidRPr="00661465">
        <w:rPr>
          <w:rFonts w:ascii="Times New Roman" w:hAnsi="Times New Roman" w:cs="Times New Roman"/>
          <w:sz w:val="24"/>
          <w:szCs w:val="24"/>
        </w:rPr>
        <w:t>e</w:t>
      </w:r>
      <w:r w:rsidR="00D97F26" w:rsidRPr="00661465">
        <w:rPr>
          <w:rFonts w:ascii="Times New Roman" w:hAnsi="Times New Roman" w:cs="Times New Roman"/>
          <w:sz w:val="24"/>
          <w:szCs w:val="24"/>
        </w:rPr>
        <w:t xml:space="preserve"> infrastructure delivery management</w:t>
      </w:r>
      <w:r w:rsidR="00D85576" w:rsidRPr="00661465">
        <w:rPr>
          <w:rFonts w:ascii="Times New Roman" w:hAnsi="Times New Roman" w:cs="Times New Roman"/>
          <w:sz w:val="24"/>
          <w:szCs w:val="24"/>
        </w:rPr>
        <w:t>. Part of the solution is the standardisation</w:t>
      </w:r>
      <w:r w:rsidR="00D97F26" w:rsidRPr="00661465">
        <w:rPr>
          <w:rFonts w:ascii="Times New Roman" w:hAnsi="Times New Roman" w:cs="Times New Roman"/>
          <w:sz w:val="24"/>
          <w:szCs w:val="24"/>
        </w:rPr>
        <w:t xml:space="preserve"> </w:t>
      </w:r>
      <w:r w:rsidR="00D85576" w:rsidRPr="00661465">
        <w:rPr>
          <w:rFonts w:ascii="Times New Roman" w:hAnsi="Times New Roman" w:cs="Times New Roman"/>
          <w:sz w:val="24"/>
          <w:szCs w:val="24"/>
        </w:rPr>
        <w:t>of</w:t>
      </w:r>
      <w:r w:rsidR="00D97F26" w:rsidRPr="00661465">
        <w:rPr>
          <w:rFonts w:ascii="Times New Roman" w:hAnsi="Times New Roman" w:cs="Times New Roman"/>
          <w:sz w:val="24"/>
          <w:szCs w:val="24"/>
        </w:rPr>
        <w:t xml:space="preserve"> the management of public infrastructure projects. </w:t>
      </w:r>
    </w:p>
    <w:bookmarkEnd w:id="11"/>
    <w:p w14:paraId="5785DC63" w14:textId="77777777" w:rsidR="00A87574" w:rsidRPr="00661465" w:rsidRDefault="009A0EFC"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lastRenderedPageBreak/>
        <w:t>Extension of the IDT’s Services:</w:t>
      </w:r>
      <w:r w:rsidR="00A87574" w:rsidRPr="00661465">
        <w:rPr>
          <w:rFonts w:ascii="Times New Roman" w:hAnsi="Times New Roman" w:cs="Times New Roman"/>
          <w:b/>
          <w:sz w:val="24"/>
          <w:szCs w:val="24"/>
        </w:rPr>
        <w:t xml:space="preserve"> A</w:t>
      </w:r>
      <w:r w:rsidR="005C1443" w:rsidRPr="00661465">
        <w:rPr>
          <w:rFonts w:ascii="Times New Roman" w:hAnsi="Times New Roman" w:cs="Times New Roman"/>
          <w:b/>
          <w:sz w:val="24"/>
          <w:szCs w:val="24"/>
        </w:rPr>
        <w:t>n improved</w:t>
      </w:r>
      <w:r w:rsidR="00A87574" w:rsidRPr="00661465">
        <w:rPr>
          <w:rFonts w:ascii="Times New Roman" w:hAnsi="Times New Roman" w:cs="Times New Roman"/>
          <w:b/>
          <w:sz w:val="24"/>
          <w:szCs w:val="24"/>
        </w:rPr>
        <w:t xml:space="preserve"> Service Model to Generate Revenue</w:t>
      </w:r>
    </w:p>
    <w:p w14:paraId="4564A5C5" w14:textId="77777777" w:rsidR="007C6B29" w:rsidRPr="00661465" w:rsidRDefault="00934132" w:rsidP="00CC0781">
      <w:pPr>
        <w:pStyle w:val="Text"/>
        <w:rPr>
          <w:sz w:val="24"/>
          <w:szCs w:val="24"/>
        </w:rPr>
      </w:pPr>
      <w:bookmarkStart w:id="12" w:name="_Toc495994197"/>
      <w:bookmarkStart w:id="13" w:name="_Toc495995276"/>
      <w:bookmarkStart w:id="14" w:name="_Toc495998586"/>
      <w:bookmarkStart w:id="15" w:name="_Toc496008606"/>
      <w:bookmarkStart w:id="16" w:name="_Toc489003840"/>
      <w:bookmarkStart w:id="17" w:name="_Toc491354754"/>
      <w:r w:rsidRPr="00661465">
        <w:rPr>
          <w:sz w:val="24"/>
          <w:szCs w:val="24"/>
        </w:rPr>
        <w:t>As part of its attempt to reconfigure itself and become a running concern, t</w:t>
      </w:r>
      <w:r w:rsidR="009A0EFC" w:rsidRPr="00661465">
        <w:rPr>
          <w:sz w:val="24"/>
          <w:szCs w:val="24"/>
        </w:rPr>
        <w:t xml:space="preserve">he IDT’s </w:t>
      </w:r>
      <w:r w:rsidRPr="00661465">
        <w:rPr>
          <w:sz w:val="24"/>
          <w:szCs w:val="24"/>
        </w:rPr>
        <w:t>APP contains information on an improved</w:t>
      </w:r>
      <w:r w:rsidR="009A0EFC" w:rsidRPr="00661465">
        <w:rPr>
          <w:sz w:val="24"/>
          <w:szCs w:val="24"/>
        </w:rPr>
        <w:t xml:space="preserve"> Operating Model </w:t>
      </w:r>
      <w:r w:rsidR="00892B7F" w:rsidRPr="00661465">
        <w:rPr>
          <w:sz w:val="24"/>
          <w:szCs w:val="24"/>
        </w:rPr>
        <w:t xml:space="preserve">that is based on a </w:t>
      </w:r>
      <w:r w:rsidR="009A0EFC" w:rsidRPr="00661465">
        <w:rPr>
          <w:sz w:val="24"/>
          <w:szCs w:val="24"/>
        </w:rPr>
        <w:t>review</w:t>
      </w:r>
      <w:r w:rsidR="00892B7F" w:rsidRPr="00661465">
        <w:rPr>
          <w:sz w:val="24"/>
          <w:szCs w:val="24"/>
        </w:rPr>
        <w:t xml:space="preserve"> of</w:t>
      </w:r>
      <w:r w:rsidR="009A0EFC" w:rsidRPr="00661465">
        <w:rPr>
          <w:sz w:val="24"/>
          <w:szCs w:val="24"/>
        </w:rPr>
        <w:t xml:space="preserve"> its service model. This means an extension of the IDT’s services. </w:t>
      </w:r>
    </w:p>
    <w:p w14:paraId="41384E4F" w14:textId="77777777" w:rsidR="007C6B29" w:rsidRPr="00661465" w:rsidRDefault="007C6B29"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 xml:space="preserve"> A Built Environment Professional Consulting Service (BEPCS)</w:t>
      </w:r>
    </w:p>
    <w:p w14:paraId="2820FB13" w14:textId="77777777" w:rsidR="009A0EFC" w:rsidRPr="00661465" w:rsidRDefault="009A0EFC" w:rsidP="00CC0781">
      <w:pPr>
        <w:pStyle w:val="Text"/>
        <w:rPr>
          <w:sz w:val="24"/>
          <w:szCs w:val="24"/>
        </w:rPr>
      </w:pPr>
      <w:r w:rsidRPr="00661465">
        <w:rPr>
          <w:sz w:val="24"/>
          <w:szCs w:val="24"/>
        </w:rPr>
        <w:t xml:space="preserve">One of the new services is the establishment of the Built Environment Professional Consulting Services (BEPCS) function. This approach </w:t>
      </w:r>
      <w:r w:rsidR="00D53DED" w:rsidRPr="00661465">
        <w:rPr>
          <w:sz w:val="24"/>
          <w:szCs w:val="24"/>
        </w:rPr>
        <w:t xml:space="preserve">moves away from the outsourcing model to insourcing built environment professional consulting services that are located within the IDT structures. </w:t>
      </w:r>
      <w:r w:rsidR="0087290D" w:rsidRPr="00661465">
        <w:rPr>
          <w:sz w:val="24"/>
          <w:szCs w:val="24"/>
        </w:rPr>
        <w:t>The APP states that this would</w:t>
      </w:r>
      <w:r w:rsidRPr="00661465">
        <w:rPr>
          <w:sz w:val="24"/>
          <w:szCs w:val="24"/>
        </w:rPr>
        <w:t xml:space="preserve"> generate a new revenue stream. The function will be established as part of the delivery value chain within the IDT service delivery model. It is anticipated that the function will improve project level monitoring and cost management as well as revenue generation to strengthen the financial viability of the organisation.</w:t>
      </w:r>
      <w:bookmarkEnd w:id="12"/>
      <w:bookmarkEnd w:id="13"/>
      <w:bookmarkEnd w:id="14"/>
      <w:bookmarkEnd w:id="15"/>
      <w:bookmarkEnd w:id="16"/>
      <w:bookmarkEnd w:id="17"/>
      <w:r w:rsidRPr="00661465">
        <w:rPr>
          <w:sz w:val="24"/>
          <w:szCs w:val="24"/>
        </w:rPr>
        <w:t xml:space="preserve"> Milestones have been set in order to resource the BEPCS unit and solicit buy-in from the client departments and associated stakeholders.</w:t>
      </w:r>
    </w:p>
    <w:p w14:paraId="144CE198" w14:textId="77777777" w:rsidR="007C6B29" w:rsidRPr="00661465" w:rsidRDefault="009A0EFC" w:rsidP="00CC0781">
      <w:pPr>
        <w:pStyle w:val="Text"/>
        <w:rPr>
          <w:sz w:val="24"/>
          <w:szCs w:val="24"/>
        </w:rPr>
      </w:pPr>
      <w:r w:rsidRPr="00661465">
        <w:rPr>
          <w:sz w:val="24"/>
          <w:szCs w:val="24"/>
        </w:rPr>
        <w:t xml:space="preserve">In addition to the BEPCS, the IDT </w:t>
      </w:r>
      <w:r w:rsidR="007C6B29" w:rsidRPr="00661465">
        <w:rPr>
          <w:sz w:val="24"/>
          <w:szCs w:val="24"/>
        </w:rPr>
        <w:t>wants to provide</w:t>
      </w:r>
      <w:r w:rsidRPr="00661465">
        <w:rPr>
          <w:sz w:val="24"/>
          <w:szCs w:val="24"/>
        </w:rPr>
        <w:t xml:space="preserve"> property repairs and maintenance, post construction facility operation, emerging contractor development, and energy saving programmes</w:t>
      </w:r>
      <w:r w:rsidR="007C6B29" w:rsidRPr="00661465">
        <w:rPr>
          <w:sz w:val="24"/>
          <w:szCs w:val="24"/>
        </w:rPr>
        <w:t xml:space="preserve"> services as part of service linked to the infrastructure development value chain. </w:t>
      </w:r>
    </w:p>
    <w:p w14:paraId="647747F4" w14:textId="77777777" w:rsidR="009A0EFC" w:rsidRPr="00661465" w:rsidRDefault="009A0EFC" w:rsidP="00CC0781">
      <w:pPr>
        <w:pStyle w:val="Text"/>
        <w:rPr>
          <w:sz w:val="24"/>
          <w:szCs w:val="24"/>
        </w:rPr>
      </w:pPr>
      <w:r w:rsidRPr="00661465">
        <w:rPr>
          <w:sz w:val="24"/>
          <w:szCs w:val="24"/>
        </w:rPr>
        <w:t xml:space="preserve">The areas </w:t>
      </w:r>
      <w:r w:rsidR="007C6B29" w:rsidRPr="00661465">
        <w:rPr>
          <w:sz w:val="24"/>
          <w:szCs w:val="24"/>
        </w:rPr>
        <w:t>where further services are to be pursued</w:t>
      </w:r>
      <w:r w:rsidRPr="00661465">
        <w:rPr>
          <w:sz w:val="24"/>
          <w:szCs w:val="24"/>
        </w:rPr>
        <w:t xml:space="preserve"> include:</w:t>
      </w:r>
    </w:p>
    <w:p w14:paraId="4F103D46"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 xml:space="preserve">Early childhood development infrastructure. </w:t>
      </w:r>
    </w:p>
    <w:p w14:paraId="3D0B73E8"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 xml:space="preserve">Basic services infrastructure. </w:t>
      </w:r>
    </w:p>
    <w:p w14:paraId="7B6A5E13"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 xml:space="preserve">Student Accommodation and Facilities Management </w:t>
      </w:r>
    </w:p>
    <w:p w14:paraId="3AA7F417"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 xml:space="preserve">Community housing infrastructure. </w:t>
      </w:r>
    </w:p>
    <w:p w14:paraId="584BF37D"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 xml:space="preserve">Property repairs and maintenance. </w:t>
      </w:r>
    </w:p>
    <w:p w14:paraId="74C8FA25" w14:textId="77777777" w:rsidR="009A0EFC" w:rsidRPr="00661465" w:rsidRDefault="009A0EFC" w:rsidP="00CC0781">
      <w:pPr>
        <w:pStyle w:val="ListParagraph"/>
        <w:numPr>
          <w:ilvl w:val="0"/>
          <w:numId w:val="28"/>
        </w:numPr>
        <w:spacing w:before="80" w:after="80" w:line="300" w:lineRule="auto"/>
        <w:ind w:left="1077" w:hanging="652"/>
        <w:contextualSpacing w:val="0"/>
        <w:jc w:val="both"/>
      </w:pPr>
      <w:r w:rsidRPr="00661465">
        <w:t>Emerging contractor development.</w:t>
      </w:r>
    </w:p>
    <w:p w14:paraId="5D314152" w14:textId="77777777" w:rsidR="009A0EFC" w:rsidRPr="00661465" w:rsidRDefault="009A0EFC" w:rsidP="00CC0781">
      <w:pPr>
        <w:pStyle w:val="Text"/>
        <w:rPr>
          <w:sz w:val="24"/>
          <w:szCs w:val="24"/>
        </w:rPr>
      </w:pPr>
      <w:r w:rsidRPr="00661465">
        <w:rPr>
          <w:sz w:val="24"/>
          <w:szCs w:val="24"/>
        </w:rPr>
        <w:t>The establishment of the BEPCS function will require investment in additional office space facilities, equipment and systems, as well as</w:t>
      </w:r>
      <w:r w:rsidR="006B2849" w:rsidRPr="00661465">
        <w:rPr>
          <w:sz w:val="24"/>
          <w:szCs w:val="24"/>
        </w:rPr>
        <w:t xml:space="preserve"> the</w:t>
      </w:r>
      <w:r w:rsidRPr="00661465">
        <w:rPr>
          <w:sz w:val="24"/>
          <w:szCs w:val="24"/>
        </w:rPr>
        <w:t xml:space="preserve"> recruitment of the required built environment professionals. The additional revenue to be generated through these services, along with growth and stability in business portfolio through a multi-year implementation agency agreement with the national DPW among others, is expected to improve the current ailing financial sustainability position.</w:t>
      </w:r>
    </w:p>
    <w:p w14:paraId="45A3C593" w14:textId="77777777" w:rsidR="00661465" w:rsidRPr="00661465" w:rsidRDefault="009A0EFC" w:rsidP="00661465">
      <w:pPr>
        <w:pStyle w:val="Text"/>
        <w:rPr>
          <w:sz w:val="24"/>
          <w:szCs w:val="24"/>
        </w:rPr>
      </w:pPr>
      <w:r w:rsidRPr="00661465">
        <w:rPr>
          <w:sz w:val="24"/>
          <w:szCs w:val="24"/>
        </w:rPr>
        <w:lastRenderedPageBreak/>
        <w:t>Further, the IDT has engaged the national DPW with regard to a multi-year project allocation agreement to assist in securing a predictable business portfolio that will impro</w:t>
      </w:r>
      <w:r w:rsidR="00661465" w:rsidRPr="00661465">
        <w:rPr>
          <w:sz w:val="24"/>
          <w:szCs w:val="24"/>
        </w:rPr>
        <w:t>ve the IDT financial viability.</w:t>
      </w:r>
    </w:p>
    <w:p w14:paraId="36DF69A0" w14:textId="77777777" w:rsidR="004962F0" w:rsidRPr="00661465" w:rsidRDefault="004962F0"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Organisational Development towards a sustainable entity</w:t>
      </w:r>
    </w:p>
    <w:p w14:paraId="33E3F512" w14:textId="77777777" w:rsidR="004962F0" w:rsidRPr="00661465" w:rsidRDefault="004962F0" w:rsidP="00CC0781">
      <w:pPr>
        <w:tabs>
          <w:tab w:val="left" w:pos="15168"/>
        </w:tabs>
        <w:spacing w:before="220" w:after="220" w:line="360" w:lineRule="auto"/>
        <w:jc w:val="both"/>
        <w:rPr>
          <w:rFonts w:ascii="Times New Roman" w:hAnsi="Times New Roman" w:cs="Times New Roman"/>
          <w:color w:val="00B050"/>
          <w:sz w:val="24"/>
          <w:szCs w:val="24"/>
        </w:rPr>
      </w:pPr>
      <w:r w:rsidRPr="00661465">
        <w:rPr>
          <w:rFonts w:ascii="Times New Roman" w:hAnsi="Times New Roman" w:cs="Times New Roman"/>
          <w:sz w:val="24"/>
          <w:szCs w:val="24"/>
        </w:rPr>
        <w:t>More than 55 individuals left the IDT as a result of the implementation of the OD process during the 2017/18 financial year.  The IDT’s staff compliment as at the end March 2018 stood at 303 positions filled</w:t>
      </w:r>
      <w:r w:rsidRPr="00661465">
        <w:rPr>
          <w:rFonts w:ascii="Times New Roman" w:hAnsi="Times New Roman" w:cs="Times New Roman"/>
          <w:color w:val="FF0000"/>
          <w:sz w:val="24"/>
          <w:szCs w:val="24"/>
        </w:rPr>
        <w:t xml:space="preserve">.  </w:t>
      </w:r>
    </w:p>
    <w:p w14:paraId="4B3D7420" w14:textId="77777777" w:rsidR="004962F0" w:rsidRPr="00661465" w:rsidRDefault="004962F0" w:rsidP="00CC0781">
      <w:pPr>
        <w:pStyle w:val="Text"/>
        <w:rPr>
          <w:sz w:val="24"/>
          <w:szCs w:val="24"/>
        </w:rPr>
      </w:pPr>
      <w:r w:rsidRPr="00661465">
        <w:rPr>
          <w:sz w:val="24"/>
          <w:szCs w:val="24"/>
        </w:rPr>
        <w:t>The OD process was informed by following principles:</w:t>
      </w:r>
    </w:p>
    <w:p w14:paraId="0F9CDF7F" w14:textId="77777777" w:rsidR="004962F0" w:rsidRPr="00661465" w:rsidRDefault="004962F0" w:rsidP="00CC0781">
      <w:pPr>
        <w:pStyle w:val="ListParagraph"/>
        <w:numPr>
          <w:ilvl w:val="0"/>
          <w:numId w:val="28"/>
        </w:numPr>
        <w:spacing w:before="220" w:after="220" w:line="360" w:lineRule="auto"/>
        <w:ind w:left="567" w:hanging="425"/>
        <w:jc w:val="both"/>
      </w:pPr>
      <w:r w:rsidRPr="00661465">
        <w:t>Eradication of functional duplications in the regions and national office.</w:t>
      </w:r>
    </w:p>
    <w:p w14:paraId="1036C5E2" w14:textId="77777777" w:rsidR="004962F0" w:rsidRPr="00661465" w:rsidRDefault="004962F0" w:rsidP="00CC0781">
      <w:pPr>
        <w:pStyle w:val="ListParagraph"/>
        <w:numPr>
          <w:ilvl w:val="0"/>
          <w:numId w:val="28"/>
        </w:numPr>
        <w:spacing w:before="220" w:after="220" w:line="360" w:lineRule="auto"/>
        <w:ind w:left="567" w:hanging="425"/>
        <w:jc w:val="both"/>
      </w:pPr>
      <w:r w:rsidRPr="00661465">
        <w:t>Clear demarcation and definition of roles between national office and regional offices.</w:t>
      </w:r>
    </w:p>
    <w:p w14:paraId="2052322A" w14:textId="77777777" w:rsidR="004962F0" w:rsidRPr="00661465" w:rsidRDefault="004962F0" w:rsidP="00CC0781">
      <w:pPr>
        <w:pStyle w:val="ListParagraph"/>
        <w:numPr>
          <w:ilvl w:val="0"/>
          <w:numId w:val="28"/>
        </w:numPr>
        <w:spacing w:before="220" w:after="220" w:line="360" w:lineRule="auto"/>
        <w:ind w:left="567" w:hanging="425"/>
        <w:jc w:val="both"/>
      </w:pPr>
      <w:r w:rsidRPr="00661465">
        <w:t>Implementation of a leaner head office structure with more capacity located at a delivery level, i.e. regional office.</w:t>
      </w:r>
    </w:p>
    <w:p w14:paraId="0C5B3E8B" w14:textId="77777777" w:rsidR="004962F0" w:rsidRPr="00661465" w:rsidRDefault="004962F0" w:rsidP="00CC0781">
      <w:pPr>
        <w:pStyle w:val="ListParagraph"/>
        <w:numPr>
          <w:ilvl w:val="0"/>
          <w:numId w:val="28"/>
        </w:numPr>
        <w:spacing w:before="220" w:after="220" w:line="360" w:lineRule="auto"/>
        <w:ind w:left="567" w:hanging="425"/>
        <w:jc w:val="both"/>
      </w:pPr>
      <w:r w:rsidRPr="00661465">
        <w:t>National office will focus on developing norms and standards as well as governance and control.</w:t>
      </w:r>
    </w:p>
    <w:p w14:paraId="237B0056" w14:textId="77777777" w:rsidR="004962F0" w:rsidRPr="00661465" w:rsidRDefault="004962F0" w:rsidP="00CC0781">
      <w:pPr>
        <w:pStyle w:val="ListParagraph"/>
        <w:numPr>
          <w:ilvl w:val="0"/>
          <w:numId w:val="28"/>
        </w:numPr>
        <w:spacing w:before="220" w:after="220" w:line="360" w:lineRule="auto"/>
        <w:ind w:left="567" w:hanging="425"/>
        <w:jc w:val="both"/>
      </w:pPr>
      <w:r w:rsidRPr="00661465">
        <w:t>Insourcing of built environment professional services.</w:t>
      </w:r>
    </w:p>
    <w:p w14:paraId="40C8B2AB" w14:textId="77777777" w:rsidR="004962F0" w:rsidRPr="00661465" w:rsidRDefault="004962F0" w:rsidP="00CC0781">
      <w:pPr>
        <w:pStyle w:val="ListParagraph"/>
        <w:numPr>
          <w:ilvl w:val="0"/>
          <w:numId w:val="28"/>
        </w:numPr>
        <w:spacing w:before="220" w:after="220" w:line="360" w:lineRule="auto"/>
        <w:ind w:left="567" w:hanging="425"/>
        <w:jc w:val="both"/>
      </w:pPr>
      <w:r w:rsidRPr="00661465">
        <w:t xml:space="preserve">Effective empowerment of regional offices to meet client needs and stakeholder expectations. </w:t>
      </w:r>
    </w:p>
    <w:p w14:paraId="6E7B1246" w14:textId="77777777" w:rsidR="004962F0" w:rsidRPr="00661465" w:rsidRDefault="004962F0" w:rsidP="00CC0781">
      <w:pPr>
        <w:pStyle w:val="ListParagraph"/>
        <w:numPr>
          <w:ilvl w:val="0"/>
          <w:numId w:val="28"/>
        </w:numPr>
        <w:spacing w:before="220" w:after="220" w:line="360" w:lineRule="auto"/>
        <w:ind w:left="567" w:hanging="425"/>
        <w:jc w:val="both"/>
      </w:pPr>
      <w:r w:rsidRPr="00661465">
        <w:t>Devolving identified functions to the regional level to strengthen compliance and controls.</w:t>
      </w:r>
    </w:p>
    <w:p w14:paraId="02790490" w14:textId="77777777" w:rsidR="004962F0" w:rsidRPr="00661465" w:rsidRDefault="004962F0" w:rsidP="00CC0781">
      <w:pPr>
        <w:pStyle w:val="ListParagraph"/>
        <w:numPr>
          <w:ilvl w:val="0"/>
          <w:numId w:val="28"/>
        </w:numPr>
        <w:spacing w:before="220" w:after="220" w:line="360" w:lineRule="auto"/>
        <w:ind w:left="567" w:hanging="425"/>
        <w:jc w:val="both"/>
      </w:pPr>
      <w:r w:rsidRPr="00661465">
        <w:t>Demarcation of activities between back office and front office to improve efficiencies and responsiveness.</w:t>
      </w:r>
    </w:p>
    <w:p w14:paraId="77B0C8F9" w14:textId="77777777" w:rsidR="004962F0" w:rsidRPr="00661465" w:rsidRDefault="004962F0" w:rsidP="00CC0781">
      <w:pPr>
        <w:pStyle w:val="ListParagraph"/>
        <w:numPr>
          <w:ilvl w:val="0"/>
          <w:numId w:val="28"/>
        </w:numPr>
        <w:spacing w:before="220" w:after="220" w:line="360" w:lineRule="auto"/>
        <w:ind w:left="567" w:hanging="425"/>
        <w:jc w:val="both"/>
      </w:pPr>
      <w:r w:rsidRPr="00661465">
        <w:t>Maintaining a healthy ratio between the administration and technical personnel.</w:t>
      </w:r>
    </w:p>
    <w:p w14:paraId="541AEF4B" w14:textId="77777777" w:rsidR="004962F0" w:rsidRPr="00661465" w:rsidRDefault="004962F0" w:rsidP="00CC0781">
      <w:pPr>
        <w:pStyle w:val="ListParagraph"/>
        <w:numPr>
          <w:ilvl w:val="0"/>
          <w:numId w:val="28"/>
        </w:numPr>
        <w:spacing w:before="220" w:after="220" w:line="360" w:lineRule="auto"/>
        <w:ind w:left="567" w:hanging="425"/>
        <w:jc w:val="both"/>
      </w:pPr>
      <w:r w:rsidRPr="00661465">
        <w:t>Emphasis on client centred approach, operational excellence and relevance, and results based culture.</w:t>
      </w:r>
    </w:p>
    <w:p w14:paraId="285B0450" w14:textId="77777777" w:rsidR="00494CF5" w:rsidRPr="00661465" w:rsidRDefault="00494CF5" w:rsidP="00CC0781">
      <w:pPr>
        <w:pStyle w:val="Text"/>
        <w:rPr>
          <w:sz w:val="24"/>
          <w:szCs w:val="24"/>
        </w:rPr>
      </w:pPr>
      <w:r w:rsidRPr="00661465">
        <w:rPr>
          <w:sz w:val="24"/>
          <w:szCs w:val="24"/>
        </w:rPr>
        <w:t>Over the last five years, the IDT has not been able to invest in programme and project management systems due to financial constraints. This has resulted in the entity falling behind its competitors on efficiencies and its processes.</w:t>
      </w:r>
    </w:p>
    <w:p w14:paraId="46C13266" w14:textId="77777777" w:rsidR="00494CF5" w:rsidRPr="00661465" w:rsidRDefault="00494CF5" w:rsidP="00CC0781">
      <w:pPr>
        <w:pStyle w:val="Text"/>
        <w:rPr>
          <w:sz w:val="24"/>
          <w:szCs w:val="24"/>
        </w:rPr>
      </w:pPr>
      <w:r w:rsidRPr="00661465">
        <w:rPr>
          <w:sz w:val="24"/>
          <w:szCs w:val="24"/>
        </w:rPr>
        <w:t xml:space="preserve">The existing system capabilities are inadequate to meet the current infrastructure programme and project management, monitoring and reporting demands. With the IDT managing over R5 billion a year of public social infrastructure projects and taking into account the growing </w:t>
      </w:r>
      <w:r w:rsidRPr="00661465">
        <w:rPr>
          <w:sz w:val="24"/>
          <w:szCs w:val="24"/>
        </w:rPr>
        <w:lastRenderedPageBreak/>
        <w:t>demands for improved planning, monitoring and reporting in social infrastructure delivery, it is thus necessary that the IDT invests in robust programme and project management systems.</w:t>
      </w:r>
    </w:p>
    <w:p w14:paraId="7CB75BE0" w14:textId="77777777" w:rsidR="00494CF5" w:rsidRPr="00661465" w:rsidRDefault="00494CF5" w:rsidP="00CC0781">
      <w:pPr>
        <w:pStyle w:val="Text"/>
        <w:rPr>
          <w:sz w:val="24"/>
          <w:szCs w:val="24"/>
        </w:rPr>
      </w:pPr>
      <w:r w:rsidRPr="00661465">
        <w:rPr>
          <w:sz w:val="24"/>
          <w:szCs w:val="24"/>
        </w:rPr>
        <w:t>This process is anticipated to take an extended period to implement and requires significant resources which are currently not available. In the short-term, the IDT will upgrade its current systems while processes are underway to secure resources to invest in a comprehensive Programme/Project Management Information System (PPMIS).</w:t>
      </w:r>
    </w:p>
    <w:p w14:paraId="214CA500" w14:textId="77777777" w:rsidR="00494CF5" w:rsidRPr="00661465" w:rsidRDefault="00494CF5" w:rsidP="00CC0781">
      <w:pPr>
        <w:pStyle w:val="Text"/>
        <w:rPr>
          <w:sz w:val="24"/>
          <w:szCs w:val="24"/>
        </w:rPr>
      </w:pPr>
      <w:r w:rsidRPr="00661465">
        <w:rPr>
          <w:sz w:val="24"/>
          <w:szCs w:val="24"/>
        </w:rPr>
        <w:t>In addition to the upgrade of the PPMIS, the organisation will further undertake the following improvements in its operating environment:</w:t>
      </w:r>
    </w:p>
    <w:p w14:paraId="1462B7F6" w14:textId="77777777" w:rsidR="00494CF5" w:rsidRPr="00661465" w:rsidRDefault="00494CF5" w:rsidP="00CC0781">
      <w:pPr>
        <w:pStyle w:val="ListParagraph"/>
        <w:numPr>
          <w:ilvl w:val="0"/>
          <w:numId w:val="29"/>
        </w:numPr>
        <w:tabs>
          <w:tab w:val="left" w:pos="15168"/>
        </w:tabs>
        <w:spacing w:before="120" w:after="120" w:line="300" w:lineRule="auto"/>
        <w:ind w:left="714" w:hanging="357"/>
        <w:contextualSpacing w:val="0"/>
        <w:jc w:val="both"/>
      </w:pPr>
      <w:r w:rsidRPr="00661465">
        <w:t>Address deficiencies in programme implementation controls and practice.</w:t>
      </w:r>
    </w:p>
    <w:p w14:paraId="2A380C5E" w14:textId="77777777" w:rsidR="00494CF5" w:rsidRPr="00661465" w:rsidRDefault="00494CF5" w:rsidP="00CC0781">
      <w:pPr>
        <w:pStyle w:val="ListParagraph"/>
        <w:numPr>
          <w:ilvl w:val="0"/>
          <w:numId w:val="29"/>
        </w:numPr>
        <w:tabs>
          <w:tab w:val="left" w:pos="15168"/>
        </w:tabs>
        <w:spacing w:before="120" w:after="120" w:line="300" w:lineRule="auto"/>
        <w:ind w:left="714" w:hanging="357"/>
        <w:contextualSpacing w:val="0"/>
        <w:jc w:val="both"/>
      </w:pPr>
      <w:r w:rsidRPr="00661465">
        <w:t>Undertake process re-engineering and mapping to institutionalise process and cost efficiency, facilitate integration, team work and alignment with the organisational structure.</w:t>
      </w:r>
    </w:p>
    <w:p w14:paraId="433F4E3C" w14:textId="77777777" w:rsidR="00494CF5" w:rsidRPr="00661465" w:rsidRDefault="00494CF5" w:rsidP="00CC0781">
      <w:pPr>
        <w:pStyle w:val="ListParagraph"/>
        <w:numPr>
          <w:ilvl w:val="0"/>
          <w:numId w:val="29"/>
        </w:numPr>
        <w:tabs>
          <w:tab w:val="left" w:pos="15168"/>
        </w:tabs>
        <w:spacing w:before="120" w:after="120" w:line="300" w:lineRule="auto"/>
        <w:ind w:left="714" w:hanging="357"/>
        <w:contextualSpacing w:val="0"/>
        <w:jc w:val="both"/>
      </w:pPr>
      <w:r w:rsidRPr="00661465">
        <w:t>Streamline supply chain management, i.e. introduce panels for identified service categories, and review the Supply Chain Management (SCM) policy to align with the Standard for Infrastructure Procurement and Delivery Management.</w:t>
      </w:r>
    </w:p>
    <w:p w14:paraId="6EA936B3" w14:textId="77777777" w:rsidR="00494CF5" w:rsidRPr="00661465" w:rsidRDefault="00494CF5" w:rsidP="00CC0781">
      <w:pPr>
        <w:pStyle w:val="ListParagraph"/>
        <w:numPr>
          <w:ilvl w:val="0"/>
          <w:numId w:val="29"/>
        </w:numPr>
        <w:tabs>
          <w:tab w:val="left" w:pos="15168"/>
        </w:tabs>
        <w:spacing w:before="120" w:after="120" w:line="300" w:lineRule="auto"/>
        <w:ind w:left="714" w:hanging="357"/>
        <w:contextualSpacing w:val="0"/>
        <w:jc w:val="both"/>
      </w:pPr>
      <w:r w:rsidRPr="00661465">
        <w:t>Reviewing programme delivery management processes to align with the Infrastructure Delivery Management System (IDMS).</w:t>
      </w:r>
    </w:p>
    <w:p w14:paraId="6CA4683C" w14:textId="77777777" w:rsidR="00494CF5" w:rsidRPr="00661465" w:rsidRDefault="00494CF5" w:rsidP="00CC0781">
      <w:pPr>
        <w:pStyle w:val="ListParagraph"/>
        <w:numPr>
          <w:ilvl w:val="0"/>
          <w:numId w:val="29"/>
        </w:numPr>
        <w:tabs>
          <w:tab w:val="left" w:pos="15168"/>
        </w:tabs>
        <w:spacing w:before="120" w:after="120" w:line="300" w:lineRule="auto"/>
        <w:ind w:left="714" w:hanging="357"/>
        <w:contextualSpacing w:val="0"/>
        <w:jc w:val="both"/>
      </w:pPr>
      <w:r w:rsidRPr="00661465">
        <w:t>Review the contracting model in order to attain equitable distribution of project executions risks. This involves reviewing and streamlining contracts management instruments such as tender templates and built environment service provider contracting standard tools Joint Building Contracts Committee (JBCC) for contractors and Professional Client/Consultant Services Agreements Committee (PROCSA) for professionals to address contracting shortcomings such as risk distribution, variation order management and approval delegations, and incorporate the requirements of the PPPFA regulations (2017).</w:t>
      </w:r>
    </w:p>
    <w:p w14:paraId="7A3FC5B2" w14:textId="77777777" w:rsidR="008151B1" w:rsidRPr="00661465" w:rsidRDefault="008151B1" w:rsidP="00CC0781">
      <w:pPr>
        <w:pStyle w:val="Heading2"/>
        <w:spacing w:before="480" w:after="220" w:line="360" w:lineRule="auto"/>
        <w:jc w:val="both"/>
        <w:rPr>
          <w:rFonts w:ascii="Times New Roman" w:hAnsi="Times New Roman" w:cs="Times New Roman"/>
          <w:b/>
          <w:color w:val="auto"/>
          <w:sz w:val="24"/>
          <w:szCs w:val="24"/>
        </w:rPr>
      </w:pPr>
      <w:bookmarkStart w:id="18" w:name="_Toc498094370"/>
      <w:bookmarkStart w:id="19" w:name="_Toc498359474"/>
      <w:bookmarkStart w:id="20" w:name="_Toc536615971"/>
      <w:r w:rsidRPr="00661465">
        <w:rPr>
          <w:rFonts w:ascii="Times New Roman" w:hAnsi="Times New Roman" w:cs="Times New Roman"/>
          <w:b/>
          <w:color w:val="auto"/>
          <w:sz w:val="24"/>
          <w:szCs w:val="24"/>
        </w:rPr>
        <w:t>Performance environment</w:t>
      </w:r>
      <w:bookmarkEnd w:id="18"/>
      <w:bookmarkEnd w:id="19"/>
      <w:bookmarkEnd w:id="20"/>
    </w:p>
    <w:p w14:paraId="7B904043" w14:textId="77777777" w:rsidR="008151B1" w:rsidRPr="00661465" w:rsidRDefault="008151B1" w:rsidP="00CC0781">
      <w:pPr>
        <w:tabs>
          <w:tab w:val="left" w:pos="15168"/>
        </w:tabs>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The IDT’s primary problem has been the erosion of its delivery capabilities over the last five years. Client dissatisfaction grew year after year as complaints and concerns remained unresolved notwithstanding commitments of intervention by the IDT.  Furthermore, the tight fiscal environment and public sector budget cuts led to a decline in the IDT’s business portfolio. An assessment of root causes for the decline in performance levels has identified the following main contributors:</w:t>
      </w:r>
    </w:p>
    <w:p w14:paraId="67FE3B41" w14:textId="77777777" w:rsidR="008151B1" w:rsidRPr="00661465" w:rsidRDefault="008151B1" w:rsidP="00CC0781">
      <w:pPr>
        <w:pStyle w:val="ListParagraph"/>
        <w:numPr>
          <w:ilvl w:val="0"/>
          <w:numId w:val="29"/>
        </w:numPr>
        <w:tabs>
          <w:tab w:val="left" w:pos="15168"/>
        </w:tabs>
        <w:spacing w:before="120" w:after="120" w:line="300" w:lineRule="auto"/>
        <w:ind w:left="567" w:hanging="567"/>
        <w:contextualSpacing w:val="0"/>
        <w:jc w:val="both"/>
      </w:pPr>
      <w:r w:rsidRPr="00661465">
        <w:t>Leadership and management lapses evidenced by gaps in performance management and poor resourcing of the organisation.</w:t>
      </w:r>
    </w:p>
    <w:p w14:paraId="1F3422A1" w14:textId="77777777" w:rsidR="008151B1" w:rsidRPr="00661465" w:rsidRDefault="008151B1" w:rsidP="00CC0781">
      <w:pPr>
        <w:pStyle w:val="ListParagraph"/>
        <w:numPr>
          <w:ilvl w:val="0"/>
          <w:numId w:val="29"/>
        </w:numPr>
        <w:tabs>
          <w:tab w:val="left" w:pos="15168"/>
        </w:tabs>
        <w:spacing w:before="120" w:after="120" w:line="300" w:lineRule="auto"/>
        <w:ind w:left="567" w:hanging="567"/>
        <w:contextualSpacing w:val="0"/>
        <w:jc w:val="both"/>
      </w:pPr>
      <w:r w:rsidRPr="00661465">
        <w:t>Outdated business systems and inefficient processes impacting on the efficacy of service delivery.</w:t>
      </w:r>
    </w:p>
    <w:p w14:paraId="2E213130" w14:textId="77777777" w:rsidR="008151B1" w:rsidRPr="00661465" w:rsidRDefault="008151B1" w:rsidP="00CC0781">
      <w:pPr>
        <w:pStyle w:val="ListParagraph"/>
        <w:numPr>
          <w:ilvl w:val="0"/>
          <w:numId w:val="29"/>
        </w:numPr>
        <w:tabs>
          <w:tab w:val="left" w:pos="15168"/>
        </w:tabs>
        <w:spacing w:before="120" w:after="120" w:line="300" w:lineRule="auto"/>
        <w:ind w:left="567" w:hanging="567"/>
        <w:contextualSpacing w:val="0"/>
        <w:jc w:val="both"/>
      </w:pPr>
      <w:r w:rsidRPr="00661465">
        <w:t>Inappropriate and outdated organisational structure i.e. top heavy and not aligned to the needs of the IDT business.</w:t>
      </w:r>
    </w:p>
    <w:p w14:paraId="4A68C8D7" w14:textId="77777777" w:rsidR="008151B1" w:rsidRPr="00661465" w:rsidRDefault="008151B1" w:rsidP="00CC0781">
      <w:pPr>
        <w:pStyle w:val="ListParagraph"/>
        <w:numPr>
          <w:ilvl w:val="0"/>
          <w:numId w:val="29"/>
        </w:numPr>
        <w:tabs>
          <w:tab w:val="left" w:pos="15168"/>
        </w:tabs>
        <w:spacing w:before="120" w:after="120" w:line="300" w:lineRule="auto"/>
        <w:ind w:left="567" w:hanging="567"/>
        <w:contextualSpacing w:val="0"/>
        <w:jc w:val="both"/>
      </w:pPr>
      <w:r w:rsidRPr="00661465">
        <w:t>Weaknesses in oversight particularly relating to corporate performance and regulatory compliance.</w:t>
      </w:r>
    </w:p>
    <w:p w14:paraId="30EDC81B" w14:textId="77777777" w:rsidR="008151B1" w:rsidRPr="00661465" w:rsidRDefault="008151B1" w:rsidP="00CC0781">
      <w:pPr>
        <w:pStyle w:val="ListParagraph"/>
        <w:numPr>
          <w:ilvl w:val="0"/>
          <w:numId w:val="29"/>
        </w:numPr>
        <w:tabs>
          <w:tab w:val="left" w:pos="15168"/>
        </w:tabs>
        <w:spacing w:before="120" w:after="120" w:line="300" w:lineRule="auto"/>
        <w:ind w:left="567" w:hanging="567"/>
        <w:contextualSpacing w:val="0"/>
        <w:jc w:val="both"/>
      </w:pPr>
      <w:r w:rsidRPr="00661465">
        <w:t>Indecision relating to the strategic direction and positioning of the IDT.</w:t>
      </w:r>
    </w:p>
    <w:p w14:paraId="2D229225" w14:textId="77777777" w:rsidR="008151B1" w:rsidRPr="00661465" w:rsidRDefault="008151B1" w:rsidP="00CC0781">
      <w:pPr>
        <w:tabs>
          <w:tab w:val="left" w:pos="15168"/>
        </w:tabs>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The Board and Executive Authority initiated the development of an Operating Model and Turnaround Plan. The Turnaround Plan addresses the root causes of the IDT’s performance challenges, most of which are in the control of the organisation. The organisation will also direct some of its efforts towards influencing external factors and mitigating environmental risks that have an impact on the IDT’s business.  These include the relationship between the IDT and the State, the regulatory framework, particularly as it relates to social infrastructure delivery, the fiscal environment and general state of economy, as well as the socio-political conditions.</w:t>
      </w:r>
    </w:p>
    <w:p w14:paraId="224D6338" w14:textId="77777777" w:rsidR="009218B1" w:rsidRDefault="009218B1" w:rsidP="00CC0781">
      <w:pPr>
        <w:spacing w:before="360" w:after="220" w:line="360" w:lineRule="auto"/>
        <w:jc w:val="both"/>
        <w:rPr>
          <w:rFonts w:ascii="Times New Roman" w:hAnsi="Times New Roman" w:cs="Times New Roman"/>
          <w:b/>
          <w:sz w:val="24"/>
          <w:szCs w:val="24"/>
        </w:rPr>
      </w:pPr>
    </w:p>
    <w:p w14:paraId="0DE423A7" w14:textId="77777777" w:rsidR="008151B1" w:rsidRPr="00661465" w:rsidRDefault="008151B1" w:rsidP="00CC0781">
      <w:pPr>
        <w:spacing w:before="360" w:after="22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Audit Outcome</w:t>
      </w:r>
    </w:p>
    <w:p w14:paraId="04387C03" w14:textId="77777777" w:rsidR="008151B1" w:rsidRPr="00661465" w:rsidRDefault="008151B1" w:rsidP="00CC0781">
      <w:pPr>
        <w:tabs>
          <w:tab w:val="left" w:pos="15168"/>
        </w:tabs>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 xml:space="preserve">The IDT has obtained a disclaimed audit opinion for the three consecutive years. </w:t>
      </w:r>
      <w:r w:rsidRPr="00661465">
        <w:rPr>
          <w:rFonts w:ascii="Times New Roman" w:eastAsiaTheme="minorEastAsia" w:hAnsi="Times New Roman" w:cs="Times New Roman"/>
          <w:sz w:val="24"/>
          <w:szCs w:val="24"/>
        </w:rPr>
        <w:t>The contributing factors to the previous disclaimer opinions in prior financial years</w:t>
      </w:r>
      <w:r w:rsidRPr="00661465">
        <w:rPr>
          <w:rFonts w:ascii="Times New Roman" w:hAnsi="Times New Roman" w:cs="Times New Roman"/>
          <w:sz w:val="24"/>
          <w:szCs w:val="24"/>
        </w:rPr>
        <w:t xml:space="preserve"> have all been addressed; i.e. r</w:t>
      </w:r>
      <w:r w:rsidRPr="00661465">
        <w:rPr>
          <w:rFonts w:ascii="Times New Roman" w:eastAsiaTheme="minorEastAsia" w:hAnsi="Times New Roman" w:cs="Times New Roman"/>
          <w:sz w:val="24"/>
          <w:szCs w:val="24"/>
        </w:rPr>
        <w:t>econciliation of programme balances, liabilities and receivables as a result of take-on balances created due to a system migration during the 2012/13 financial year;</w:t>
      </w:r>
      <w:r w:rsidRPr="00661465">
        <w:rPr>
          <w:rFonts w:ascii="Times New Roman" w:hAnsi="Times New Roman" w:cs="Times New Roman"/>
          <w:sz w:val="24"/>
          <w:szCs w:val="24"/>
        </w:rPr>
        <w:t xml:space="preserve"> p</w:t>
      </w:r>
      <w:r w:rsidRPr="00661465">
        <w:rPr>
          <w:rFonts w:ascii="Times New Roman" w:eastAsiaTheme="minorEastAsia" w:hAnsi="Times New Roman" w:cs="Times New Roman"/>
          <w:sz w:val="24"/>
          <w:szCs w:val="24"/>
        </w:rPr>
        <w:t>rovision for impairment on receivables;</w:t>
      </w:r>
      <w:r w:rsidRPr="00661465">
        <w:rPr>
          <w:rFonts w:ascii="Times New Roman" w:hAnsi="Times New Roman" w:cs="Times New Roman"/>
          <w:sz w:val="24"/>
          <w:szCs w:val="24"/>
        </w:rPr>
        <w:t xml:space="preserve"> a</w:t>
      </w:r>
      <w:r w:rsidRPr="00661465">
        <w:rPr>
          <w:rFonts w:ascii="Times New Roman" w:eastAsiaTheme="minorEastAsia" w:hAnsi="Times New Roman" w:cs="Times New Roman"/>
          <w:sz w:val="24"/>
          <w:szCs w:val="24"/>
        </w:rPr>
        <w:t>ccruals of management fees on retention balances; and</w:t>
      </w:r>
      <w:r w:rsidRPr="00661465">
        <w:rPr>
          <w:rFonts w:ascii="Times New Roman" w:hAnsi="Times New Roman" w:cs="Times New Roman"/>
          <w:sz w:val="24"/>
          <w:szCs w:val="24"/>
        </w:rPr>
        <w:t xml:space="preserve"> o</w:t>
      </w:r>
      <w:r w:rsidRPr="00661465">
        <w:rPr>
          <w:rFonts w:ascii="Times New Roman" w:eastAsiaTheme="minorEastAsia" w:hAnsi="Times New Roman" w:cs="Times New Roman"/>
          <w:sz w:val="24"/>
          <w:szCs w:val="24"/>
        </w:rPr>
        <w:t>verlapping of payment certificates between financial years for contractors.  Despite the progress made, t</w:t>
      </w:r>
      <w:r w:rsidRPr="00661465">
        <w:rPr>
          <w:rFonts w:ascii="Times New Roman" w:hAnsi="Times New Roman" w:cs="Times New Roman"/>
          <w:sz w:val="24"/>
          <w:szCs w:val="24"/>
        </w:rPr>
        <w:t>he IDT has obtained a disclaimed audit opinion for the 2017/18 audit. The specific reasons leading to the opinion are as follows:</w:t>
      </w:r>
    </w:p>
    <w:p w14:paraId="05FA375D" w14:textId="77777777" w:rsidR="008151B1" w:rsidRPr="00661465" w:rsidRDefault="008151B1" w:rsidP="00CC0781">
      <w:pPr>
        <w:numPr>
          <w:ilvl w:val="0"/>
          <w:numId w:val="31"/>
        </w:numPr>
        <w:tabs>
          <w:tab w:val="left" w:pos="15168"/>
        </w:tabs>
        <w:spacing w:before="80" w:after="80" w:line="360" w:lineRule="auto"/>
        <w:ind w:left="714" w:hanging="357"/>
        <w:jc w:val="both"/>
        <w:rPr>
          <w:rFonts w:ascii="Times New Roman" w:hAnsi="Times New Roman" w:cs="Times New Roman"/>
          <w:sz w:val="24"/>
          <w:szCs w:val="24"/>
        </w:rPr>
      </w:pPr>
      <w:r w:rsidRPr="00661465">
        <w:rPr>
          <w:rFonts w:ascii="Times New Roman" w:hAnsi="Times New Roman" w:cs="Times New Roman"/>
          <w:b/>
          <w:bCs/>
          <w:sz w:val="24"/>
          <w:szCs w:val="24"/>
        </w:rPr>
        <w:t>Programme expenditure - cut off</w:t>
      </w:r>
      <w:r w:rsidRPr="00661465">
        <w:rPr>
          <w:rFonts w:ascii="Times New Roman" w:hAnsi="Times New Roman" w:cs="Times New Roman"/>
          <w:sz w:val="24"/>
          <w:szCs w:val="24"/>
        </w:rPr>
        <w:t>: Expenditure relating to other financial years incorrectly accounted for in 2017/18;</w:t>
      </w:r>
    </w:p>
    <w:p w14:paraId="6B2AAE12" w14:textId="77777777" w:rsidR="008151B1" w:rsidRPr="00661465" w:rsidRDefault="008151B1" w:rsidP="00CC0781">
      <w:pPr>
        <w:numPr>
          <w:ilvl w:val="0"/>
          <w:numId w:val="31"/>
        </w:numPr>
        <w:tabs>
          <w:tab w:val="left" w:pos="15168"/>
        </w:tabs>
        <w:spacing w:before="80" w:after="80" w:line="360" w:lineRule="auto"/>
        <w:ind w:left="714" w:hanging="357"/>
        <w:jc w:val="both"/>
        <w:rPr>
          <w:rFonts w:ascii="Times New Roman" w:hAnsi="Times New Roman" w:cs="Times New Roman"/>
          <w:sz w:val="24"/>
          <w:szCs w:val="24"/>
        </w:rPr>
      </w:pPr>
      <w:r w:rsidRPr="00661465">
        <w:rPr>
          <w:rFonts w:ascii="Times New Roman" w:hAnsi="Times New Roman" w:cs="Times New Roman"/>
          <w:b/>
          <w:bCs/>
          <w:sz w:val="24"/>
          <w:szCs w:val="24"/>
        </w:rPr>
        <w:t xml:space="preserve">NSS Programme expenditure </w:t>
      </w:r>
      <w:r w:rsidRPr="00661465">
        <w:rPr>
          <w:rFonts w:ascii="Times New Roman" w:hAnsi="Times New Roman" w:cs="Times New Roman"/>
          <w:sz w:val="24"/>
          <w:szCs w:val="24"/>
        </w:rPr>
        <w:t>- occurrence: there was no substantiating documents to confirm occurrence of programme expenditure on NSS programmes; and</w:t>
      </w:r>
    </w:p>
    <w:p w14:paraId="5F64C6B9" w14:textId="77777777" w:rsidR="008151B1" w:rsidRPr="00661465" w:rsidRDefault="008151B1" w:rsidP="00CC0781">
      <w:pPr>
        <w:numPr>
          <w:ilvl w:val="0"/>
          <w:numId w:val="31"/>
        </w:numPr>
        <w:tabs>
          <w:tab w:val="left" w:pos="15168"/>
        </w:tabs>
        <w:spacing w:before="80" w:after="80" w:line="360" w:lineRule="auto"/>
        <w:ind w:left="714" w:hanging="357"/>
        <w:jc w:val="both"/>
        <w:rPr>
          <w:rFonts w:ascii="Times New Roman" w:hAnsi="Times New Roman" w:cs="Times New Roman"/>
          <w:sz w:val="24"/>
          <w:szCs w:val="24"/>
        </w:rPr>
      </w:pPr>
      <w:r w:rsidRPr="00661465">
        <w:rPr>
          <w:rFonts w:ascii="Times New Roman" w:hAnsi="Times New Roman" w:cs="Times New Roman"/>
          <w:b/>
          <w:bCs/>
          <w:sz w:val="24"/>
          <w:szCs w:val="24"/>
        </w:rPr>
        <w:t>Programme expenditure - interest on late payments</w:t>
      </w:r>
      <w:r w:rsidRPr="00661465">
        <w:rPr>
          <w:rFonts w:ascii="Times New Roman" w:hAnsi="Times New Roman" w:cs="Times New Roman"/>
          <w:sz w:val="24"/>
          <w:szCs w:val="24"/>
        </w:rPr>
        <w:t xml:space="preserve">: Interest paid on late payments to contractors was not separately accounted for. </w:t>
      </w:r>
    </w:p>
    <w:p w14:paraId="38288D7C" w14:textId="77777777" w:rsidR="00661465" w:rsidRPr="00661465" w:rsidRDefault="008151B1" w:rsidP="001E5657">
      <w:pPr>
        <w:tabs>
          <w:tab w:val="left" w:pos="15168"/>
        </w:tabs>
        <w:spacing w:after="120" w:line="360" w:lineRule="auto"/>
        <w:ind w:left="357"/>
        <w:jc w:val="both"/>
        <w:rPr>
          <w:rFonts w:ascii="Times New Roman" w:hAnsi="Times New Roman" w:cs="Times New Roman"/>
          <w:sz w:val="24"/>
          <w:szCs w:val="24"/>
        </w:rPr>
      </w:pPr>
      <w:r w:rsidRPr="00661465">
        <w:rPr>
          <w:rFonts w:ascii="Times New Roman" w:eastAsiaTheme="minorEastAsia" w:hAnsi="Times New Roman" w:cs="Times New Roman"/>
          <w:sz w:val="24"/>
          <w:szCs w:val="24"/>
        </w:rPr>
        <w:t>Measures to Address Audit Disclaimer were developed and implementation is monitored on monthly basis.  These include e</w:t>
      </w:r>
      <w:r w:rsidRPr="00661465">
        <w:rPr>
          <w:rFonts w:ascii="Times New Roman" w:hAnsi="Times New Roman" w:cs="Times New Roman"/>
          <w:sz w:val="24"/>
          <w:szCs w:val="24"/>
        </w:rPr>
        <w:t>nforce the practice of monthly project certificates for PSPs as with contractors; implementing manual control measures to identify PSP payments accounted for in the incorrect financial year, a review of the value chain of the NSS programme standard operating procedures to improve the control environment to prevent and detect potential fraud.  These measures also include a process to review the IDT Accounting disclosure requirements holistically, rather than addressing disclai</w:t>
      </w:r>
      <w:r w:rsidR="00661465">
        <w:rPr>
          <w:rFonts w:ascii="Times New Roman" w:hAnsi="Times New Roman" w:cs="Times New Roman"/>
          <w:sz w:val="24"/>
          <w:szCs w:val="24"/>
        </w:rPr>
        <w:t>mer issues in isolation.</w:t>
      </w:r>
    </w:p>
    <w:p w14:paraId="06C8A591" w14:textId="77777777" w:rsidR="008151B1" w:rsidRPr="00661465" w:rsidRDefault="008151B1" w:rsidP="001E5657">
      <w:pPr>
        <w:spacing w:after="22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 xml:space="preserve">Service delivery environment </w:t>
      </w:r>
    </w:p>
    <w:p w14:paraId="5A846525" w14:textId="77777777" w:rsidR="008151B1" w:rsidRPr="00661465" w:rsidRDefault="008151B1" w:rsidP="00CC0781">
      <w:pPr>
        <w:tabs>
          <w:tab w:val="left" w:pos="15168"/>
        </w:tabs>
        <w:spacing w:after="0" w:line="360" w:lineRule="auto"/>
        <w:jc w:val="both"/>
        <w:rPr>
          <w:rFonts w:ascii="Times New Roman" w:hAnsi="Times New Roman" w:cs="Times New Roman"/>
          <w:sz w:val="24"/>
          <w:szCs w:val="24"/>
        </w:rPr>
      </w:pPr>
      <w:r w:rsidRPr="00661465">
        <w:rPr>
          <w:rFonts w:ascii="Times New Roman" w:hAnsi="Times New Roman" w:cs="Times New Roman"/>
          <w:sz w:val="24"/>
          <w:szCs w:val="24"/>
        </w:rPr>
        <w:t>Government faces persistent pressure from its citizens to deliver and sustain socio-economic transformation, growth and development. The following constitutes significant socio-economic factors impacting on the work of the IDT and the service delivery environment in general:</w:t>
      </w:r>
    </w:p>
    <w:p w14:paraId="2429227F"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High demands for jobs and economic opportunities in general and in the previously disadvantaged communities, especially in townships predominantly occupied by blacks, in rural areas, and in informal urban, peri-urban and mining settlements.</w:t>
      </w:r>
    </w:p>
    <w:p w14:paraId="591D24BF"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Pressures and high demands for new social infrastructure, especially in areas cited above.</w:t>
      </w:r>
    </w:p>
    <w:p w14:paraId="4E179F95"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Need to integrate connectivity of social infrastructure such as schools, libraries and community centres.</w:t>
      </w:r>
    </w:p>
    <w:p w14:paraId="7B51FC0E"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Eradication of the remaining backlogs in terms of human settlements and ancillary social infrastructure.</w:t>
      </w:r>
    </w:p>
    <w:p w14:paraId="133F98A1"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Demand for post-settlements support and facilities such as farming infrastructure e.g. fencing and pack houses, etc.</w:t>
      </w:r>
    </w:p>
    <w:p w14:paraId="09CF0F90"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Community demands for localisation of development benefits e.g. emphasis on local procurement of supplies for projects, use of local suppliers, and the creation and extension of job opportunities to local community members first.</w:t>
      </w:r>
    </w:p>
    <w:p w14:paraId="6794CE31" w14:textId="77777777" w:rsidR="008151B1" w:rsidRPr="00661465" w:rsidRDefault="008151B1" w:rsidP="00CC0781">
      <w:pPr>
        <w:pStyle w:val="ListParagraph"/>
        <w:numPr>
          <w:ilvl w:val="3"/>
          <w:numId w:val="30"/>
        </w:numPr>
        <w:tabs>
          <w:tab w:val="left" w:pos="15168"/>
        </w:tabs>
        <w:spacing w:before="120" w:after="120" w:line="300" w:lineRule="auto"/>
        <w:ind w:left="567" w:hanging="567"/>
        <w:contextualSpacing w:val="0"/>
        <w:jc w:val="both"/>
      </w:pPr>
      <w:r w:rsidRPr="00661465">
        <w:t>Demand for programmes that target the participation of women, youth and people with disabilities, e.g. contractor development programmes, as vehicles for promoting meaningful, inclusive and sustainable intra-generational prosperity.</w:t>
      </w:r>
    </w:p>
    <w:p w14:paraId="52B7278F" w14:textId="77777777" w:rsidR="008151B1" w:rsidRPr="00661465" w:rsidRDefault="008151B1" w:rsidP="00CC0781">
      <w:pPr>
        <w:tabs>
          <w:tab w:val="left" w:pos="15168"/>
        </w:tabs>
        <w:spacing w:before="220" w:after="220" w:line="360" w:lineRule="auto"/>
        <w:jc w:val="both"/>
        <w:rPr>
          <w:rFonts w:ascii="Times New Roman" w:hAnsi="Times New Roman" w:cs="Times New Roman"/>
          <w:sz w:val="24"/>
          <w:szCs w:val="24"/>
        </w:rPr>
      </w:pPr>
      <w:r w:rsidRPr="00661465">
        <w:rPr>
          <w:rFonts w:ascii="Times New Roman" w:eastAsiaTheme="majorEastAsia" w:hAnsi="Times New Roman" w:cs="Times New Roman"/>
          <w:bCs/>
          <w:sz w:val="24"/>
          <w:szCs w:val="24"/>
        </w:rPr>
        <w:t xml:space="preserve">In addition to these factors, delays in fund transfers between the IDT and client departments have and continue to impact on the IDT’s performance and delivery of programmes. This has led to the IDT failing to pay suppliers and creditors within the 30-day stipulated period. These payment delays have resulted in litigation against the IDT, creating a poor image and reputational damage to the entity. The resultant lower levels of programme expenditure has a negative impact on the IDT revenue as income is connected to the programme expenditure levels. </w:t>
      </w:r>
    </w:p>
    <w:p w14:paraId="57757928" w14:textId="77777777" w:rsidR="008151B1" w:rsidRPr="00661465" w:rsidRDefault="008151B1" w:rsidP="00CC0781">
      <w:pPr>
        <w:tabs>
          <w:tab w:val="left" w:pos="15168"/>
        </w:tabs>
        <w:spacing w:after="0" w:line="360" w:lineRule="auto"/>
        <w:jc w:val="both"/>
        <w:rPr>
          <w:rFonts w:ascii="Times New Roman" w:hAnsi="Times New Roman" w:cs="Times New Roman"/>
          <w:bCs/>
          <w:sz w:val="24"/>
          <w:szCs w:val="24"/>
        </w:rPr>
      </w:pPr>
      <w:r w:rsidRPr="00661465">
        <w:rPr>
          <w:rFonts w:ascii="Times New Roman" w:hAnsi="Times New Roman" w:cs="Times New Roman"/>
          <w:bCs/>
          <w:sz w:val="24"/>
          <w:szCs w:val="24"/>
        </w:rPr>
        <w:t>The need for the IDT to have a better appreciation of client needs remains high. Quick turnaround times for project and programme implementation, timeous payments to service providers, timeous and credible financial project reconciliations to enable clients to account for allocated funds, support in the audit process, visible site monitoring and facilitation of empowerment are among the top priorities of many clients.</w:t>
      </w:r>
    </w:p>
    <w:p w14:paraId="50B5D610" w14:textId="77777777" w:rsidR="008151B1" w:rsidRPr="00661465" w:rsidRDefault="005E08F4" w:rsidP="00CC0781">
      <w:pPr>
        <w:spacing w:before="360" w:after="220"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Analysis of performance – social infrastructure programmes</w:t>
      </w:r>
    </w:p>
    <w:p w14:paraId="6AE1F82E" w14:textId="77777777" w:rsidR="008151B1" w:rsidRPr="00661465" w:rsidRDefault="008151B1" w:rsidP="00CC0781">
      <w:pPr>
        <w:spacing w:after="0" w:line="360" w:lineRule="auto"/>
        <w:ind w:right="-96"/>
        <w:jc w:val="both"/>
        <w:rPr>
          <w:rFonts w:ascii="Times New Roman" w:eastAsia="Calibri" w:hAnsi="Times New Roman" w:cs="Times New Roman"/>
          <w:sz w:val="24"/>
          <w:szCs w:val="24"/>
        </w:rPr>
      </w:pPr>
      <w:r w:rsidRPr="00661465">
        <w:rPr>
          <w:rFonts w:ascii="Times New Roman" w:eastAsia="Calibri" w:hAnsi="Times New Roman" w:cs="Times New Roman"/>
          <w:sz w:val="24"/>
          <w:szCs w:val="24"/>
        </w:rPr>
        <w:t>The IDT provides development programme management services predominantly to government.  The bulk of the IDT portfolio is constituted by social infrastructure projects such as schools, clinics, hospitals and courts. About 85% of the IDT’s programmes are social infrastructure programmes with the remaining 15% spread in social development and public employment programmes. The IDT’s work is largely informed by the levels of backlogs in social infrastructure. Hence, the Eastern Cape, KwaZulu-Natal and Limpopo</w:t>
      </w:r>
      <w:r w:rsidRPr="00661465" w:rsidDel="00776E36">
        <w:rPr>
          <w:rFonts w:ascii="Times New Roman" w:eastAsia="Calibri" w:hAnsi="Times New Roman" w:cs="Times New Roman"/>
          <w:sz w:val="24"/>
          <w:szCs w:val="24"/>
        </w:rPr>
        <w:t xml:space="preserve"> </w:t>
      </w:r>
      <w:r w:rsidRPr="00661465">
        <w:rPr>
          <w:rFonts w:ascii="Times New Roman" w:eastAsia="Calibri" w:hAnsi="Times New Roman" w:cs="Times New Roman"/>
          <w:sz w:val="24"/>
          <w:szCs w:val="24"/>
        </w:rPr>
        <w:t>are the main contributors to the organisation’s programme expenditure.</w:t>
      </w:r>
    </w:p>
    <w:p w14:paraId="79FAEAC7" w14:textId="77777777" w:rsidR="00BB7909" w:rsidRPr="00661465" w:rsidRDefault="00BB7909" w:rsidP="00CC0781">
      <w:pPr>
        <w:spacing w:after="0" w:line="360" w:lineRule="auto"/>
        <w:ind w:right="-96"/>
        <w:jc w:val="both"/>
        <w:rPr>
          <w:rFonts w:ascii="Times New Roman" w:eastAsia="Calibri" w:hAnsi="Times New Roman" w:cs="Times New Roman"/>
          <w:sz w:val="24"/>
          <w:szCs w:val="24"/>
        </w:rPr>
      </w:pPr>
    </w:p>
    <w:tbl>
      <w:tblPr>
        <w:tblStyle w:val="TableGrid9"/>
        <w:tblW w:w="5471" w:type="pct"/>
        <w:tblInd w:w="-289" w:type="dxa"/>
        <w:shd w:val="clear" w:color="auto" w:fill="FFFFFF" w:themeFill="background1"/>
        <w:tblLook w:val="04A0" w:firstRow="1" w:lastRow="0" w:firstColumn="1" w:lastColumn="0" w:noHBand="0" w:noVBand="1"/>
      </w:tblPr>
      <w:tblGrid>
        <w:gridCol w:w="1513"/>
        <w:gridCol w:w="1541"/>
        <w:gridCol w:w="1452"/>
        <w:gridCol w:w="1628"/>
        <w:gridCol w:w="1487"/>
        <w:gridCol w:w="1388"/>
        <w:gridCol w:w="1104"/>
      </w:tblGrid>
      <w:tr w:rsidR="00487013" w:rsidRPr="001E5657" w14:paraId="6BF67597" w14:textId="77777777" w:rsidTr="00487013">
        <w:tc>
          <w:tcPr>
            <w:tcW w:w="748" w:type="pct"/>
            <w:shd w:val="clear" w:color="auto" w:fill="FFFFFF" w:themeFill="background1"/>
            <w:vAlign w:val="center"/>
          </w:tcPr>
          <w:p w14:paraId="2A0DCE0E" w14:textId="77777777" w:rsidR="00ED0317" w:rsidRPr="001E5657" w:rsidRDefault="00ED0317" w:rsidP="00CC0781">
            <w:pPr>
              <w:jc w:val="both"/>
              <w:rPr>
                <w:b/>
              </w:rPr>
            </w:pPr>
            <w:r w:rsidRPr="001E5657">
              <w:rPr>
                <w:b/>
              </w:rPr>
              <w:t>REGION</w:t>
            </w:r>
          </w:p>
        </w:tc>
        <w:tc>
          <w:tcPr>
            <w:tcW w:w="762" w:type="pct"/>
            <w:shd w:val="clear" w:color="auto" w:fill="FFFFFF" w:themeFill="background1"/>
            <w:vAlign w:val="center"/>
          </w:tcPr>
          <w:p w14:paraId="6EA6A901" w14:textId="77777777" w:rsidR="00ED0317" w:rsidRPr="001E5657" w:rsidRDefault="00ED0317" w:rsidP="00CC0781">
            <w:pPr>
              <w:jc w:val="both"/>
              <w:rPr>
                <w:b/>
              </w:rPr>
            </w:pPr>
            <w:r w:rsidRPr="001E5657">
              <w:rPr>
                <w:b/>
              </w:rPr>
              <w:t>2018/19 Q1 Turnover Achieved</w:t>
            </w:r>
          </w:p>
        </w:tc>
        <w:tc>
          <w:tcPr>
            <w:tcW w:w="718" w:type="pct"/>
            <w:shd w:val="clear" w:color="auto" w:fill="FFFFFF" w:themeFill="background1"/>
            <w:vAlign w:val="center"/>
          </w:tcPr>
          <w:p w14:paraId="0AAE74DE" w14:textId="77777777" w:rsidR="00ED0317" w:rsidRPr="001E5657" w:rsidRDefault="00ED0317" w:rsidP="00CC0781">
            <w:pPr>
              <w:jc w:val="both"/>
              <w:rPr>
                <w:b/>
              </w:rPr>
            </w:pPr>
            <w:r w:rsidRPr="001E5657">
              <w:rPr>
                <w:b/>
              </w:rPr>
              <w:t>2018/19 Q3 Expenditure Target</w:t>
            </w:r>
          </w:p>
        </w:tc>
        <w:tc>
          <w:tcPr>
            <w:tcW w:w="805" w:type="pct"/>
            <w:shd w:val="clear" w:color="auto" w:fill="FFFFFF" w:themeFill="background1"/>
            <w:vAlign w:val="center"/>
          </w:tcPr>
          <w:p w14:paraId="61C61288" w14:textId="77777777" w:rsidR="00ED0317" w:rsidRPr="001E5657" w:rsidRDefault="00ED0317" w:rsidP="00CC0781">
            <w:pPr>
              <w:jc w:val="both"/>
              <w:rPr>
                <w:b/>
              </w:rPr>
            </w:pPr>
            <w:r w:rsidRPr="001E5657">
              <w:rPr>
                <w:b/>
              </w:rPr>
              <w:t>2018/19 Q3 Expenditure</w:t>
            </w:r>
          </w:p>
        </w:tc>
        <w:tc>
          <w:tcPr>
            <w:tcW w:w="735" w:type="pct"/>
            <w:shd w:val="clear" w:color="auto" w:fill="FFFFFF" w:themeFill="background1"/>
            <w:vAlign w:val="center"/>
          </w:tcPr>
          <w:p w14:paraId="06C1D9DB" w14:textId="77777777" w:rsidR="00ED0317" w:rsidRPr="001E5657" w:rsidRDefault="00ED0317" w:rsidP="00CC0781">
            <w:pPr>
              <w:jc w:val="both"/>
              <w:rPr>
                <w:b/>
              </w:rPr>
            </w:pPr>
            <w:r w:rsidRPr="001E5657">
              <w:rPr>
                <w:b/>
              </w:rPr>
              <w:t>% Contribution to Total Exp.</w:t>
            </w:r>
          </w:p>
        </w:tc>
        <w:tc>
          <w:tcPr>
            <w:tcW w:w="686" w:type="pct"/>
            <w:shd w:val="clear" w:color="auto" w:fill="FFFFFF" w:themeFill="background1"/>
            <w:vAlign w:val="center"/>
          </w:tcPr>
          <w:p w14:paraId="55CF4FFE" w14:textId="77777777" w:rsidR="00ED0317" w:rsidRPr="001E5657" w:rsidRDefault="00ED0317" w:rsidP="00CC0781">
            <w:pPr>
              <w:jc w:val="both"/>
              <w:rPr>
                <w:b/>
              </w:rPr>
            </w:pPr>
            <w:r w:rsidRPr="001E5657">
              <w:rPr>
                <w:b/>
              </w:rPr>
              <w:t>Variance</w:t>
            </w:r>
          </w:p>
        </w:tc>
        <w:tc>
          <w:tcPr>
            <w:tcW w:w="547" w:type="pct"/>
            <w:shd w:val="clear" w:color="auto" w:fill="FFFFFF" w:themeFill="background1"/>
            <w:vAlign w:val="center"/>
          </w:tcPr>
          <w:p w14:paraId="0D3CAE46" w14:textId="77777777" w:rsidR="00ED0317" w:rsidRPr="001E5657" w:rsidRDefault="00ED0317" w:rsidP="00CC0781">
            <w:pPr>
              <w:jc w:val="both"/>
              <w:rPr>
                <w:b/>
              </w:rPr>
            </w:pPr>
            <w:r w:rsidRPr="001E5657">
              <w:rPr>
                <w:b/>
              </w:rPr>
              <w:t>% Achieved</w:t>
            </w:r>
          </w:p>
        </w:tc>
      </w:tr>
      <w:tr w:rsidR="00487013" w:rsidRPr="001E5657" w14:paraId="36C6AD04" w14:textId="77777777" w:rsidTr="00487013">
        <w:tc>
          <w:tcPr>
            <w:tcW w:w="748" w:type="pct"/>
            <w:shd w:val="clear" w:color="auto" w:fill="FFFFFF" w:themeFill="background1"/>
          </w:tcPr>
          <w:p w14:paraId="690A0A9A" w14:textId="77777777" w:rsidR="00ED0317" w:rsidRPr="001E5657" w:rsidRDefault="00ED0317" w:rsidP="00CC0781">
            <w:pPr>
              <w:jc w:val="both"/>
              <w:rPr>
                <w:b/>
              </w:rPr>
            </w:pPr>
            <w:r w:rsidRPr="001E5657">
              <w:rPr>
                <w:b/>
              </w:rPr>
              <w:t>Eastern Cape</w:t>
            </w:r>
          </w:p>
        </w:tc>
        <w:tc>
          <w:tcPr>
            <w:tcW w:w="762" w:type="pct"/>
            <w:shd w:val="clear" w:color="auto" w:fill="FFFFFF" w:themeFill="background1"/>
          </w:tcPr>
          <w:p w14:paraId="4145B3C0"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843 723 424</w:t>
            </w:r>
          </w:p>
        </w:tc>
        <w:tc>
          <w:tcPr>
            <w:tcW w:w="718" w:type="pct"/>
            <w:shd w:val="clear" w:color="auto" w:fill="FFFFFF" w:themeFill="background1"/>
            <w:vAlign w:val="center"/>
          </w:tcPr>
          <w:p w14:paraId="2A0DA59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580 894 396</w:t>
            </w:r>
          </w:p>
        </w:tc>
        <w:tc>
          <w:tcPr>
            <w:tcW w:w="805" w:type="pct"/>
            <w:shd w:val="clear" w:color="auto" w:fill="FFFFFF" w:themeFill="background1"/>
            <w:vAlign w:val="center"/>
          </w:tcPr>
          <w:p w14:paraId="68976235"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595 032 139</w:t>
            </w:r>
          </w:p>
        </w:tc>
        <w:tc>
          <w:tcPr>
            <w:tcW w:w="735" w:type="pct"/>
            <w:shd w:val="clear" w:color="auto" w:fill="FFFFFF" w:themeFill="background1"/>
            <w:vAlign w:val="center"/>
          </w:tcPr>
          <w:p w14:paraId="129F73D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21%</w:t>
            </w:r>
          </w:p>
        </w:tc>
        <w:tc>
          <w:tcPr>
            <w:tcW w:w="686" w:type="pct"/>
            <w:shd w:val="clear" w:color="auto" w:fill="FFFFFF" w:themeFill="background1"/>
            <w:vAlign w:val="center"/>
          </w:tcPr>
          <w:p w14:paraId="0A2C61E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14 137 743</w:t>
            </w:r>
          </w:p>
        </w:tc>
        <w:tc>
          <w:tcPr>
            <w:tcW w:w="547" w:type="pct"/>
            <w:shd w:val="clear" w:color="auto" w:fill="FFFFFF" w:themeFill="background1"/>
            <w:vAlign w:val="center"/>
          </w:tcPr>
          <w:p w14:paraId="63B5212D"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102.4%</w:t>
            </w:r>
          </w:p>
        </w:tc>
      </w:tr>
      <w:tr w:rsidR="00487013" w:rsidRPr="001E5657" w14:paraId="284ACE3B" w14:textId="77777777" w:rsidTr="00487013">
        <w:tc>
          <w:tcPr>
            <w:tcW w:w="748" w:type="pct"/>
            <w:shd w:val="clear" w:color="auto" w:fill="FFFFFF" w:themeFill="background1"/>
          </w:tcPr>
          <w:p w14:paraId="7EE83AFB" w14:textId="77777777" w:rsidR="00ED0317" w:rsidRPr="001E5657" w:rsidRDefault="00ED0317" w:rsidP="00CC0781">
            <w:pPr>
              <w:jc w:val="both"/>
              <w:rPr>
                <w:b/>
              </w:rPr>
            </w:pPr>
            <w:r w:rsidRPr="001E5657">
              <w:rPr>
                <w:b/>
              </w:rPr>
              <w:t>Free Sate</w:t>
            </w:r>
          </w:p>
        </w:tc>
        <w:tc>
          <w:tcPr>
            <w:tcW w:w="762" w:type="pct"/>
            <w:shd w:val="clear" w:color="auto" w:fill="FFFFFF" w:themeFill="background1"/>
          </w:tcPr>
          <w:p w14:paraId="2E2BA8C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344 108 018</w:t>
            </w:r>
          </w:p>
        </w:tc>
        <w:tc>
          <w:tcPr>
            <w:tcW w:w="718" w:type="pct"/>
            <w:shd w:val="clear" w:color="auto" w:fill="FFFFFF" w:themeFill="background1"/>
            <w:vAlign w:val="center"/>
          </w:tcPr>
          <w:p w14:paraId="5BF74617"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133 260 282</w:t>
            </w:r>
          </w:p>
        </w:tc>
        <w:tc>
          <w:tcPr>
            <w:tcW w:w="805" w:type="pct"/>
            <w:shd w:val="clear" w:color="auto" w:fill="FFFFFF" w:themeFill="background1"/>
            <w:vAlign w:val="center"/>
          </w:tcPr>
          <w:p w14:paraId="3848D219"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149 767 318</w:t>
            </w:r>
          </w:p>
        </w:tc>
        <w:tc>
          <w:tcPr>
            <w:tcW w:w="735" w:type="pct"/>
            <w:shd w:val="clear" w:color="auto" w:fill="FFFFFF" w:themeFill="background1"/>
            <w:vAlign w:val="center"/>
          </w:tcPr>
          <w:p w14:paraId="5CB0D894"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w:t>
            </w:r>
          </w:p>
        </w:tc>
        <w:tc>
          <w:tcPr>
            <w:tcW w:w="686" w:type="pct"/>
            <w:shd w:val="clear" w:color="auto" w:fill="FFFFFF" w:themeFill="background1"/>
            <w:vAlign w:val="center"/>
          </w:tcPr>
          <w:p w14:paraId="07719B4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16 507 036</w:t>
            </w:r>
          </w:p>
        </w:tc>
        <w:tc>
          <w:tcPr>
            <w:tcW w:w="547" w:type="pct"/>
            <w:shd w:val="clear" w:color="auto" w:fill="FFFFFF" w:themeFill="background1"/>
            <w:vAlign w:val="center"/>
          </w:tcPr>
          <w:p w14:paraId="2C5DDF43"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112.4%</w:t>
            </w:r>
          </w:p>
        </w:tc>
      </w:tr>
      <w:tr w:rsidR="00487013" w:rsidRPr="001E5657" w14:paraId="385C0DAE" w14:textId="77777777" w:rsidTr="00487013">
        <w:tc>
          <w:tcPr>
            <w:tcW w:w="748" w:type="pct"/>
            <w:shd w:val="clear" w:color="auto" w:fill="FFFFFF" w:themeFill="background1"/>
          </w:tcPr>
          <w:p w14:paraId="58D66C72" w14:textId="77777777" w:rsidR="00ED0317" w:rsidRPr="001E5657" w:rsidRDefault="00ED0317" w:rsidP="00CC0781">
            <w:pPr>
              <w:jc w:val="both"/>
              <w:rPr>
                <w:b/>
              </w:rPr>
            </w:pPr>
            <w:r w:rsidRPr="001E5657">
              <w:rPr>
                <w:b/>
              </w:rPr>
              <w:t>Gauteng</w:t>
            </w:r>
          </w:p>
        </w:tc>
        <w:tc>
          <w:tcPr>
            <w:tcW w:w="762" w:type="pct"/>
            <w:shd w:val="clear" w:color="auto" w:fill="FFFFFF" w:themeFill="background1"/>
          </w:tcPr>
          <w:p w14:paraId="350B4867"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195 439 781</w:t>
            </w:r>
          </w:p>
        </w:tc>
        <w:tc>
          <w:tcPr>
            <w:tcW w:w="718" w:type="pct"/>
            <w:shd w:val="clear" w:color="auto" w:fill="FFFFFF" w:themeFill="background1"/>
            <w:vAlign w:val="center"/>
          </w:tcPr>
          <w:p w14:paraId="0CE55BF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113 529 875</w:t>
            </w:r>
          </w:p>
        </w:tc>
        <w:tc>
          <w:tcPr>
            <w:tcW w:w="805" w:type="pct"/>
            <w:shd w:val="clear" w:color="auto" w:fill="FFFFFF" w:themeFill="background1"/>
            <w:vAlign w:val="center"/>
          </w:tcPr>
          <w:p w14:paraId="56066760"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134 119 821</w:t>
            </w:r>
          </w:p>
        </w:tc>
        <w:tc>
          <w:tcPr>
            <w:tcW w:w="735" w:type="pct"/>
            <w:shd w:val="clear" w:color="auto" w:fill="FFFFFF" w:themeFill="background1"/>
            <w:vAlign w:val="center"/>
          </w:tcPr>
          <w:p w14:paraId="4EB8BABF"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w:t>
            </w:r>
          </w:p>
        </w:tc>
        <w:tc>
          <w:tcPr>
            <w:tcW w:w="686" w:type="pct"/>
            <w:shd w:val="clear" w:color="auto" w:fill="FFFFFF" w:themeFill="background1"/>
            <w:vAlign w:val="center"/>
          </w:tcPr>
          <w:p w14:paraId="1FE1084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20 589 946</w:t>
            </w:r>
          </w:p>
        </w:tc>
        <w:tc>
          <w:tcPr>
            <w:tcW w:w="547" w:type="pct"/>
            <w:shd w:val="clear" w:color="auto" w:fill="FFFFFF" w:themeFill="background1"/>
            <w:vAlign w:val="center"/>
          </w:tcPr>
          <w:p w14:paraId="170866CA"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118.1%</w:t>
            </w:r>
          </w:p>
        </w:tc>
      </w:tr>
      <w:tr w:rsidR="00487013" w:rsidRPr="001E5657" w14:paraId="2A156EAF" w14:textId="77777777" w:rsidTr="00487013">
        <w:tc>
          <w:tcPr>
            <w:tcW w:w="748" w:type="pct"/>
            <w:shd w:val="clear" w:color="auto" w:fill="FFFFFF" w:themeFill="background1"/>
          </w:tcPr>
          <w:p w14:paraId="3E858BD3" w14:textId="77777777" w:rsidR="00ED0317" w:rsidRPr="001E5657" w:rsidRDefault="00ED0317" w:rsidP="00CC0781">
            <w:pPr>
              <w:jc w:val="both"/>
              <w:rPr>
                <w:b/>
              </w:rPr>
            </w:pPr>
            <w:r w:rsidRPr="001E5657">
              <w:rPr>
                <w:b/>
              </w:rPr>
              <w:t>KwaZulu Natal</w:t>
            </w:r>
          </w:p>
        </w:tc>
        <w:tc>
          <w:tcPr>
            <w:tcW w:w="762" w:type="pct"/>
            <w:shd w:val="clear" w:color="auto" w:fill="FFFFFF" w:themeFill="background1"/>
          </w:tcPr>
          <w:p w14:paraId="2451FFA9"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1 088 219 076</w:t>
            </w:r>
          </w:p>
        </w:tc>
        <w:tc>
          <w:tcPr>
            <w:tcW w:w="718" w:type="pct"/>
            <w:shd w:val="clear" w:color="auto" w:fill="FFFFFF" w:themeFill="background1"/>
            <w:vAlign w:val="center"/>
          </w:tcPr>
          <w:p w14:paraId="78C9C058"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959 399 449</w:t>
            </w:r>
          </w:p>
        </w:tc>
        <w:tc>
          <w:tcPr>
            <w:tcW w:w="805" w:type="pct"/>
            <w:shd w:val="clear" w:color="auto" w:fill="FFFFFF" w:themeFill="background1"/>
            <w:vAlign w:val="center"/>
          </w:tcPr>
          <w:p w14:paraId="6EE4FAE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677 412 854</w:t>
            </w:r>
          </w:p>
        </w:tc>
        <w:tc>
          <w:tcPr>
            <w:tcW w:w="735" w:type="pct"/>
            <w:shd w:val="clear" w:color="auto" w:fill="FFFFFF" w:themeFill="background1"/>
            <w:vAlign w:val="center"/>
          </w:tcPr>
          <w:p w14:paraId="6179A750"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24%</w:t>
            </w:r>
          </w:p>
        </w:tc>
        <w:tc>
          <w:tcPr>
            <w:tcW w:w="686" w:type="pct"/>
            <w:shd w:val="clear" w:color="auto" w:fill="FFFFFF" w:themeFill="background1"/>
            <w:vAlign w:val="center"/>
          </w:tcPr>
          <w:p w14:paraId="1314819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-281 986 595</w:t>
            </w:r>
          </w:p>
        </w:tc>
        <w:tc>
          <w:tcPr>
            <w:tcW w:w="547" w:type="pct"/>
            <w:shd w:val="clear" w:color="auto" w:fill="FFFFFF" w:themeFill="background1"/>
            <w:vAlign w:val="center"/>
          </w:tcPr>
          <w:p w14:paraId="14BCCD1C"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70.6%</w:t>
            </w:r>
          </w:p>
        </w:tc>
      </w:tr>
      <w:tr w:rsidR="00487013" w:rsidRPr="001E5657" w14:paraId="4CB573B5" w14:textId="77777777" w:rsidTr="00487013">
        <w:tc>
          <w:tcPr>
            <w:tcW w:w="748" w:type="pct"/>
            <w:shd w:val="clear" w:color="auto" w:fill="FFFFFF" w:themeFill="background1"/>
          </w:tcPr>
          <w:p w14:paraId="1343FC4E" w14:textId="77777777" w:rsidR="00ED0317" w:rsidRPr="001E5657" w:rsidRDefault="00ED0317" w:rsidP="00CC0781">
            <w:pPr>
              <w:jc w:val="both"/>
              <w:rPr>
                <w:b/>
              </w:rPr>
            </w:pPr>
            <w:r w:rsidRPr="001E5657">
              <w:rPr>
                <w:b/>
              </w:rPr>
              <w:t>Limpopo</w:t>
            </w:r>
          </w:p>
        </w:tc>
        <w:tc>
          <w:tcPr>
            <w:tcW w:w="762" w:type="pct"/>
            <w:shd w:val="clear" w:color="auto" w:fill="FFFFFF" w:themeFill="background1"/>
          </w:tcPr>
          <w:p w14:paraId="3232EFD0"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945 964 211</w:t>
            </w:r>
          </w:p>
        </w:tc>
        <w:tc>
          <w:tcPr>
            <w:tcW w:w="718" w:type="pct"/>
            <w:shd w:val="clear" w:color="auto" w:fill="FFFFFF" w:themeFill="background1"/>
            <w:vAlign w:val="center"/>
          </w:tcPr>
          <w:p w14:paraId="6726D03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1 452 235 991</w:t>
            </w:r>
          </w:p>
        </w:tc>
        <w:tc>
          <w:tcPr>
            <w:tcW w:w="805" w:type="pct"/>
            <w:shd w:val="clear" w:color="auto" w:fill="FFFFFF" w:themeFill="background1"/>
            <w:vAlign w:val="center"/>
          </w:tcPr>
          <w:p w14:paraId="570F672F"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608 345 593</w:t>
            </w:r>
          </w:p>
        </w:tc>
        <w:tc>
          <w:tcPr>
            <w:tcW w:w="735" w:type="pct"/>
            <w:shd w:val="clear" w:color="auto" w:fill="FFFFFF" w:themeFill="background1"/>
            <w:vAlign w:val="center"/>
          </w:tcPr>
          <w:p w14:paraId="04F66AA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21%</w:t>
            </w:r>
          </w:p>
        </w:tc>
        <w:tc>
          <w:tcPr>
            <w:tcW w:w="686" w:type="pct"/>
            <w:shd w:val="clear" w:color="auto" w:fill="FFFFFF" w:themeFill="background1"/>
            <w:vAlign w:val="center"/>
          </w:tcPr>
          <w:p w14:paraId="7C66C78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-843 890 398</w:t>
            </w:r>
          </w:p>
        </w:tc>
        <w:tc>
          <w:tcPr>
            <w:tcW w:w="547" w:type="pct"/>
            <w:shd w:val="clear" w:color="auto" w:fill="FFFFFF" w:themeFill="background1"/>
            <w:vAlign w:val="center"/>
          </w:tcPr>
          <w:p w14:paraId="0E00B89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41.9%</w:t>
            </w:r>
          </w:p>
        </w:tc>
      </w:tr>
      <w:tr w:rsidR="00487013" w:rsidRPr="001E5657" w14:paraId="0A004A21" w14:textId="77777777" w:rsidTr="00487013">
        <w:tc>
          <w:tcPr>
            <w:tcW w:w="748" w:type="pct"/>
            <w:shd w:val="clear" w:color="auto" w:fill="FFFFFF" w:themeFill="background1"/>
          </w:tcPr>
          <w:p w14:paraId="6824C935" w14:textId="77777777" w:rsidR="00ED0317" w:rsidRPr="001E5657" w:rsidRDefault="00ED0317" w:rsidP="00CC0781">
            <w:pPr>
              <w:jc w:val="both"/>
              <w:rPr>
                <w:b/>
              </w:rPr>
            </w:pPr>
            <w:r w:rsidRPr="001E5657">
              <w:rPr>
                <w:b/>
              </w:rPr>
              <w:t>Mpumalanga</w:t>
            </w:r>
          </w:p>
        </w:tc>
        <w:tc>
          <w:tcPr>
            <w:tcW w:w="762" w:type="pct"/>
            <w:shd w:val="clear" w:color="auto" w:fill="FFFFFF" w:themeFill="background1"/>
          </w:tcPr>
          <w:p w14:paraId="6647EA04"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252 842 556</w:t>
            </w:r>
          </w:p>
        </w:tc>
        <w:tc>
          <w:tcPr>
            <w:tcW w:w="718" w:type="pct"/>
            <w:shd w:val="clear" w:color="auto" w:fill="FFFFFF" w:themeFill="background1"/>
            <w:vAlign w:val="center"/>
          </w:tcPr>
          <w:p w14:paraId="6FE98DA4"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70 130 800</w:t>
            </w:r>
          </w:p>
        </w:tc>
        <w:tc>
          <w:tcPr>
            <w:tcW w:w="805" w:type="pct"/>
            <w:shd w:val="clear" w:color="auto" w:fill="FFFFFF" w:themeFill="background1"/>
            <w:vAlign w:val="center"/>
          </w:tcPr>
          <w:p w14:paraId="6DEBC5E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137 642 279</w:t>
            </w:r>
          </w:p>
        </w:tc>
        <w:tc>
          <w:tcPr>
            <w:tcW w:w="735" w:type="pct"/>
            <w:shd w:val="clear" w:color="auto" w:fill="FFFFFF" w:themeFill="background1"/>
            <w:vAlign w:val="center"/>
          </w:tcPr>
          <w:p w14:paraId="0913724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w:t>
            </w:r>
          </w:p>
        </w:tc>
        <w:tc>
          <w:tcPr>
            <w:tcW w:w="686" w:type="pct"/>
            <w:shd w:val="clear" w:color="auto" w:fill="FFFFFF" w:themeFill="background1"/>
            <w:vAlign w:val="center"/>
          </w:tcPr>
          <w:p w14:paraId="4A14CFE9"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67 511 479</w:t>
            </w:r>
          </w:p>
        </w:tc>
        <w:tc>
          <w:tcPr>
            <w:tcW w:w="547" w:type="pct"/>
            <w:shd w:val="clear" w:color="auto" w:fill="FFFFFF" w:themeFill="background1"/>
            <w:vAlign w:val="center"/>
          </w:tcPr>
          <w:p w14:paraId="1B78F29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196.3%</w:t>
            </w:r>
          </w:p>
        </w:tc>
      </w:tr>
      <w:tr w:rsidR="00487013" w:rsidRPr="001E5657" w14:paraId="2BA5E179" w14:textId="77777777" w:rsidTr="00487013">
        <w:tc>
          <w:tcPr>
            <w:tcW w:w="748" w:type="pct"/>
            <w:shd w:val="clear" w:color="auto" w:fill="FFFFFF" w:themeFill="background1"/>
          </w:tcPr>
          <w:p w14:paraId="48288657" w14:textId="77777777" w:rsidR="00ED0317" w:rsidRPr="001E5657" w:rsidRDefault="00ED0317" w:rsidP="00CC0781">
            <w:pPr>
              <w:jc w:val="both"/>
              <w:rPr>
                <w:b/>
              </w:rPr>
            </w:pPr>
            <w:r w:rsidRPr="001E5657">
              <w:rPr>
                <w:b/>
              </w:rPr>
              <w:t>Northern Cape</w:t>
            </w:r>
          </w:p>
        </w:tc>
        <w:tc>
          <w:tcPr>
            <w:tcW w:w="762" w:type="pct"/>
            <w:shd w:val="clear" w:color="auto" w:fill="FFFFFF" w:themeFill="background1"/>
          </w:tcPr>
          <w:p w14:paraId="55B693D7"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507 408 398</w:t>
            </w:r>
          </w:p>
        </w:tc>
        <w:tc>
          <w:tcPr>
            <w:tcW w:w="718" w:type="pct"/>
            <w:shd w:val="clear" w:color="auto" w:fill="FFFFFF" w:themeFill="background1"/>
            <w:vAlign w:val="center"/>
          </w:tcPr>
          <w:p w14:paraId="58528FF2"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273 707 903</w:t>
            </w:r>
          </w:p>
        </w:tc>
        <w:tc>
          <w:tcPr>
            <w:tcW w:w="805" w:type="pct"/>
            <w:shd w:val="clear" w:color="auto" w:fill="FFFFFF" w:themeFill="background1"/>
            <w:vAlign w:val="center"/>
          </w:tcPr>
          <w:p w14:paraId="726925E1"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298 721 135</w:t>
            </w:r>
          </w:p>
        </w:tc>
        <w:tc>
          <w:tcPr>
            <w:tcW w:w="735" w:type="pct"/>
            <w:shd w:val="clear" w:color="auto" w:fill="FFFFFF" w:themeFill="background1"/>
            <w:vAlign w:val="center"/>
          </w:tcPr>
          <w:p w14:paraId="46DF2951"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10%</w:t>
            </w:r>
          </w:p>
        </w:tc>
        <w:tc>
          <w:tcPr>
            <w:tcW w:w="686" w:type="pct"/>
            <w:shd w:val="clear" w:color="auto" w:fill="FFFFFF" w:themeFill="background1"/>
            <w:vAlign w:val="center"/>
          </w:tcPr>
          <w:p w14:paraId="7A40D693"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25 013 232</w:t>
            </w:r>
          </w:p>
        </w:tc>
        <w:tc>
          <w:tcPr>
            <w:tcW w:w="547" w:type="pct"/>
            <w:shd w:val="clear" w:color="auto" w:fill="FFFFFF" w:themeFill="background1"/>
            <w:vAlign w:val="center"/>
          </w:tcPr>
          <w:p w14:paraId="2474B08D"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109.1%</w:t>
            </w:r>
          </w:p>
        </w:tc>
      </w:tr>
      <w:tr w:rsidR="00487013" w:rsidRPr="001E5657" w14:paraId="59D6335D" w14:textId="77777777" w:rsidTr="00487013">
        <w:tc>
          <w:tcPr>
            <w:tcW w:w="748" w:type="pct"/>
            <w:shd w:val="clear" w:color="auto" w:fill="FFFFFF" w:themeFill="background1"/>
          </w:tcPr>
          <w:p w14:paraId="15C7A70A" w14:textId="77777777" w:rsidR="00ED0317" w:rsidRPr="001E5657" w:rsidRDefault="00ED0317" w:rsidP="00CC0781">
            <w:pPr>
              <w:jc w:val="both"/>
              <w:rPr>
                <w:b/>
              </w:rPr>
            </w:pPr>
            <w:r w:rsidRPr="001E5657">
              <w:rPr>
                <w:b/>
              </w:rPr>
              <w:t>North West</w:t>
            </w:r>
          </w:p>
        </w:tc>
        <w:tc>
          <w:tcPr>
            <w:tcW w:w="762" w:type="pct"/>
            <w:shd w:val="clear" w:color="auto" w:fill="FFFFFF" w:themeFill="background1"/>
          </w:tcPr>
          <w:p w14:paraId="275FFA6F"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276 115 441</w:t>
            </w:r>
          </w:p>
        </w:tc>
        <w:tc>
          <w:tcPr>
            <w:tcW w:w="718" w:type="pct"/>
            <w:shd w:val="clear" w:color="auto" w:fill="FFFFFF" w:themeFill="background1"/>
            <w:vAlign w:val="center"/>
          </w:tcPr>
          <w:p w14:paraId="281738F6"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70 985 658</w:t>
            </w:r>
          </w:p>
        </w:tc>
        <w:tc>
          <w:tcPr>
            <w:tcW w:w="805" w:type="pct"/>
            <w:shd w:val="clear" w:color="auto" w:fill="FFFFFF" w:themeFill="background1"/>
            <w:vAlign w:val="center"/>
          </w:tcPr>
          <w:p w14:paraId="1DF0F788"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138 105 263</w:t>
            </w:r>
          </w:p>
        </w:tc>
        <w:tc>
          <w:tcPr>
            <w:tcW w:w="735" w:type="pct"/>
            <w:shd w:val="clear" w:color="auto" w:fill="FFFFFF" w:themeFill="background1"/>
            <w:vAlign w:val="center"/>
          </w:tcPr>
          <w:p w14:paraId="4054DECB"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w:t>
            </w:r>
          </w:p>
        </w:tc>
        <w:tc>
          <w:tcPr>
            <w:tcW w:w="686" w:type="pct"/>
            <w:shd w:val="clear" w:color="auto" w:fill="FFFFFF" w:themeFill="background1"/>
            <w:vAlign w:val="center"/>
          </w:tcPr>
          <w:p w14:paraId="12F3E90A"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67 119 605</w:t>
            </w:r>
          </w:p>
        </w:tc>
        <w:tc>
          <w:tcPr>
            <w:tcW w:w="547" w:type="pct"/>
            <w:shd w:val="clear" w:color="auto" w:fill="FFFFFF" w:themeFill="background1"/>
            <w:vAlign w:val="center"/>
          </w:tcPr>
          <w:p w14:paraId="323FEF90"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194.6%</w:t>
            </w:r>
          </w:p>
        </w:tc>
      </w:tr>
      <w:tr w:rsidR="00487013" w:rsidRPr="001E5657" w14:paraId="118C7B28" w14:textId="77777777" w:rsidTr="00487013">
        <w:tc>
          <w:tcPr>
            <w:tcW w:w="748" w:type="pct"/>
            <w:tcBorders>
              <w:bottom w:val="single" w:sz="4" w:space="0" w:color="auto"/>
            </w:tcBorders>
            <w:shd w:val="clear" w:color="auto" w:fill="FFFFFF" w:themeFill="background1"/>
          </w:tcPr>
          <w:p w14:paraId="097D5EA4" w14:textId="77777777" w:rsidR="00ED0317" w:rsidRPr="001E5657" w:rsidRDefault="00ED0317" w:rsidP="00CC0781">
            <w:pPr>
              <w:jc w:val="both"/>
              <w:rPr>
                <w:b/>
              </w:rPr>
            </w:pPr>
            <w:r w:rsidRPr="001E5657">
              <w:rPr>
                <w:b/>
              </w:rPr>
              <w:t>Western Cape</w:t>
            </w:r>
          </w:p>
        </w:tc>
        <w:tc>
          <w:tcPr>
            <w:tcW w:w="762" w:type="pct"/>
            <w:tcBorders>
              <w:bottom w:val="single" w:sz="4" w:space="0" w:color="auto"/>
            </w:tcBorders>
            <w:shd w:val="clear" w:color="auto" w:fill="FFFFFF" w:themeFill="background1"/>
          </w:tcPr>
          <w:p w14:paraId="29A4639D"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125 681 905</w:t>
            </w:r>
          </w:p>
        </w:tc>
        <w:tc>
          <w:tcPr>
            <w:tcW w:w="718" w:type="pct"/>
            <w:tcBorders>
              <w:bottom w:val="single" w:sz="4" w:space="0" w:color="auto"/>
            </w:tcBorders>
            <w:shd w:val="clear" w:color="auto" w:fill="FFFFFF" w:themeFill="background1"/>
            <w:vAlign w:val="center"/>
          </w:tcPr>
          <w:p w14:paraId="228E540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95 855 645</w:t>
            </w:r>
          </w:p>
        </w:tc>
        <w:tc>
          <w:tcPr>
            <w:tcW w:w="805" w:type="pct"/>
            <w:tcBorders>
              <w:bottom w:val="single" w:sz="4" w:space="0" w:color="auto"/>
            </w:tcBorders>
            <w:shd w:val="clear" w:color="auto" w:fill="FFFFFF" w:themeFill="background1"/>
            <w:vAlign w:val="center"/>
          </w:tcPr>
          <w:p w14:paraId="493B64A4"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71 812 837</w:t>
            </w:r>
          </w:p>
        </w:tc>
        <w:tc>
          <w:tcPr>
            <w:tcW w:w="735" w:type="pct"/>
            <w:tcBorders>
              <w:bottom w:val="single" w:sz="4" w:space="0" w:color="auto"/>
            </w:tcBorders>
            <w:shd w:val="clear" w:color="auto" w:fill="FFFFFF" w:themeFill="background1"/>
            <w:vAlign w:val="center"/>
          </w:tcPr>
          <w:p w14:paraId="0690D354"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3%</w:t>
            </w:r>
          </w:p>
        </w:tc>
        <w:tc>
          <w:tcPr>
            <w:tcW w:w="686" w:type="pct"/>
            <w:tcBorders>
              <w:bottom w:val="single" w:sz="4" w:space="0" w:color="auto"/>
            </w:tcBorders>
            <w:shd w:val="clear" w:color="auto" w:fill="FFFFFF" w:themeFill="background1"/>
            <w:vAlign w:val="center"/>
          </w:tcPr>
          <w:p w14:paraId="7D07F8A1"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-24 042 808</w:t>
            </w:r>
          </w:p>
        </w:tc>
        <w:tc>
          <w:tcPr>
            <w:tcW w:w="547" w:type="pct"/>
            <w:tcBorders>
              <w:bottom w:val="single" w:sz="4" w:space="0" w:color="auto"/>
            </w:tcBorders>
            <w:shd w:val="clear" w:color="auto" w:fill="FFFFFF" w:themeFill="background1"/>
            <w:vAlign w:val="center"/>
          </w:tcPr>
          <w:p w14:paraId="35DA44C1"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74.9%</w:t>
            </w:r>
          </w:p>
        </w:tc>
      </w:tr>
      <w:tr w:rsidR="00487013" w:rsidRPr="001E5657" w14:paraId="5278876D" w14:textId="77777777" w:rsidTr="00487013">
        <w:tc>
          <w:tcPr>
            <w:tcW w:w="748" w:type="pct"/>
            <w:tcBorders>
              <w:bottom w:val="single" w:sz="4" w:space="0" w:color="auto"/>
            </w:tcBorders>
            <w:shd w:val="clear" w:color="auto" w:fill="FFFFFF" w:themeFill="background1"/>
          </w:tcPr>
          <w:p w14:paraId="555D553E" w14:textId="77777777" w:rsidR="00ED0317" w:rsidRPr="001E5657" w:rsidRDefault="00ED0317" w:rsidP="00CC0781">
            <w:pPr>
              <w:jc w:val="both"/>
              <w:rPr>
                <w:b/>
              </w:rPr>
            </w:pPr>
            <w:r w:rsidRPr="001E5657">
              <w:rPr>
                <w:b/>
              </w:rPr>
              <w:t>National</w:t>
            </w:r>
          </w:p>
        </w:tc>
        <w:tc>
          <w:tcPr>
            <w:tcW w:w="762" w:type="pct"/>
            <w:tcBorders>
              <w:bottom w:val="single" w:sz="4" w:space="0" w:color="auto"/>
            </w:tcBorders>
            <w:shd w:val="clear" w:color="auto" w:fill="FFFFFF" w:themeFill="background1"/>
          </w:tcPr>
          <w:p w14:paraId="789C0FB3"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w:t>
            </w:r>
          </w:p>
        </w:tc>
        <w:tc>
          <w:tcPr>
            <w:tcW w:w="718" w:type="pct"/>
            <w:tcBorders>
              <w:bottom w:val="single" w:sz="4" w:space="0" w:color="auto"/>
            </w:tcBorders>
            <w:shd w:val="clear" w:color="auto" w:fill="FFFFFF" w:themeFill="background1"/>
            <w:vAlign w:val="center"/>
          </w:tcPr>
          <w:p w14:paraId="1613409D" w14:textId="77777777" w:rsidR="00ED0317" w:rsidRPr="001E5657" w:rsidRDefault="00ED0317" w:rsidP="00CC0781">
            <w:pPr>
              <w:jc w:val="both"/>
              <w:rPr>
                <w:rFonts w:eastAsiaTheme="minorHAnsi"/>
                <w:color w:val="000000"/>
                <w:lang w:eastAsia="en-ZA"/>
              </w:rPr>
            </w:pPr>
          </w:p>
        </w:tc>
        <w:tc>
          <w:tcPr>
            <w:tcW w:w="805" w:type="pct"/>
            <w:tcBorders>
              <w:bottom w:val="single" w:sz="4" w:space="0" w:color="auto"/>
            </w:tcBorders>
            <w:shd w:val="clear" w:color="auto" w:fill="FFFFFF" w:themeFill="background1"/>
            <w:vAlign w:val="center"/>
          </w:tcPr>
          <w:p w14:paraId="7BA280CD"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56 753 087</w:t>
            </w:r>
          </w:p>
        </w:tc>
        <w:tc>
          <w:tcPr>
            <w:tcW w:w="735" w:type="pct"/>
            <w:tcBorders>
              <w:bottom w:val="single" w:sz="4" w:space="0" w:color="auto"/>
            </w:tcBorders>
            <w:shd w:val="clear" w:color="auto" w:fill="FFFFFF" w:themeFill="background1"/>
            <w:vAlign w:val="center"/>
          </w:tcPr>
          <w:p w14:paraId="24343A66"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2%</w:t>
            </w:r>
          </w:p>
        </w:tc>
        <w:tc>
          <w:tcPr>
            <w:tcW w:w="686" w:type="pct"/>
            <w:tcBorders>
              <w:bottom w:val="single" w:sz="4" w:space="0" w:color="auto"/>
            </w:tcBorders>
            <w:shd w:val="clear" w:color="auto" w:fill="FFFFFF" w:themeFill="background1"/>
            <w:vAlign w:val="center"/>
          </w:tcPr>
          <w:p w14:paraId="02B133B3"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56 753 087</w:t>
            </w:r>
          </w:p>
        </w:tc>
        <w:tc>
          <w:tcPr>
            <w:tcW w:w="547" w:type="pct"/>
            <w:tcBorders>
              <w:bottom w:val="single" w:sz="4" w:space="0" w:color="auto"/>
            </w:tcBorders>
            <w:shd w:val="clear" w:color="auto" w:fill="FFFFFF" w:themeFill="background1"/>
            <w:vAlign w:val="center"/>
          </w:tcPr>
          <w:p w14:paraId="631908EE" w14:textId="77777777" w:rsidR="00ED0317" w:rsidRPr="001E5657" w:rsidRDefault="00ED0317" w:rsidP="00CC0781">
            <w:pPr>
              <w:jc w:val="both"/>
              <w:rPr>
                <w:rFonts w:eastAsiaTheme="minorHAnsi"/>
                <w:color w:val="000000"/>
                <w:lang w:eastAsia="en-ZA"/>
              </w:rPr>
            </w:pPr>
            <w:r w:rsidRPr="001E5657">
              <w:rPr>
                <w:rFonts w:eastAsiaTheme="minorHAnsi"/>
                <w:color w:val="000000"/>
                <w:lang w:eastAsia="en-ZA"/>
              </w:rPr>
              <w:t>-</w:t>
            </w:r>
          </w:p>
        </w:tc>
      </w:tr>
      <w:tr w:rsidR="00487013" w:rsidRPr="001E5657" w14:paraId="68E2B0DE" w14:textId="77777777" w:rsidTr="00487013">
        <w:tc>
          <w:tcPr>
            <w:tcW w:w="748" w:type="pct"/>
            <w:shd w:val="clear" w:color="auto" w:fill="FFFFFF" w:themeFill="background1"/>
          </w:tcPr>
          <w:p w14:paraId="74F03FD4" w14:textId="77777777" w:rsidR="00ED0317" w:rsidRPr="001E5657" w:rsidRDefault="00ED0317" w:rsidP="00CC0781">
            <w:pPr>
              <w:spacing w:after="200" w:line="276" w:lineRule="auto"/>
              <w:jc w:val="both"/>
              <w:rPr>
                <w:b/>
              </w:rPr>
            </w:pPr>
          </w:p>
        </w:tc>
        <w:tc>
          <w:tcPr>
            <w:tcW w:w="762" w:type="pct"/>
            <w:shd w:val="clear" w:color="auto" w:fill="FFFFFF" w:themeFill="background1"/>
            <w:vAlign w:val="center"/>
          </w:tcPr>
          <w:p w14:paraId="3FCDA30C"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4 579 502 811</w:t>
            </w:r>
          </w:p>
        </w:tc>
        <w:tc>
          <w:tcPr>
            <w:tcW w:w="718" w:type="pct"/>
            <w:shd w:val="clear" w:color="auto" w:fill="FFFFFF" w:themeFill="background1"/>
            <w:vAlign w:val="center"/>
          </w:tcPr>
          <w:p w14:paraId="4EF4E717"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3 750 000 000</w:t>
            </w:r>
          </w:p>
        </w:tc>
        <w:tc>
          <w:tcPr>
            <w:tcW w:w="805" w:type="pct"/>
            <w:shd w:val="clear" w:color="auto" w:fill="FFFFFF" w:themeFill="background1"/>
            <w:vAlign w:val="center"/>
          </w:tcPr>
          <w:p w14:paraId="24522E21"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2 867 712 326</w:t>
            </w:r>
          </w:p>
        </w:tc>
        <w:tc>
          <w:tcPr>
            <w:tcW w:w="735" w:type="pct"/>
            <w:shd w:val="clear" w:color="auto" w:fill="FFFFFF" w:themeFill="background1"/>
            <w:vAlign w:val="center"/>
          </w:tcPr>
          <w:p w14:paraId="7FC07A7B"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100%</w:t>
            </w:r>
          </w:p>
        </w:tc>
        <w:tc>
          <w:tcPr>
            <w:tcW w:w="686" w:type="pct"/>
            <w:shd w:val="clear" w:color="auto" w:fill="FFFFFF" w:themeFill="background1"/>
            <w:vAlign w:val="center"/>
          </w:tcPr>
          <w:p w14:paraId="1627C05D"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-882 287 674</w:t>
            </w:r>
          </w:p>
        </w:tc>
        <w:tc>
          <w:tcPr>
            <w:tcW w:w="547" w:type="pct"/>
            <w:shd w:val="clear" w:color="auto" w:fill="FFFFFF" w:themeFill="background1"/>
            <w:vAlign w:val="center"/>
          </w:tcPr>
          <w:p w14:paraId="0E0B770C" w14:textId="77777777" w:rsidR="00ED0317" w:rsidRPr="001E5657" w:rsidRDefault="00ED0317" w:rsidP="00CC0781">
            <w:pPr>
              <w:jc w:val="both"/>
              <w:rPr>
                <w:rFonts w:eastAsiaTheme="minorHAnsi"/>
                <w:b/>
                <w:color w:val="000000"/>
                <w:lang w:eastAsia="en-ZA"/>
              </w:rPr>
            </w:pPr>
            <w:r w:rsidRPr="001E5657">
              <w:rPr>
                <w:rFonts w:eastAsiaTheme="minorHAnsi"/>
                <w:b/>
                <w:color w:val="000000"/>
                <w:lang w:eastAsia="en-ZA"/>
              </w:rPr>
              <w:t>76.5%</w:t>
            </w:r>
          </w:p>
        </w:tc>
      </w:tr>
    </w:tbl>
    <w:p w14:paraId="5BA8269D" w14:textId="77777777" w:rsidR="00ED0317" w:rsidRPr="00661465" w:rsidRDefault="00ED0317" w:rsidP="00CC0781">
      <w:pPr>
        <w:spacing w:before="480" w:after="220" w:line="360" w:lineRule="auto"/>
        <w:jc w:val="both"/>
        <w:rPr>
          <w:rFonts w:ascii="Times New Roman" w:eastAsia="Calibri" w:hAnsi="Times New Roman" w:cs="Times New Roman"/>
          <w:sz w:val="24"/>
          <w:szCs w:val="24"/>
        </w:rPr>
      </w:pPr>
      <w:r w:rsidRPr="00661465">
        <w:rPr>
          <w:rFonts w:ascii="Times New Roman" w:eastAsia="Calibri" w:hAnsi="Times New Roman" w:cs="Times New Roman"/>
          <w:sz w:val="24"/>
          <w:szCs w:val="24"/>
        </w:rPr>
        <w:t>Table 8 below provides an analysis of the IDT programme expenditure per programme category.</w:t>
      </w:r>
    </w:p>
    <w:p w14:paraId="5CDE3970" w14:textId="77777777" w:rsidR="00ED0317" w:rsidRPr="00661465" w:rsidRDefault="00ED0317" w:rsidP="00CC0781">
      <w:pPr>
        <w:pStyle w:val="Caption"/>
        <w:keepNext/>
        <w:spacing w:after="120"/>
        <w:jc w:val="both"/>
        <w:rPr>
          <w:rFonts w:ascii="Times New Roman" w:hAnsi="Times New Roman" w:cs="Times New Roman"/>
          <w:b/>
          <w:i w:val="0"/>
          <w:color w:val="auto"/>
          <w:sz w:val="24"/>
          <w:szCs w:val="24"/>
        </w:rPr>
      </w:pPr>
      <w:r w:rsidRPr="00661465">
        <w:rPr>
          <w:rFonts w:ascii="Times New Roman" w:hAnsi="Times New Roman" w:cs="Times New Roman"/>
          <w:b/>
          <w:i w:val="0"/>
          <w:color w:val="auto"/>
          <w:sz w:val="24"/>
          <w:szCs w:val="24"/>
        </w:rPr>
        <w:t>Expenditure performance per programme category: 3</w:t>
      </w:r>
      <w:r w:rsidRPr="00661465">
        <w:rPr>
          <w:rFonts w:ascii="Times New Roman" w:hAnsi="Times New Roman" w:cs="Times New Roman"/>
          <w:b/>
          <w:i w:val="0"/>
          <w:color w:val="auto"/>
          <w:sz w:val="24"/>
          <w:szCs w:val="24"/>
          <w:vertAlign w:val="superscript"/>
        </w:rPr>
        <w:t>rd</w:t>
      </w:r>
      <w:r w:rsidRPr="00661465">
        <w:rPr>
          <w:rFonts w:ascii="Times New Roman" w:hAnsi="Times New Roman" w:cs="Times New Roman"/>
          <w:b/>
          <w:i w:val="0"/>
          <w:color w:val="auto"/>
          <w:sz w:val="24"/>
          <w:szCs w:val="24"/>
        </w:rPr>
        <w:t xml:space="preserve"> Quarter 2018/19</w:t>
      </w:r>
    </w:p>
    <w:tbl>
      <w:tblPr>
        <w:tblStyle w:val="TableGrid12"/>
        <w:tblW w:w="9493" w:type="dxa"/>
        <w:shd w:val="clear" w:color="auto" w:fill="FFFFFF" w:themeFill="background1"/>
        <w:tblLook w:val="04A0" w:firstRow="1" w:lastRow="0" w:firstColumn="1" w:lastColumn="0" w:noHBand="0" w:noVBand="1"/>
      </w:tblPr>
      <w:tblGrid>
        <w:gridCol w:w="2777"/>
        <w:gridCol w:w="1885"/>
        <w:gridCol w:w="1773"/>
        <w:gridCol w:w="1719"/>
        <w:gridCol w:w="1339"/>
      </w:tblGrid>
      <w:tr w:rsidR="00ED0317" w:rsidRPr="001E5657" w14:paraId="686971E6" w14:textId="77777777" w:rsidTr="00C42EF8">
        <w:tc>
          <w:tcPr>
            <w:tcW w:w="2801" w:type="dxa"/>
            <w:shd w:val="clear" w:color="auto" w:fill="FFFFFF" w:themeFill="background1"/>
            <w:vAlign w:val="center"/>
          </w:tcPr>
          <w:p w14:paraId="544E66D0" w14:textId="77777777" w:rsidR="00ED0317" w:rsidRPr="001E5657" w:rsidRDefault="00ED0317" w:rsidP="00CC0781">
            <w:pPr>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Programme Category</w:t>
            </w:r>
          </w:p>
        </w:tc>
        <w:tc>
          <w:tcPr>
            <w:tcW w:w="1894" w:type="dxa"/>
            <w:shd w:val="clear" w:color="auto" w:fill="FFFFFF" w:themeFill="background1"/>
            <w:vAlign w:val="center"/>
          </w:tcPr>
          <w:p w14:paraId="5ECB0D55" w14:textId="77777777" w:rsidR="00ED0317" w:rsidRPr="001E5657" w:rsidRDefault="00ED0317" w:rsidP="00CC0781">
            <w:pPr>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Infrastructure Facilities</w:t>
            </w:r>
          </w:p>
        </w:tc>
        <w:tc>
          <w:tcPr>
            <w:tcW w:w="1782" w:type="dxa"/>
            <w:shd w:val="clear" w:color="auto" w:fill="FFFFFF" w:themeFill="background1"/>
            <w:vAlign w:val="center"/>
          </w:tcPr>
          <w:p w14:paraId="2ECB5291" w14:textId="77777777" w:rsidR="00ED0317" w:rsidRPr="001E5657" w:rsidRDefault="00ED0317" w:rsidP="00CC0781">
            <w:pPr>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Social Development</w:t>
            </w:r>
          </w:p>
        </w:tc>
        <w:tc>
          <w:tcPr>
            <w:tcW w:w="1740" w:type="dxa"/>
            <w:shd w:val="clear" w:color="auto" w:fill="FFFFFF" w:themeFill="background1"/>
            <w:vAlign w:val="center"/>
          </w:tcPr>
          <w:p w14:paraId="492B529A" w14:textId="77777777" w:rsidR="00ED0317" w:rsidRPr="001E5657" w:rsidRDefault="00ED0317" w:rsidP="00CC0781">
            <w:pPr>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Total</w:t>
            </w:r>
          </w:p>
        </w:tc>
        <w:tc>
          <w:tcPr>
            <w:tcW w:w="1276" w:type="dxa"/>
            <w:shd w:val="clear" w:color="auto" w:fill="FFFFFF" w:themeFill="background1"/>
            <w:vAlign w:val="center"/>
          </w:tcPr>
          <w:p w14:paraId="1E0CB431" w14:textId="77777777" w:rsidR="00ED0317" w:rsidRPr="001E5657" w:rsidRDefault="00ED0317" w:rsidP="00CC0781">
            <w:pPr>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Percentage Contribution</w:t>
            </w:r>
          </w:p>
        </w:tc>
      </w:tr>
      <w:tr w:rsidR="00ED0317" w:rsidRPr="001E5657" w14:paraId="4041DB96" w14:textId="77777777" w:rsidTr="00C42EF8">
        <w:tc>
          <w:tcPr>
            <w:tcW w:w="2801" w:type="dxa"/>
            <w:shd w:val="clear" w:color="auto" w:fill="FFFFFF" w:themeFill="background1"/>
            <w:vAlign w:val="bottom"/>
          </w:tcPr>
          <w:p w14:paraId="304363F1"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Education Facilities</w:t>
            </w:r>
          </w:p>
        </w:tc>
        <w:tc>
          <w:tcPr>
            <w:tcW w:w="1894" w:type="dxa"/>
            <w:shd w:val="clear" w:color="auto" w:fill="FFFFFF" w:themeFill="background1"/>
          </w:tcPr>
          <w:p w14:paraId="245DD0CC"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R1 475 245 824</w:t>
            </w:r>
          </w:p>
        </w:tc>
        <w:tc>
          <w:tcPr>
            <w:tcW w:w="1782" w:type="dxa"/>
            <w:shd w:val="clear" w:color="auto" w:fill="FFFFFF" w:themeFill="background1"/>
          </w:tcPr>
          <w:p w14:paraId="3E1FD716"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w:t>
            </w:r>
          </w:p>
        </w:tc>
        <w:tc>
          <w:tcPr>
            <w:tcW w:w="1740" w:type="dxa"/>
            <w:shd w:val="clear" w:color="auto" w:fill="FFFFFF" w:themeFill="background1"/>
          </w:tcPr>
          <w:p w14:paraId="668B2A93"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R1 475 245 824</w:t>
            </w:r>
          </w:p>
        </w:tc>
        <w:tc>
          <w:tcPr>
            <w:tcW w:w="1276" w:type="dxa"/>
            <w:shd w:val="clear" w:color="auto" w:fill="FFFFFF" w:themeFill="background1"/>
            <w:vAlign w:val="center"/>
          </w:tcPr>
          <w:p w14:paraId="03ED4377"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51.4%</w:t>
            </w:r>
          </w:p>
        </w:tc>
      </w:tr>
      <w:tr w:rsidR="00ED0317" w:rsidRPr="001E5657" w14:paraId="7B98A87F" w14:textId="77777777" w:rsidTr="00C42EF8">
        <w:tc>
          <w:tcPr>
            <w:tcW w:w="2801" w:type="dxa"/>
            <w:shd w:val="clear" w:color="auto" w:fill="FFFFFF" w:themeFill="background1"/>
            <w:vAlign w:val="bottom"/>
          </w:tcPr>
          <w:p w14:paraId="3991DB8A"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Environmental Interventions.</w:t>
            </w:r>
          </w:p>
        </w:tc>
        <w:tc>
          <w:tcPr>
            <w:tcW w:w="1894" w:type="dxa"/>
            <w:shd w:val="clear" w:color="auto" w:fill="FFFFFF" w:themeFill="background1"/>
          </w:tcPr>
          <w:p w14:paraId="2BA01301"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w:t>
            </w:r>
          </w:p>
        </w:tc>
        <w:tc>
          <w:tcPr>
            <w:tcW w:w="1782" w:type="dxa"/>
            <w:shd w:val="clear" w:color="auto" w:fill="FFFFFF" w:themeFill="background1"/>
          </w:tcPr>
          <w:p w14:paraId="3705C6FC"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R38 903 391</w:t>
            </w:r>
          </w:p>
        </w:tc>
        <w:tc>
          <w:tcPr>
            <w:tcW w:w="1740" w:type="dxa"/>
            <w:shd w:val="clear" w:color="auto" w:fill="FFFFFF" w:themeFill="background1"/>
          </w:tcPr>
          <w:p w14:paraId="73AF7F2B"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R38 903 391</w:t>
            </w:r>
          </w:p>
        </w:tc>
        <w:tc>
          <w:tcPr>
            <w:tcW w:w="1276" w:type="dxa"/>
            <w:shd w:val="clear" w:color="auto" w:fill="FFFFFF" w:themeFill="background1"/>
            <w:vAlign w:val="center"/>
          </w:tcPr>
          <w:p w14:paraId="2EAE9BB8"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1.4%</w:t>
            </w:r>
          </w:p>
        </w:tc>
      </w:tr>
      <w:tr w:rsidR="00ED0317" w:rsidRPr="001E5657" w14:paraId="44A81388" w14:textId="77777777" w:rsidTr="00C42EF8">
        <w:tc>
          <w:tcPr>
            <w:tcW w:w="2801" w:type="dxa"/>
            <w:shd w:val="clear" w:color="auto" w:fill="FFFFFF" w:themeFill="background1"/>
            <w:vAlign w:val="bottom"/>
          </w:tcPr>
          <w:p w14:paraId="2A851B5B"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EPWP NSS</w:t>
            </w:r>
          </w:p>
        </w:tc>
        <w:tc>
          <w:tcPr>
            <w:tcW w:w="1894" w:type="dxa"/>
            <w:shd w:val="clear" w:color="auto" w:fill="FFFFFF" w:themeFill="background1"/>
          </w:tcPr>
          <w:p w14:paraId="4F77386A"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w:t>
            </w:r>
          </w:p>
        </w:tc>
        <w:tc>
          <w:tcPr>
            <w:tcW w:w="1782" w:type="dxa"/>
            <w:shd w:val="clear" w:color="auto" w:fill="FFFFFF" w:themeFill="background1"/>
          </w:tcPr>
          <w:p w14:paraId="2BBC29DA"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R611 010 425</w:t>
            </w:r>
          </w:p>
        </w:tc>
        <w:tc>
          <w:tcPr>
            <w:tcW w:w="1740" w:type="dxa"/>
            <w:shd w:val="clear" w:color="auto" w:fill="FFFFFF" w:themeFill="background1"/>
          </w:tcPr>
          <w:p w14:paraId="6C9E66E3"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R611 010 425</w:t>
            </w:r>
          </w:p>
        </w:tc>
        <w:tc>
          <w:tcPr>
            <w:tcW w:w="1276" w:type="dxa"/>
            <w:shd w:val="clear" w:color="auto" w:fill="FFFFFF" w:themeFill="background1"/>
            <w:vAlign w:val="center"/>
          </w:tcPr>
          <w:p w14:paraId="13DDF260"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21.3%</w:t>
            </w:r>
          </w:p>
        </w:tc>
      </w:tr>
      <w:tr w:rsidR="00ED0317" w:rsidRPr="001E5657" w14:paraId="5F52A8C7" w14:textId="77777777" w:rsidTr="00C42EF8">
        <w:tc>
          <w:tcPr>
            <w:tcW w:w="2801" w:type="dxa"/>
            <w:shd w:val="clear" w:color="auto" w:fill="FFFFFF" w:themeFill="background1"/>
            <w:vAlign w:val="bottom"/>
          </w:tcPr>
          <w:p w14:paraId="7F022D42"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Health Care Facilities</w:t>
            </w:r>
          </w:p>
        </w:tc>
        <w:tc>
          <w:tcPr>
            <w:tcW w:w="1894" w:type="dxa"/>
            <w:shd w:val="clear" w:color="auto" w:fill="FFFFFF" w:themeFill="background1"/>
          </w:tcPr>
          <w:p w14:paraId="118F298D"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R138 741 726</w:t>
            </w:r>
          </w:p>
        </w:tc>
        <w:tc>
          <w:tcPr>
            <w:tcW w:w="1782" w:type="dxa"/>
            <w:shd w:val="clear" w:color="auto" w:fill="FFFFFF" w:themeFill="background1"/>
          </w:tcPr>
          <w:p w14:paraId="3C39C157"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w:t>
            </w:r>
          </w:p>
        </w:tc>
        <w:tc>
          <w:tcPr>
            <w:tcW w:w="1740" w:type="dxa"/>
            <w:shd w:val="clear" w:color="auto" w:fill="FFFFFF" w:themeFill="background1"/>
          </w:tcPr>
          <w:p w14:paraId="0EBB0C83"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R138 741 726</w:t>
            </w:r>
          </w:p>
        </w:tc>
        <w:tc>
          <w:tcPr>
            <w:tcW w:w="1276" w:type="dxa"/>
            <w:shd w:val="clear" w:color="auto" w:fill="FFFFFF" w:themeFill="background1"/>
            <w:vAlign w:val="center"/>
          </w:tcPr>
          <w:p w14:paraId="38DBB244"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4.8%</w:t>
            </w:r>
          </w:p>
        </w:tc>
      </w:tr>
      <w:tr w:rsidR="00ED0317" w:rsidRPr="001E5657" w14:paraId="5A684F31" w14:textId="77777777" w:rsidTr="00C42EF8">
        <w:tc>
          <w:tcPr>
            <w:tcW w:w="2801" w:type="dxa"/>
            <w:shd w:val="clear" w:color="auto" w:fill="FFFFFF" w:themeFill="background1"/>
            <w:vAlign w:val="bottom"/>
          </w:tcPr>
          <w:p w14:paraId="0121BE7A"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Justice Systems Facilities</w:t>
            </w:r>
          </w:p>
        </w:tc>
        <w:tc>
          <w:tcPr>
            <w:tcW w:w="1894" w:type="dxa"/>
            <w:shd w:val="clear" w:color="auto" w:fill="FFFFFF" w:themeFill="background1"/>
          </w:tcPr>
          <w:p w14:paraId="0694FC2E"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R363 669 338</w:t>
            </w:r>
          </w:p>
        </w:tc>
        <w:tc>
          <w:tcPr>
            <w:tcW w:w="1782" w:type="dxa"/>
            <w:shd w:val="clear" w:color="auto" w:fill="FFFFFF" w:themeFill="background1"/>
          </w:tcPr>
          <w:p w14:paraId="1C9B2A7C"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w:t>
            </w:r>
          </w:p>
        </w:tc>
        <w:tc>
          <w:tcPr>
            <w:tcW w:w="1740" w:type="dxa"/>
            <w:shd w:val="clear" w:color="auto" w:fill="FFFFFF" w:themeFill="background1"/>
          </w:tcPr>
          <w:p w14:paraId="07B997BF"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R363 669 338</w:t>
            </w:r>
          </w:p>
        </w:tc>
        <w:tc>
          <w:tcPr>
            <w:tcW w:w="1276" w:type="dxa"/>
            <w:shd w:val="clear" w:color="auto" w:fill="FFFFFF" w:themeFill="background1"/>
            <w:vAlign w:val="center"/>
          </w:tcPr>
          <w:p w14:paraId="75FF3384"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12.7%</w:t>
            </w:r>
          </w:p>
        </w:tc>
      </w:tr>
      <w:tr w:rsidR="00ED0317" w:rsidRPr="001E5657" w14:paraId="21D8C4AF" w14:textId="77777777" w:rsidTr="00C42EF8">
        <w:tc>
          <w:tcPr>
            <w:tcW w:w="2801" w:type="dxa"/>
            <w:tcBorders>
              <w:bottom w:val="single" w:sz="4" w:space="0" w:color="auto"/>
            </w:tcBorders>
            <w:shd w:val="clear" w:color="auto" w:fill="FFFFFF" w:themeFill="background1"/>
            <w:vAlign w:val="bottom"/>
          </w:tcPr>
          <w:p w14:paraId="6EB2F32C" w14:textId="77777777" w:rsidR="00ED0317" w:rsidRPr="001E5657" w:rsidRDefault="00ED0317" w:rsidP="00CC0781">
            <w:pPr>
              <w:jc w:val="both"/>
              <w:rPr>
                <w:rFonts w:ascii="Times New Roman" w:eastAsia="Times New Roman" w:hAnsi="Times New Roman" w:cs="Times New Roman"/>
                <w:b/>
                <w:color w:val="000000"/>
                <w:sz w:val="20"/>
                <w:szCs w:val="20"/>
                <w:lang w:eastAsia="en-ZA"/>
              </w:rPr>
            </w:pPr>
            <w:r w:rsidRPr="001E5657">
              <w:rPr>
                <w:rFonts w:ascii="Times New Roman" w:eastAsia="Times New Roman" w:hAnsi="Times New Roman" w:cs="Times New Roman"/>
                <w:b/>
                <w:color w:val="000000"/>
                <w:sz w:val="20"/>
                <w:szCs w:val="20"/>
                <w:lang w:eastAsia="en-ZA"/>
              </w:rPr>
              <w:t>Welfare Supp. Facilities</w:t>
            </w:r>
          </w:p>
        </w:tc>
        <w:tc>
          <w:tcPr>
            <w:tcW w:w="1894" w:type="dxa"/>
            <w:tcBorders>
              <w:bottom w:val="single" w:sz="4" w:space="0" w:color="auto"/>
            </w:tcBorders>
            <w:shd w:val="clear" w:color="auto" w:fill="FFFFFF" w:themeFill="background1"/>
          </w:tcPr>
          <w:p w14:paraId="6227E029"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R234 218 983</w:t>
            </w:r>
          </w:p>
        </w:tc>
        <w:tc>
          <w:tcPr>
            <w:tcW w:w="1782" w:type="dxa"/>
            <w:tcBorders>
              <w:bottom w:val="single" w:sz="4" w:space="0" w:color="auto"/>
            </w:tcBorders>
            <w:shd w:val="clear" w:color="auto" w:fill="FFFFFF" w:themeFill="background1"/>
          </w:tcPr>
          <w:p w14:paraId="2ECF646E"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R5 922 639</w:t>
            </w:r>
          </w:p>
        </w:tc>
        <w:tc>
          <w:tcPr>
            <w:tcW w:w="1740" w:type="dxa"/>
            <w:tcBorders>
              <w:bottom w:val="single" w:sz="4" w:space="0" w:color="auto"/>
            </w:tcBorders>
            <w:shd w:val="clear" w:color="auto" w:fill="FFFFFF" w:themeFill="background1"/>
          </w:tcPr>
          <w:p w14:paraId="654C9A23"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R240 141 622</w:t>
            </w:r>
          </w:p>
        </w:tc>
        <w:tc>
          <w:tcPr>
            <w:tcW w:w="1276" w:type="dxa"/>
            <w:tcBorders>
              <w:bottom w:val="single" w:sz="4" w:space="0" w:color="auto"/>
            </w:tcBorders>
            <w:shd w:val="clear" w:color="auto" w:fill="FFFFFF" w:themeFill="background1"/>
            <w:vAlign w:val="center"/>
          </w:tcPr>
          <w:p w14:paraId="46C22A2C" w14:textId="77777777" w:rsidR="00ED0317" w:rsidRPr="001E5657" w:rsidRDefault="00ED0317" w:rsidP="00CC0781">
            <w:pPr>
              <w:jc w:val="both"/>
              <w:rPr>
                <w:rFonts w:ascii="Times New Roman" w:hAnsi="Times New Roman" w:cs="Times New Roman"/>
                <w:sz w:val="20"/>
                <w:szCs w:val="20"/>
              </w:rPr>
            </w:pPr>
            <w:r w:rsidRPr="001E5657">
              <w:rPr>
                <w:rFonts w:ascii="Times New Roman" w:hAnsi="Times New Roman" w:cs="Times New Roman"/>
                <w:sz w:val="20"/>
                <w:szCs w:val="20"/>
              </w:rPr>
              <w:t>8.4%</w:t>
            </w:r>
          </w:p>
        </w:tc>
      </w:tr>
      <w:tr w:rsidR="00ED0317" w:rsidRPr="001E5657" w14:paraId="49F3EAAE" w14:textId="77777777" w:rsidTr="00C42EF8">
        <w:tc>
          <w:tcPr>
            <w:tcW w:w="2801" w:type="dxa"/>
            <w:shd w:val="clear" w:color="auto" w:fill="FFFFFF" w:themeFill="background1"/>
          </w:tcPr>
          <w:p w14:paraId="13FE3A3B" w14:textId="77777777" w:rsidR="00ED0317" w:rsidRPr="001E5657" w:rsidRDefault="00ED0317" w:rsidP="00CC0781">
            <w:pPr>
              <w:jc w:val="both"/>
              <w:rPr>
                <w:rFonts w:ascii="Times New Roman" w:hAnsi="Times New Roman" w:cs="Times New Roman"/>
                <w:b/>
                <w:sz w:val="20"/>
                <w:szCs w:val="20"/>
              </w:rPr>
            </w:pPr>
            <w:r w:rsidRPr="001E5657">
              <w:rPr>
                <w:rFonts w:ascii="Times New Roman" w:hAnsi="Times New Roman" w:cs="Times New Roman"/>
                <w:b/>
                <w:sz w:val="20"/>
                <w:szCs w:val="20"/>
              </w:rPr>
              <w:t>TOTAL</w:t>
            </w:r>
          </w:p>
        </w:tc>
        <w:tc>
          <w:tcPr>
            <w:tcW w:w="1894" w:type="dxa"/>
            <w:shd w:val="clear" w:color="auto" w:fill="FFFFFF" w:themeFill="background1"/>
          </w:tcPr>
          <w:p w14:paraId="1B0C95F2" w14:textId="77777777" w:rsidR="00ED0317" w:rsidRPr="001E5657" w:rsidRDefault="00ED0317" w:rsidP="00CC0781">
            <w:pPr>
              <w:jc w:val="both"/>
              <w:rPr>
                <w:rFonts w:ascii="Times New Roman" w:hAnsi="Times New Roman" w:cs="Times New Roman"/>
                <w:b/>
                <w:sz w:val="20"/>
                <w:szCs w:val="20"/>
              </w:rPr>
            </w:pPr>
            <w:r w:rsidRPr="001E5657">
              <w:rPr>
                <w:rFonts w:ascii="Times New Roman" w:hAnsi="Times New Roman" w:cs="Times New Roman"/>
                <w:b/>
                <w:sz w:val="20"/>
                <w:szCs w:val="20"/>
              </w:rPr>
              <w:t>R2 211 875 871</w:t>
            </w:r>
          </w:p>
        </w:tc>
        <w:tc>
          <w:tcPr>
            <w:tcW w:w="1782" w:type="dxa"/>
            <w:shd w:val="clear" w:color="auto" w:fill="FFFFFF" w:themeFill="background1"/>
          </w:tcPr>
          <w:p w14:paraId="4CE11458" w14:textId="77777777" w:rsidR="00ED0317" w:rsidRPr="001E5657" w:rsidRDefault="00ED0317" w:rsidP="00CC0781">
            <w:pPr>
              <w:jc w:val="both"/>
              <w:rPr>
                <w:rFonts w:ascii="Times New Roman" w:hAnsi="Times New Roman" w:cs="Times New Roman"/>
                <w:b/>
                <w:sz w:val="20"/>
                <w:szCs w:val="20"/>
              </w:rPr>
            </w:pPr>
            <w:r w:rsidRPr="001E5657">
              <w:rPr>
                <w:rFonts w:ascii="Times New Roman" w:hAnsi="Times New Roman" w:cs="Times New Roman"/>
                <w:b/>
                <w:sz w:val="20"/>
                <w:szCs w:val="20"/>
              </w:rPr>
              <w:t>R655 836 455</w:t>
            </w:r>
          </w:p>
        </w:tc>
        <w:tc>
          <w:tcPr>
            <w:tcW w:w="1740" w:type="dxa"/>
            <w:shd w:val="clear" w:color="auto" w:fill="FFFFFF" w:themeFill="background1"/>
          </w:tcPr>
          <w:p w14:paraId="71D64CFB" w14:textId="77777777" w:rsidR="00ED0317" w:rsidRPr="001E5657" w:rsidRDefault="00ED0317" w:rsidP="00CC0781">
            <w:pPr>
              <w:jc w:val="both"/>
              <w:rPr>
                <w:rFonts w:ascii="Times New Roman" w:hAnsi="Times New Roman" w:cs="Times New Roman"/>
                <w:b/>
                <w:sz w:val="20"/>
                <w:szCs w:val="20"/>
              </w:rPr>
            </w:pPr>
            <w:r w:rsidRPr="001E5657">
              <w:rPr>
                <w:rFonts w:ascii="Times New Roman" w:hAnsi="Times New Roman" w:cs="Times New Roman"/>
                <w:b/>
                <w:sz w:val="20"/>
                <w:szCs w:val="20"/>
              </w:rPr>
              <w:t>R2 867 712 326</w:t>
            </w:r>
          </w:p>
        </w:tc>
        <w:tc>
          <w:tcPr>
            <w:tcW w:w="1276" w:type="dxa"/>
            <w:shd w:val="clear" w:color="auto" w:fill="FFFFFF" w:themeFill="background1"/>
            <w:vAlign w:val="center"/>
          </w:tcPr>
          <w:p w14:paraId="4554314B" w14:textId="77777777" w:rsidR="00ED0317" w:rsidRPr="001E5657" w:rsidRDefault="00ED0317" w:rsidP="00CC0781">
            <w:pPr>
              <w:jc w:val="both"/>
              <w:rPr>
                <w:rFonts w:ascii="Times New Roman" w:hAnsi="Times New Roman" w:cs="Times New Roman"/>
                <w:b/>
                <w:sz w:val="20"/>
                <w:szCs w:val="20"/>
              </w:rPr>
            </w:pPr>
            <w:r w:rsidRPr="001E5657">
              <w:rPr>
                <w:rFonts w:ascii="Times New Roman" w:hAnsi="Times New Roman" w:cs="Times New Roman"/>
                <w:b/>
                <w:sz w:val="20"/>
                <w:szCs w:val="20"/>
              </w:rPr>
              <w:t>100%</w:t>
            </w:r>
          </w:p>
        </w:tc>
      </w:tr>
    </w:tbl>
    <w:p w14:paraId="2D7EE649" w14:textId="77777777" w:rsidR="00ED0317" w:rsidRPr="00661465" w:rsidRDefault="00ED0317" w:rsidP="00CC0781">
      <w:pPr>
        <w:spacing w:after="0" w:line="360" w:lineRule="auto"/>
        <w:ind w:right="-96"/>
        <w:jc w:val="both"/>
        <w:rPr>
          <w:rFonts w:ascii="Times New Roman" w:eastAsia="Calibri" w:hAnsi="Times New Roman" w:cs="Times New Roman"/>
          <w:sz w:val="24"/>
          <w:szCs w:val="24"/>
        </w:rPr>
      </w:pPr>
    </w:p>
    <w:p w14:paraId="78554686" w14:textId="77777777" w:rsidR="001C10AC" w:rsidRPr="00661465" w:rsidRDefault="00ED0317" w:rsidP="00CC0781">
      <w:pPr>
        <w:spacing w:after="0" w:line="360" w:lineRule="auto"/>
        <w:ind w:right="-96"/>
        <w:jc w:val="both"/>
        <w:rPr>
          <w:rFonts w:ascii="Times New Roman" w:eastAsia="Calibri" w:hAnsi="Times New Roman" w:cs="Times New Roman"/>
          <w:sz w:val="24"/>
          <w:szCs w:val="24"/>
        </w:rPr>
      </w:pPr>
      <w:r w:rsidRPr="00661465">
        <w:rPr>
          <w:rFonts w:ascii="Times New Roman" w:eastAsia="Calibri" w:hAnsi="Times New Roman" w:cs="Times New Roman"/>
          <w:sz w:val="24"/>
          <w:szCs w:val="24"/>
        </w:rPr>
        <w:t xml:space="preserve">The IDT has a total of 2498 active projects at various stages as indicated in table 9.  Of the 2 498 45% (1 137) are at implementation stage and 29% (716) at closeout stage.  A total of 8% of projects are at planning, procurement of service provides, design and assessment stage with only 4% at contractor procurement stage.  The low percentage of </w:t>
      </w:r>
      <w:r w:rsidR="00C42EF8" w:rsidRPr="00661465">
        <w:rPr>
          <w:rFonts w:ascii="Times New Roman" w:eastAsia="Calibri" w:hAnsi="Times New Roman" w:cs="Times New Roman"/>
          <w:sz w:val="24"/>
          <w:szCs w:val="24"/>
        </w:rPr>
        <w:t>achievement</w:t>
      </w:r>
      <w:r w:rsidRPr="00661465">
        <w:rPr>
          <w:rFonts w:ascii="Times New Roman" w:eastAsia="Calibri" w:hAnsi="Times New Roman" w:cs="Times New Roman"/>
          <w:sz w:val="24"/>
          <w:szCs w:val="24"/>
        </w:rPr>
        <w:t xml:space="preserve"> between planning an</w:t>
      </w:r>
      <w:r w:rsidR="00C42EF8" w:rsidRPr="00661465">
        <w:rPr>
          <w:rFonts w:ascii="Times New Roman" w:eastAsia="Calibri" w:hAnsi="Times New Roman" w:cs="Times New Roman"/>
          <w:sz w:val="24"/>
          <w:szCs w:val="24"/>
        </w:rPr>
        <w:t>d procurement of contractors has</w:t>
      </w:r>
      <w:r w:rsidRPr="00661465">
        <w:rPr>
          <w:rFonts w:ascii="Times New Roman" w:eastAsia="Calibri" w:hAnsi="Times New Roman" w:cs="Times New Roman"/>
          <w:sz w:val="24"/>
          <w:szCs w:val="24"/>
        </w:rPr>
        <w:t xml:space="preserve"> direct </w:t>
      </w:r>
      <w:r w:rsidR="00C42EF8" w:rsidRPr="00661465">
        <w:rPr>
          <w:rFonts w:ascii="Times New Roman" w:eastAsia="Calibri" w:hAnsi="Times New Roman" w:cs="Times New Roman"/>
          <w:sz w:val="24"/>
          <w:szCs w:val="24"/>
        </w:rPr>
        <w:t xml:space="preserve">negative </w:t>
      </w:r>
      <w:r w:rsidRPr="00661465">
        <w:rPr>
          <w:rFonts w:ascii="Times New Roman" w:eastAsia="Calibri" w:hAnsi="Times New Roman" w:cs="Times New Roman"/>
          <w:sz w:val="24"/>
          <w:szCs w:val="24"/>
        </w:rPr>
        <w:t xml:space="preserve">impact on expenditure in the current and ensuing financial year.  </w:t>
      </w:r>
      <w:r w:rsidR="001E5657" w:rsidRPr="00661465">
        <w:rPr>
          <w:rFonts w:ascii="Times New Roman" w:eastAsia="Calibri" w:hAnsi="Times New Roman" w:cs="Times New Roman"/>
          <w:sz w:val="24"/>
          <w:szCs w:val="24"/>
        </w:rPr>
        <w:t>Efforts to</w:t>
      </w:r>
      <w:r w:rsidRPr="00661465">
        <w:rPr>
          <w:rFonts w:ascii="Times New Roman" w:eastAsia="Calibri" w:hAnsi="Times New Roman" w:cs="Times New Roman"/>
          <w:sz w:val="24"/>
          <w:szCs w:val="24"/>
        </w:rPr>
        <w:t xml:space="preserve"> strengthen business portfolio generation remain critical.</w:t>
      </w:r>
    </w:p>
    <w:p w14:paraId="7A7F71DF" w14:textId="77777777" w:rsidR="004962F0" w:rsidRPr="00661465" w:rsidRDefault="004962F0" w:rsidP="00CC0781">
      <w:pPr>
        <w:spacing w:line="360" w:lineRule="auto"/>
        <w:jc w:val="both"/>
        <w:rPr>
          <w:rFonts w:ascii="Times New Roman" w:hAnsi="Times New Roman" w:cs="Times New Roman"/>
          <w:sz w:val="24"/>
          <w:szCs w:val="24"/>
        </w:rPr>
      </w:pPr>
    </w:p>
    <w:p w14:paraId="06406722" w14:textId="77777777" w:rsidR="0037356D" w:rsidRPr="00661465" w:rsidRDefault="005E08F4" w:rsidP="00CC0781">
      <w:pPr>
        <w:pStyle w:val="Heading2"/>
        <w:spacing w:before="360" w:after="220" w:line="360" w:lineRule="auto"/>
        <w:jc w:val="both"/>
        <w:rPr>
          <w:rFonts w:ascii="Times New Roman" w:hAnsi="Times New Roman" w:cs="Times New Roman"/>
          <w:b/>
          <w:color w:val="auto"/>
          <w:sz w:val="24"/>
          <w:szCs w:val="24"/>
        </w:rPr>
      </w:pPr>
      <w:r w:rsidRPr="00661465">
        <w:rPr>
          <w:rFonts w:ascii="Times New Roman" w:hAnsi="Times New Roman" w:cs="Times New Roman"/>
          <w:b/>
          <w:color w:val="auto"/>
          <w:sz w:val="24"/>
          <w:szCs w:val="24"/>
        </w:rPr>
        <w:t>Budgetary Overview</w:t>
      </w:r>
    </w:p>
    <w:p w14:paraId="6FC14536" w14:textId="77777777" w:rsidR="0037356D" w:rsidRPr="00661465" w:rsidRDefault="0037356D" w:rsidP="00CC0781">
      <w:pPr>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The IDT’s financial outlook for the 2019/20 financial year is negative as it is reflecting an estimated operational deficit of R141.255 million before capital expenditure. This is based on the projected programmes portfolio to be delivered on behalf of government.</w:t>
      </w:r>
    </w:p>
    <w:p w14:paraId="64891BDB" w14:textId="77777777" w:rsidR="0037356D" w:rsidRPr="00661465" w:rsidRDefault="0037356D" w:rsidP="00CC0781">
      <w:pPr>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Management fees are the major source of revenue to sustain the IDT financially and have been budgeted at an average of 5,0 % of the expected programme expenditure for 2019/20.   The other revenue sources include the grant funding of R5.0m, and other income-comprising tender deposits and interest income.</w:t>
      </w:r>
    </w:p>
    <w:p w14:paraId="7AFE887B" w14:textId="77777777" w:rsidR="0037356D" w:rsidRPr="00661465" w:rsidRDefault="0037356D" w:rsidP="00CC0781">
      <w:pPr>
        <w:spacing w:before="220" w:after="220" w:line="360" w:lineRule="auto"/>
        <w:jc w:val="both"/>
        <w:rPr>
          <w:rFonts w:ascii="Times New Roman" w:hAnsi="Times New Roman" w:cs="Times New Roman"/>
          <w:sz w:val="24"/>
          <w:szCs w:val="24"/>
        </w:rPr>
      </w:pPr>
      <w:r w:rsidRPr="00661465">
        <w:rPr>
          <w:rFonts w:ascii="Times New Roman" w:hAnsi="Times New Roman" w:cs="Times New Roman"/>
          <w:sz w:val="24"/>
          <w:szCs w:val="24"/>
        </w:rPr>
        <w:t>The overhead expenditure for the 2019/20 financial year is forecasted at R386.617 million. The largest component of the overhead cost relates to the employment costs compromising an average level of 56% of the overhead expenditure. These costs are driven by the nature of the IDT’s business which is the provision of professional services and management skills in the implementation of social infrastructure programmes on behalf of the Government. These employment costs have been adjusted downward due to restructuring and rationalisation activities. The other operating overheads remain under tight control and focus, and are increased at rates below those factored under the revenue growth.</w:t>
      </w:r>
    </w:p>
    <w:p w14:paraId="11C6D46B" w14:textId="77777777" w:rsidR="0037356D" w:rsidRPr="00661465" w:rsidRDefault="0037356D"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IDT has obtained disclaimed audit outcomes over the past three years. These were largely driven by inadequacies in the project accounting and financial reporting environment. Measures are being implemented to address the identified gaps. Further improvements within the financial management environment include review of internal controls and compliance measures within the supply chain management, contracts management and projects management environment.</w:t>
      </w:r>
    </w:p>
    <w:p w14:paraId="13CFB88F" w14:textId="77777777" w:rsidR="0037356D" w:rsidRPr="00661465" w:rsidRDefault="0037356D" w:rsidP="00CC0781">
      <w:pPr>
        <w:spacing w:line="360" w:lineRule="auto"/>
        <w:jc w:val="both"/>
        <w:rPr>
          <w:rFonts w:ascii="Times New Roman" w:hAnsi="Times New Roman" w:cs="Times New Roman"/>
          <w:b/>
          <w:sz w:val="24"/>
          <w:szCs w:val="24"/>
        </w:rPr>
      </w:pPr>
      <w:r w:rsidRPr="00661465">
        <w:rPr>
          <w:rFonts w:ascii="Times New Roman" w:hAnsi="Times New Roman" w:cs="Times New Roman"/>
          <w:b/>
          <w:sz w:val="24"/>
          <w:szCs w:val="24"/>
        </w:rPr>
        <w:t>The Budget for 2019/20 and over the current MTEF</w:t>
      </w:r>
    </w:p>
    <w:tbl>
      <w:tblPr>
        <w:tblW w:w="10055" w:type="dxa"/>
        <w:tblLook w:val="04A0" w:firstRow="1" w:lastRow="0" w:firstColumn="1" w:lastColumn="0" w:noHBand="0" w:noVBand="1"/>
      </w:tblPr>
      <w:tblGrid>
        <w:gridCol w:w="4678"/>
        <w:gridCol w:w="1500"/>
        <w:gridCol w:w="267"/>
        <w:gridCol w:w="1500"/>
        <w:gridCol w:w="267"/>
        <w:gridCol w:w="1843"/>
      </w:tblGrid>
      <w:tr w:rsidR="0037356D" w:rsidRPr="001E5657" w14:paraId="05782BB5" w14:textId="77777777" w:rsidTr="0037356D">
        <w:trPr>
          <w:trHeight w:val="300"/>
        </w:trPr>
        <w:tc>
          <w:tcPr>
            <w:tcW w:w="4678" w:type="dxa"/>
            <w:tcBorders>
              <w:top w:val="single" w:sz="4" w:space="0" w:color="auto"/>
              <w:left w:val="single" w:sz="8" w:space="0" w:color="auto"/>
              <w:bottom w:val="nil"/>
              <w:right w:val="single" w:sz="8" w:space="0" w:color="auto"/>
            </w:tcBorders>
            <w:shd w:val="clear" w:color="auto" w:fill="FFFFFF" w:themeFill="background1"/>
            <w:vAlign w:val="center"/>
            <w:hideMark/>
          </w:tcPr>
          <w:p w14:paraId="22E7F57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single" w:sz="4" w:space="0" w:color="auto"/>
              <w:left w:val="nil"/>
              <w:bottom w:val="nil"/>
              <w:right w:val="single" w:sz="8" w:space="0" w:color="auto"/>
            </w:tcBorders>
            <w:shd w:val="clear" w:color="auto" w:fill="FFFFFF" w:themeFill="background1"/>
            <w:noWrap/>
            <w:vAlign w:val="center"/>
            <w:hideMark/>
          </w:tcPr>
          <w:p w14:paraId="37C0432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ENE</w:t>
            </w:r>
          </w:p>
        </w:tc>
        <w:tc>
          <w:tcPr>
            <w:tcW w:w="267" w:type="dxa"/>
            <w:tcBorders>
              <w:top w:val="single" w:sz="4" w:space="0" w:color="auto"/>
              <w:left w:val="nil"/>
              <w:bottom w:val="nil"/>
              <w:right w:val="nil"/>
            </w:tcBorders>
            <w:shd w:val="clear" w:color="auto" w:fill="FFFFFF" w:themeFill="background1"/>
            <w:noWrap/>
            <w:vAlign w:val="center"/>
            <w:hideMark/>
          </w:tcPr>
          <w:p w14:paraId="65DBF04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single" w:sz="4" w:space="0" w:color="auto"/>
              <w:left w:val="single" w:sz="8" w:space="0" w:color="auto"/>
              <w:bottom w:val="nil"/>
              <w:right w:val="single" w:sz="8" w:space="0" w:color="auto"/>
            </w:tcBorders>
            <w:shd w:val="clear" w:color="auto" w:fill="FFFFFF" w:themeFill="background1"/>
            <w:noWrap/>
            <w:vAlign w:val="center"/>
            <w:hideMark/>
          </w:tcPr>
          <w:p w14:paraId="419CA7FC"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ENE</w:t>
            </w:r>
          </w:p>
        </w:tc>
        <w:tc>
          <w:tcPr>
            <w:tcW w:w="267" w:type="dxa"/>
            <w:tcBorders>
              <w:top w:val="single" w:sz="4" w:space="0" w:color="auto"/>
              <w:left w:val="nil"/>
              <w:bottom w:val="nil"/>
              <w:right w:val="single" w:sz="4" w:space="0" w:color="auto"/>
            </w:tcBorders>
            <w:shd w:val="clear" w:color="auto" w:fill="FFFFFF" w:themeFill="background1"/>
            <w:noWrap/>
            <w:vAlign w:val="center"/>
            <w:hideMark/>
          </w:tcPr>
          <w:p w14:paraId="31E53521"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13410E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ENE</w:t>
            </w:r>
          </w:p>
        </w:tc>
      </w:tr>
      <w:tr w:rsidR="0037356D" w:rsidRPr="001E5657" w14:paraId="30742DC7" w14:textId="77777777" w:rsidTr="0037356D">
        <w:trPr>
          <w:trHeight w:val="300"/>
        </w:trPr>
        <w:tc>
          <w:tcPr>
            <w:tcW w:w="4678" w:type="dxa"/>
            <w:tcBorders>
              <w:top w:val="nil"/>
              <w:left w:val="single" w:sz="8" w:space="0" w:color="auto"/>
              <w:bottom w:val="nil"/>
              <w:right w:val="single" w:sz="8" w:space="0" w:color="auto"/>
            </w:tcBorders>
            <w:shd w:val="clear" w:color="auto" w:fill="FFFFFF" w:themeFill="background1"/>
            <w:vAlign w:val="center"/>
            <w:hideMark/>
          </w:tcPr>
          <w:p w14:paraId="6E31796C"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nil"/>
              <w:bottom w:val="nil"/>
              <w:right w:val="single" w:sz="8" w:space="0" w:color="auto"/>
            </w:tcBorders>
            <w:shd w:val="clear" w:color="auto" w:fill="FFFFFF" w:themeFill="background1"/>
            <w:noWrap/>
            <w:vAlign w:val="center"/>
            <w:hideMark/>
          </w:tcPr>
          <w:p w14:paraId="7B0C06B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2019/20</w:t>
            </w:r>
          </w:p>
        </w:tc>
        <w:tc>
          <w:tcPr>
            <w:tcW w:w="267" w:type="dxa"/>
            <w:tcBorders>
              <w:top w:val="nil"/>
              <w:left w:val="nil"/>
              <w:bottom w:val="nil"/>
              <w:right w:val="nil"/>
            </w:tcBorders>
            <w:shd w:val="clear" w:color="auto" w:fill="FFFFFF" w:themeFill="background1"/>
            <w:noWrap/>
            <w:vAlign w:val="center"/>
            <w:hideMark/>
          </w:tcPr>
          <w:p w14:paraId="176981DB"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auto" w:fill="FFFFFF" w:themeFill="background1"/>
            <w:noWrap/>
            <w:vAlign w:val="center"/>
            <w:hideMark/>
          </w:tcPr>
          <w:p w14:paraId="45A7620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2021/20</w:t>
            </w:r>
          </w:p>
        </w:tc>
        <w:tc>
          <w:tcPr>
            <w:tcW w:w="267" w:type="dxa"/>
            <w:tcBorders>
              <w:top w:val="nil"/>
              <w:left w:val="nil"/>
              <w:bottom w:val="nil"/>
              <w:right w:val="single" w:sz="4" w:space="0" w:color="auto"/>
            </w:tcBorders>
            <w:shd w:val="clear" w:color="auto" w:fill="FFFFFF" w:themeFill="background1"/>
            <w:noWrap/>
            <w:vAlign w:val="center"/>
            <w:hideMark/>
          </w:tcPr>
          <w:p w14:paraId="4168C4F1"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auto" w:fill="FFFFFF" w:themeFill="background1"/>
            <w:noWrap/>
            <w:vAlign w:val="center"/>
            <w:hideMark/>
          </w:tcPr>
          <w:p w14:paraId="6B582AF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2021/22</w:t>
            </w:r>
          </w:p>
        </w:tc>
      </w:tr>
      <w:tr w:rsidR="0037356D" w:rsidRPr="001E5657" w14:paraId="01F2BA45" w14:textId="77777777" w:rsidTr="0037356D">
        <w:trPr>
          <w:trHeight w:val="481"/>
        </w:trPr>
        <w:tc>
          <w:tcPr>
            <w:tcW w:w="4678" w:type="dxa"/>
            <w:tcBorders>
              <w:top w:val="nil"/>
              <w:left w:val="single" w:sz="8" w:space="0" w:color="auto"/>
              <w:bottom w:val="single" w:sz="4" w:space="0" w:color="auto"/>
              <w:right w:val="single" w:sz="8" w:space="0" w:color="auto"/>
            </w:tcBorders>
            <w:shd w:val="clear" w:color="auto" w:fill="FFFFFF" w:themeFill="background1"/>
            <w:vAlign w:val="center"/>
            <w:hideMark/>
          </w:tcPr>
          <w:p w14:paraId="740CF70B"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306E535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R'000</w:t>
            </w:r>
          </w:p>
        </w:tc>
        <w:tc>
          <w:tcPr>
            <w:tcW w:w="267" w:type="dxa"/>
            <w:tcBorders>
              <w:top w:val="nil"/>
              <w:left w:val="nil"/>
              <w:bottom w:val="nil"/>
              <w:right w:val="nil"/>
            </w:tcBorders>
            <w:shd w:val="clear" w:color="auto" w:fill="FFFFFF" w:themeFill="background1"/>
            <w:noWrap/>
            <w:vAlign w:val="center"/>
            <w:hideMark/>
          </w:tcPr>
          <w:p w14:paraId="137FEB4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D71BEE3"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R'000</w:t>
            </w:r>
          </w:p>
        </w:tc>
        <w:tc>
          <w:tcPr>
            <w:tcW w:w="267" w:type="dxa"/>
            <w:tcBorders>
              <w:top w:val="nil"/>
              <w:left w:val="nil"/>
              <w:bottom w:val="nil"/>
              <w:right w:val="single" w:sz="4" w:space="0" w:color="auto"/>
            </w:tcBorders>
            <w:shd w:val="clear" w:color="auto" w:fill="FFFFFF" w:themeFill="background1"/>
            <w:noWrap/>
            <w:vAlign w:val="center"/>
            <w:hideMark/>
          </w:tcPr>
          <w:p w14:paraId="7FB4D7DD"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single" w:sz="8" w:space="0" w:color="auto"/>
              <w:right w:val="single" w:sz="4" w:space="0" w:color="auto"/>
            </w:tcBorders>
            <w:shd w:val="clear" w:color="auto" w:fill="FFFFFF" w:themeFill="background1"/>
            <w:noWrap/>
            <w:vAlign w:val="center"/>
            <w:hideMark/>
          </w:tcPr>
          <w:p w14:paraId="57CA2B7A"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R'000</w:t>
            </w:r>
          </w:p>
        </w:tc>
      </w:tr>
      <w:tr w:rsidR="0037356D" w:rsidRPr="001E5657" w14:paraId="67C2A1E8" w14:textId="77777777" w:rsidTr="0037356D">
        <w:trPr>
          <w:trHeight w:val="315"/>
        </w:trPr>
        <w:tc>
          <w:tcPr>
            <w:tcW w:w="4678" w:type="dxa"/>
            <w:tcBorders>
              <w:top w:val="single" w:sz="4" w:space="0" w:color="auto"/>
              <w:left w:val="single" w:sz="4" w:space="0" w:color="auto"/>
              <w:bottom w:val="nil"/>
              <w:right w:val="single" w:sz="4" w:space="0" w:color="auto"/>
            </w:tcBorders>
            <w:shd w:val="clear" w:color="000000" w:fill="FFFFFF"/>
            <w:vAlign w:val="center"/>
            <w:hideMark/>
          </w:tcPr>
          <w:p w14:paraId="57E09F7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Programmes</w:t>
            </w:r>
          </w:p>
        </w:tc>
        <w:tc>
          <w:tcPr>
            <w:tcW w:w="1500" w:type="dxa"/>
            <w:tcBorders>
              <w:top w:val="nil"/>
              <w:left w:val="single" w:sz="4" w:space="0" w:color="auto"/>
              <w:bottom w:val="single" w:sz="8" w:space="0" w:color="auto"/>
              <w:right w:val="single" w:sz="8" w:space="0" w:color="auto"/>
            </w:tcBorders>
            <w:shd w:val="clear" w:color="auto" w:fill="FFFFFF" w:themeFill="background1"/>
            <w:noWrap/>
            <w:vAlign w:val="center"/>
            <w:hideMark/>
          </w:tcPr>
          <w:p w14:paraId="5F526D2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4 707 237</w:t>
            </w:r>
          </w:p>
        </w:tc>
        <w:tc>
          <w:tcPr>
            <w:tcW w:w="267" w:type="dxa"/>
            <w:tcBorders>
              <w:top w:val="nil"/>
              <w:left w:val="nil"/>
              <w:bottom w:val="nil"/>
              <w:right w:val="nil"/>
            </w:tcBorders>
            <w:shd w:val="clear" w:color="000000" w:fill="FFFFFF"/>
            <w:noWrap/>
            <w:vAlign w:val="center"/>
            <w:hideMark/>
          </w:tcPr>
          <w:p w14:paraId="78314DBF"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16809286"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3 300 000</w:t>
            </w:r>
          </w:p>
        </w:tc>
        <w:tc>
          <w:tcPr>
            <w:tcW w:w="267" w:type="dxa"/>
            <w:tcBorders>
              <w:top w:val="nil"/>
              <w:left w:val="nil"/>
              <w:bottom w:val="nil"/>
              <w:right w:val="single" w:sz="4" w:space="0" w:color="auto"/>
            </w:tcBorders>
            <w:shd w:val="clear" w:color="000000" w:fill="FFFFFF"/>
            <w:noWrap/>
            <w:vAlign w:val="center"/>
            <w:hideMark/>
          </w:tcPr>
          <w:p w14:paraId="5D81D52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58DB150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1 500 000</w:t>
            </w:r>
          </w:p>
        </w:tc>
      </w:tr>
      <w:tr w:rsidR="0037356D" w:rsidRPr="001E5657" w14:paraId="1359A53A" w14:textId="77777777" w:rsidTr="0037356D">
        <w:trPr>
          <w:trHeight w:val="300"/>
        </w:trPr>
        <w:tc>
          <w:tcPr>
            <w:tcW w:w="4678" w:type="dxa"/>
            <w:tcBorders>
              <w:top w:val="nil"/>
              <w:left w:val="single" w:sz="4" w:space="0" w:color="auto"/>
              <w:bottom w:val="nil"/>
              <w:right w:val="single" w:sz="4" w:space="0" w:color="auto"/>
            </w:tcBorders>
            <w:shd w:val="clear" w:color="000000" w:fill="FFFFFF"/>
            <w:vAlign w:val="center"/>
            <w:hideMark/>
          </w:tcPr>
          <w:p w14:paraId="30CA1E7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Expenditure: Confirmed Programmes</w:t>
            </w:r>
          </w:p>
        </w:tc>
        <w:tc>
          <w:tcPr>
            <w:tcW w:w="1500" w:type="dxa"/>
            <w:tcBorders>
              <w:top w:val="nil"/>
              <w:left w:val="single" w:sz="4" w:space="0" w:color="auto"/>
              <w:bottom w:val="nil"/>
              <w:right w:val="single" w:sz="8" w:space="0" w:color="auto"/>
            </w:tcBorders>
            <w:shd w:val="clear" w:color="auto" w:fill="FFFFFF" w:themeFill="background1"/>
            <w:noWrap/>
            <w:vAlign w:val="center"/>
            <w:hideMark/>
          </w:tcPr>
          <w:p w14:paraId="5500A01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3 903 282</w:t>
            </w:r>
          </w:p>
        </w:tc>
        <w:tc>
          <w:tcPr>
            <w:tcW w:w="267" w:type="dxa"/>
            <w:tcBorders>
              <w:top w:val="nil"/>
              <w:left w:val="nil"/>
              <w:bottom w:val="nil"/>
              <w:right w:val="nil"/>
            </w:tcBorders>
            <w:shd w:val="clear" w:color="000000" w:fill="FFFFFF"/>
            <w:noWrap/>
            <w:vAlign w:val="center"/>
            <w:hideMark/>
          </w:tcPr>
          <w:p w14:paraId="140B584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single" w:sz="8" w:space="0" w:color="auto"/>
              <w:left w:val="single" w:sz="8" w:space="0" w:color="auto"/>
              <w:bottom w:val="nil"/>
              <w:right w:val="single" w:sz="8" w:space="0" w:color="auto"/>
            </w:tcBorders>
            <w:shd w:val="clear" w:color="000000" w:fill="FFFFFF"/>
            <w:noWrap/>
            <w:vAlign w:val="center"/>
            <w:hideMark/>
          </w:tcPr>
          <w:p w14:paraId="1247145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3 300 000</w:t>
            </w:r>
          </w:p>
        </w:tc>
        <w:tc>
          <w:tcPr>
            <w:tcW w:w="267" w:type="dxa"/>
            <w:tcBorders>
              <w:top w:val="nil"/>
              <w:left w:val="nil"/>
              <w:bottom w:val="nil"/>
              <w:right w:val="single" w:sz="4" w:space="0" w:color="auto"/>
            </w:tcBorders>
            <w:shd w:val="clear" w:color="000000" w:fill="FFFFFF"/>
            <w:noWrap/>
            <w:vAlign w:val="center"/>
            <w:hideMark/>
          </w:tcPr>
          <w:p w14:paraId="4BE3C79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single" w:sz="8" w:space="0" w:color="auto"/>
              <w:left w:val="single" w:sz="4" w:space="0" w:color="auto"/>
              <w:bottom w:val="nil"/>
              <w:right w:val="single" w:sz="4" w:space="0" w:color="auto"/>
            </w:tcBorders>
            <w:shd w:val="clear" w:color="000000" w:fill="FFFFFF"/>
            <w:noWrap/>
            <w:vAlign w:val="center"/>
            <w:hideMark/>
          </w:tcPr>
          <w:p w14:paraId="7C6D977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1 500 000</w:t>
            </w:r>
          </w:p>
        </w:tc>
      </w:tr>
      <w:tr w:rsidR="0037356D" w:rsidRPr="001E5657" w14:paraId="399FE256" w14:textId="77777777" w:rsidTr="0037356D">
        <w:trPr>
          <w:trHeight w:val="300"/>
        </w:trPr>
        <w:tc>
          <w:tcPr>
            <w:tcW w:w="4678" w:type="dxa"/>
            <w:tcBorders>
              <w:top w:val="nil"/>
              <w:left w:val="single" w:sz="4" w:space="0" w:color="auto"/>
              <w:bottom w:val="nil"/>
              <w:right w:val="single" w:sz="4" w:space="0" w:color="auto"/>
            </w:tcBorders>
            <w:shd w:val="clear" w:color="000000" w:fill="FFFFFF"/>
            <w:vAlign w:val="center"/>
            <w:hideMark/>
          </w:tcPr>
          <w:p w14:paraId="71245DA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Expenditure: New / Prospective Business</w:t>
            </w:r>
          </w:p>
        </w:tc>
        <w:tc>
          <w:tcPr>
            <w:tcW w:w="1500" w:type="dxa"/>
            <w:tcBorders>
              <w:top w:val="nil"/>
              <w:left w:val="single" w:sz="4" w:space="0" w:color="auto"/>
              <w:bottom w:val="nil"/>
              <w:right w:val="single" w:sz="8" w:space="0" w:color="auto"/>
            </w:tcBorders>
            <w:shd w:val="clear" w:color="auto" w:fill="FFFFFF" w:themeFill="background1"/>
            <w:noWrap/>
            <w:vAlign w:val="center"/>
            <w:hideMark/>
          </w:tcPr>
          <w:p w14:paraId="1B291F9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803 955</w:t>
            </w:r>
          </w:p>
        </w:tc>
        <w:tc>
          <w:tcPr>
            <w:tcW w:w="267" w:type="dxa"/>
            <w:tcBorders>
              <w:top w:val="nil"/>
              <w:left w:val="nil"/>
              <w:bottom w:val="nil"/>
              <w:right w:val="nil"/>
            </w:tcBorders>
            <w:shd w:val="clear" w:color="000000" w:fill="FFFFFF"/>
            <w:noWrap/>
            <w:vAlign w:val="center"/>
            <w:hideMark/>
          </w:tcPr>
          <w:p w14:paraId="13ACC02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553DCF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5D5129A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0DB6D1E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r>
      <w:tr w:rsidR="0037356D" w:rsidRPr="001E5657" w14:paraId="21BB6A85" w14:textId="77777777" w:rsidTr="0037356D">
        <w:trPr>
          <w:trHeight w:val="315"/>
        </w:trPr>
        <w:tc>
          <w:tcPr>
            <w:tcW w:w="4678" w:type="dxa"/>
            <w:tcBorders>
              <w:top w:val="nil"/>
              <w:left w:val="single" w:sz="4" w:space="0" w:color="auto"/>
              <w:bottom w:val="nil"/>
              <w:right w:val="single" w:sz="4" w:space="0" w:color="auto"/>
            </w:tcBorders>
            <w:shd w:val="clear" w:color="000000" w:fill="FFFFFF"/>
            <w:vAlign w:val="center"/>
            <w:hideMark/>
          </w:tcPr>
          <w:p w14:paraId="45BADF66"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Staffing requirements</w:t>
            </w:r>
          </w:p>
        </w:tc>
        <w:tc>
          <w:tcPr>
            <w:tcW w:w="1500" w:type="dxa"/>
            <w:tcBorders>
              <w:top w:val="nil"/>
              <w:left w:val="single" w:sz="4" w:space="0" w:color="auto"/>
              <w:bottom w:val="single" w:sz="8" w:space="0" w:color="auto"/>
              <w:right w:val="single" w:sz="8" w:space="0" w:color="auto"/>
            </w:tcBorders>
            <w:shd w:val="clear" w:color="auto" w:fill="FFFFFF" w:themeFill="background1"/>
            <w:noWrap/>
            <w:vAlign w:val="center"/>
            <w:hideMark/>
          </w:tcPr>
          <w:p w14:paraId="2D1923F2"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c>
          <w:tcPr>
            <w:tcW w:w="267" w:type="dxa"/>
            <w:tcBorders>
              <w:top w:val="nil"/>
              <w:left w:val="nil"/>
              <w:bottom w:val="nil"/>
              <w:right w:val="nil"/>
            </w:tcBorders>
            <w:shd w:val="clear" w:color="000000" w:fill="FFFFFF"/>
            <w:noWrap/>
            <w:vAlign w:val="center"/>
            <w:hideMark/>
          </w:tcPr>
          <w:p w14:paraId="3884D73A"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single" w:sz="8" w:space="0" w:color="auto"/>
              <w:right w:val="single" w:sz="8" w:space="0" w:color="auto"/>
            </w:tcBorders>
            <w:shd w:val="clear" w:color="000000" w:fill="FFFFFF"/>
            <w:noWrap/>
            <w:vAlign w:val="center"/>
            <w:hideMark/>
          </w:tcPr>
          <w:p w14:paraId="5B419D84"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c>
          <w:tcPr>
            <w:tcW w:w="267" w:type="dxa"/>
            <w:tcBorders>
              <w:top w:val="nil"/>
              <w:left w:val="nil"/>
              <w:bottom w:val="nil"/>
              <w:right w:val="single" w:sz="4" w:space="0" w:color="auto"/>
            </w:tcBorders>
            <w:shd w:val="clear" w:color="000000" w:fill="FFFFFF"/>
            <w:noWrap/>
            <w:vAlign w:val="center"/>
            <w:hideMark/>
          </w:tcPr>
          <w:p w14:paraId="7F44BBCC"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14:paraId="0AE58211"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r>
      <w:tr w:rsidR="0037356D" w:rsidRPr="001E5657" w14:paraId="3F43A887" w14:textId="77777777" w:rsidTr="001E5657">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2DF2277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Staff Numbers</w:t>
            </w:r>
          </w:p>
        </w:tc>
        <w:tc>
          <w:tcPr>
            <w:tcW w:w="1500" w:type="dxa"/>
            <w:tcBorders>
              <w:top w:val="nil"/>
              <w:left w:val="single" w:sz="4" w:space="0" w:color="auto"/>
              <w:bottom w:val="nil"/>
              <w:right w:val="single" w:sz="8" w:space="0" w:color="auto"/>
            </w:tcBorders>
            <w:shd w:val="clear" w:color="auto" w:fill="FFFFFF" w:themeFill="background1"/>
            <w:noWrap/>
            <w:vAlign w:val="center"/>
            <w:hideMark/>
          </w:tcPr>
          <w:p w14:paraId="3DE0CE1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c>
          <w:tcPr>
            <w:tcW w:w="267" w:type="dxa"/>
            <w:tcBorders>
              <w:top w:val="nil"/>
              <w:left w:val="nil"/>
              <w:bottom w:val="nil"/>
              <w:right w:val="nil"/>
            </w:tcBorders>
            <w:shd w:val="clear" w:color="000000" w:fill="FFFFFF"/>
            <w:noWrap/>
            <w:vAlign w:val="center"/>
            <w:hideMark/>
          </w:tcPr>
          <w:p w14:paraId="744ECAE6"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0DCAE081"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c>
          <w:tcPr>
            <w:tcW w:w="267" w:type="dxa"/>
            <w:tcBorders>
              <w:top w:val="nil"/>
              <w:left w:val="nil"/>
              <w:bottom w:val="nil"/>
              <w:right w:val="single" w:sz="4" w:space="0" w:color="auto"/>
            </w:tcBorders>
            <w:shd w:val="clear" w:color="000000" w:fill="FFFFFF"/>
            <w:noWrap/>
            <w:vAlign w:val="center"/>
            <w:hideMark/>
          </w:tcPr>
          <w:p w14:paraId="3B136D96"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35FDA3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275</w:t>
            </w:r>
          </w:p>
        </w:tc>
      </w:tr>
      <w:tr w:rsidR="0037356D" w:rsidRPr="001E5657" w14:paraId="71B79896" w14:textId="77777777" w:rsidTr="001E5657">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A52B92"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Average Gross Management Fee Rate</w:t>
            </w:r>
          </w:p>
        </w:tc>
        <w:tc>
          <w:tcPr>
            <w:tcW w:w="1500"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5885426D"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5%</w:t>
            </w:r>
          </w:p>
        </w:tc>
        <w:tc>
          <w:tcPr>
            <w:tcW w:w="267" w:type="dxa"/>
            <w:tcBorders>
              <w:top w:val="nil"/>
              <w:left w:val="nil"/>
              <w:bottom w:val="nil"/>
              <w:right w:val="nil"/>
            </w:tcBorders>
            <w:shd w:val="clear" w:color="000000" w:fill="FFFFFF"/>
            <w:noWrap/>
            <w:vAlign w:val="center"/>
            <w:hideMark/>
          </w:tcPr>
          <w:p w14:paraId="0B5226E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14:paraId="69AAC3C1"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5%</w:t>
            </w:r>
          </w:p>
        </w:tc>
        <w:tc>
          <w:tcPr>
            <w:tcW w:w="267" w:type="dxa"/>
            <w:tcBorders>
              <w:top w:val="nil"/>
              <w:left w:val="nil"/>
              <w:bottom w:val="nil"/>
              <w:right w:val="single" w:sz="4" w:space="0" w:color="auto"/>
            </w:tcBorders>
            <w:shd w:val="clear" w:color="000000" w:fill="FFFFFF"/>
            <w:noWrap/>
            <w:vAlign w:val="center"/>
            <w:hideMark/>
          </w:tcPr>
          <w:p w14:paraId="5724B58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54E3E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5%</w:t>
            </w:r>
          </w:p>
        </w:tc>
      </w:tr>
      <w:tr w:rsidR="0037356D" w:rsidRPr="001E5657" w14:paraId="39E27428" w14:textId="77777777" w:rsidTr="001E5657">
        <w:trPr>
          <w:trHeight w:val="315"/>
        </w:trPr>
        <w:tc>
          <w:tcPr>
            <w:tcW w:w="4678" w:type="dxa"/>
            <w:tcBorders>
              <w:top w:val="single" w:sz="4" w:space="0" w:color="auto"/>
              <w:left w:val="single" w:sz="8" w:space="0" w:color="auto"/>
              <w:bottom w:val="nil"/>
              <w:right w:val="single" w:sz="4" w:space="0" w:color="auto"/>
            </w:tcBorders>
            <w:shd w:val="clear" w:color="000000" w:fill="FFFFFF"/>
            <w:vAlign w:val="center"/>
            <w:hideMark/>
          </w:tcPr>
          <w:p w14:paraId="2B65AEE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Revenue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F28EEE"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245 362</w:t>
            </w:r>
          </w:p>
        </w:tc>
        <w:tc>
          <w:tcPr>
            <w:tcW w:w="267" w:type="dxa"/>
            <w:tcBorders>
              <w:top w:val="nil"/>
              <w:left w:val="single" w:sz="4" w:space="0" w:color="auto"/>
              <w:bottom w:val="nil"/>
              <w:right w:val="single" w:sz="4" w:space="0" w:color="auto"/>
            </w:tcBorders>
            <w:shd w:val="clear" w:color="000000" w:fill="FFFFFF"/>
            <w:noWrap/>
            <w:vAlign w:val="center"/>
            <w:hideMark/>
          </w:tcPr>
          <w:p w14:paraId="52622C3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6CEE3"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170 000</w:t>
            </w:r>
          </w:p>
        </w:tc>
        <w:tc>
          <w:tcPr>
            <w:tcW w:w="267" w:type="dxa"/>
            <w:tcBorders>
              <w:top w:val="nil"/>
              <w:left w:val="single" w:sz="4" w:space="0" w:color="auto"/>
              <w:bottom w:val="nil"/>
              <w:right w:val="single" w:sz="4" w:space="0" w:color="auto"/>
            </w:tcBorders>
            <w:shd w:val="clear" w:color="000000" w:fill="FFFFFF"/>
            <w:noWrap/>
            <w:vAlign w:val="center"/>
            <w:hideMark/>
          </w:tcPr>
          <w:p w14:paraId="067BA7F2"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69B5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80 000</w:t>
            </w:r>
          </w:p>
        </w:tc>
      </w:tr>
      <w:tr w:rsidR="0037356D" w:rsidRPr="001E5657" w14:paraId="0A0F3487" w14:textId="77777777" w:rsidTr="001E5657">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3F8EFFA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Revenue: Confirmed Programmes</w:t>
            </w:r>
          </w:p>
        </w:tc>
        <w:tc>
          <w:tcPr>
            <w:tcW w:w="1500" w:type="dxa"/>
            <w:tcBorders>
              <w:top w:val="single" w:sz="4" w:space="0" w:color="auto"/>
              <w:left w:val="nil"/>
              <w:bottom w:val="nil"/>
              <w:right w:val="single" w:sz="8" w:space="0" w:color="auto"/>
            </w:tcBorders>
            <w:shd w:val="clear" w:color="auto" w:fill="FFFFFF" w:themeFill="background1"/>
            <w:noWrap/>
            <w:vAlign w:val="center"/>
            <w:hideMark/>
          </w:tcPr>
          <w:p w14:paraId="6BF3147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195 164</w:t>
            </w:r>
          </w:p>
        </w:tc>
        <w:tc>
          <w:tcPr>
            <w:tcW w:w="267" w:type="dxa"/>
            <w:tcBorders>
              <w:top w:val="nil"/>
              <w:left w:val="nil"/>
              <w:bottom w:val="nil"/>
              <w:right w:val="nil"/>
            </w:tcBorders>
            <w:shd w:val="clear" w:color="000000" w:fill="FFFFFF"/>
            <w:noWrap/>
            <w:vAlign w:val="center"/>
            <w:hideMark/>
          </w:tcPr>
          <w:p w14:paraId="676609A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single" w:sz="4" w:space="0" w:color="auto"/>
              <w:left w:val="single" w:sz="8" w:space="0" w:color="auto"/>
              <w:bottom w:val="nil"/>
              <w:right w:val="single" w:sz="8" w:space="0" w:color="auto"/>
            </w:tcBorders>
            <w:shd w:val="clear" w:color="000000" w:fill="FFFFFF"/>
            <w:noWrap/>
            <w:vAlign w:val="center"/>
            <w:hideMark/>
          </w:tcPr>
          <w:p w14:paraId="508D2A7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165 000</w:t>
            </w:r>
          </w:p>
        </w:tc>
        <w:tc>
          <w:tcPr>
            <w:tcW w:w="267" w:type="dxa"/>
            <w:tcBorders>
              <w:top w:val="nil"/>
              <w:left w:val="nil"/>
              <w:bottom w:val="nil"/>
              <w:right w:val="single" w:sz="4" w:space="0" w:color="auto"/>
            </w:tcBorders>
            <w:shd w:val="clear" w:color="000000" w:fill="FFFFFF"/>
            <w:noWrap/>
            <w:vAlign w:val="center"/>
            <w:hideMark/>
          </w:tcPr>
          <w:p w14:paraId="52A2755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single" w:sz="4" w:space="0" w:color="auto"/>
              <w:left w:val="single" w:sz="4" w:space="0" w:color="auto"/>
              <w:bottom w:val="nil"/>
              <w:right w:val="single" w:sz="4" w:space="0" w:color="auto"/>
            </w:tcBorders>
            <w:shd w:val="clear" w:color="000000" w:fill="FFFFFF"/>
            <w:noWrap/>
            <w:vAlign w:val="center"/>
            <w:hideMark/>
          </w:tcPr>
          <w:p w14:paraId="3D7D46B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75 000</w:t>
            </w:r>
          </w:p>
        </w:tc>
      </w:tr>
      <w:tr w:rsidR="0037356D" w:rsidRPr="001E5657" w14:paraId="2F91E56F"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45EC23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Revenue: Prospective Business</w:t>
            </w:r>
          </w:p>
        </w:tc>
        <w:tc>
          <w:tcPr>
            <w:tcW w:w="1500" w:type="dxa"/>
            <w:tcBorders>
              <w:top w:val="nil"/>
              <w:left w:val="nil"/>
              <w:bottom w:val="nil"/>
              <w:right w:val="single" w:sz="8" w:space="0" w:color="auto"/>
            </w:tcBorders>
            <w:shd w:val="clear" w:color="auto" w:fill="FFFFFF" w:themeFill="background1"/>
            <w:noWrap/>
            <w:vAlign w:val="center"/>
            <w:hideMark/>
          </w:tcPr>
          <w:p w14:paraId="424C662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40 198</w:t>
            </w:r>
          </w:p>
        </w:tc>
        <w:tc>
          <w:tcPr>
            <w:tcW w:w="267" w:type="dxa"/>
            <w:tcBorders>
              <w:top w:val="nil"/>
              <w:left w:val="nil"/>
              <w:bottom w:val="nil"/>
              <w:right w:val="nil"/>
            </w:tcBorders>
            <w:shd w:val="clear" w:color="000000" w:fill="FFFFFF"/>
            <w:noWrap/>
            <w:vAlign w:val="center"/>
            <w:hideMark/>
          </w:tcPr>
          <w:p w14:paraId="07F8DC2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7121F3F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0</w:t>
            </w:r>
          </w:p>
        </w:tc>
        <w:tc>
          <w:tcPr>
            <w:tcW w:w="267" w:type="dxa"/>
            <w:tcBorders>
              <w:top w:val="nil"/>
              <w:left w:val="nil"/>
              <w:bottom w:val="nil"/>
              <w:right w:val="single" w:sz="4" w:space="0" w:color="auto"/>
            </w:tcBorders>
            <w:shd w:val="clear" w:color="000000" w:fill="FFFFFF"/>
            <w:noWrap/>
            <w:vAlign w:val="center"/>
            <w:hideMark/>
          </w:tcPr>
          <w:p w14:paraId="3E9A49D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00F8C9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0</w:t>
            </w:r>
          </w:p>
        </w:tc>
      </w:tr>
      <w:tr w:rsidR="0037356D" w:rsidRPr="001E5657" w14:paraId="05430287"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B1BA5F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Grants</w:t>
            </w:r>
          </w:p>
        </w:tc>
        <w:tc>
          <w:tcPr>
            <w:tcW w:w="1500" w:type="dxa"/>
            <w:tcBorders>
              <w:top w:val="nil"/>
              <w:left w:val="nil"/>
              <w:bottom w:val="nil"/>
              <w:right w:val="single" w:sz="8" w:space="0" w:color="auto"/>
            </w:tcBorders>
            <w:shd w:val="clear" w:color="auto" w:fill="FFFFFF" w:themeFill="background1"/>
            <w:noWrap/>
            <w:vAlign w:val="center"/>
            <w:hideMark/>
          </w:tcPr>
          <w:p w14:paraId="3EBB025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nil"/>
            </w:tcBorders>
            <w:shd w:val="clear" w:color="000000" w:fill="FFFFFF"/>
            <w:noWrap/>
            <w:vAlign w:val="center"/>
            <w:hideMark/>
          </w:tcPr>
          <w:p w14:paraId="2755CF5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220059F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0287D09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F5905D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r>
      <w:tr w:rsidR="0037356D" w:rsidRPr="001E5657" w14:paraId="4619D061"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76C4963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Other income</w:t>
            </w:r>
          </w:p>
        </w:tc>
        <w:tc>
          <w:tcPr>
            <w:tcW w:w="1500" w:type="dxa"/>
            <w:tcBorders>
              <w:top w:val="nil"/>
              <w:left w:val="nil"/>
              <w:bottom w:val="nil"/>
              <w:right w:val="single" w:sz="8" w:space="0" w:color="auto"/>
            </w:tcBorders>
            <w:shd w:val="clear" w:color="auto" w:fill="FFFFFF" w:themeFill="background1"/>
            <w:noWrap/>
            <w:vAlign w:val="center"/>
            <w:hideMark/>
          </w:tcPr>
          <w:p w14:paraId="6EC4678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nil"/>
            </w:tcBorders>
            <w:shd w:val="clear" w:color="000000" w:fill="FFFFFF"/>
            <w:noWrap/>
            <w:vAlign w:val="center"/>
            <w:hideMark/>
          </w:tcPr>
          <w:p w14:paraId="7FC5212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894BC8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single" w:sz="4" w:space="0" w:color="auto"/>
            </w:tcBorders>
            <w:shd w:val="clear" w:color="000000" w:fill="FFFFFF"/>
            <w:noWrap/>
            <w:vAlign w:val="center"/>
            <w:hideMark/>
          </w:tcPr>
          <w:p w14:paraId="0D11D3F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FFDC92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r>
      <w:tr w:rsidR="0037356D" w:rsidRPr="001E5657" w14:paraId="28394D49" w14:textId="77777777" w:rsidTr="0037356D">
        <w:trPr>
          <w:trHeight w:val="315"/>
        </w:trPr>
        <w:tc>
          <w:tcPr>
            <w:tcW w:w="4678" w:type="dxa"/>
            <w:tcBorders>
              <w:top w:val="nil"/>
              <w:left w:val="single" w:sz="8" w:space="0" w:color="auto"/>
              <w:bottom w:val="nil"/>
              <w:right w:val="single" w:sz="8" w:space="0" w:color="auto"/>
            </w:tcBorders>
            <w:shd w:val="clear" w:color="000000" w:fill="FFFFFF"/>
            <w:vAlign w:val="center"/>
            <w:hideMark/>
          </w:tcPr>
          <w:p w14:paraId="675BE78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Operational Expenditure</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4BCE6BDA"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386 617</w:t>
            </w:r>
          </w:p>
        </w:tc>
        <w:tc>
          <w:tcPr>
            <w:tcW w:w="267" w:type="dxa"/>
            <w:tcBorders>
              <w:top w:val="nil"/>
              <w:left w:val="nil"/>
              <w:bottom w:val="nil"/>
              <w:right w:val="nil"/>
            </w:tcBorders>
            <w:shd w:val="clear" w:color="000000" w:fill="FFFFFF"/>
            <w:noWrap/>
            <w:vAlign w:val="center"/>
            <w:hideMark/>
          </w:tcPr>
          <w:p w14:paraId="490C786A"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p>
        </w:tc>
        <w:tc>
          <w:tcPr>
            <w:tcW w:w="1500" w:type="dxa"/>
            <w:tcBorders>
              <w:top w:val="nil"/>
              <w:left w:val="single" w:sz="8" w:space="0" w:color="auto"/>
              <w:bottom w:val="single" w:sz="8" w:space="0" w:color="auto"/>
              <w:right w:val="single" w:sz="8" w:space="0" w:color="auto"/>
            </w:tcBorders>
            <w:shd w:val="clear" w:color="000000" w:fill="FFFFFF"/>
            <w:noWrap/>
            <w:vAlign w:val="center"/>
            <w:hideMark/>
          </w:tcPr>
          <w:p w14:paraId="7E745BC3"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382 340</w:t>
            </w:r>
          </w:p>
        </w:tc>
        <w:tc>
          <w:tcPr>
            <w:tcW w:w="267" w:type="dxa"/>
            <w:tcBorders>
              <w:top w:val="nil"/>
              <w:left w:val="nil"/>
              <w:bottom w:val="nil"/>
              <w:right w:val="single" w:sz="4" w:space="0" w:color="auto"/>
            </w:tcBorders>
            <w:shd w:val="clear" w:color="000000" w:fill="FFFFFF"/>
            <w:noWrap/>
            <w:vAlign w:val="center"/>
            <w:hideMark/>
          </w:tcPr>
          <w:p w14:paraId="50F13F33"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14:paraId="52126F01"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r w:rsidRPr="001E5657">
              <w:rPr>
                <w:rFonts w:ascii="Times New Roman" w:eastAsia="Times New Roman" w:hAnsi="Times New Roman" w:cs="Times New Roman"/>
                <w:b/>
                <w:bCs/>
                <w:sz w:val="20"/>
                <w:szCs w:val="20"/>
                <w:lang w:eastAsia="en-ZA"/>
              </w:rPr>
              <w:t>396 543</w:t>
            </w:r>
          </w:p>
        </w:tc>
      </w:tr>
      <w:tr w:rsidR="0037356D" w:rsidRPr="001E5657" w14:paraId="1B7AAFC0"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3956ADC8"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Employment costs</w:t>
            </w:r>
          </w:p>
        </w:tc>
        <w:tc>
          <w:tcPr>
            <w:tcW w:w="1500" w:type="dxa"/>
            <w:tcBorders>
              <w:top w:val="nil"/>
              <w:left w:val="nil"/>
              <w:bottom w:val="nil"/>
              <w:right w:val="single" w:sz="8" w:space="0" w:color="auto"/>
            </w:tcBorders>
            <w:shd w:val="clear" w:color="auto" w:fill="FFFFFF" w:themeFill="background1"/>
            <w:noWrap/>
            <w:vAlign w:val="center"/>
            <w:hideMark/>
          </w:tcPr>
          <w:p w14:paraId="4D55975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217 110</w:t>
            </w:r>
          </w:p>
        </w:tc>
        <w:tc>
          <w:tcPr>
            <w:tcW w:w="267" w:type="dxa"/>
            <w:tcBorders>
              <w:top w:val="nil"/>
              <w:left w:val="nil"/>
              <w:bottom w:val="nil"/>
              <w:right w:val="nil"/>
            </w:tcBorders>
            <w:shd w:val="clear" w:color="000000" w:fill="FFFFFF"/>
            <w:noWrap/>
            <w:vAlign w:val="center"/>
            <w:hideMark/>
          </w:tcPr>
          <w:p w14:paraId="679BBB9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5C78B20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227 965</w:t>
            </w:r>
          </w:p>
        </w:tc>
        <w:tc>
          <w:tcPr>
            <w:tcW w:w="267" w:type="dxa"/>
            <w:tcBorders>
              <w:top w:val="nil"/>
              <w:left w:val="nil"/>
              <w:bottom w:val="nil"/>
              <w:right w:val="single" w:sz="4" w:space="0" w:color="auto"/>
            </w:tcBorders>
            <w:shd w:val="clear" w:color="000000" w:fill="FFFFFF"/>
            <w:noWrap/>
            <w:vAlign w:val="center"/>
            <w:hideMark/>
          </w:tcPr>
          <w:p w14:paraId="1D51868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5BA31C1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239 363</w:t>
            </w:r>
          </w:p>
        </w:tc>
      </w:tr>
      <w:tr w:rsidR="0037356D" w:rsidRPr="001E5657" w14:paraId="5A991DC5"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4CB50E1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Staff Training</w:t>
            </w:r>
          </w:p>
        </w:tc>
        <w:tc>
          <w:tcPr>
            <w:tcW w:w="1500" w:type="dxa"/>
            <w:tcBorders>
              <w:top w:val="nil"/>
              <w:left w:val="nil"/>
              <w:bottom w:val="nil"/>
              <w:right w:val="single" w:sz="8" w:space="0" w:color="auto"/>
            </w:tcBorders>
            <w:shd w:val="clear" w:color="auto" w:fill="FFFFFF" w:themeFill="background1"/>
            <w:noWrap/>
            <w:vAlign w:val="center"/>
            <w:hideMark/>
          </w:tcPr>
          <w:p w14:paraId="58EABB8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2 000</w:t>
            </w:r>
          </w:p>
        </w:tc>
        <w:tc>
          <w:tcPr>
            <w:tcW w:w="267" w:type="dxa"/>
            <w:tcBorders>
              <w:top w:val="nil"/>
              <w:left w:val="nil"/>
              <w:bottom w:val="nil"/>
              <w:right w:val="nil"/>
            </w:tcBorders>
            <w:shd w:val="clear" w:color="000000" w:fill="FFFFFF"/>
            <w:noWrap/>
            <w:vAlign w:val="center"/>
            <w:hideMark/>
          </w:tcPr>
          <w:p w14:paraId="40284FA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5859DC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2 000</w:t>
            </w:r>
          </w:p>
        </w:tc>
        <w:tc>
          <w:tcPr>
            <w:tcW w:w="267" w:type="dxa"/>
            <w:tcBorders>
              <w:top w:val="nil"/>
              <w:left w:val="nil"/>
              <w:bottom w:val="nil"/>
              <w:right w:val="single" w:sz="4" w:space="0" w:color="auto"/>
            </w:tcBorders>
            <w:shd w:val="clear" w:color="000000" w:fill="FFFFFF"/>
            <w:noWrap/>
            <w:vAlign w:val="center"/>
            <w:hideMark/>
          </w:tcPr>
          <w:p w14:paraId="5203A84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15B675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2 000</w:t>
            </w:r>
          </w:p>
        </w:tc>
      </w:tr>
      <w:tr w:rsidR="0037356D" w:rsidRPr="001E5657" w14:paraId="083B5972"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3F17F76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Restructuring costs</w:t>
            </w:r>
          </w:p>
        </w:tc>
        <w:tc>
          <w:tcPr>
            <w:tcW w:w="1500" w:type="dxa"/>
            <w:tcBorders>
              <w:top w:val="nil"/>
              <w:left w:val="nil"/>
              <w:bottom w:val="nil"/>
              <w:right w:val="single" w:sz="8" w:space="0" w:color="auto"/>
            </w:tcBorders>
            <w:shd w:val="clear" w:color="auto" w:fill="FFFFFF" w:themeFill="background1"/>
            <w:noWrap/>
            <w:vAlign w:val="center"/>
            <w:hideMark/>
          </w:tcPr>
          <w:p w14:paraId="157A959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18 333</w:t>
            </w:r>
          </w:p>
        </w:tc>
        <w:tc>
          <w:tcPr>
            <w:tcW w:w="267" w:type="dxa"/>
            <w:tcBorders>
              <w:top w:val="nil"/>
              <w:left w:val="nil"/>
              <w:bottom w:val="nil"/>
              <w:right w:val="nil"/>
            </w:tcBorders>
            <w:shd w:val="clear" w:color="000000" w:fill="FFFFFF"/>
            <w:noWrap/>
            <w:vAlign w:val="center"/>
            <w:hideMark/>
          </w:tcPr>
          <w:p w14:paraId="1AC988A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08CAE2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7003256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3BEC29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r>
      <w:tr w:rsidR="0037356D" w:rsidRPr="001E5657" w14:paraId="5B845514"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67E32E4C"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Non-Employment:</w:t>
            </w:r>
          </w:p>
        </w:tc>
        <w:tc>
          <w:tcPr>
            <w:tcW w:w="1500" w:type="dxa"/>
            <w:tcBorders>
              <w:top w:val="nil"/>
              <w:left w:val="nil"/>
              <w:bottom w:val="nil"/>
              <w:right w:val="single" w:sz="8" w:space="0" w:color="auto"/>
            </w:tcBorders>
            <w:shd w:val="clear" w:color="auto" w:fill="FFFFFF" w:themeFill="background1"/>
            <w:noWrap/>
            <w:vAlign w:val="center"/>
            <w:hideMark/>
          </w:tcPr>
          <w:p w14:paraId="1174092E"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267" w:type="dxa"/>
            <w:tcBorders>
              <w:top w:val="nil"/>
              <w:left w:val="nil"/>
              <w:bottom w:val="nil"/>
              <w:right w:val="nil"/>
            </w:tcBorders>
            <w:shd w:val="clear" w:color="000000" w:fill="FFFFFF"/>
            <w:noWrap/>
            <w:vAlign w:val="center"/>
            <w:hideMark/>
          </w:tcPr>
          <w:p w14:paraId="2B90EEF2"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722B8D7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0BDEAFA7"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9054DBD"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r>
      <w:tr w:rsidR="0037356D" w:rsidRPr="001E5657" w14:paraId="16A6DE20"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7EC0BF3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Travel expenses</w:t>
            </w:r>
          </w:p>
        </w:tc>
        <w:tc>
          <w:tcPr>
            <w:tcW w:w="1500" w:type="dxa"/>
            <w:tcBorders>
              <w:top w:val="nil"/>
              <w:left w:val="nil"/>
              <w:bottom w:val="nil"/>
              <w:right w:val="single" w:sz="8" w:space="0" w:color="auto"/>
            </w:tcBorders>
            <w:shd w:val="clear" w:color="auto" w:fill="FFFFFF" w:themeFill="background1"/>
            <w:noWrap/>
            <w:vAlign w:val="center"/>
            <w:hideMark/>
          </w:tcPr>
          <w:p w14:paraId="4373E6B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17 000</w:t>
            </w:r>
          </w:p>
        </w:tc>
        <w:tc>
          <w:tcPr>
            <w:tcW w:w="267" w:type="dxa"/>
            <w:tcBorders>
              <w:top w:val="nil"/>
              <w:left w:val="nil"/>
              <w:bottom w:val="nil"/>
              <w:right w:val="nil"/>
            </w:tcBorders>
            <w:shd w:val="clear" w:color="000000" w:fill="FFFFFF"/>
            <w:noWrap/>
            <w:vAlign w:val="center"/>
            <w:hideMark/>
          </w:tcPr>
          <w:p w14:paraId="5065BBC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9E203A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17 952</w:t>
            </w:r>
          </w:p>
        </w:tc>
        <w:tc>
          <w:tcPr>
            <w:tcW w:w="267" w:type="dxa"/>
            <w:tcBorders>
              <w:top w:val="nil"/>
              <w:left w:val="nil"/>
              <w:bottom w:val="nil"/>
              <w:right w:val="single" w:sz="4" w:space="0" w:color="auto"/>
            </w:tcBorders>
            <w:shd w:val="clear" w:color="000000" w:fill="FFFFFF"/>
            <w:noWrap/>
            <w:vAlign w:val="center"/>
            <w:hideMark/>
          </w:tcPr>
          <w:p w14:paraId="1EB3249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59907A0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18 957</w:t>
            </w:r>
          </w:p>
        </w:tc>
      </w:tr>
      <w:tr w:rsidR="0037356D" w:rsidRPr="001E5657" w14:paraId="776B3559"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1AA43B3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Litigation fees</w:t>
            </w:r>
          </w:p>
        </w:tc>
        <w:tc>
          <w:tcPr>
            <w:tcW w:w="1500" w:type="dxa"/>
            <w:tcBorders>
              <w:top w:val="nil"/>
              <w:left w:val="nil"/>
              <w:bottom w:val="nil"/>
              <w:right w:val="single" w:sz="8" w:space="0" w:color="auto"/>
            </w:tcBorders>
            <w:shd w:val="clear" w:color="auto" w:fill="FFFFFF" w:themeFill="background1"/>
            <w:noWrap/>
            <w:vAlign w:val="center"/>
            <w:hideMark/>
          </w:tcPr>
          <w:p w14:paraId="298021F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15 000</w:t>
            </w:r>
          </w:p>
        </w:tc>
        <w:tc>
          <w:tcPr>
            <w:tcW w:w="267" w:type="dxa"/>
            <w:tcBorders>
              <w:top w:val="nil"/>
              <w:left w:val="nil"/>
              <w:bottom w:val="nil"/>
              <w:right w:val="nil"/>
            </w:tcBorders>
            <w:shd w:val="clear" w:color="000000" w:fill="FFFFFF"/>
            <w:noWrap/>
            <w:vAlign w:val="center"/>
            <w:hideMark/>
          </w:tcPr>
          <w:p w14:paraId="33A3E60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31BCB0E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12 000</w:t>
            </w:r>
          </w:p>
        </w:tc>
        <w:tc>
          <w:tcPr>
            <w:tcW w:w="267" w:type="dxa"/>
            <w:tcBorders>
              <w:top w:val="nil"/>
              <w:left w:val="nil"/>
              <w:bottom w:val="nil"/>
              <w:right w:val="single" w:sz="4" w:space="0" w:color="auto"/>
            </w:tcBorders>
            <w:shd w:val="clear" w:color="000000" w:fill="FFFFFF"/>
            <w:noWrap/>
            <w:vAlign w:val="center"/>
            <w:hideMark/>
          </w:tcPr>
          <w:p w14:paraId="2EDC3CC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52147F7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10 000</w:t>
            </w:r>
          </w:p>
        </w:tc>
      </w:tr>
      <w:tr w:rsidR="0037356D" w:rsidRPr="001E5657" w14:paraId="500F3CFA"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66EA82D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Consultants fees</w:t>
            </w:r>
          </w:p>
        </w:tc>
        <w:tc>
          <w:tcPr>
            <w:tcW w:w="1500" w:type="dxa"/>
            <w:tcBorders>
              <w:top w:val="nil"/>
              <w:left w:val="nil"/>
              <w:bottom w:val="nil"/>
              <w:right w:val="single" w:sz="8" w:space="0" w:color="auto"/>
            </w:tcBorders>
            <w:shd w:val="clear" w:color="auto" w:fill="FFFFFF" w:themeFill="background1"/>
            <w:noWrap/>
            <w:vAlign w:val="center"/>
            <w:hideMark/>
          </w:tcPr>
          <w:p w14:paraId="4DAAD83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nil"/>
            </w:tcBorders>
            <w:shd w:val="clear" w:color="000000" w:fill="FFFFFF"/>
            <w:noWrap/>
            <w:vAlign w:val="center"/>
            <w:hideMark/>
          </w:tcPr>
          <w:p w14:paraId="2E35627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51102B3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single" w:sz="4" w:space="0" w:color="auto"/>
            </w:tcBorders>
            <w:shd w:val="clear" w:color="000000" w:fill="FFFFFF"/>
            <w:noWrap/>
            <w:vAlign w:val="center"/>
            <w:hideMark/>
          </w:tcPr>
          <w:p w14:paraId="745642E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C51900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r>
      <w:tr w:rsidR="0037356D" w:rsidRPr="001E5657" w14:paraId="53FC2A0C"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73A313E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Depreciation</w:t>
            </w:r>
          </w:p>
        </w:tc>
        <w:tc>
          <w:tcPr>
            <w:tcW w:w="1500" w:type="dxa"/>
            <w:tcBorders>
              <w:top w:val="nil"/>
              <w:left w:val="nil"/>
              <w:bottom w:val="nil"/>
              <w:right w:val="single" w:sz="8" w:space="0" w:color="auto"/>
            </w:tcBorders>
            <w:shd w:val="clear" w:color="auto" w:fill="FFFFFF" w:themeFill="background1"/>
            <w:noWrap/>
            <w:vAlign w:val="center"/>
            <w:hideMark/>
          </w:tcPr>
          <w:p w14:paraId="523F003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7 000</w:t>
            </w:r>
          </w:p>
        </w:tc>
        <w:tc>
          <w:tcPr>
            <w:tcW w:w="267" w:type="dxa"/>
            <w:tcBorders>
              <w:top w:val="nil"/>
              <w:left w:val="nil"/>
              <w:bottom w:val="nil"/>
              <w:right w:val="nil"/>
            </w:tcBorders>
            <w:shd w:val="clear" w:color="000000" w:fill="FFFFFF"/>
            <w:noWrap/>
            <w:vAlign w:val="center"/>
            <w:hideMark/>
          </w:tcPr>
          <w:p w14:paraId="55F76D6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102E0B0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8 000</w:t>
            </w:r>
          </w:p>
        </w:tc>
        <w:tc>
          <w:tcPr>
            <w:tcW w:w="267" w:type="dxa"/>
            <w:tcBorders>
              <w:top w:val="nil"/>
              <w:left w:val="nil"/>
              <w:bottom w:val="nil"/>
              <w:right w:val="single" w:sz="4" w:space="0" w:color="auto"/>
            </w:tcBorders>
            <w:shd w:val="clear" w:color="000000" w:fill="FFFFFF"/>
            <w:noWrap/>
            <w:vAlign w:val="center"/>
            <w:hideMark/>
          </w:tcPr>
          <w:p w14:paraId="516AAF6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04D7559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10 000</w:t>
            </w:r>
          </w:p>
        </w:tc>
      </w:tr>
      <w:tr w:rsidR="0037356D" w:rsidRPr="001E5657" w14:paraId="287CE73C"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BE5E92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External Audit Fees</w:t>
            </w:r>
          </w:p>
        </w:tc>
        <w:tc>
          <w:tcPr>
            <w:tcW w:w="1500" w:type="dxa"/>
            <w:tcBorders>
              <w:top w:val="nil"/>
              <w:left w:val="nil"/>
              <w:bottom w:val="nil"/>
              <w:right w:val="single" w:sz="8" w:space="0" w:color="auto"/>
            </w:tcBorders>
            <w:shd w:val="clear" w:color="auto" w:fill="FFFFFF" w:themeFill="background1"/>
            <w:noWrap/>
            <w:vAlign w:val="center"/>
            <w:hideMark/>
          </w:tcPr>
          <w:p w14:paraId="0E2F1C8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8 500</w:t>
            </w:r>
          </w:p>
        </w:tc>
        <w:tc>
          <w:tcPr>
            <w:tcW w:w="267" w:type="dxa"/>
            <w:tcBorders>
              <w:top w:val="nil"/>
              <w:left w:val="nil"/>
              <w:bottom w:val="nil"/>
              <w:right w:val="nil"/>
            </w:tcBorders>
            <w:shd w:val="clear" w:color="000000" w:fill="FFFFFF"/>
            <w:noWrap/>
            <w:vAlign w:val="center"/>
            <w:hideMark/>
          </w:tcPr>
          <w:p w14:paraId="4065E47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1FFBAF3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8 976</w:t>
            </w:r>
          </w:p>
        </w:tc>
        <w:tc>
          <w:tcPr>
            <w:tcW w:w="267" w:type="dxa"/>
            <w:tcBorders>
              <w:top w:val="nil"/>
              <w:left w:val="nil"/>
              <w:bottom w:val="nil"/>
              <w:right w:val="single" w:sz="4" w:space="0" w:color="auto"/>
            </w:tcBorders>
            <w:shd w:val="clear" w:color="000000" w:fill="FFFFFF"/>
            <w:noWrap/>
            <w:vAlign w:val="center"/>
            <w:hideMark/>
          </w:tcPr>
          <w:p w14:paraId="157E552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A94C60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9 479</w:t>
            </w:r>
          </w:p>
        </w:tc>
      </w:tr>
      <w:tr w:rsidR="0037356D" w:rsidRPr="001E5657" w14:paraId="62FFF1D2"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5ABFBE9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IT Cost</w:t>
            </w:r>
          </w:p>
        </w:tc>
        <w:tc>
          <w:tcPr>
            <w:tcW w:w="1500" w:type="dxa"/>
            <w:tcBorders>
              <w:top w:val="nil"/>
              <w:left w:val="nil"/>
              <w:bottom w:val="nil"/>
              <w:right w:val="single" w:sz="8" w:space="0" w:color="auto"/>
            </w:tcBorders>
            <w:shd w:val="clear" w:color="auto" w:fill="FFFFFF" w:themeFill="background1"/>
            <w:noWrap/>
            <w:vAlign w:val="center"/>
            <w:hideMark/>
          </w:tcPr>
          <w:p w14:paraId="08FF7FE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10 413</w:t>
            </w:r>
          </w:p>
        </w:tc>
        <w:tc>
          <w:tcPr>
            <w:tcW w:w="267" w:type="dxa"/>
            <w:tcBorders>
              <w:top w:val="nil"/>
              <w:left w:val="nil"/>
              <w:bottom w:val="nil"/>
              <w:right w:val="nil"/>
            </w:tcBorders>
            <w:shd w:val="clear" w:color="000000" w:fill="FFFFFF"/>
            <w:noWrap/>
            <w:vAlign w:val="center"/>
            <w:hideMark/>
          </w:tcPr>
          <w:p w14:paraId="4CD95FC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A3B75D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10 996</w:t>
            </w:r>
          </w:p>
        </w:tc>
        <w:tc>
          <w:tcPr>
            <w:tcW w:w="267" w:type="dxa"/>
            <w:tcBorders>
              <w:top w:val="nil"/>
              <w:left w:val="nil"/>
              <w:bottom w:val="nil"/>
              <w:right w:val="single" w:sz="4" w:space="0" w:color="auto"/>
            </w:tcBorders>
            <w:shd w:val="clear" w:color="000000" w:fill="FFFFFF"/>
            <w:noWrap/>
            <w:vAlign w:val="center"/>
            <w:hideMark/>
          </w:tcPr>
          <w:p w14:paraId="66245CD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1C0ABCF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11 612</w:t>
            </w:r>
          </w:p>
        </w:tc>
      </w:tr>
      <w:tr w:rsidR="0037356D" w:rsidRPr="001E5657" w14:paraId="79825F5A"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FECF7E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Communication</w:t>
            </w:r>
          </w:p>
        </w:tc>
        <w:tc>
          <w:tcPr>
            <w:tcW w:w="1500" w:type="dxa"/>
            <w:tcBorders>
              <w:top w:val="nil"/>
              <w:left w:val="nil"/>
              <w:bottom w:val="nil"/>
              <w:right w:val="single" w:sz="8" w:space="0" w:color="auto"/>
            </w:tcBorders>
            <w:shd w:val="clear" w:color="auto" w:fill="FFFFFF" w:themeFill="background1"/>
            <w:noWrap/>
            <w:vAlign w:val="center"/>
            <w:hideMark/>
          </w:tcPr>
          <w:p w14:paraId="10F03BD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3 500</w:t>
            </w:r>
          </w:p>
        </w:tc>
        <w:tc>
          <w:tcPr>
            <w:tcW w:w="267" w:type="dxa"/>
            <w:tcBorders>
              <w:top w:val="nil"/>
              <w:left w:val="nil"/>
              <w:bottom w:val="nil"/>
              <w:right w:val="nil"/>
            </w:tcBorders>
            <w:shd w:val="clear" w:color="000000" w:fill="FFFFFF"/>
            <w:noWrap/>
            <w:vAlign w:val="center"/>
            <w:hideMark/>
          </w:tcPr>
          <w:p w14:paraId="6B35049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BFE125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3 696</w:t>
            </w:r>
          </w:p>
        </w:tc>
        <w:tc>
          <w:tcPr>
            <w:tcW w:w="267" w:type="dxa"/>
            <w:tcBorders>
              <w:top w:val="nil"/>
              <w:left w:val="nil"/>
              <w:bottom w:val="nil"/>
              <w:right w:val="single" w:sz="4" w:space="0" w:color="auto"/>
            </w:tcBorders>
            <w:shd w:val="clear" w:color="000000" w:fill="FFFFFF"/>
            <w:noWrap/>
            <w:vAlign w:val="center"/>
            <w:hideMark/>
          </w:tcPr>
          <w:p w14:paraId="0D1336D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352C248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3 903</w:t>
            </w:r>
          </w:p>
        </w:tc>
      </w:tr>
      <w:tr w:rsidR="0037356D" w:rsidRPr="001E5657" w14:paraId="11259BF3"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1990F9C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Facilities</w:t>
            </w:r>
          </w:p>
        </w:tc>
        <w:tc>
          <w:tcPr>
            <w:tcW w:w="1500" w:type="dxa"/>
            <w:tcBorders>
              <w:top w:val="nil"/>
              <w:left w:val="nil"/>
              <w:bottom w:val="nil"/>
              <w:right w:val="single" w:sz="8" w:space="0" w:color="auto"/>
            </w:tcBorders>
            <w:shd w:val="clear" w:color="auto" w:fill="FFFFFF" w:themeFill="background1"/>
            <w:noWrap/>
            <w:vAlign w:val="center"/>
            <w:hideMark/>
          </w:tcPr>
          <w:p w14:paraId="69CA36E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13 000</w:t>
            </w:r>
          </w:p>
        </w:tc>
        <w:tc>
          <w:tcPr>
            <w:tcW w:w="267" w:type="dxa"/>
            <w:tcBorders>
              <w:top w:val="nil"/>
              <w:left w:val="nil"/>
              <w:bottom w:val="nil"/>
              <w:right w:val="nil"/>
            </w:tcBorders>
            <w:shd w:val="clear" w:color="000000" w:fill="FFFFFF"/>
            <w:noWrap/>
            <w:vAlign w:val="center"/>
            <w:hideMark/>
          </w:tcPr>
          <w:p w14:paraId="0DA93B4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3054A45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13 728</w:t>
            </w:r>
          </w:p>
        </w:tc>
        <w:tc>
          <w:tcPr>
            <w:tcW w:w="267" w:type="dxa"/>
            <w:tcBorders>
              <w:top w:val="nil"/>
              <w:left w:val="nil"/>
              <w:bottom w:val="nil"/>
              <w:right w:val="single" w:sz="4" w:space="0" w:color="auto"/>
            </w:tcBorders>
            <w:shd w:val="clear" w:color="000000" w:fill="FFFFFF"/>
            <w:noWrap/>
            <w:vAlign w:val="center"/>
            <w:hideMark/>
          </w:tcPr>
          <w:p w14:paraId="3A32176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EB92DF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14 497</w:t>
            </w:r>
          </w:p>
        </w:tc>
      </w:tr>
      <w:tr w:rsidR="0037356D" w:rsidRPr="001E5657" w14:paraId="087F04BC"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6ADC81B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Office rental including rent parking</w:t>
            </w:r>
          </w:p>
        </w:tc>
        <w:tc>
          <w:tcPr>
            <w:tcW w:w="1500" w:type="dxa"/>
            <w:tcBorders>
              <w:top w:val="nil"/>
              <w:left w:val="nil"/>
              <w:bottom w:val="nil"/>
              <w:right w:val="single" w:sz="8" w:space="0" w:color="auto"/>
            </w:tcBorders>
            <w:shd w:val="clear" w:color="auto" w:fill="FFFFFF" w:themeFill="background1"/>
            <w:noWrap/>
            <w:vAlign w:val="center"/>
            <w:hideMark/>
          </w:tcPr>
          <w:p w14:paraId="2869D59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17 277</w:t>
            </w:r>
          </w:p>
        </w:tc>
        <w:tc>
          <w:tcPr>
            <w:tcW w:w="267" w:type="dxa"/>
            <w:tcBorders>
              <w:top w:val="nil"/>
              <w:left w:val="nil"/>
              <w:bottom w:val="nil"/>
              <w:right w:val="nil"/>
            </w:tcBorders>
            <w:shd w:val="clear" w:color="000000" w:fill="FFFFFF"/>
            <w:noWrap/>
            <w:vAlign w:val="center"/>
            <w:hideMark/>
          </w:tcPr>
          <w:p w14:paraId="7F333EF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C029BE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18 245</w:t>
            </w:r>
          </w:p>
        </w:tc>
        <w:tc>
          <w:tcPr>
            <w:tcW w:w="267" w:type="dxa"/>
            <w:tcBorders>
              <w:top w:val="nil"/>
              <w:left w:val="nil"/>
              <w:bottom w:val="nil"/>
              <w:right w:val="single" w:sz="4" w:space="0" w:color="auto"/>
            </w:tcBorders>
            <w:shd w:val="clear" w:color="000000" w:fill="FFFFFF"/>
            <w:noWrap/>
            <w:vAlign w:val="center"/>
            <w:hideMark/>
          </w:tcPr>
          <w:p w14:paraId="3B23228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DEFEDB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19 267</w:t>
            </w:r>
          </w:p>
        </w:tc>
      </w:tr>
      <w:tr w:rsidR="0037356D" w:rsidRPr="001E5657" w14:paraId="2C11F561"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BE55AD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Partnerships and Initiatives</w:t>
            </w:r>
          </w:p>
        </w:tc>
        <w:tc>
          <w:tcPr>
            <w:tcW w:w="1500" w:type="dxa"/>
            <w:tcBorders>
              <w:top w:val="nil"/>
              <w:left w:val="nil"/>
              <w:bottom w:val="nil"/>
              <w:right w:val="single" w:sz="8" w:space="0" w:color="auto"/>
            </w:tcBorders>
            <w:shd w:val="clear" w:color="auto" w:fill="FFFFFF" w:themeFill="background1"/>
            <w:noWrap/>
            <w:vAlign w:val="center"/>
            <w:hideMark/>
          </w:tcPr>
          <w:p w14:paraId="78D9D87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1 000</w:t>
            </w:r>
          </w:p>
        </w:tc>
        <w:tc>
          <w:tcPr>
            <w:tcW w:w="267" w:type="dxa"/>
            <w:tcBorders>
              <w:top w:val="nil"/>
              <w:left w:val="nil"/>
              <w:bottom w:val="nil"/>
              <w:right w:val="nil"/>
            </w:tcBorders>
            <w:shd w:val="clear" w:color="000000" w:fill="FFFFFF"/>
            <w:noWrap/>
            <w:vAlign w:val="center"/>
            <w:hideMark/>
          </w:tcPr>
          <w:p w14:paraId="5851630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552019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1 056</w:t>
            </w:r>
          </w:p>
        </w:tc>
        <w:tc>
          <w:tcPr>
            <w:tcW w:w="267" w:type="dxa"/>
            <w:tcBorders>
              <w:top w:val="nil"/>
              <w:left w:val="nil"/>
              <w:bottom w:val="nil"/>
              <w:right w:val="single" w:sz="4" w:space="0" w:color="auto"/>
            </w:tcBorders>
            <w:shd w:val="clear" w:color="000000" w:fill="FFFFFF"/>
            <w:noWrap/>
            <w:vAlign w:val="center"/>
            <w:hideMark/>
          </w:tcPr>
          <w:p w14:paraId="761451E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0496E66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1 115</w:t>
            </w:r>
          </w:p>
        </w:tc>
      </w:tr>
      <w:tr w:rsidR="0037356D" w:rsidRPr="001E5657" w14:paraId="0A71BEE9"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47FF5CA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Other overhead expenses</w:t>
            </w:r>
          </w:p>
        </w:tc>
        <w:tc>
          <w:tcPr>
            <w:tcW w:w="1500" w:type="dxa"/>
            <w:tcBorders>
              <w:top w:val="nil"/>
              <w:left w:val="nil"/>
              <w:bottom w:val="nil"/>
              <w:right w:val="single" w:sz="8" w:space="0" w:color="auto"/>
            </w:tcBorders>
            <w:shd w:val="clear" w:color="auto" w:fill="FFFFFF" w:themeFill="background1"/>
            <w:noWrap/>
            <w:vAlign w:val="center"/>
            <w:hideMark/>
          </w:tcPr>
          <w:p w14:paraId="2A9291B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29 348</w:t>
            </w:r>
          </w:p>
        </w:tc>
        <w:tc>
          <w:tcPr>
            <w:tcW w:w="267" w:type="dxa"/>
            <w:tcBorders>
              <w:top w:val="nil"/>
              <w:left w:val="nil"/>
              <w:bottom w:val="nil"/>
              <w:right w:val="nil"/>
            </w:tcBorders>
            <w:shd w:val="clear" w:color="000000" w:fill="FFFFFF"/>
            <w:noWrap/>
            <w:vAlign w:val="center"/>
            <w:hideMark/>
          </w:tcPr>
          <w:p w14:paraId="53EDF16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A52CBE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29 351</w:t>
            </w:r>
          </w:p>
        </w:tc>
        <w:tc>
          <w:tcPr>
            <w:tcW w:w="267" w:type="dxa"/>
            <w:tcBorders>
              <w:top w:val="nil"/>
              <w:left w:val="nil"/>
              <w:bottom w:val="nil"/>
              <w:right w:val="single" w:sz="4" w:space="0" w:color="auto"/>
            </w:tcBorders>
            <w:shd w:val="clear" w:color="000000" w:fill="FFFFFF"/>
            <w:noWrap/>
            <w:vAlign w:val="center"/>
            <w:hideMark/>
          </w:tcPr>
          <w:p w14:paraId="0565C58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C566BC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26 665</w:t>
            </w:r>
          </w:p>
        </w:tc>
      </w:tr>
      <w:tr w:rsidR="0037356D" w:rsidRPr="001E5657" w14:paraId="4F129127"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48B5AFA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Centralised Cost</w:t>
            </w:r>
          </w:p>
        </w:tc>
        <w:tc>
          <w:tcPr>
            <w:tcW w:w="1500" w:type="dxa"/>
            <w:tcBorders>
              <w:top w:val="nil"/>
              <w:left w:val="nil"/>
              <w:bottom w:val="nil"/>
              <w:right w:val="single" w:sz="8" w:space="0" w:color="auto"/>
            </w:tcBorders>
            <w:shd w:val="clear" w:color="auto" w:fill="FFFFFF" w:themeFill="background1"/>
            <w:noWrap/>
            <w:vAlign w:val="center"/>
            <w:hideMark/>
          </w:tcPr>
          <w:p w14:paraId="7D20B70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nil"/>
            </w:tcBorders>
            <w:shd w:val="clear" w:color="000000" w:fill="FFFFFF"/>
            <w:noWrap/>
            <w:vAlign w:val="center"/>
            <w:hideMark/>
          </w:tcPr>
          <w:p w14:paraId="6B19FF6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5F66E78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09CC33C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9EB330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r>
      <w:tr w:rsidR="0037356D" w:rsidRPr="001E5657" w14:paraId="55A4772A"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165762C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Telephone</w:t>
            </w:r>
          </w:p>
        </w:tc>
        <w:tc>
          <w:tcPr>
            <w:tcW w:w="1500" w:type="dxa"/>
            <w:tcBorders>
              <w:top w:val="nil"/>
              <w:left w:val="nil"/>
              <w:bottom w:val="nil"/>
              <w:right w:val="single" w:sz="8" w:space="0" w:color="auto"/>
            </w:tcBorders>
            <w:shd w:val="clear" w:color="auto" w:fill="FFFFFF" w:themeFill="background1"/>
            <w:noWrap/>
            <w:vAlign w:val="center"/>
            <w:hideMark/>
          </w:tcPr>
          <w:p w14:paraId="31745AE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7 200</w:t>
            </w:r>
          </w:p>
        </w:tc>
        <w:tc>
          <w:tcPr>
            <w:tcW w:w="267" w:type="dxa"/>
            <w:tcBorders>
              <w:top w:val="nil"/>
              <w:left w:val="nil"/>
              <w:bottom w:val="nil"/>
              <w:right w:val="nil"/>
            </w:tcBorders>
            <w:shd w:val="clear" w:color="000000" w:fill="FFFFFF"/>
            <w:noWrap/>
            <w:vAlign w:val="center"/>
            <w:hideMark/>
          </w:tcPr>
          <w:p w14:paraId="57D14DF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13A950C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7 603</w:t>
            </w:r>
          </w:p>
        </w:tc>
        <w:tc>
          <w:tcPr>
            <w:tcW w:w="267" w:type="dxa"/>
            <w:tcBorders>
              <w:top w:val="nil"/>
              <w:left w:val="nil"/>
              <w:bottom w:val="nil"/>
              <w:right w:val="single" w:sz="4" w:space="0" w:color="auto"/>
            </w:tcBorders>
            <w:shd w:val="clear" w:color="000000" w:fill="FFFFFF"/>
            <w:noWrap/>
            <w:vAlign w:val="center"/>
            <w:hideMark/>
          </w:tcPr>
          <w:p w14:paraId="618CBDC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6F59732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8 029</w:t>
            </w:r>
          </w:p>
        </w:tc>
      </w:tr>
      <w:tr w:rsidR="0037356D" w:rsidRPr="001E5657" w14:paraId="307B93C3"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217C5CC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Rent photocopiers</w:t>
            </w:r>
          </w:p>
        </w:tc>
        <w:tc>
          <w:tcPr>
            <w:tcW w:w="1500" w:type="dxa"/>
            <w:tcBorders>
              <w:top w:val="nil"/>
              <w:left w:val="nil"/>
              <w:bottom w:val="nil"/>
              <w:right w:val="single" w:sz="8" w:space="0" w:color="auto"/>
            </w:tcBorders>
            <w:shd w:val="clear" w:color="auto" w:fill="FFFFFF" w:themeFill="background1"/>
            <w:noWrap/>
            <w:vAlign w:val="center"/>
            <w:hideMark/>
          </w:tcPr>
          <w:p w14:paraId="3B00F67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2 648</w:t>
            </w:r>
          </w:p>
        </w:tc>
        <w:tc>
          <w:tcPr>
            <w:tcW w:w="267" w:type="dxa"/>
            <w:tcBorders>
              <w:top w:val="nil"/>
              <w:left w:val="nil"/>
              <w:bottom w:val="nil"/>
              <w:right w:val="nil"/>
            </w:tcBorders>
            <w:shd w:val="clear" w:color="000000" w:fill="FFFFFF"/>
            <w:noWrap/>
            <w:vAlign w:val="center"/>
            <w:hideMark/>
          </w:tcPr>
          <w:p w14:paraId="2EFB4251"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782BDB2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2 796</w:t>
            </w:r>
          </w:p>
        </w:tc>
        <w:tc>
          <w:tcPr>
            <w:tcW w:w="267" w:type="dxa"/>
            <w:tcBorders>
              <w:top w:val="nil"/>
              <w:left w:val="nil"/>
              <w:bottom w:val="nil"/>
              <w:right w:val="single" w:sz="4" w:space="0" w:color="auto"/>
            </w:tcBorders>
            <w:shd w:val="clear" w:color="000000" w:fill="FFFFFF"/>
            <w:noWrap/>
            <w:vAlign w:val="center"/>
            <w:hideMark/>
          </w:tcPr>
          <w:p w14:paraId="4583CDD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6C7DC85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2 952</w:t>
            </w:r>
          </w:p>
        </w:tc>
      </w:tr>
      <w:tr w:rsidR="0037356D" w:rsidRPr="001E5657" w14:paraId="71104687"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0FE077E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Insurance</w:t>
            </w:r>
          </w:p>
        </w:tc>
        <w:tc>
          <w:tcPr>
            <w:tcW w:w="1500" w:type="dxa"/>
            <w:tcBorders>
              <w:top w:val="nil"/>
              <w:left w:val="nil"/>
              <w:bottom w:val="nil"/>
              <w:right w:val="single" w:sz="8" w:space="0" w:color="auto"/>
            </w:tcBorders>
            <w:shd w:val="clear" w:color="auto" w:fill="FFFFFF" w:themeFill="background1"/>
            <w:noWrap/>
            <w:vAlign w:val="center"/>
            <w:hideMark/>
          </w:tcPr>
          <w:p w14:paraId="3163DCF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2 500</w:t>
            </w:r>
          </w:p>
        </w:tc>
        <w:tc>
          <w:tcPr>
            <w:tcW w:w="267" w:type="dxa"/>
            <w:tcBorders>
              <w:top w:val="nil"/>
              <w:left w:val="nil"/>
              <w:bottom w:val="nil"/>
              <w:right w:val="nil"/>
            </w:tcBorders>
            <w:shd w:val="clear" w:color="000000" w:fill="FFFFFF"/>
            <w:noWrap/>
            <w:vAlign w:val="center"/>
            <w:hideMark/>
          </w:tcPr>
          <w:p w14:paraId="5F219F1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27E2072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2 640</w:t>
            </w:r>
          </w:p>
        </w:tc>
        <w:tc>
          <w:tcPr>
            <w:tcW w:w="267" w:type="dxa"/>
            <w:tcBorders>
              <w:top w:val="nil"/>
              <w:left w:val="nil"/>
              <w:bottom w:val="nil"/>
              <w:right w:val="single" w:sz="4" w:space="0" w:color="auto"/>
            </w:tcBorders>
            <w:shd w:val="clear" w:color="000000" w:fill="FFFFFF"/>
            <w:noWrap/>
            <w:vAlign w:val="center"/>
            <w:hideMark/>
          </w:tcPr>
          <w:p w14:paraId="253876E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02361D5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2 788</w:t>
            </w:r>
          </w:p>
        </w:tc>
      </w:tr>
      <w:tr w:rsidR="0037356D" w:rsidRPr="001E5657" w14:paraId="6ACCF4D9"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186EA48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Software Licences</w:t>
            </w:r>
          </w:p>
        </w:tc>
        <w:tc>
          <w:tcPr>
            <w:tcW w:w="1500" w:type="dxa"/>
            <w:tcBorders>
              <w:top w:val="nil"/>
              <w:left w:val="nil"/>
              <w:bottom w:val="nil"/>
              <w:right w:val="single" w:sz="8" w:space="0" w:color="auto"/>
            </w:tcBorders>
            <w:shd w:val="clear" w:color="auto" w:fill="FFFFFF" w:themeFill="background1"/>
            <w:noWrap/>
            <w:vAlign w:val="center"/>
            <w:hideMark/>
          </w:tcPr>
          <w:p w14:paraId="67AAA6C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5 589</w:t>
            </w:r>
          </w:p>
        </w:tc>
        <w:tc>
          <w:tcPr>
            <w:tcW w:w="267" w:type="dxa"/>
            <w:tcBorders>
              <w:top w:val="nil"/>
              <w:left w:val="nil"/>
              <w:bottom w:val="nil"/>
              <w:right w:val="nil"/>
            </w:tcBorders>
            <w:shd w:val="clear" w:color="000000" w:fill="FFFFFF"/>
            <w:noWrap/>
            <w:vAlign w:val="center"/>
            <w:hideMark/>
          </w:tcPr>
          <w:p w14:paraId="18CD3B6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146C6B6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5 902</w:t>
            </w:r>
          </w:p>
        </w:tc>
        <w:tc>
          <w:tcPr>
            <w:tcW w:w="267" w:type="dxa"/>
            <w:tcBorders>
              <w:top w:val="nil"/>
              <w:left w:val="nil"/>
              <w:bottom w:val="nil"/>
              <w:right w:val="single" w:sz="4" w:space="0" w:color="auto"/>
            </w:tcBorders>
            <w:shd w:val="clear" w:color="000000" w:fill="FFFFFF"/>
            <w:noWrap/>
            <w:vAlign w:val="center"/>
            <w:hideMark/>
          </w:tcPr>
          <w:p w14:paraId="1E60525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0438ED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6 232</w:t>
            </w:r>
          </w:p>
        </w:tc>
      </w:tr>
      <w:tr w:rsidR="0037356D" w:rsidRPr="001E5657" w14:paraId="2EAF2F4D" w14:textId="77777777" w:rsidTr="0037356D">
        <w:trPr>
          <w:trHeight w:val="300"/>
        </w:trPr>
        <w:tc>
          <w:tcPr>
            <w:tcW w:w="4678" w:type="dxa"/>
            <w:tcBorders>
              <w:top w:val="nil"/>
              <w:left w:val="single" w:sz="8" w:space="0" w:color="auto"/>
              <w:bottom w:val="nil"/>
              <w:right w:val="single" w:sz="8" w:space="0" w:color="auto"/>
            </w:tcBorders>
            <w:shd w:val="clear" w:color="000000" w:fill="FFFFFF"/>
            <w:vAlign w:val="center"/>
            <w:hideMark/>
          </w:tcPr>
          <w:p w14:paraId="53DA222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Network Data</w:t>
            </w:r>
          </w:p>
        </w:tc>
        <w:tc>
          <w:tcPr>
            <w:tcW w:w="1500" w:type="dxa"/>
            <w:tcBorders>
              <w:top w:val="nil"/>
              <w:left w:val="nil"/>
              <w:bottom w:val="nil"/>
              <w:right w:val="single" w:sz="8" w:space="0" w:color="auto"/>
            </w:tcBorders>
            <w:shd w:val="clear" w:color="auto" w:fill="FFFFFF" w:themeFill="background1"/>
            <w:noWrap/>
            <w:vAlign w:val="center"/>
            <w:hideMark/>
          </w:tcPr>
          <w:p w14:paraId="725C9BE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4 200</w:t>
            </w:r>
          </w:p>
        </w:tc>
        <w:tc>
          <w:tcPr>
            <w:tcW w:w="267" w:type="dxa"/>
            <w:tcBorders>
              <w:top w:val="nil"/>
              <w:left w:val="nil"/>
              <w:bottom w:val="nil"/>
              <w:right w:val="nil"/>
            </w:tcBorders>
            <w:shd w:val="clear" w:color="000000" w:fill="FFFFFF"/>
            <w:noWrap/>
            <w:vAlign w:val="center"/>
            <w:hideMark/>
          </w:tcPr>
          <w:p w14:paraId="65D63BD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6C3A82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4 435</w:t>
            </w:r>
          </w:p>
        </w:tc>
        <w:tc>
          <w:tcPr>
            <w:tcW w:w="267" w:type="dxa"/>
            <w:tcBorders>
              <w:top w:val="nil"/>
              <w:left w:val="nil"/>
              <w:bottom w:val="nil"/>
              <w:right w:val="single" w:sz="4" w:space="0" w:color="auto"/>
            </w:tcBorders>
            <w:shd w:val="clear" w:color="000000" w:fill="FFFFFF"/>
            <w:noWrap/>
            <w:vAlign w:val="center"/>
            <w:hideMark/>
          </w:tcPr>
          <w:p w14:paraId="7B17180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0022E1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4 684</w:t>
            </w:r>
          </w:p>
        </w:tc>
      </w:tr>
      <w:tr w:rsidR="0037356D" w:rsidRPr="001E5657" w14:paraId="4DD56D37" w14:textId="77777777" w:rsidTr="0037356D">
        <w:trPr>
          <w:trHeight w:val="300"/>
        </w:trPr>
        <w:tc>
          <w:tcPr>
            <w:tcW w:w="4678" w:type="dxa"/>
            <w:tcBorders>
              <w:top w:val="nil"/>
              <w:left w:val="single" w:sz="8" w:space="0" w:color="auto"/>
              <w:bottom w:val="nil"/>
              <w:right w:val="nil"/>
            </w:tcBorders>
            <w:shd w:val="clear" w:color="000000" w:fill="FFFFFF"/>
            <w:vAlign w:val="center"/>
            <w:hideMark/>
          </w:tcPr>
          <w:p w14:paraId="11B67BFC"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Operating Surplus/(Deficit)</w:t>
            </w:r>
          </w:p>
        </w:tc>
        <w:tc>
          <w:tcPr>
            <w:tcW w:w="1500" w:type="dxa"/>
            <w:tcBorders>
              <w:top w:val="single" w:sz="8" w:space="0" w:color="auto"/>
              <w:left w:val="nil"/>
              <w:bottom w:val="nil"/>
              <w:right w:val="single" w:sz="8" w:space="0" w:color="auto"/>
            </w:tcBorders>
            <w:shd w:val="clear" w:color="auto" w:fill="FFFFFF" w:themeFill="background1"/>
            <w:noWrap/>
            <w:vAlign w:val="center"/>
            <w:hideMark/>
          </w:tcPr>
          <w:p w14:paraId="20BF3250"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-141 255</w:t>
            </w:r>
          </w:p>
        </w:tc>
        <w:tc>
          <w:tcPr>
            <w:tcW w:w="267" w:type="dxa"/>
            <w:tcBorders>
              <w:top w:val="nil"/>
              <w:left w:val="nil"/>
              <w:bottom w:val="nil"/>
              <w:right w:val="nil"/>
            </w:tcBorders>
            <w:shd w:val="clear" w:color="000000" w:fill="FFFFFF"/>
            <w:noWrap/>
            <w:vAlign w:val="center"/>
            <w:hideMark/>
          </w:tcPr>
          <w:p w14:paraId="61F9F0A4"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C91ABA7"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-212 340</w:t>
            </w:r>
          </w:p>
        </w:tc>
        <w:tc>
          <w:tcPr>
            <w:tcW w:w="267" w:type="dxa"/>
            <w:tcBorders>
              <w:top w:val="nil"/>
              <w:left w:val="nil"/>
              <w:bottom w:val="nil"/>
              <w:right w:val="single" w:sz="4" w:space="0" w:color="auto"/>
            </w:tcBorders>
            <w:shd w:val="clear" w:color="000000" w:fill="FFFFFF"/>
            <w:noWrap/>
            <w:vAlign w:val="center"/>
            <w:hideMark/>
          </w:tcPr>
          <w:p w14:paraId="0B730AF9"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5778BC1C"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-316 543</w:t>
            </w:r>
          </w:p>
        </w:tc>
      </w:tr>
      <w:tr w:rsidR="0037356D" w:rsidRPr="001E5657" w14:paraId="096D7BE5" w14:textId="77777777" w:rsidTr="0037356D">
        <w:trPr>
          <w:trHeight w:val="300"/>
        </w:trPr>
        <w:tc>
          <w:tcPr>
            <w:tcW w:w="4678" w:type="dxa"/>
            <w:tcBorders>
              <w:top w:val="single" w:sz="4" w:space="0" w:color="auto"/>
              <w:left w:val="single" w:sz="8" w:space="0" w:color="auto"/>
              <w:bottom w:val="single" w:sz="4" w:space="0" w:color="auto"/>
              <w:right w:val="nil"/>
            </w:tcBorders>
            <w:shd w:val="clear" w:color="000000" w:fill="BFBFBF"/>
            <w:vAlign w:val="center"/>
            <w:hideMark/>
          </w:tcPr>
          <w:p w14:paraId="0FCBB82A"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Capex</w:t>
            </w:r>
          </w:p>
        </w:tc>
        <w:tc>
          <w:tcPr>
            <w:tcW w:w="1500"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1564ED4A"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26 000</w:t>
            </w:r>
          </w:p>
        </w:tc>
        <w:tc>
          <w:tcPr>
            <w:tcW w:w="267" w:type="dxa"/>
            <w:tcBorders>
              <w:top w:val="nil"/>
              <w:left w:val="nil"/>
              <w:bottom w:val="nil"/>
              <w:right w:val="nil"/>
            </w:tcBorders>
            <w:shd w:val="clear" w:color="000000" w:fill="FFFFFF"/>
            <w:noWrap/>
            <w:vAlign w:val="center"/>
            <w:hideMark/>
          </w:tcPr>
          <w:p w14:paraId="5BEFF50A"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single" w:sz="8" w:space="0" w:color="auto"/>
              <w:bottom w:val="nil"/>
              <w:right w:val="single" w:sz="8" w:space="0" w:color="auto"/>
            </w:tcBorders>
            <w:shd w:val="clear" w:color="000000" w:fill="BFBFBF"/>
            <w:noWrap/>
            <w:vAlign w:val="center"/>
            <w:hideMark/>
          </w:tcPr>
          <w:p w14:paraId="1F987393"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23 500</w:t>
            </w:r>
          </w:p>
        </w:tc>
        <w:tc>
          <w:tcPr>
            <w:tcW w:w="267" w:type="dxa"/>
            <w:tcBorders>
              <w:top w:val="nil"/>
              <w:left w:val="nil"/>
              <w:bottom w:val="nil"/>
              <w:right w:val="single" w:sz="4" w:space="0" w:color="auto"/>
            </w:tcBorders>
            <w:shd w:val="clear" w:color="000000" w:fill="FFFFFF"/>
            <w:noWrap/>
            <w:vAlign w:val="center"/>
            <w:hideMark/>
          </w:tcPr>
          <w:p w14:paraId="36969A4E"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843" w:type="dxa"/>
            <w:tcBorders>
              <w:top w:val="nil"/>
              <w:left w:val="single" w:sz="4" w:space="0" w:color="auto"/>
              <w:bottom w:val="nil"/>
              <w:right w:val="single" w:sz="4" w:space="0" w:color="auto"/>
            </w:tcBorders>
            <w:shd w:val="clear" w:color="000000" w:fill="BFBFBF"/>
            <w:noWrap/>
            <w:vAlign w:val="center"/>
            <w:hideMark/>
          </w:tcPr>
          <w:p w14:paraId="4AAA7C40"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19 000</w:t>
            </w:r>
          </w:p>
        </w:tc>
      </w:tr>
      <w:tr w:rsidR="0037356D" w:rsidRPr="001E5657" w14:paraId="730ABA85" w14:textId="77777777" w:rsidTr="0037356D">
        <w:trPr>
          <w:trHeight w:val="630"/>
        </w:trPr>
        <w:tc>
          <w:tcPr>
            <w:tcW w:w="4678" w:type="dxa"/>
            <w:tcBorders>
              <w:top w:val="nil"/>
              <w:left w:val="single" w:sz="8" w:space="0" w:color="auto"/>
              <w:bottom w:val="nil"/>
              <w:right w:val="nil"/>
            </w:tcBorders>
            <w:shd w:val="clear" w:color="000000" w:fill="FFFFFF"/>
            <w:vAlign w:val="center"/>
            <w:hideMark/>
          </w:tcPr>
          <w:p w14:paraId="4836AF1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Head Office - Maintenance and Green Building</w:t>
            </w:r>
          </w:p>
        </w:tc>
        <w:tc>
          <w:tcPr>
            <w:tcW w:w="1500" w:type="dxa"/>
            <w:tcBorders>
              <w:top w:val="nil"/>
              <w:left w:val="nil"/>
              <w:bottom w:val="nil"/>
              <w:right w:val="single" w:sz="8" w:space="0" w:color="auto"/>
            </w:tcBorders>
            <w:shd w:val="clear" w:color="auto" w:fill="FFFFFF" w:themeFill="background1"/>
            <w:noWrap/>
            <w:vAlign w:val="center"/>
            <w:hideMark/>
          </w:tcPr>
          <w:p w14:paraId="74E820AE"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10 000</w:t>
            </w:r>
          </w:p>
        </w:tc>
        <w:tc>
          <w:tcPr>
            <w:tcW w:w="267" w:type="dxa"/>
            <w:tcBorders>
              <w:top w:val="nil"/>
              <w:left w:val="nil"/>
              <w:bottom w:val="nil"/>
              <w:right w:val="nil"/>
            </w:tcBorders>
            <w:shd w:val="clear" w:color="000000" w:fill="FFFFFF"/>
            <w:noWrap/>
            <w:vAlign w:val="center"/>
            <w:hideMark/>
          </w:tcPr>
          <w:p w14:paraId="083AA1C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4C5E399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10 000</w:t>
            </w:r>
          </w:p>
        </w:tc>
        <w:tc>
          <w:tcPr>
            <w:tcW w:w="267" w:type="dxa"/>
            <w:tcBorders>
              <w:top w:val="nil"/>
              <w:left w:val="nil"/>
              <w:bottom w:val="nil"/>
              <w:right w:val="single" w:sz="4" w:space="0" w:color="auto"/>
            </w:tcBorders>
            <w:shd w:val="clear" w:color="000000" w:fill="FFFFFF"/>
            <w:noWrap/>
            <w:vAlign w:val="center"/>
            <w:hideMark/>
          </w:tcPr>
          <w:p w14:paraId="55D378CB"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2CCDED0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r>
      <w:tr w:rsidR="0037356D" w:rsidRPr="001E5657" w14:paraId="47F48852" w14:textId="77777777" w:rsidTr="0037356D">
        <w:trPr>
          <w:trHeight w:val="300"/>
        </w:trPr>
        <w:tc>
          <w:tcPr>
            <w:tcW w:w="4678" w:type="dxa"/>
            <w:tcBorders>
              <w:top w:val="nil"/>
              <w:left w:val="single" w:sz="8" w:space="0" w:color="auto"/>
              <w:bottom w:val="nil"/>
              <w:right w:val="nil"/>
            </w:tcBorders>
            <w:shd w:val="clear" w:color="000000" w:fill="FFFFFF"/>
            <w:vAlign w:val="center"/>
            <w:hideMark/>
          </w:tcPr>
          <w:p w14:paraId="7DA27B1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Finance ERP System</w:t>
            </w:r>
          </w:p>
        </w:tc>
        <w:tc>
          <w:tcPr>
            <w:tcW w:w="1500" w:type="dxa"/>
            <w:tcBorders>
              <w:top w:val="nil"/>
              <w:left w:val="nil"/>
              <w:bottom w:val="nil"/>
              <w:right w:val="single" w:sz="8" w:space="0" w:color="auto"/>
            </w:tcBorders>
            <w:shd w:val="clear" w:color="auto" w:fill="FFFFFF" w:themeFill="background1"/>
            <w:noWrap/>
            <w:vAlign w:val="center"/>
            <w:hideMark/>
          </w:tcPr>
          <w:p w14:paraId="5D5A496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nil"/>
            </w:tcBorders>
            <w:shd w:val="clear" w:color="000000" w:fill="FFFFFF"/>
            <w:noWrap/>
            <w:vAlign w:val="center"/>
            <w:hideMark/>
          </w:tcPr>
          <w:p w14:paraId="6BBDBE1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933615C"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single" w:sz="4" w:space="0" w:color="auto"/>
            </w:tcBorders>
            <w:shd w:val="clear" w:color="000000" w:fill="FFFFFF"/>
            <w:noWrap/>
            <w:vAlign w:val="center"/>
            <w:hideMark/>
          </w:tcPr>
          <w:p w14:paraId="732AE5F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FC4B22F"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r>
      <w:tr w:rsidR="0037356D" w:rsidRPr="001E5657" w14:paraId="48FD1542" w14:textId="77777777" w:rsidTr="0037356D">
        <w:trPr>
          <w:trHeight w:val="300"/>
        </w:trPr>
        <w:tc>
          <w:tcPr>
            <w:tcW w:w="4678" w:type="dxa"/>
            <w:tcBorders>
              <w:top w:val="nil"/>
              <w:left w:val="single" w:sz="8" w:space="0" w:color="auto"/>
              <w:bottom w:val="nil"/>
              <w:right w:val="nil"/>
            </w:tcBorders>
            <w:shd w:val="clear" w:color="000000" w:fill="FFFFFF"/>
            <w:vAlign w:val="center"/>
            <w:hideMark/>
          </w:tcPr>
          <w:p w14:paraId="0B1E841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Project Management System</w:t>
            </w:r>
          </w:p>
        </w:tc>
        <w:tc>
          <w:tcPr>
            <w:tcW w:w="1500" w:type="dxa"/>
            <w:tcBorders>
              <w:top w:val="nil"/>
              <w:left w:val="nil"/>
              <w:bottom w:val="nil"/>
              <w:right w:val="single" w:sz="8" w:space="0" w:color="auto"/>
            </w:tcBorders>
            <w:shd w:val="clear" w:color="auto" w:fill="FFFFFF" w:themeFill="background1"/>
            <w:noWrap/>
            <w:vAlign w:val="center"/>
            <w:hideMark/>
          </w:tcPr>
          <w:p w14:paraId="2CBD1E3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10 000</w:t>
            </w:r>
          </w:p>
        </w:tc>
        <w:tc>
          <w:tcPr>
            <w:tcW w:w="267" w:type="dxa"/>
            <w:tcBorders>
              <w:top w:val="nil"/>
              <w:left w:val="nil"/>
              <w:bottom w:val="nil"/>
              <w:right w:val="nil"/>
            </w:tcBorders>
            <w:shd w:val="clear" w:color="000000" w:fill="FFFFFF"/>
            <w:noWrap/>
            <w:vAlign w:val="center"/>
            <w:hideMark/>
          </w:tcPr>
          <w:p w14:paraId="6E3D445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3F73194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c>
          <w:tcPr>
            <w:tcW w:w="267" w:type="dxa"/>
            <w:tcBorders>
              <w:top w:val="nil"/>
              <w:left w:val="nil"/>
              <w:bottom w:val="nil"/>
              <w:right w:val="single" w:sz="4" w:space="0" w:color="auto"/>
            </w:tcBorders>
            <w:shd w:val="clear" w:color="000000" w:fill="FFFFFF"/>
            <w:noWrap/>
            <w:vAlign w:val="center"/>
            <w:hideMark/>
          </w:tcPr>
          <w:p w14:paraId="3D9D1BF2"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4F45EF60"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5 000</w:t>
            </w:r>
          </w:p>
        </w:tc>
      </w:tr>
      <w:tr w:rsidR="0037356D" w:rsidRPr="001E5657" w14:paraId="39DD367D" w14:textId="77777777" w:rsidTr="0037356D">
        <w:trPr>
          <w:trHeight w:val="300"/>
        </w:trPr>
        <w:tc>
          <w:tcPr>
            <w:tcW w:w="4678" w:type="dxa"/>
            <w:tcBorders>
              <w:top w:val="nil"/>
              <w:left w:val="single" w:sz="8" w:space="0" w:color="auto"/>
              <w:bottom w:val="nil"/>
              <w:right w:val="nil"/>
            </w:tcBorders>
            <w:shd w:val="clear" w:color="000000" w:fill="FFFFFF"/>
            <w:vAlign w:val="center"/>
            <w:hideMark/>
          </w:tcPr>
          <w:p w14:paraId="30256795"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IT and other equipment</w:t>
            </w:r>
          </w:p>
        </w:tc>
        <w:tc>
          <w:tcPr>
            <w:tcW w:w="1500" w:type="dxa"/>
            <w:tcBorders>
              <w:top w:val="nil"/>
              <w:left w:val="nil"/>
              <w:bottom w:val="nil"/>
              <w:right w:val="single" w:sz="8" w:space="0" w:color="auto"/>
            </w:tcBorders>
            <w:shd w:val="clear" w:color="auto" w:fill="FFFFFF" w:themeFill="background1"/>
            <w:noWrap/>
            <w:vAlign w:val="center"/>
            <w:hideMark/>
          </w:tcPr>
          <w:p w14:paraId="26039A78"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1 000</w:t>
            </w:r>
          </w:p>
        </w:tc>
        <w:tc>
          <w:tcPr>
            <w:tcW w:w="267" w:type="dxa"/>
            <w:tcBorders>
              <w:top w:val="nil"/>
              <w:left w:val="nil"/>
              <w:bottom w:val="nil"/>
              <w:right w:val="nil"/>
            </w:tcBorders>
            <w:shd w:val="clear" w:color="000000" w:fill="FFFFFF"/>
            <w:noWrap/>
            <w:vAlign w:val="center"/>
            <w:hideMark/>
          </w:tcPr>
          <w:p w14:paraId="7349B12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6D1F0567"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3 500</w:t>
            </w:r>
          </w:p>
        </w:tc>
        <w:tc>
          <w:tcPr>
            <w:tcW w:w="267" w:type="dxa"/>
            <w:tcBorders>
              <w:top w:val="nil"/>
              <w:left w:val="nil"/>
              <w:bottom w:val="nil"/>
              <w:right w:val="single" w:sz="4" w:space="0" w:color="auto"/>
            </w:tcBorders>
            <w:shd w:val="clear" w:color="000000" w:fill="FFFFFF"/>
            <w:noWrap/>
            <w:vAlign w:val="center"/>
            <w:hideMark/>
          </w:tcPr>
          <w:p w14:paraId="5A1F3C93"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7B63AC7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r w:rsidRPr="001E5657">
              <w:rPr>
                <w:rFonts w:ascii="Times New Roman" w:eastAsia="Times New Roman" w:hAnsi="Times New Roman" w:cs="Times New Roman"/>
                <w:color w:val="000000"/>
                <w:sz w:val="20"/>
                <w:szCs w:val="20"/>
                <w:lang w:eastAsia="en-ZA"/>
              </w:rPr>
              <w:t>4 000</w:t>
            </w:r>
          </w:p>
        </w:tc>
      </w:tr>
      <w:tr w:rsidR="0037356D" w:rsidRPr="001E5657" w14:paraId="78189D0B" w14:textId="77777777" w:rsidTr="0037356D">
        <w:trPr>
          <w:trHeight w:val="300"/>
        </w:trPr>
        <w:tc>
          <w:tcPr>
            <w:tcW w:w="4678" w:type="dxa"/>
            <w:tcBorders>
              <w:top w:val="nil"/>
              <w:left w:val="single" w:sz="8" w:space="0" w:color="auto"/>
              <w:bottom w:val="nil"/>
              <w:right w:val="nil"/>
            </w:tcBorders>
            <w:shd w:val="clear" w:color="000000" w:fill="FFFFFF"/>
            <w:vAlign w:val="center"/>
            <w:hideMark/>
          </w:tcPr>
          <w:p w14:paraId="768035A5"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p>
        </w:tc>
        <w:tc>
          <w:tcPr>
            <w:tcW w:w="1500" w:type="dxa"/>
            <w:tcBorders>
              <w:top w:val="nil"/>
              <w:left w:val="nil"/>
              <w:bottom w:val="nil"/>
              <w:right w:val="single" w:sz="8" w:space="0" w:color="auto"/>
            </w:tcBorders>
            <w:shd w:val="clear" w:color="auto" w:fill="FFFFFF" w:themeFill="background1"/>
            <w:noWrap/>
            <w:vAlign w:val="center"/>
            <w:hideMark/>
          </w:tcPr>
          <w:p w14:paraId="2F96EBC9"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nil"/>
            </w:tcBorders>
            <w:shd w:val="clear" w:color="000000" w:fill="FFFFFF"/>
            <w:noWrap/>
            <w:vAlign w:val="center"/>
            <w:hideMark/>
          </w:tcPr>
          <w:p w14:paraId="4BE046C6"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500" w:type="dxa"/>
            <w:tcBorders>
              <w:top w:val="nil"/>
              <w:left w:val="single" w:sz="8" w:space="0" w:color="auto"/>
              <w:bottom w:val="nil"/>
              <w:right w:val="single" w:sz="8" w:space="0" w:color="auto"/>
            </w:tcBorders>
            <w:shd w:val="clear" w:color="000000" w:fill="FFFFFF"/>
            <w:noWrap/>
            <w:vAlign w:val="center"/>
            <w:hideMark/>
          </w:tcPr>
          <w:p w14:paraId="76080214"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267" w:type="dxa"/>
            <w:tcBorders>
              <w:top w:val="nil"/>
              <w:left w:val="nil"/>
              <w:bottom w:val="nil"/>
              <w:right w:val="single" w:sz="4" w:space="0" w:color="auto"/>
            </w:tcBorders>
            <w:shd w:val="clear" w:color="000000" w:fill="FFFFFF"/>
            <w:noWrap/>
            <w:vAlign w:val="center"/>
            <w:hideMark/>
          </w:tcPr>
          <w:p w14:paraId="2C44A58A"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c>
          <w:tcPr>
            <w:tcW w:w="1843" w:type="dxa"/>
            <w:tcBorders>
              <w:top w:val="nil"/>
              <w:left w:val="single" w:sz="4" w:space="0" w:color="auto"/>
              <w:bottom w:val="nil"/>
              <w:right w:val="single" w:sz="4" w:space="0" w:color="auto"/>
            </w:tcBorders>
            <w:shd w:val="clear" w:color="000000" w:fill="FFFFFF"/>
            <w:noWrap/>
            <w:vAlign w:val="center"/>
            <w:hideMark/>
          </w:tcPr>
          <w:p w14:paraId="608F64BD" w14:textId="77777777" w:rsidR="0037356D" w:rsidRPr="001E5657" w:rsidRDefault="0037356D" w:rsidP="00CC0781">
            <w:pPr>
              <w:spacing w:after="0" w:line="240" w:lineRule="auto"/>
              <w:jc w:val="both"/>
              <w:rPr>
                <w:rFonts w:ascii="Times New Roman" w:eastAsia="Times New Roman" w:hAnsi="Times New Roman" w:cs="Times New Roman"/>
                <w:color w:val="000000"/>
                <w:sz w:val="20"/>
                <w:szCs w:val="20"/>
                <w:lang w:eastAsia="en-ZA"/>
              </w:rPr>
            </w:pPr>
          </w:p>
        </w:tc>
      </w:tr>
      <w:tr w:rsidR="0037356D" w:rsidRPr="001E5657" w14:paraId="0254D685" w14:textId="77777777" w:rsidTr="0037356D">
        <w:trPr>
          <w:trHeight w:val="315"/>
        </w:trPr>
        <w:tc>
          <w:tcPr>
            <w:tcW w:w="4678" w:type="dxa"/>
            <w:tcBorders>
              <w:top w:val="nil"/>
              <w:left w:val="single" w:sz="8" w:space="0" w:color="auto"/>
              <w:bottom w:val="single" w:sz="8" w:space="0" w:color="auto"/>
              <w:right w:val="nil"/>
            </w:tcBorders>
            <w:shd w:val="clear" w:color="000000" w:fill="FFFFFF"/>
            <w:vAlign w:val="center"/>
            <w:hideMark/>
          </w:tcPr>
          <w:p w14:paraId="634DAEE6" w14:textId="77777777" w:rsidR="0037356D" w:rsidRPr="001E5657" w:rsidRDefault="0037356D" w:rsidP="00CC0781">
            <w:pPr>
              <w:spacing w:after="0" w:line="240" w:lineRule="auto"/>
              <w:jc w:val="both"/>
              <w:rPr>
                <w:rFonts w:ascii="Times New Roman" w:eastAsia="Times New Roman" w:hAnsi="Times New Roman" w:cs="Times New Roman"/>
                <w:b/>
                <w:bCs/>
                <w:color w:val="000000"/>
                <w:sz w:val="20"/>
                <w:szCs w:val="20"/>
                <w:lang w:eastAsia="en-ZA"/>
              </w:rPr>
            </w:pPr>
            <w:r w:rsidRPr="001E5657">
              <w:rPr>
                <w:rFonts w:ascii="Times New Roman" w:eastAsia="Times New Roman" w:hAnsi="Times New Roman" w:cs="Times New Roman"/>
                <w:b/>
                <w:bCs/>
                <w:color w:val="000000"/>
                <w:sz w:val="20"/>
                <w:szCs w:val="20"/>
                <w:lang w:eastAsia="en-ZA"/>
              </w:rPr>
              <w:t>Net Surplus</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14:paraId="363B89CB"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-167 255</w:t>
            </w:r>
          </w:p>
        </w:tc>
        <w:tc>
          <w:tcPr>
            <w:tcW w:w="267" w:type="dxa"/>
            <w:tcBorders>
              <w:top w:val="nil"/>
              <w:left w:val="nil"/>
              <w:bottom w:val="single" w:sz="8" w:space="0" w:color="auto"/>
              <w:right w:val="nil"/>
            </w:tcBorders>
            <w:shd w:val="clear" w:color="000000" w:fill="FFFFFF"/>
            <w:noWrap/>
            <w:vAlign w:val="center"/>
            <w:hideMark/>
          </w:tcPr>
          <w:p w14:paraId="2521FB3A"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p>
        </w:tc>
        <w:tc>
          <w:tcPr>
            <w:tcW w:w="1500" w:type="dxa"/>
            <w:tcBorders>
              <w:top w:val="nil"/>
              <w:left w:val="single" w:sz="8" w:space="0" w:color="auto"/>
              <w:bottom w:val="single" w:sz="8" w:space="0" w:color="auto"/>
              <w:right w:val="single" w:sz="8" w:space="0" w:color="auto"/>
            </w:tcBorders>
            <w:shd w:val="clear" w:color="000000" w:fill="FFFFFF"/>
            <w:noWrap/>
            <w:vAlign w:val="center"/>
            <w:hideMark/>
          </w:tcPr>
          <w:p w14:paraId="23AFA8AE"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-235 840</w:t>
            </w:r>
          </w:p>
        </w:tc>
        <w:tc>
          <w:tcPr>
            <w:tcW w:w="267" w:type="dxa"/>
            <w:tcBorders>
              <w:top w:val="nil"/>
              <w:left w:val="nil"/>
              <w:bottom w:val="single" w:sz="8" w:space="0" w:color="auto"/>
              <w:right w:val="single" w:sz="4" w:space="0" w:color="auto"/>
            </w:tcBorders>
            <w:shd w:val="clear" w:color="000000" w:fill="FFFFFF"/>
            <w:noWrap/>
            <w:vAlign w:val="center"/>
            <w:hideMark/>
          </w:tcPr>
          <w:p w14:paraId="24E6CF10" w14:textId="77777777" w:rsidR="0037356D" w:rsidRPr="001E5657" w:rsidRDefault="0037356D" w:rsidP="00CC0781">
            <w:pPr>
              <w:spacing w:after="0" w:line="240" w:lineRule="auto"/>
              <w:jc w:val="both"/>
              <w:rPr>
                <w:rFonts w:ascii="Times New Roman" w:eastAsia="Times New Roman" w:hAnsi="Times New Roman" w:cs="Times New Roman"/>
                <w:b/>
                <w:bCs/>
                <w:sz w:val="20"/>
                <w:szCs w:val="20"/>
                <w:lang w:eastAsia="en-ZA"/>
              </w:rPr>
            </w:pP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5A266F6" w14:textId="77777777" w:rsidR="0037356D" w:rsidRPr="001E5657" w:rsidRDefault="0037356D" w:rsidP="00CC0781">
            <w:pPr>
              <w:spacing w:after="0" w:line="240" w:lineRule="auto"/>
              <w:jc w:val="both"/>
              <w:rPr>
                <w:rFonts w:ascii="Times New Roman" w:eastAsia="Times New Roman" w:hAnsi="Times New Roman" w:cs="Times New Roman"/>
                <w:b/>
                <w:bCs/>
                <w:color w:val="FF0000"/>
                <w:sz w:val="20"/>
                <w:szCs w:val="20"/>
                <w:lang w:eastAsia="en-ZA"/>
              </w:rPr>
            </w:pPr>
            <w:r w:rsidRPr="001E5657">
              <w:rPr>
                <w:rFonts w:ascii="Times New Roman" w:eastAsia="Times New Roman" w:hAnsi="Times New Roman" w:cs="Times New Roman"/>
                <w:b/>
                <w:bCs/>
                <w:color w:val="FF0000"/>
                <w:sz w:val="20"/>
                <w:szCs w:val="20"/>
                <w:lang w:eastAsia="en-ZA"/>
              </w:rPr>
              <w:t>-335 543</w:t>
            </w:r>
          </w:p>
        </w:tc>
      </w:tr>
    </w:tbl>
    <w:p w14:paraId="0BB6560E" w14:textId="77777777" w:rsidR="0037356D" w:rsidRDefault="0037356D" w:rsidP="00CC0781">
      <w:pPr>
        <w:spacing w:line="360" w:lineRule="auto"/>
        <w:jc w:val="both"/>
        <w:rPr>
          <w:rFonts w:ascii="Times New Roman" w:hAnsi="Times New Roman" w:cs="Times New Roman"/>
          <w:sz w:val="24"/>
          <w:szCs w:val="24"/>
        </w:rPr>
      </w:pPr>
    </w:p>
    <w:p w14:paraId="6D10113B" w14:textId="77777777" w:rsidR="0042327E" w:rsidRDefault="0042327E" w:rsidP="00CC0781">
      <w:pPr>
        <w:spacing w:line="360" w:lineRule="auto"/>
        <w:jc w:val="both"/>
        <w:rPr>
          <w:rFonts w:ascii="Times New Roman" w:hAnsi="Times New Roman" w:cs="Times New Roman"/>
          <w:b/>
          <w:sz w:val="24"/>
          <w:szCs w:val="24"/>
        </w:rPr>
      </w:pPr>
    </w:p>
    <w:p w14:paraId="1C71F378" w14:textId="77777777" w:rsidR="00091902" w:rsidRPr="00661465" w:rsidRDefault="00E4228A" w:rsidP="00CC078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091902" w:rsidRPr="00661465">
        <w:rPr>
          <w:rFonts w:ascii="Times New Roman" w:hAnsi="Times New Roman" w:cs="Times New Roman"/>
          <w:b/>
          <w:sz w:val="24"/>
          <w:szCs w:val="24"/>
        </w:rPr>
        <w:t>. Recommendations:</w:t>
      </w:r>
    </w:p>
    <w:p w14:paraId="5A9614A4" w14:textId="77777777" w:rsidR="00091902" w:rsidRPr="00661465" w:rsidRDefault="00091902" w:rsidP="00CC0781">
      <w:pPr>
        <w:spacing w:line="360" w:lineRule="auto"/>
        <w:jc w:val="both"/>
        <w:rPr>
          <w:rFonts w:ascii="Times New Roman" w:hAnsi="Times New Roman" w:cs="Times New Roman"/>
          <w:sz w:val="24"/>
          <w:szCs w:val="24"/>
        </w:rPr>
      </w:pPr>
      <w:r w:rsidRPr="00661465">
        <w:rPr>
          <w:rFonts w:ascii="Times New Roman" w:hAnsi="Times New Roman" w:cs="Times New Roman"/>
          <w:sz w:val="24"/>
          <w:szCs w:val="24"/>
        </w:rPr>
        <w:t>The Committee recommends to the Minister of Public Works</w:t>
      </w:r>
      <w:r w:rsidR="00DC41E5" w:rsidRPr="00661465">
        <w:rPr>
          <w:rFonts w:ascii="Times New Roman" w:hAnsi="Times New Roman" w:cs="Times New Roman"/>
          <w:sz w:val="24"/>
          <w:szCs w:val="24"/>
        </w:rPr>
        <w:t xml:space="preserve"> and Infrastructure</w:t>
      </w:r>
      <w:r w:rsidRPr="00661465">
        <w:rPr>
          <w:rFonts w:ascii="Times New Roman" w:hAnsi="Times New Roman" w:cs="Times New Roman"/>
          <w:sz w:val="24"/>
          <w:szCs w:val="24"/>
        </w:rPr>
        <w:t xml:space="preserve"> that the following be reported</w:t>
      </w:r>
      <w:r w:rsidR="00900A50" w:rsidRPr="00661465">
        <w:rPr>
          <w:rFonts w:ascii="Times New Roman" w:hAnsi="Times New Roman" w:cs="Times New Roman"/>
          <w:sz w:val="24"/>
          <w:szCs w:val="24"/>
        </w:rPr>
        <w:t xml:space="preserve"> on</w:t>
      </w:r>
      <w:r w:rsidRPr="00661465">
        <w:rPr>
          <w:rFonts w:ascii="Times New Roman" w:hAnsi="Times New Roman" w:cs="Times New Roman"/>
          <w:sz w:val="24"/>
          <w:szCs w:val="24"/>
        </w:rPr>
        <w:t>:</w:t>
      </w:r>
    </w:p>
    <w:p w14:paraId="4AA2AD72" w14:textId="77777777" w:rsidR="00091902" w:rsidRPr="00661465" w:rsidRDefault="00E4228A" w:rsidP="00CC078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B97BD3">
        <w:rPr>
          <w:rFonts w:ascii="Times New Roman" w:hAnsi="Times New Roman" w:cs="Times New Roman"/>
          <w:sz w:val="24"/>
          <w:szCs w:val="24"/>
        </w:rPr>
        <w:t xml:space="preserve">.1. </w:t>
      </w:r>
      <w:r w:rsidR="001E5657" w:rsidRPr="00661465">
        <w:rPr>
          <w:rFonts w:ascii="Times New Roman" w:hAnsi="Times New Roman" w:cs="Times New Roman"/>
          <w:sz w:val="24"/>
          <w:szCs w:val="24"/>
        </w:rPr>
        <w:t>The</w:t>
      </w:r>
      <w:r w:rsidR="00091902" w:rsidRPr="00661465">
        <w:rPr>
          <w:rFonts w:ascii="Times New Roman" w:hAnsi="Times New Roman" w:cs="Times New Roman"/>
          <w:sz w:val="24"/>
          <w:szCs w:val="24"/>
        </w:rPr>
        <w:t xml:space="preserve"> Minister as policy </w:t>
      </w:r>
      <w:r w:rsidR="001E5657" w:rsidRPr="00661465">
        <w:rPr>
          <w:rFonts w:ascii="Times New Roman" w:hAnsi="Times New Roman" w:cs="Times New Roman"/>
          <w:sz w:val="24"/>
          <w:szCs w:val="24"/>
        </w:rPr>
        <w:t>leader</w:t>
      </w:r>
      <w:r w:rsidR="001E5657">
        <w:rPr>
          <w:rFonts w:ascii="Times New Roman" w:hAnsi="Times New Roman" w:cs="Times New Roman"/>
          <w:sz w:val="24"/>
          <w:szCs w:val="24"/>
        </w:rPr>
        <w:t>,</w:t>
      </w:r>
      <w:r w:rsidR="00091902" w:rsidRPr="00661465">
        <w:rPr>
          <w:rFonts w:ascii="Times New Roman" w:hAnsi="Times New Roman" w:cs="Times New Roman"/>
          <w:sz w:val="24"/>
          <w:szCs w:val="24"/>
        </w:rPr>
        <w:t xml:space="preserve"> </w:t>
      </w:r>
      <w:r w:rsidR="00523D25" w:rsidRPr="00661465">
        <w:rPr>
          <w:rFonts w:ascii="Times New Roman" w:hAnsi="Times New Roman" w:cs="Times New Roman"/>
          <w:sz w:val="24"/>
          <w:szCs w:val="24"/>
        </w:rPr>
        <w:t>speeds up</w:t>
      </w:r>
      <w:r w:rsidR="002B1DED" w:rsidRPr="00661465">
        <w:rPr>
          <w:rFonts w:ascii="Times New Roman" w:hAnsi="Times New Roman" w:cs="Times New Roman"/>
          <w:sz w:val="24"/>
          <w:szCs w:val="24"/>
        </w:rPr>
        <w:t xml:space="preserve"> the review of the White P</w:t>
      </w:r>
      <w:r w:rsidR="00091902" w:rsidRPr="00661465">
        <w:rPr>
          <w:rFonts w:ascii="Times New Roman" w:hAnsi="Times New Roman" w:cs="Times New Roman"/>
          <w:sz w:val="24"/>
          <w:szCs w:val="24"/>
        </w:rPr>
        <w:t xml:space="preserve">apers so that: </w:t>
      </w:r>
    </w:p>
    <w:p w14:paraId="5DE4CE65" w14:textId="77777777" w:rsidR="00091902" w:rsidRPr="00661465" w:rsidRDefault="00E4228A" w:rsidP="00CC0781">
      <w:p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5</w:t>
      </w:r>
      <w:r w:rsidR="00091902" w:rsidRPr="00661465">
        <w:rPr>
          <w:rFonts w:ascii="Times New Roman" w:hAnsi="Times New Roman" w:cs="Times New Roman"/>
          <w:sz w:val="24"/>
          <w:szCs w:val="24"/>
        </w:rPr>
        <w:t>.1.1. the mandate of the Department is properly spelled out, so that blockages in performing optimally, is removed, and the draft Public Works Bill is conclud</w:t>
      </w:r>
      <w:r w:rsidR="00393362">
        <w:rPr>
          <w:rFonts w:ascii="Times New Roman" w:hAnsi="Times New Roman" w:cs="Times New Roman"/>
          <w:sz w:val="24"/>
          <w:szCs w:val="24"/>
        </w:rPr>
        <w:t xml:space="preserve">ed, and submitted to Parliament; a report on progress </w:t>
      </w:r>
      <w:r>
        <w:rPr>
          <w:rFonts w:ascii="Times New Roman" w:hAnsi="Times New Roman" w:cs="Times New Roman"/>
          <w:sz w:val="24"/>
          <w:szCs w:val="24"/>
        </w:rPr>
        <w:t xml:space="preserve">in this regard </w:t>
      </w:r>
      <w:r w:rsidR="00393362">
        <w:rPr>
          <w:rFonts w:ascii="Times New Roman" w:hAnsi="Times New Roman" w:cs="Times New Roman"/>
          <w:sz w:val="24"/>
          <w:szCs w:val="24"/>
        </w:rPr>
        <w:t>must be put before this committee by March 2020</w:t>
      </w:r>
      <w:r w:rsidR="00786AA6">
        <w:rPr>
          <w:rFonts w:ascii="Times New Roman" w:hAnsi="Times New Roman" w:cs="Times New Roman"/>
          <w:sz w:val="24"/>
          <w:szCs w:val="24"/>
        </w:rPr>
        <w:t>.</w:t>
      </w:r>
    </w:p>
    <w:p w14:paraId="2DCEECAF" w14:textId="77777777" w:rsidR="00DC41E5" w:rsidRPr="00661465" w:rsidRDefault="00E4228A" w:rsidP="00CC0781">
      <w:p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5</w:t>
      </w:r>
      <w:r w:rsidR="00091902" w:rsidRPr="00661465">
        <w:rPr>
          <w:rFonts w:ascii="Times New Roman" w:hAnsi="Times New Roman" w:cs="Times New Roman"/>
          <w:sz w:val="24"/>
          <w:szCs w:val="24"/>
        </w:rPr>
        <w:t>.1.2.</w:t>
      </w:r>
      <w:r w:rsidR="00DC41E5" w:rsidRPr="00661465">
        <w:rPr>
          <w:rFonts w:ascii="Times New Roman" w:hAnsi="Times New Roman" w:cs="Times New Roman"/>
          <w:sz w:val="24"/>
          <w:szCs w:val="24"/>
        </w:rPr>
        <w:t xml:space="preserve"> in addition to the coordination of public works and the built environment professions, the infrastructure coordination function is spelled out;  </w:t>
      </w:r>
    </w:p>
    <w:p w14:paraId="765AAFF1" w14:textId="77777777" w:rsidR="00091902" w:rsidRPr="00661465" w:rsidRDefault="00E4228A" w:rsidP="00CC0781">
      <w:p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5</w:t>
      </w:r>
      <w:r w:rsidR="00DC41E5" w:rsidRPr="00661465">
        <w:rPr>
          <w:rFonts w:ascii="Times New Roman" w:hAnsi="Times New Roman" w:cs="Times New Roman"/>
          <w:sz w:val="24"/>
          <w:szCs w:val="24"/>
        </w:rPr>
        <w:t xml:space="preserve">.1.3. </w:t>
      </w:r>
      <w:r w:rsidR="00091902" w:rsidRPr="00661465">
        <w:rPr>
          <w:rFonts w:ascii="Times New Roman" w:hAnsi="Times New Roman" w:cs="Times New Roman"/>
          <w:sz w:val="24"/>
          <w:szCs w:val="24"/>
        </w:rPr>
        <w:t xml:space="preserve">the legal mandates of the built </w:t>
      </w:r>
      <w:r w:rsidR="00AC7517" w:rsidRPr="00661465">
        <w:rPr>
          <w:rFonts w:ascii="Times New Roman" w:hAnsi="Times New Roman" w:cs="Times New Roman"/>
          <w:sz w:val="24"/>
          <w:szCs w:val="24"/>
        </w:rPr>
        <w:t xml:space="preserve">environment profession entities, namely the CIDB and CBE, </w:t>
      </w:r>
      <w:r w:rsidR="00091902" w:rsidRPr="00661465">
        <w:rPr>
          <w:rFonts w:ascii="Times New Roman" w:hAnsi="Times New Roman" w:cs="Times New Roman"/>
          <w:sz w:val="24"/>
          <w:szCs w:val="24"/>
        </w:rPr>
        <w:t>are amended to streamline and focus on the matter of relevantly transforming the built environment and construction sector;</w:t>
      </w:r>
    </w:p>
    <w:p w14:paraId="101C9D80" w14:textId="77777777" w:rsidR="00091902" w:rsidRDefault="00E4228A" w:rsidP="00CC0781">
      <w:pPr>
        <w:spacing w:line="360" w:lineRule="auto"/>
        <w:ind w:left="851" w:hanging="491"/>
        <w:jc w:val="both"/>
        <w:rPr>
          <w:rFonts w:ascii="Times New Roman" w:hAnsi="Times New Roman" w:cs="Times New Roman"/>
          <w:bCs/>
          <w:sz w:val="24"/>
          <w:szCs w:val="24"/>
        </w:rPr>
      </w:pPr>
      <w:r>
        <w:rPr>
          <w:rFonts w:ascii="Times New Roman" w:hAnsi="Times New Roman" w:cs="Times New Roman"/>
          <w:sz w:val="24"/>
          <w:szCs w:val="24"/>
        </w:rPr>
        <w:t>5</w:t>
      </w:r>
      <w:r w:rsidR="005A65D1">
        <w:rPr>
          <w:rFonts w:ascii="Times New Roman" w:hAnsi="Times New Roman" w:cs="Times New Roman"/>
          <w:sz w:val="24"/>
          <w:szCs w:val="24"/>
        </w:rPr>
        <w:t>.1.4</w:t>
      </w:r>
      <w:r w:rsidR="00091902" w:rsidRPr="00661465">
        <w:rPr>
          <w:rFonts w:ascii="Times New Roman" w:hAnsi="Times New Roman" w:cs="Times New Roman"/>
          <w:sz w:val="24"/>
          <w:szCs w:val="24"/>
        </w:rPr>
        <w:t xml:space="preserve">. the necessary steps are taken to escalate the </w:t>
      </w:r>
      <w:r w:rsidR="00091902" w:rsidRPr="00661465">
        <w:rPr>
          <w:rFonts w:ascii="Times New Roman" w:hAnsi="Times New Roman" w:cs="Times New Roman"/>
          <w:bCs/>
          <w:sz w:val="24"/>
          <w:szCs w:val="24"/>
        </w:rPr>
        <w:t xml:space="preserve">transformation of the IDT into a properly resourced, socially relevant entity that </w:t>
      </w:r>
      <w:r w:rsidR="000D1625">
        <w:rPr>
          <w:rFonts w:ascii="Times New Roman" w:hAnsi="Times New Roman" w:cs="Times New Roman"/>
          <w:bCs/>
          <w:sz w:val="24"/>
          <w:szCs w:val="24"/>
        </w:rPr>
        <w:t>is</w:t>
      </w:r>
      <w:r w:rsidR="00091902" w:rsidRPr="00661465">
        <w:rPr>
          <w:rFonts w:ascii="Times New Roman" w:hAnsi="Times New Roman" w:cs="Times New Roman"/>
          <w:bCs/>
          <w:sz w:val="24"/>
          <w:szCs w:val="24"/>
        </w:rPr>
        <w:t xml:space="preserve"> enabled to project manage social infrastructure projects, as well as collect the necessary </w:t>
      </w:r>
      <w:r w:rsidR="00BE2536" w:rsidRPr="00661465">
        <w:rPr>
          <w:rFonts w:ascii="Times New Roman" w:hAnsi="Times New Roman" w:cs="Times New Roman"/>
          <w:bCs/>
          <w:sz w:val="24"/>
          <w:szCs w:val="24"/>
        </w:rPr>
        <w:t xml:space="preserve">management </w:t>
      </w:r>
      <w:r w:rsidR="00091902" w:rsidRPr="00661465">
        <w:rPr>
          <w:rFonts w:ascii="Times New Roman" w:hAnsi="Times New Roman" w:cs="Times New Roman"/>
          <w:bCs/>
          <w:sz w:val="24"/>
          <w:szCs w:val="24"/>
        </w:rPr>
        <w:t xml:space="preserve">fees </w:t>
      </w:r>
      <w:r w:rsidR="00BE2536" w:rsidRPr="00661465">
        <w:rPr>
          <w:rFonts w:ascii="Times New Roman" w:hAnsi="Times New Roman" w:cs="Times New Roman"/>
          <w:bCs/>
          <w:sz w:val="24"/>
          <w:szCs w:val="24"/>
        </w:rPr>
        <w:t xml:space="preserve">from client departments </w:t>
      </w:r>
      <w:r w:rsidR="00091902" w:rsidRPr="00661465">
        <w:rPr>
          <w:rFonts w:ascii="Times New Roman" w:hAnsi="Times New Roman" w:cs="Times New Roman"/>
          <w:bCs/>
          <w:sz w:val="24"/>
          <w:szCs w:val="24"/>
        </w:rPr>
        <w:t>with which to run its business in a financially sustainable manner.</w:t>
      </w:r>
    </w:p>
    <w:p w14:paraId="34D2EF2C" w14:textId="77777777" w:rsidR="00311C62" w:rsidRPr="00661465" w:rsidRDefault="00311C62" w:rsidP="00CC0781">
      <w:pPr>
        <w:spacing w:line="360" w:lineRule="auto"/>
        <w:ind w:left="851" w:hanging="491"/>
        <w:jc w:val="both"/>
        <w:rPr>
          <w:rFonts w:ascii="Times New Roman" w:hAnsi="Times New Roman" w:cs="Times New Roman"/>
          <w:bCs/>
          <w:sz w:val="24"/>
          <w:szCs w:val="24"/>
        </w:rPr>
      </w:pPr>
    </w:p>
    <w:p w14:paraId="1B2E4341" w14:textId="77777777" w:rsidR="00AC7517" w:rsidRDefault="00E4228A" w:rsidP="001E5657">
      <w:pPr>
        <w:spacing w:line="360" w:lineRule="auto"/>
        <w:ind w:left="450" w:hanging="450"/>
        <w:jc w:val="both"/>
        <w:rPr>
          <w:rFonts w:ascii="Times New Roman" w:hAnsi="Times New Roman" w:cs="Times New Roman"/>
          <w:sz w:val="24"/>
          <w:szCs w:val="24"/>
        </w:rPr>
      </w:pPr>
      <w:r>
        <w:rPr>
          <w:rFonts w:ascii="Times New Roman" w:hAnsi="Times New Roman" w:cs="Times New Roman"/>
          <w:bCs/>
          <w:sz w:val="24"/>
          <w:szCs w:val="24"/>
        </w:rPr>
        <w:t>5</w:t>
      </w:r>
      <w:r w:rsidR="00AC7517" w:rsidRPr="00661465">
        <w:rPr>
          <w:rFonts w:ascii="Times New Roman" w:hAnsi="Times New Roman" w:cs="Times New Roman"/>
          <w:bCs/>
          <w:sz w:val="24"/>
          <w:szCs w:val="24"/>
        </w:rPr>
        <w:t xml:space="preserve">.2. </w:t>
      </w:r>
      <w:r w:rsidR="0019126B" w:rsidRPr="00661465">
        <w:rPr>
          <w:rFonts w:ascii="Times New Roman" w:hAnsi="Times New Roman" w:cs="Times New Roman"/>
          <w:bCs/>
          <w:sz w:val="24"/>
          <w:szCs w:val="24"/>
        </w:rPr>
        <w:t xml:space="preserve">The CIDB to report to the committee on </w:t>
      </w:r>
      <w:r w:rsidR="00DC41E5" w:rsidRPr="00661465">
        <w:rPr>
          <w:rFonts w:ascii="Times New Roman" w:hAnsi="Times New Roman" w:cs="Times New Roman"/>
          <w:bCs/>
          <w:sz w:val="24"/>
          <w:szCs w:val="24"/>
        </w:rPr>
        <w:t>its</w:t>
      </w:r>
      <w:r w:rsidR="0019126B" w:rsidRPr="00661465">
        <w:rPr>
          <w:rFonts w:ascii="Times New Roman" w:hAnsi="Times New Roman" w:cs="Times New Roman"/>
          <w:sz w:val="24"/>
          <w:szCs w:val="24"/>
        </w:rPr>
        <w:t xml:space="preserve"> draft contractor performance system and the </w:t>
      </w:r>
      <w:r w:rsidR="009374EB">
        <w:rPr>
          <w:rFonts w:ascii="Times New Roman" w:hAnsi="Times New Roman" w:cs="Times New Roman"/>
          <w:sz w:val="24"/>
          <w:szCs w:val="24"/>
        </w:rPr>
        <w:t>Contractor Incubator P</w:t>
      </w:r>
      <w:r w:rsidR="0019126B" w:rsidRPr="00661465">
        <w:rPr>
          <w:rFonts w:ascii="Times New Roman" w:hAnsi="Times New Roman" w:cs="Times New Roman"/>
          <w:sz w:val="24"/>
          <w:szCs w:val="24"/>
        </w:rPr>
        <w:t xml:space="preserve">rogramme that is being piloted with the </w:t>
      </w:r>
      <w:r w:rsidR="00703488">
        <w:rPr>
          <w:rFonts w:ascii="Times New Roman" w:hAnsi="Times New Roman" w:cs="Times New Roman"/>
          <w:sz w:val="24"/>
          <w:szCs w:val="24"/>
        </w:rPr>
        <w:t>Small Enterprise Development Agency (</w:t>
      </w:r>
      <w:r w:rsidR="0019126B" w:rsidRPr="00661465">
        <w:rPr>
          <w:rFonts w:ascii="Times New Roman" w:hAnsi="Times New Roman" w:cs="Times New Roman"/>
          <w:sz w:val="24"/>
          <w:szCs w:val="24"/>
        </w:rPr>
        <w:t>SEDA</w:t>
      </w:r>
      <w:r w:rsidR="00703488">
        <w:rPr>
          <w:rFonts w:ascii="Times New Roman" w:hAnsi="Times New Roman" w:cs="Times New Roman"/>
          <w:sz w:val="24"/>
          <w:szCs w:val="24"/>
        </w:rPr>
        <w:t>)</w:t>
      </w:r>
      <w:r w:rsidR="0019126B" w:rsidRPr="00661465">
        <w:rPr>
          <w:rFonts w:ascii="Times New Roman" w:hAnsi="Times New Roman" w:cs="Times New Roman"/>
          <w:sz w:val="24"/>
          <w:szCs w:val="24"/>
        </w:rPr>
        <w:t>.</w:t>
      </w:r>
    </w:p>
    <w:p w14:paraId="58D6C70A" w14:textId="77777777" w:rsidR="00311C62" w:rsidRPr="00661465" w:rsidRDefault="00311C62" w:rsidP="001E5657">
      <w:pPr>
        <w:spacing w:line="360" w:lineRule="auto"/>
        <w:ind w:left="450" w:hanging="450"/>
        <w:jc w:val="both"/>
        <w:rPr>
          <w:rFonts w:ascii="Times New Roman" w:hAnsi="Times New Roman" w:cs="Times New Roman"/>
          <w:sz w:val="24"/>
          <w:szCs w:val="24"/>
        </w:rPr>
      </w:pPr>
    </w:p>
    <w:p w14:paraId="429EADD7" w14:textId="77777777" w:rsidR="00D7644A" w:rsidRDefault="00E4228A" w:rsidP="001E5657">
      <w:pPr>
        <w:pStyle w:val="Default"/>
        <w:spacing w:after="20" w:line="360" w:lineRule="auto"/>
        <w:ind w:left="540" w:hanging="540"/>
        <w:jc w:val="both"/>
        <w:rPr>
          <w:rFonts w:ascii="Times New Roman" w:hAnsi="Times New Roman" w:cs="Times New Roman"/>
        </w:rPr>
      </w:pPr>
      <w:r>
        <w:rPr>
          <w:rFonts w:ascii="Times New Roman" w:hAnsi="Times New Roman" w:cs="Times New Roman"/>
        </w:rPr>
        <w:t>5</w:t>
      </w:r>
      <w:r w:rsidR="0019126B" w:rsidRPr="00661465">
        <w:rPr>
          <w:rFonts w:ascii="Times New Roman" w:hAnsi="Times New Roman" w:cs="Times New Roman"/>
        </w:rPr>
        <w:t xml:space="preserve">.3. </w:t>
      </w:r>
      <w:r w:rsidR="00D7644A" w:rsidRPr="00661465">
        <w:rPr>
          <w:rFonts w:ascii="Times New Roman" w:hAnsi="Times New Roman" w:cs="Times New Roman"/>
        </w:rPr>
        <w:t xml:space="preserve">The CBE to provide a detailed report that shows a spreadsheet of the candidates that participate in the </w:t>
      </w:r>
      <w:r w:rsidR="009374EB">
        <w:rPr>
          <w:rFonts w:ascii="Times New Roman" w:hAnsi="Times New Roman" w:cs="Times New Roman"/>
        </w:rPr>
        <w:t>C</w:t>
      </w:r>
      <w:r w:rsidR="00D7644A" w:rsidRPr="00661465">
        <w:rPr>
          <w:rFonts w:ascii="Times New Roman" w:hAnsi="Times New Roman" w:cs="Times New Roman"/>
        </w:rPr>
        <w:t>BE candidacy programme with the Sector Education Agency Training Authorities (SETAs) to ensure that graduates are streamed into professionally registered built environment professionals. The spreadsheet should show in</w:t>
      </w:r>
      <w:r w:rsidR="000D1625">
        <w:rPr>
          <w:rFonts w:ascii="Times New Roman" w:hAnsi="Times New Roman" w:cs="Times New Roman"/>
        </w:rPr>
        <w:t>formation per professional built</w:t>
      </w:r>
      <w:r w:rsidR="00D7644A" w:rsidRPr="00661465">
        <w:rPr>
          <w:rFonts w:ascii="Times New Roman" w:hAnsi="Times New Roman" w:cs="Times New Roman"/>
        </w:rPr>
        <w:t xml:space="preserve"> environment category, race, gender, youth, province and region.</w:t>
      </w:r>
    </w:p>
    <w:p w14:paraId="5C7FD776" w14:textId="77777777" w:rsidR="000D1625" w:rsidRPr="00661465" w:rsidRDefault="000D1625" w:rsidP="001E5657">
      <w:pPr>
        <w:pStyle w:val="Default"/>
        <w:spacing w:after="20" w:line="360" w:lineRule="auto"/>
        <w:ind w:left="540" w:hanging="540"/>
        <w:jc w:val="both"/>
        <w:rPr>
          <w:rFonts w:ascii="Times New Roman" w:hAnsi="Times New Roman" w:cs="Times New Roman"/>
        </w:rPr>
      </w:pPr>
    </w:p>
    <w:p w14:paraId="2F79B936" w14:textId="77777777" w:rsidR="00D7644A" w:rsidRDefault="00E4228A" w:rsidP="001E5657">
      <w:pPr>
        <w:pStyle w:val="Default"/>
        <w:spacing w:after="20" w:line="360" w:lineRule="auto"/>
        <w:ind w:left="450" w:hanging="450"/>
        <w:jc w:val="both"/>
        <w:rPr>
          <w:rFonts w:ascii="Times New Roman" w:hAnsi="Times New Roman" w:cs="Times New Roman"/>
        </w:rPr>
      </w:pPr>
      <w:r>
        <w:rPr>
          <w:rFonts w:ascii="Times New Roman" w:hAnsi="Times New Roman" w:cs="Times New Roman"/>
        </w:rPr>
        <w:t>5</w:t>
      </w:r>
      <w:r w:rsidR="00D7644A" w:rsidRPr="00661465">
        <w:rPr>
          <w:rFonts w:ascii="Times New Roman" w:hAnsi="Times New Roman" w:cs="Times New Roman"/>
        </w:rPr>
        <w:t xml:space="preserve">.4. </w:t>
      </w:r>
      <w:r w:rsidR="005C3EFC" w:rsidRPr="00661465">
        <w:rPr>
          <w:rFonts w:ascii="Times New Roman" w:hAnsi="Times New Roman" w:cs="Times New Roman"/>
        </w:rPr>
        <w:t>The PMTE’s Small Harbours division to provide a fully updated report on proclaimed and unproclaimed small harbours in the country. The report should include development plan</w:t>
      </w:r>
      <w:r w:rsidR="000D1625">
        <w:rPr>
          <w:rFonts w:ascii="Times New Roman" w:hAnsi="Times New Roman" w:cs="Times New Roman"/>
        </w:rPr>
        <w:t xml:space="preserve">s for the Eastern Cape province, </w:t>
      </w:r>
      <w:r w:rsidR="005C3EFC" w:rsidRPr="00661465">
        <w:rPr>
          <w:rFonts w:ascii="Times New Roman" w:hAnsi="Times New Roman" w:cs="Times New Roman"/>
        </w:rPr>
        <w:t>specifically Port St Johns that was excluded in the presentation to the committee during the meetings on its APP and how it was getting itself calibrated for infrastructure development over the next five years.</w:t>
      </w:r>
    </w:p>
    <w:p w14:paraId="6BC3234F" w14:textId="77777777" w:rsidR="009374EB" w:rsidRPr="00661465" w:rsidRDefault="009374EB" w:rsidP="001E5657">
      <w:pPr>
        <w:pStyle w:val="Default"/>
        <w:spacing w:after="20" w:line="360" w:lineRule="auto"/>
        <w:ind w:left="450" w:hanging="450"/>
        <w:jc w:val="both"/>
        <w:rPr>
          <w:rFonts w:ascii="Times New Roman" w:hAnsi="Times New Roman" w:cs="Times New Roman"/>
        </w:rPr>
      </w:pPr>
    </w:p>
    <w:p w14:paraId="382E6D9C" w14:textId="77777777" w:rsidR="005C3EFC" w:rsidRDefault="00E4228A" w:rsidP="001E5657">
      <w:pPr>
        <w:pStyle w:val="Default"/>
        <w:spacing w:after="20" w:line="360" w:lineRule="auto"/>
        <w:ind w:left="450" w:hanging="450"/>
        <w:jc w:val="both"/>
        <w:rPr>
          <w:rFonts w:ascii="Times New Roman" w:hAnsi="Times New Roman" w:cs="Times New Roman"/>
        </w:rPr>
      </w:pPr>
      <w:r>
        <w:rPr>
          <w:rFonts w:ascii="Times New Roman" w:hAnsi="Times New Roman" w:cs="Times New Roman"/>
        </w:rPr>
        <w:t>5</w:t>
      </w:r>
      <w:r w:rsidR="005C3EFC" w:rsidRPr="00661465">
        <w:rPr>
          <w:rFonts w:ascii="Times New Roman" w:hAnsi="Times New Roman" w:cs="Times New Roman"/>
        </w:rPr>
        <w:t xml:space="preserve">.5. </w:t>
      </w:r>
      <w:r w:rsidR="00726656" w:rsidRPr="00661465">
        <w:rPr>
          <w:rFonts w:ascii="Times New Roman" w:hAnsi="Times New Roman" w:cs="Times New Roman"/>
        </w:rPr>
        <w:t>The PMTE, as part of the quarterly performance reports to the committee, to provide progress on its road to a clean audit that s</w:t>
      </w:r>
      <w:r w:rsidR="00320438">
        <w:rPr>
          <w:rFonts w:ascii="Times New Roman" w:hAnsi="Times New Roman" w:cs="Times New Roman"/>
        </w:rPr>
        <w:t>hows cost incurred for the roll-</w:t>
      </w:r>
      <w:r w:rsidR="00726656" w:rsidRPr="00661465">
        <w:rPr>
          <w:rFonts w:ascii="Times New Roman" w:hAnsi="Times New Roman" w:cs="Times New Roman"/>
        </w:rPr>
        <w:t>out of ARCHIBUS</w:t>
      </w:r>
      <w:r w:rsidR="008749F9">
        <w:rPr>
          <w:rStyle w:val="FootnoteReference"/>
          <w:rFonts w:ascii="Times New Roman" w:hAnsi="Times New Roman" w:cs="Times New Roman"/>
        </w:rPr>
        <w:footnoteReference w:id="59"/>
      </w:r>
      <w:r w:rsidR="00726656" w:rsidRPr="00661465">
        <w:rPr>
          <w:rFonts w:ascii="Times New Roman" w:hAnsi="Times New Roman" w:cs="Times New Roman"/>
        </w:rPr>
        <w:t>, and progress to retain built environment professionals that can trade, invest and unlock the value of government’ immovable asset portfolio.</w:t>
      </w:r>
    </w:p>
    <w:p w14:paraId="682FC054" w14:textId="77777777" w:rsidR="000D1625" w:rsidRPr="00661465" w:rsidRDefault="000D1625" w:rsidP="001E5657">
      <w:pPr>
        <w:pStyle w:val="Default"/>
        <w:spacing w:after="20" w:line="360" w:lineRule="auto"/>
        <w:ind w:left="450" w:hanging="450"/>
        <w:jc w:val="both"/>
        <w:rPr>
          <w:rFonts w:ascii="Times New Roman" w:hAnsi="Times New Roman" w:cs="Times New Roman"/>
        </w:rPr>
      </w:pPr>
    </w:p>
    <w:p w14:paraId="0AF23B5F" w14:textId="77777777" w:rsidR="00726656" w:rsidRPr="00661465" w:rsidRDefault="00E4228A" w:rsidP="001E5657">
      <w:pPr>
        <w:pStyle w:val="Default"/>
        <w:spacing w:after="20" w:line="360" w:lineRule="auto"/>
        <w:ind w:left="450" w:hanging="450"/>
        <w:jc w:val="both"/>
        <w:rPr>
          <w:rFonts w:ascii="Times New Roman" w:hAnsi="Times New Roman" w:cs="Times New Roman"/>
        </w:rPr>
      </w:pPr>
      <w:r>
        <w:rPr>
          <w:rFonts w:ascii="Times New Roman" w:hAnsi="Times New Roman" w:cs="Times New Roman"/>
        </w:rPr>
        <w:t>5</w:t>
      </w:r>
      <w:r w:rsidR="00BB7D9E" w:rsidRPr="00661465">
        <w:rPr>
          <w:rFonts w:ascii="Times New Roman" w:hAnsi="Times New Roman" w:cs="Times New Roman"/>
        </w:rPr>
        <w:t xml:space="preserve">.6. The DPWI and PMTE to report on land that is available to transform the unequal and skewed social infrastructure status of each village, town, and city in the country. The report to include </w:t>
      </w:r>
      <w:r w:rsidR="00774517" w:rsidRPr="00661465">
        <w:rPr>
          <w:rFonts w:ascii="Times New Roman" w:hAnsi="Times New Roman" w:cs="Times New Roman"/>
        </w:rPr>
        <w:t>progress made to play a coordinating infrastructure role</w:t>
      </w:r>
      <w:r w:rsidR="000B3873">
        <w:rPr>
          <w:rFonts w:ascii="Times New Roman" w:hAnsi="Times New Roman" w:cs="Times New Roman"/>
        </w:rPr>
        <w:t xml:space="preserve"> in municipalities</w:t>
      </w:r>
      <w:r w:rsidR="00774517" w:rsidRPr="00661465">
        <w:rPr>
          <w:rFonts w:ascii="Times New Roman" w:hAnsi="Times New Roman" w:cs="Times New Roman"/>
        </w:rPr>
        <w:t xml:space="preserve"> through the IDMS.</w:t>
      </w:r>
    </w:p>
    <w:p w14:paraId="09DC71B9" w14:textId="77777777" w:rsidR="000D1625" w:rsidRDefault="000D1625" w:rsidP="001E5657">
      <w:pPr>
        <w:pStyle w:val="Default"/>
        <w:spacing w:after="20" w:line="360" w:lineRule="auto"/>
        <w:ind w:left="450" w:hanging="360"/>
        <w:jc w:val="both"/>
        <w:rPr>
          <w:rFonts w:ascii="Times New Roman" w:hAnsi="Times New Roman" w:cs="Times New Roman"/>
        </w:rPr>
      </w:pPr>
    </w:p>
    <w:p w14:paraId="69038140" w14:textId="77777777" w:rsidR="00747D54" w:rsidRPr="00661465" w:rsidRDefault="00E4228A" w:rsidP="001E5657">
      <w:pPr>
        <w:pStyle w:val="Default"/>
        <w:spacing w:after="20" w:line="360" w:lineRule="auto"/>
        <w:ind w:left="450" w:hanging="360"/>
        <w:jc w:val="both"/>
        <w:rPr>
          <w:rFonts w:ascii="Times New Roman" w:hAnsi="Times New Roman" w:cs="Times New Roman"/>
        </w:rPr>
      </w:pPr>
      <w:r>
        <w:rPr>
          <w:rFonts w:ascii="Times New Roman" w:hAnsi="Times New Roman" w:cs="Times New Roman"/>
        </w:rPr>
        <w:t>5</w:t>
      </w:r>
      <w:r w:rsidR="00747D54" w:rsidRPr="00661465">
        <w:rPr>
          <w:rFonts w:ascii="Times New Roman" w:hAnsi="Times New Roman" w:cs="Times New Roman"/>
        </w:rPr>
        <w:t xml:space="preserve">.7. A full update on progress on the </w:t>
      </w:r>
      <w:r w:rsidR="00747D54" w:rsidRPr="00661465">
        <w:rPr>
          <w:rFonts w:ascii="Times New Roman" w:hAnsi="Times New Roman" w:cs="Times New Roman"/>
          <w:color w:val="auto"/>
        </w:rPr>
        <w:t xml:space="preserve">Public Works Academy that is planned to be set up </w:t>
      </w:r>
      <w:r w:rsidR="00747D54" w:rsidRPr="00661465">
        <w:rPr>
          <w:rFonts w:ascii="Times New Roman" w:hAnsi="Times New Roman" w:cs="Times New Roman"/>
        </w:rPr>
        <w:t>with the South African Property Association (</w:t>
      </w:r>
      <w:r w:rsidR="00747D54" w:rsidRPr="00661465">
        <w:rPr>
          <w:rFonts w:ascii="Times New Roman" w:hAnsi="Times New Roman" w:cs="Times New Roman"/>
          <w:color w:val="auto"/>
        </w:rPr>
        <w:t>SAPOA</w:t>
      </w:r>
      <w:r w:rsidR="00747D54" w:rsidRPr="00661465">
        <w:rPr>
          <w:rFonts w:ascii="Times New Roman" w:hAnsi="Times New Roman" w:cs="Times New Roman"/>
        </w:rPr>
        <w:t>) to capacitate</w:t>
      </w:r>
      <w:r w:rsidR="00747D54" w:rsidRPr="00661465">
        <w:rPr>
          <w:rFonts w:ascii="Times New Roman" w:hAnsi="Times New Roman" w:cs="Times New Roman"/>
          <w:color w:val="auto"/>
        </w:rPr>
        <w:t xml:space="preserve"> the PMTE</w:t>
      </w:r>
      <w:r w:rsidR="00747D54" w:rsidRPr="00661465">
        <w:rPr>
          <w:rFonts w:ascii="Times New Roman" w:hAnsi="Times New Roman" w:cs="Times New Roman"/>
        </w:rPr>
        <w:t xml:space="preserve"> as part of a capacitating attempt to unlock the value of the immovable asset portfolio.</w:t>
      </w:r>
    </w:p>
    <w:p w14:paraId="4682532F" w14:textId="77777777" w:rsidR="000D1625" w:rsidRDefault="000D1625" w:rsidP="000D1625">
      <w:pPr>
        <w:pStyle w:val="Default"/>
        <w:spacing w:after="20" w:line="360" w:lineRule="auto"/>
        <w:ind w:left="450" w:hanging="450"/>
        <w:jc w:val="both"/>
        <w:rPr>
          <w:rFonts w:ascii="Times New Roman" w:hAnsi="Times New Roman" w:cs="Times New Roman"/>
          <w:spacing w:val="6"/>
          <w:lang w:val="en-GB" w:eastAsia="en-GB"/>
        </w:rPr>
      </w:pPr>
    </w:p>
    <w:p w14:paraId="10BE113D" w14:textId="77777777" w:rsidR="00E72584" w:rsidRPr="00661465" w:rsidRDefault="00E4228A" w:rsidP="000D1625">
      <w:pPr>
        <w:pStyle w:val="Default"/>
        <w:spacing w:after="20" w:line="360" w:lineRule="auto"/>
        <w:ind w:left="450" w:hanging="450"/>
        <w:jc w:val="both"/>
        <w:rPr>
          <w:rFonts w:ascii="Times New Roman" w:hAnsi="Times New Roman" w:cs="Times New Roman"/>
          <w:spacing w:val="6"/>
          <w:lang w:val="en-GB" w:eastAsia="en-GB"/>
        </w:rPr>
      </w:pPr>
      <w:r>
        <w:rPr>
          <w:rFonts w:ascii="Times New Roman" w:hAnsi="Times New Roman" w:cs="Times New Roman"/>
          <w:spacing w:val="6"/>
          <w:lang w:val="en-GB" w:eastAsia="en-GB"/>
        </w:rPr>
        <w:t>5</w:t>
      </w:r>
      <w:r w:rsidR="00523D25" w:rsidRPr="00661465">
        <w:rPr>
          <w:rFonts w:ascii="Times New Roman" w:hAnsi="Times New Roman" w:cs="Times New Roman"/>
          <w:spacing w:val="6"/>
          <w:lang w:val="en-GB" w:eastAsia="en-GB"/>
        </w:rPr>
        <w:t>.</w:t>
      </w:r>
      <w:r w:rsidR="00E72584" w:rsidRPr="00661465">
        <w:rPr>
          <w:rFonts w:ascii="Times New Roman" w:hAnsi="Times New Roman" w:cs="Times New Roman"/>
          <w:spacing w:val="6"/>
          <w:lang w:val="en-GB" w:eastAsia="en-GB"/>
        </w:rPr>
        <w:t>8</w:t>
      </w:r>
      <w:r w:rsidR="00523D25" w:rsidRPr="00661465">
        <w:rPr>
          <w:rFonts w:ascii="Times New Roman" w:hAnsi="Times New Roman" w:cs="Times New Roman"/>
          <w:spacing w:val="6"/>
          <w:lang w:val="en-GB" w:eastAsia="en-GB"/>
        </w:rPr>
        <w:t xml:space="preserve">. </w:t>
      </w:r>
      <w:r w:rsidR="00E72584" w:rsidRPr="00661465">
        <w:rPr>
          <w:rFonts w:ascii="Times New Roman" w:hAnsi="Times New Roman" w:cs="Times New Roman"/>
          <w:spacing w:val="6"/>
          <w:lang w:val="en-GB" w:eastAsia="en-GB"/>
        </w:rPr>
        <w:t>A report on leases that shows cost incurred to the private sector, client departments that do not pay on time, legal costs to recover outstanding debt from client departments, and government’s debt to municipalities for rates and services.</w:t>
      </w:r>
      <w:r w:rsidR="00D81E30">
        <w:rPr>
          <w:rFonts w:ascii="Times New Roman" w:hAnsi="Times New Roman" w:cs="Times New Roman"/>
          <w:spacing w:val="6"/>
          <w:lang w:val="en-GB" w:eastAsia="en-GB"/>
        </w:rPr>
        <w:t xml:space="preserve"> The report to include a list of the buildings and where they are situated on the IAR. </w:t>
      </w:r>
    </w:p>
    <w:p w14:paraId="66A7F87F" w14:textId="77777777" w:rsidR="000D1625" w:rsidRDefault="000D1625" w:rsidP="000D1625">
      <w:pPr>
        <w:pStyle w:val="Default"/>
        <w:spacing w:after="20" w:line="360" w:lineRule="auto"/>
        <w:ind w:left="450" w:hanging="450"/>
        <w:jc w:val="both"/>
        <w:rPr>
          <w:rFonts w:ascii="Times New Roman" w:hAnsi="Times New Roman" w:cs="Times New Roman"/>
          <w:spacing w:val="6"/>
          <w:lang w:val="en-GB" w:eastAsia="en-GB"/>
        </w:rPr>
      </w:pPr>
    </w:p>
    <w:p w14:paraId="54F507D6" w14:textId="77777777" w:rsidR="000D1625" w:rsidRDefault="00E4228A" w:rsidP="005A65D1">
      <w:pPr>
        <w:pStyle w:val="Default"/>
        <w:tabs>
          <w:tab w:val="left" w:pos="426"/>
        </w:tabs>
        <w:spacing w:after="20" w:line="360" w:lineRule="auto"/>
        <w:ind w:left="360" w:hanging="360"/>
        <w:jc w:val="both"/>
        <w:rPr>
          <w:rFonts w:ascii="Times New Roman" w:hAnsi="Times New Roman" w:cs="Times New Roman"/>
          <w:spacing w:val="6"/>
          <w:lang w:val="en-GB" w:eastAsia="en-GB"/>
        </w:rPr>
      </w:pPr>
      <w:r>
        <w:rPr>
          <w:rFonts w:ascii="Times New Roman" w:hAnsi="Times New Roman" w:cs="Times New Roman"/>
          <w:spacing w:val="6"/>
          <w:lang w:val="en-GB" w:eastAsia="en-GB"/>
        </w:rPr>
        <w:t>5</w:t>
      </w:r>
      <w:r w:rsidR="005A65D1">
        <w:rPr>
          <w:rFonts w:ascii="Times New Roman" w:hAnsi="Times New Roman" w:cs="Times New Roman"/>
          <w:spacing w:val="6"/>
          <w:lang w:val="en-GB" w:eastAsia="en-GB"/>
        </w:rPr>
        <w:t>.9.</w:t>
      </w:r>
      <w:r w:rsidR="005A65D1">
        <w:rPr>
          <w:rFonts w:ascii="Times New Roman" w:hAnsi="Times New Roman" w:cs="Times New Roman"/>
          <w:spacing w:val="6"/>
          <w:lang w:val="en-GB" w:eastAsia="en-GB"/>
        </w:rPr>
        <w:tab/>
      </w:r>
      <w:r w:rsidR="00523D25" w:rsidRPr="00661465">
        <w:rPr>
          <w:rFonts w:ascii="Times New Roman" w:hAnsi="Times New Roman" w:cs="Times New Roman"/>
          <w:spacing w:val="6"/>
          <w:lang w:val="en-GB" w:eastAsia="en-GB"/>
        </w:rPr>
        <w:t>The IDT to report on a quarterly basis on efforts to collect outstanding debt, return to the status of a running concern, and the consequence plan to get an improved audit opinion from the Auditor-General.</w:t>
      </w:r>
    </w:p>
    <w:p w14:paraId="573A8591" w14:textId="77777777" w:rsidR="00A07E61" w:rsidRDefault="00A07E61" w:rsidP="005A65D1">
      <w:pPr>
        <w:pStyle w:val="Default"/>
        <w:tabs>
          <w:tab w:val="left" w:pos="426"/>
        </w:tabs>
        <w:spacing w:after="20" w:line="360" w:lineRule="auto"/>
        <w:ind w:left="360" w:hanging="360"/>
        <w:jc w:val="both"/>
        <w:rPr>
          <w:rFonts w:ascii="Times New Roman" w:hAnsi="Times New Roman" w:cs="Times New Roman"/>
          <w:spacing w:val="6"/>
          <w:lang w:val="en-GB" w:eastAsia="en-GB"/>
        </w:rPr>
      </w:pPr>
    </w:p>
    <w:p w14:paraId="7B22E9EF" w14:textId="77777777" w:rsidR="00A07E61" w:rsidRDefault="00E4228A" w:rsidP="005A65D1">
      <w:pPr>
        <w:pStyle w:val="Default"/>
        <w:tabs>
          <w:tab w:val="left" w:pos="426"/>
        </w:tabs>
        <w:spacing w:after="20" w:line="360" w:lineRule="auto"/>
        <w:ind w:left="360" w:hanging="360"/>
        <w:jc w:val="both"/>
        <w:rPr>
          <w:rFonts w:ascii="Times New Roman" w:hAnsi="Times New Roman" w:cs="Times New Roman"/>
          <w:spacing w:val="6"/>
          <w:lang w:val="en-GB" w:eastAsia="en-GB"/>
        </w:rPr>
      </w:pPr>
      <w:r>
        <w:rPr>
          <w:rFonts w:ascii="Times New Roman" w:hAnsi="Times New Roman" w:cs="Times New Roman"/>
          <w:spacing w:val="6"/>
          <w:lang w:val="en-GB" w:eastAsia="en-GB"/>
        </w:rPr>
        <w:t>5</w:t>
      </w:r>
      <w:r w:rsidR="00A07E61">
        <w:rPr>
          <w:rFonts w:ascii="Times New Roman" w:hAnsi="Times New Roman" w:cs="Times New Roman"/>
          <w:spacing w:val="6"/>
          <w:lang w:val="en-GB" w:eastAsia="en-GB"/>
        </w:rPr>
        <w:t xml:space="preserve">.10. </w:t>
      </w:r>
      <w:r w:rsidR="003D00DC">
        <w:rPr>
          <w:rFonts w:ascii="Times New Roman" w:hAnsi="Times New Roman" w:cs="Times New Roman"/>
          <w:spacing w:val="6"/>
          <w:lang w:val="en-GB" w:eastAsia="en-GB"/>
        </w:rPr>
        <w:t>The DPWI and the PMTE to report on the number of properties in</w:t>
      </w:r>
      <w:r w:rsidR="002D5BAC">
        <w:rPr>
          <w:rFonts w:ascii="Times New Roman" w:hAnsi="Times New Roman" w:cs="Times New Roman"/>
          <w:spacing w:val="6"/>
          <w:lang w:val="en-GB" w:eastAsia="en-GB"/>
        </w:rPr>
        <w:t xml:space="preserve"> </w:t>
      </w:r>
      <w:r w:rsidR="003D00DC">
        <w:rPr>
          <w:rFonts w:ascii="Times New Roman" w:hAnsi="Times New Roman" w:cs="Times New Roman"/>
          <w:spacing w:val="6"/>
          <w:lang w:val="en-GB" w:eastAsia="en-GB"/>
        </w:rPr>
        <w:t xml:space="preserve">foreign countries. </w:t>
      </w:r>
    </w:p>
    <w:p w14:paraId="05756300" w14:textId="77777777" w:rsidR="000D1625" w:rsidRDefault="000D1625" w:rsidP="000D1625">
      <w:pPr>
        <w:pStyle w:val="Default"/>
        <w:spacing w:after="20" w:line="360" w:lineRule="auto"/>
        <w:ind w:left="360"/>
        <w:jc w:val="both"/>
        <w:rPr>
          <w:rFonts w:ascii="Times New Roman" w:hAnsi="Times New Roman" w:cs="Times New Roman"/>
          <w:spacing w:val="6"/>
          <w:lang w:val="en-GB" w:eastAsia="en-GB"/>
        </w:rPr>
      </w:pPr>
    </w:p>
    <w:p w14:paraId="03639D24" w14:textId="77777777" w:rsidR="00523D25" w:rsidRPr="00661465" w:rsidRDefault="000D1625" w:rsidP="000D1625">
      <w:pPr>
        <w:pStyle w:val="Default"/>
        <w:spacing w:after="20" w:line="360" w:lineRule="auto"/>
        <w:ind w:left="360"/>
        <w:jc w:val="both"/>
        <w:rPr>
          <w:rFonts w:ascii="Times New Roman" w:hAnsi="Times New Roman" w:cs="Times New Roman"/>
        </w:rPr>
      </w:pPr>
      <w:r>
        <w:rPr>
          <w:rFonts w:ascii="Times New Roman" w:hAnsi="Times New Roman" w:cs="Times New Roman"/>
          <w:spacing w:val="6"/>
          <w:lang w:val="en-GB" w:eastAsia="en-GB"/>
        </w:rPr>
        <w:t xml:space="preserve"> Report to be considered.</w:t>
      </w:r>
    </w:p>
    <w:sectPr w:rsidR="00523D25" w:rsidRPr="006614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5D8E" w14:textId="77777777" w:rsidR="006C79D0" w:rsidRDefault="006C79D0" w:rsidP="00380ED0">
      <w:pPr>
        <w:spacing w:after="0" w:line="240" w:lineRule="auto"/>
      </w:pPr>
      <w:r>
        <w:separator/>
      </w:r>
    </w:p>
  </w:endnote>
  <w:endnote w:type="continuationSeparator" w:id="0">
    <w:p w14:paraId="0C3E9920" w14:textId="77777777" w:rsidR="006C79D0" w:rsidRDefault="006C79D0" w:rsidP="0038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90819"/>
      <w:docPartObj>
        <w:docPartGallery w:val="Page Numbers (Bottom of Page)"/>
        <w:docPartUnique/>
      </w:docPartObj>
    </w:sdtPr>
    <w:sdtEndPr>
      <w:rPr>
        <w:noProof/>
      </w:rPr>
    </w:sdtEndPr>
    <w:sdtContent>
      <w:p w14:paraId="064C2906" w14:textId="77777777" w:rsidR="00F12443" w:rsidRDefault="00F12443">
        <w:pPr>
          <w:pStyle w:val="Footer"/>
          <w:jc w:val="right"/>
        </w:pPr>
        <w:r>
          <w:fldChar w:fldCharType="begin"/>
        </w:r>
        <w:r>
          <w:instrText xml:space="preserve"> PAGE   \* MERGEFORMAT </w:instrText>
        </w:r>
        <w:r>
          <w:fldChar w:fldCharType="separate"/>
        </w:r>
        <w:r w:rsidR="00574E78">
          <w:rPr>
            <w:noProof/>
          </w:rPr>
          <w:t>1</w:t>
        </w:r>
        <w:r>
          <w:rPr>
            <w:noProof/>
          </w:rPr>
          <w:fldChar w:fldCharType="end"/>
        </w:r>
      </w:p>
    </w:sdtContent>
  </w:sdt>
  <w:p w14:paraId="32CE755E" w14:textId="77777777" w:rsidR="00F12443" w:rsidRDefault="00F1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5528" w14:textId="77777777" w:rsidR="006C79D0" w:rsidRDefault="006C79D0" w:rsidP="00380ED0">
      <w:pPr>
        <w:spacing w:after="0" w:line="240" w:lineRule="auto"/>
      </w:pPr>
      <w:r>
        <w:separator/>
      </w:r>
    </w:p>
  </w:footnote>
  <w:footnote w:type="continuationSeparator" w:id="0">
    <w:p w14:paraId="59413BF1" w14:textId="77777777" w:rsidR="006C79D0" w:rsidRDefault="006C79D0" w:rsidP="00380ED0">
      <w:pPr>
        <w:spacing w:after="0" w:line="240" w:lineRule="auto"/>
      </w:pPr>
      <w:r>
        <w:continuationSeparator/>
      </w:r>
    </w:p>
  </w:footnote>
  <w:footnote w:id="1">
    <w:p w14:paraId="52AA1BBD" w14:textId="77777777" w:rsidR="00F12443" w:rsidRPr="00FE5AF6" w:rsidRDefault="00F12443">
      <w:pPr>
        <w:pStyle w:val="FootnoteText"/>
        <w:rPr>
          <w:lang w:val="en-ZA"/>
        </w:rPr>
      </w:pPr>
      <w:r>
        <w:rPr>
          <w:rStyle w:val="FootnoteReference"/>
        </w:rPr>
        <w:footnoteRef/>
      </w:r>
      <w:r>
        <w:t xml:space="preserve"> </w:t>
      </w:r>
      <w:r>
        <w:rPr>
          <w:lang w:val="en-ZA"/>
        </w:rPr>
        <w:t>We place this in brackets here, as the budgetary allocations and functions for this deliverable has not yet been transferred. The report speaks to the matter in more detail.</w:t>
      </w:r>
    </w:p>
  </w:footnote>
  <w:footnote w:id="2">
    <w:p w14:paraId="62F6FC19" w14:textId="77777777" w:rsidR="00F12443" w:rsidRPr="00245B2D" w:rsidRDefault="00F12443">
      <w:pPr>
        <w:pStyle w:val="FootnoteText"/>
        <w:rPr>
          <w:sz w:val="18"/>
          <w:szCs w:val="18"/>
          <w:lang w:val="en-ZA"/>
        </w:rPr>
      </w:pPr>
      <w:r w:rsidRPr="00245B2D">
        <w:rPr>
          <w:rStyle w:val="FootnoteReference"/>
          <w:sz w:val="18"/>
          <w:szCs w:val="18"/>
        </w:rPr>
        <w:footnoteRef/>
      </w:r>
      <w:r w:rsidRPr="00245B2D">
        <w:rPr>
          <w:sz w:val="18"/>
          <w:szCs w:val="18"/>
        </w:rPr>
        <w:t xml:space="preserve"> </w:t>
      </w:r>
      <w:r w:rsidRPr="00245B2D">
        <w:rPr>
          <w:sz w:val="18"/>
          <w:szCs w:val="18"/>
          <w:lang w:val="en-ZA"/>
        </w:rPr>
        <w:t xml:space="preserve">GIAMA, 2007, Section 3, </w:t>
      </w:r>
      <w:r w:rsidRPr="00245B2D">
        <w:rPr>
          <w:b/>
          <w:sz w:val="18"/>
          <w:szCs w:val="18"/>
          <w:lang w:val="en-ZA"/>
        </w:rPr>
        <w:t>Objects of the Act</w:t>
      </w:r>
      <w:r w:rsidRPr="00245B2D">
        <w:rPr>
          <w:sz w:val="18"/>
          <w:szCs w:val="18"/>
          <w:lang w:val="en-ZA"/>
        </w:rPr>
        <w:t>.</w:t>
      </w:r>
    </w:p>
  </w:footnote>
  <w:footnote w:id="3">
    <w:p w14:paraId="38322E23" w14:textId="77777777" w:rsidR="00F12443" w:rsidRPr="00245B2D" w:rsidRDefault="00F12443">
      <w:pPr>
        <w:pStyle w:val="FootnoteText"/>
        <w:rPr>
          <w:sz w:val="18"/>
          <w:szCs w:val="18"/>
          <w:lang w:val="en-ZA"/>
        </w:rPr>
      </w:pPr>
      <w:r w:rsidRPr="00245B2D">
        <w:rPr>
          <w:rStyle w:val="FootnoteReference"/>
          <w:sz w:val="18"/>
          <w:szCs w:val="18"/>
        </w:rPr>
        <w:footnoteRef/>
      </w:r>
      <w:r w:rsidRPr="00245B2D">
        <w:rPr>
          <w:sz w:val="18"/>
          <w:szCs w:val="18"/>
        </w:rPr>
        <w:t xml:space="preserve"> </w:t>
      </w:r>
      <w:r w:rsidRPr="00245B2D">
        <w:rPr>
          <w:sz w:val="18"/>
          <w:szCs w:val="18"/>
          <w:lang w:val="en-ZA"/>
        </w:rPr>
        <w:t xml:space="preserve">GIAMA, 2007, Section 1, </w:t>
      </w:r>
      <w:r w:rsidRPr="00245B2D">
        <w:rPr>
          <w:b/>
          <w:sz w:val="18"/>
          <w:szCs w:val="18"/>
          <w:lang w:val="en-ZA"/>
        </w:rPr>
        <w:t>Definitions</w:t>
      </w:r>
      <w:r w:rsidRPr="00245B2D">
        <w:rPr>
          <w:sz w:val="18"/>
          <w:szCs w:val="18"/>
          <w:lang w:val="en-ZA"/>
        </w:rPr>
        <w:t>.</w:t>
      </w:r>
    </w:p>
  </w:footnote>
  <w:footnote w:id="4">
    <w:p w14:paraId="7820D37F" w14:textId="77777777" w:rsidR="00F12443" w:rsidRPr="00245B2D" w:rsidRDefault="00F12443">
      <w:pPr>
        <w:pStyle w:val="FootnoteText"/>
        <w:rPr>
          <w:sz w:val="18"/>
          <w:szCs w:val="18"/>
          <w:lang w:val="en-ZA"/>
        </w:rPr>
      </w:pPr>
      <w:r w:rsidRPr="00245B2D">
        <w:rPr>
          <w:rStyle w:val="FootnoteReference"/>
          <w:sz w:val="18"/>
          <w:szCs w:val="18"/>
        </w:rPr>
        <w:footnoteRef/>
      </w:r>
      <w:r w:rsidRPr="00245B2D">
        <w:rPr>
          <w:sz w:val="18"/>
          <w:szCs w:val="18"/>
        </w:rPr>
        <w:t xml:space="preserve"> </w:t>
      </w:r>
      <w:r w:rsidRPr="00245B2D">
        <w:rPr>
          <w:sz w:val="18"/>
          <w:szCs w:val="18"/>
          <w:lang w:val="en-ZA"/>
        </w:rPr>
        <w:t xml:space="preserve">GIAMA, 2007, Section 5, </w:t>
      </w:r>
      <w:r w:rsidRPr="00245B2D">
        <w:rPr>
          <w:b/>
          <w:sz w:val="18"/>
          <w:szCs w:val="18"/>
          <w:lang w:val="en-ZA"/>
        </w:rPr>
        <w:t>Principles of Immovable Asset Management</w:t>
      </w:r>
      <w:r w:rsidRPr="00245B2D">
        <w:rPr>
          <w:sz w:val="18"/>
          <w:szCs w:val="18"/>
          <w:lang w:val="en-ZA"/>
        </w:rPr>
        <w:t>.</w:t>
      </w:r>
    </w:p>
  </w:footnote>
  <w:footnote w:id="5">
    <w:p w14:paraId="1E5EA6BA" w14:textId="77777777" w:rsidR="00F12443" w:rsidRPr="00245B2D" w:rsidRDefault="00F12443">
      <w:pPr>
        <w:pStyle w:val="FootnoteText"/>
        <w:rPr>
          <w:sz w:val="18"/>
          <w:szCs w:val="18"/>
          <w:lang w:val="en-ZA"/>
        </w:rPr>
      </w:pPr>
      <w:r w:rsidRPr="00245B2D">
        <w:rPr>
          <w:rStyle w:val="FootnoteReference"/>
          <w:sz w:val="18"/>
          <w:szCs w:val="18"/>
        </w:rPr>
        <w:footnoteRef/>
      </w:r>
      <w:r w:rsidRPr="00245B2D">
        <w:rPr>
          <w:sz w:val="18"/>
          <w:szCs w:val="18"/>
        </w:rPr>
        <w:t xml:space="preserve"> </w:t>
      </w:r>
      <w:r w:rsidRPr="00245B2D">
        <w:rPr>
          <w:sz w:val="18"/>
          <w:szCs w:val="18"/>
          <w:lang w:val="en-ZA"/>
        </w:rPr>
        <w:t xml:space="preserve">GIAMA, 2007, Section 1, </w:t>
      </w:r>
      <w:r w:rsidRPr="00245B2D">
        <w:rPr>
          <w:b/>
          <w:sz w:val="18"/>
          <w:szCs w:val="18"/>
          <w:lang w:val="en-ZA"/>
        </w:rPr>
        <w:t>Definitions</w:t>
      </w:r>
      <w:r w:rsidRPr="00245B2D">
        <w:rPr>
          <w:sz w:val="18"/>
          <w:szCs w:val="18"/>
          <w:lang w:val="en-ZA"/>
        </w:rPr>
        <w:t>.</w:t>
      </w:r>
    </w:p>
  </w:footnote>
  <w:footnote w:id="6">
    <w:p w14:paraId="302EDD27" w14:textId="77777777" w:rsidR="00F12443" w:rsidRPr="00A34AF1" w:rsidRDefault="00F12443" w:rsidP="00A34AF1">
      <w:pPr>
        <w:pStyle w:val="FootnoteText"/>
        <w:rPr>
          <w:sz w:val="18"/>
          <w:szCs w:val="18"/>
          <w:lang w:val="en-ZA"/>
        </w:rPr>
      </w:pPr>
      <w:r w:rsidRPr="00A34AF1">
        <w:rPr>
          <w:rStyle w:val="FootnoteReference"/>
          <w:sz w:val="18"/>
          <w:szCs w:val="18"/>
        </w:rPr>
        <w:footnoteRef/>
      </w:r>
      <w:r w:rsidRPr="00A34AF1">
        <w:rPr>
          <w:sz w:val="18"/>
          <w:szCs w:val="18"/>
        </w:rPr>
        <w:t xml:space="preserve"> </w:t>
      </w:r>
      <w:r w:rsidRPr="00A34AF1">
        <w:rPr>
          <w:sz w:val="18"/>
          <w:szCs w:val="18"/>
          <w:lang w:val="en-ZA"/>
        </w:rPr>
        <w:t>DPW White Paper: Public Works, Towards the 21st Century, 1997</w:t>
      </w:r>
      <w:r>
        <w:rPr>
          <w:sz w:val="18"/>
          <w:szCs w:val="18"/>
          <w:lang w:val="en-ZA"/>
        </w:rPr>
        <w:t>.</w:t>
      </w:r>
    </w:p>
    <w:p w14:paraId="10E6E1C2" w14:textId="77777777" w:rsidR="00F12443" w:rsidRDefault="00F12443">
      <w:pPr>
        <w:pStyle w:val="FootnoteText"/>
        <w:rPr>
          <w:sz w:val="18"/>
          <w:szCs w:val="18"/>
        </w:rPr>
      </w:pPr>
      <w:r>
        <w:rPr>
          <w:sz w:val="18"/>
          <w:szCs w:val="18"/>
        </w:rPr>
        <w:t xml:space="preserve">  </w:t>
      </w:r>
      <w:r w:rsidRPr="00A34AF1">
        <w:rPr>
          <w:sz w:val="18"/>
          <w:szCs w:val="18"/>
        </w:rPr>
        <w:t>DPW White Paper: Creating an Enabling Environment for Reconstruction, Growth and Development in the Construction</w:t>
      </w:r>
    </w:p>
    <w:p w14:paraId="046F98FC" w14:textId="77777777" w:rsidR="00F12443" w:rsidRPr="00A34AF1" w:rsidRDefault="00F12443">
      <w:pPr>
        <w:pStyle w:val="FootnoteText"/>
        <w:rPr>
          <w:lang w:val="en-ZA"/>
        </w:rPr>
      </w:pPr>
      <w:r>
        <w:rPr>
          <w:sz w:val="18"/>
          <w:szCs w:val="18"/>
        </w:rPr>
        <w:t xml:space="preserve">  </w:t>
      </w:r>
      <w:r w:rsidRPr="00A34AF1">
        <w:rPr>
          <w:sz w:val="18"/>
          <w:szCs w:val="18"/>
        </w:rPr>
        <w:t>Industry, 1999</w:t>
      </w:r>
      <w:r>
        <w:rPr>
          <w:sz w:val="18"/>
          <w:szCs w:val="18"/>
        </w:rPr>
        <w:t>.</w:t>
      </w:r>
    </w:p>
  </w:footnote>
  <w:footnote w:id="7">
    <w:p w14:paraId="484CB64A" w14:textId="77777777" w:rsidR="00F12443" w:rsidRPr="00004CCC" w:rsidRDefault="00F12443" w:rsidP="00D34A14">
      <w:pPr>
        <w:autoSpaceDE w:val="0"/>
        <w:autoSpaceDN w:val="0"/>
        <w:adjustRightInd w:val="0"/>
        <w:spacing w:after="0" w:line="240" w:lineRule="auto"/>
        <w:rPr>
          <w:rFonts w:ascii="Times New Roman" w:hAnsi="Times New Roman" w:cs="Times New Roman"/>
          <w:sz w:val="18"/>
          <w:szCs w:val="18"/>
        </w:rPr>
      </w:pPr>
      <w:r w:rsidRPr="00004CCC">
        <w:rPr>
          <w:rStyle w:val="FootnoteReference"/>
          <w:rFonts w:ascii="Times New Roman" w:hAnsi="Times New Roman" w:cs="Times New Roman"/>
          <w:sz w:val="18"/>
          <w:szCs w:val="18"/>
        </w:rPr>
        <w:footnoteRef/>
      </w:r>
      <w:r w:rsidRPr="00004CCC">
        <w:rPr>
          <w:rFonts w:ascii="Times New Roman" w:hAnsi="Times New Roman" w:cs="Times New Roman"/>
          <w:sz w:val="18"/>
          <w:szCs w:val="18"/>
        </w:rPr>
        <w:t xml:space="preserve">Overcoming Poverty and Inequality - An Assessment of Drivers, Constraints and Opportunities, 2018, International Bank for </w:t>
      </w:r>
      <w:r>
        <w:rPr>
          <w:rFonts w:ascii="Times New Roman" w:hAnsi="Times New Roman" w:cs="Times New Roman"/>
          <w:sz w:val="18"/>
          <w:szCs w:val="18"/>
        </w:rPr>
        <w:t>Reconstruction and Development/</w:t>
      </w:r>
      <w:r w:rsidRPr="00004CCC">
        <w:rPr>
          <w:rFonts w:ascii="Times New Roman" w:hAnsi="Times New Roman" w:cs="Times New Roman"/>
          <w:sz w:val="18"/>
          <w:szCs w:val="18"/>
        </w:rPr>
        <w:t>The World Bank</w:t>
      </w:r>
      <w:r>
        <w:rPr>
          <w:rFonts w:ascii="Times New Roman" w:hAnsi="Times New Roman" w:cs="Times New Roman"/>
          <w:sz w:val="18"/>
          <w:szCs w:val="18"/>
        </w:rPr>
        <w:t>.</w:t>
      </w:r>
      <w:r w:rsidRPr="00004CCC">
        <w:rPr>
          <w:rFonts w:ascii="Times New Roman" w:hAnsi="Times New Roman" w:cs="Times New Roman"/>
          <w:sz w:val="18"/>
          <w:szCs w:val="18"/>
        </w:rPr>
        <w:t xml:space="preserve">  </w:t>
      </w:r>
    </w:p>
  </w:footnote>
  <w:footnote w:id="8">
    <w:p w14:paraId="41FA1E4F" w14:textId="77777777" w:rsidR="00F12443" w:rsidRPr="001F6FE5" w:rsidRDefault="00F12443" w:rsidP="00380ED0">
      <w:pPr>
        <w:pStyle w:val="FootnoteText"/>
        <w:spacing w:line="240" w:lineRule="exact"/>
        <w:jc w:val="both"/>
        <w:rPr>
          <w:sz w:val="18"/>
          <w:szCs w:val="18"/>
          <w:lang w:val="en-GB"/>
        </w:rPr>
      </w:pPr>
      <w:r w:rsidRPr="001F6FE5">
        <w:rPr>
          <w:rStyle w:val="FootnoteReference"/>
          <w:sz w:val="18"/>
          <w:szCs w:val="18"/>
          <w:lang w:val="en-GB"/>
        </w:rPr>
        <w:footnoteRef/>
      </w:r>
      <w:r w:rsidRPr="001F6FE5">
        <w:rPr>
          <w:sz w:val="18"/>
          <w:szCs w:val="18"/>
          <w:lang w:val="en-GB"/>
        </w:rPr>
        <w:t xml:space="preserve"> National Planning Commission (2012), p. 15.</w:t>
      </w:r>
    </w:p>
  </w:footnote>
  <w:footnote w:id="9">
    <w:p w14:paraId="336985FB" w14:textId="77777777" w:rsidR="00F12443" w:rsidRPr="001F6FE5" w:rsidRDefault="00F12443" w:rsidP="00380ED0">
      <w:pPr>
        <w:pStyle w:val="FootnoteText"/>
        <w:spacing w:line="240" w:lineRule="exact"/>
        <w:jc w:val="both"/>
        <w:rPr>
          <w:sz w:val="18"/>
          <w:szCs w:val="18"/>
          <w:lang w:val="en-GB"/>
        </w:rPr>
      </w:pPr>
      <w:r w:rsidRPr="001F6FE5">
        <w:rPr>
          <w:rStyle w:val="FootnoteReference"/>
          <w:sz w:val="18"/>
          <w:szCs w:val="18"/>
          <w:lang w:val="en-GB"/>
        </w:rPr>
        <w:footnoteRef/>
      </w:r>
      <w:r w:rsidRPr="001F6FE5">
        <w:rPr>
          <w:sz w:val="18"/>
          <w:szCs w:val="18"/>
          <w:lang w:val="en-GB"/>
        </w:rPr>
        <w:t xml:space="preserve"> National Planning Commission (2012), p. 360.</w:t>
      </w:r>
    </w:p>
  </w:footnote>
  <w:footnote w:id="10">
    <w:p w14:paraId="7245BA62" w14:textId="77777777" w:rsidR="00F12443" w:rsidRPr="009E5F2C" w:rsidRDefault="00F12443" w:rsidP="00380ED0">
      <w:pPr>
        <w:pStyle w:val="FootnoteText"/>
        <w:spacing w:line="240" w:lineRule="exact"/>
        <w:jc w:val="both"/>
        <w:rPr>
          <w:sz w:val="18"/>
          <w:szCs w:val="18"/>
          <w:lang w:val="en-GB"/>
        </w:rPr>
      </w:pPr>
      <w:r w:rsidRPr="009E5F2C">
        <w:rPr>
          <w:rStyle w:val="FootnoteReference"/>
          <w:sz w:val="18"/>
          <w:szCs w:val="18"/>
        </w:rPr>
        <w:footnoteRef/>
      </w:r>
      <w:r w:rsidRPr="009E5F2C">
        <w:rPr>
          <w:sz w:val="18"/>
          <w:szCs w:val="18"/>
        </w:rPr>
        <w:t xml:space="preserve"> </w:t>
      </w:r>
      <w:r w:rsidRPr="009E5F2C">
        <w:rPr>
          <w:sz w:val="18"/>
          <w:szCs w:val="18"/>
          <w:lang w:val="en-GB"/>
        </w:rPr>
        <w:t>UNDP (2015).</w:t>
      </w:r>
    </w:p>
  </w:footnote>
  <w:footnote w:id="11">
    <w:p w14:paraId="780C3763" w14:textId="77777777" w:rsidR="00F12443" w:rsidRPr="000E2C53" w:rsidRDefault="00F12443">
      <w:pPr>
        <w:pStyle w:val="FootnoteText"/>
        <w:rPr>
          <w:lang w:val="en-ZA"/>
        </w:rPr>
      </w:pPr>
      <w:r>
        <w:rPr>
          <w:rStyle w:val="FootnoteReference"/>
        </w:rPr>
        <w:footnoteRef/>
      </w:r>
      <w:r>
        <w:t xml:space="preserve"> </w:t>
      </w:r>
      <w:r>
        <w:rPr>
          <w:lang w:val="en-ZA"/>
        </w:rPr>
        <w:t xml:space="preserve">Figures are as provided by the National Treasury in the Estimates of National Expenditure (ENE) for 2019/20. Note that the budget allocation predates the change in the name of the DPW to DPWI. </w:t>
      </w:r>
    </w:p>
  </w:footnote>
  <w:footnote w:id="12">
    <w:p w14:paraId="07B5BF7D" w14:textId="77777777" w:rsidR="00F12443" w:rsidRPr="005D6B6E" w:rsidRDefault="00F12443" w:rsidP="001C3D9A">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221.</w:t>
      </w:r>
    </w:p>
  </w:footnote>
  <w:footnote w:id="13">
    <w:p w14:paraId="627FCEE3" w14:textId="77777777" w:rsidR="00F12443" w:rsidRPr="005D6B6E" w:rsidRDefault="00F12443" w:rsidP="001C3D9A">
      <w:pPr>
        <w:pStyle w:val="FootnoteTex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(2018), p. 213. It should be noted that the Professional Services sub-programme is a new addition under Programme 2. The sub-programme receives an allocation of R89.4 million over the medium term, of which R37.1 million is for Compensation of Employees; R28 million for Goods and Services and R15.9 million towards Transfers to Households for Non-Employees Bursaries. </w:t>
      </w:r>
    </w:p>
  </w:footnote>
  <w:footnote w:id="14">
    <w:p w14:paraId="5C30C84F" w14:textId="77777777" w:rsidR="00F12443" w:rsidRPr="005D6B6E" w:rsidRDefault="00F12443" w:rsidP="001C3D9A">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220.</w:t>
      </w:r>
    </w:p>
  </w:footnote>
  <w:footnote w:id="15">
    <w:p w14:paraId="5681637A" w14:textId="77777777" w:rsidR="00F12443" w:rsidRPr="005D6B6E" w:rsidRDefault="00F12443" w:rsidP="007B7E32">
      <w:pPr>
        <w:pStyle w:val="FootnoteTex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222.   </w:t>
      </w:r>
    </w:p>
  </w:footnote>
  <w:footnote w:id="16">
    <w:p w14:paraId="3CD224EC" w14:textId="77777777" w:rsidR="00F12443" w:rsidRPr="005D6B6E" w:rsidRDefault="00F12443" w:rsidP="007B7E32">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w:t>
      </w:r>
      <w:r w:rsidRPr="005D6B6E">
        <w:rPr>
          <w:rFonts w:cs="Arial"/>
          <w:i/>
          <w:sz w:val="18"/>
          <w:szCs w:val="18"/>
          <w:lang w:val="en-GB"/>
        </w:rPr>
        <w:t xml:space="preserve"> </w:t>
      </w:r>
      <w:r w:rsidRPr="005D6B6E">
        <w:rPr>
          <w:rFonts w:cs="Arial"/>
          <w:sz w:val="18"/>
          <w:szCs w:val="18"/>
          <w:lang w:val="en-GB"/>
        </w:rPr>
        <w:t xml:space="preserve">National Treasury (2019), p. 214.   </w:t>
      </w:r>
    </w:p>
  </w:footnote>
  <w:footnote w:id="17">
    <w:p w14:paraId="64DF5743" w14:textId="77777777" w:rsidR="00F12443" w:rsidRPr="005D6B6E" w:rsidRDefault="00F12443" w:rsidP="007B7E32">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223.   </w:t>
      </w:r>
    </w:p>
  </w:footnote>
  <w:footnote w:id="18">
    <w:p w14:paraId="672383E6" w14:textId="77777777" w:rsidR="00F12443" w:rsidRPr="00ED2EE0" w:rsidRDefault="00F12443" w:rsidP="00BD5D08">
      <w:pPr>
        <w:pStyle w:val="FootnoteText"/>
        <w:spacing w:line="240" w:lineRule="exact"/>
        <w:rPr>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w:t>
      </w:r>
      <w:r w:rsidRPr="00ED2EE0">
        <w:rPr>
          <w:sz w:val="18"/>
          <w:szCs w:val="18"/>
          <w:lang w:val="en-GB"/>
        </w:rPr>
        <w:t xml:space="preserve">National Treasury (2019), p. 223.   </w:t>
      </w:r>
    </w:p>
  </w:footnote>
  <w:footnote w:id="19">
    <w:p w14:paraId="5887F13C" w14:textId="77777777" w:rsidR="00F12443" w:rsidRPr="00ED2EE0" w:rsidRDefault="00F12443" w:rsidP="00822083">
      <w:pPr>
        <w:spacing w:line="240" w:lineRule="exact"/>
        <w:rPr>
          <w:rFonts w:ascii="Times New Roman" w:hAnsi="Times New Roman" w:cs="Times New Roman"/>
          <w:sz w:val="18"/>
          <w:szCs w:val="18"/>
        </w:rPr>
      </w:pPr>
      <w:r w:rsidRPr="00ED2EE0">
        <w:rPr>
          <w:rStyle w:val="FootnoteReference"/>
          <w:rFonts w:ascii="Times New Roman" w:hAnsi="Times New Roman" w:cs="Times New Roman"/>
          <w:sz w:val="18"/>
          <w:szCs w:val="18"/>
        </w:rPr>
        <w:footnoteRef/>
      </w:r>
      <w:r w:rsidRPr="00ED2EE0">
        <w:rPr>
          <w:rFonts w:ascii="Times New Roman" w:hAnsi="Times New Roman" w:cs="Times New Roman"/>
          <w:sz w:val="18"/>
          <w:szCs w:val="18"/>
        </w:rPr>
        <w:t xml:space="preserve"> This programme was known as </w:t>
      </w:r>
      <w:r w:rsidRPr="00ED2EE0">
        <w:rPr>
          <w:rFonts w:ascii="Times New Roman" w:hAnsi="Times New Roman" w:cs="Times New Roman"/>
          <w:bCs/>
          <w:sz w:val="18"/>
          <w:szCs w:val="18"/>
        </w:rPr>
        <w:t>Property and Construction Industry Policy Regulation that promoted the growth and transformation of the construction and property industries, and uniformity and best practice in construction, and immovable asset management in the public sector.</w:t>
      </w:r>
    </w:p>
  </w:footnote>
  <w:footnote w:id="20">
    <w:p w14:paraId="723E6D1A" w14:textId="77777777" w:rsidR="00F12443" w:rsidRPr="00ED2EE0" w:rsidRDefault="00F12443" w:rsidP="00B054CE">
      <w:pPr>
        <w:spacing w:line="240" w:lineRule="exact"/>
        <w:rPr>
          <w:rFonts w:ascii="Times New Roman" w:hAnsi="Times New Roman" w:cs="Times New Roman"/>
          <w:sz w:val="18"/>
          <w:szCs w:val="18"/>
        </w:rPr>
      </w:pPr>
      <w:r w:rsidRPr="00ED2EE0">
        <w:rPr>
          <w:rStyle w:val="FootnoteReference"/>
          <w:rFonts w:ascii="Times New Roman" w:hAnsi="Times New Roman" w:cs="Times New Roman"/>
          <w:sz w:val="18"/>
          <w:szCs w:val="18"/>
        </w:rPr>
        <w:footnoteRef/>
      </w:r>
      <w:r w:rsidRPr="00ED2EE0">
        <w:rPr>
          <w:rFonts w:ascii="Times New Roman" w:hAnsi="Times New Roman" w:cs="Times New Roman"/>
          <w:sz w:val="18"/>
          <w:szCs w:val="18"/>
        </w:rPr>
        <w:t xml:space="preserve"> Previously, up until 2009/10 the two programmes: Construction Industry Development Programme and the Property Industry Development Programme) fell under Programme 3, but have since been renamed as of the 2014/15 financial. </w:t>
      </w:r>
    </w:p>
  </w:footnote>
  <w:footnote w:id="21">
    <w:p w14:paraId="5FEC6445" w14:textId="77777777" w:rsidR="00F12443" w:rsidRPr="005D6B6E" w:rsidRDefault="00F12443" w:rsidP="00B054CE">
      <w:pPr>
        <w:pStyle w:val="FootnoteText"/>
        <w:spacing w:line="240" w:lineRule="exact"/>
        <w:rPr>
          <w:rFonts w:cs="Arial"/>
          <w:sz w:val="18"/>
          <w:szCs w:val="18"/>
          <w:lang w:val="en-GB"/>
        </w:rPr>
      </w:pPr>
      <w:r w:rsidRPr="00ED2EE0">
        <w:rPr>
          <w:rStyle w:val="FootnoteReference"/>
          <w:sz w:val="18"/>
          <w:szCs w:val="18"/>
          <w:lang w:val="en-GB"/>
        </w:rPr>
        <w:footnoteRef/>
      </w:r>
      <w:r w:rsidRPr="00ED2EE0">
        <w:rPr>
          <w:sz w:val="18"/>
          <w:szCs w:val="18"/>
          <w:lang w:val="en-GB"/>
        </w:rPr>
        <w:t xml:space="preserve"> National Treasury (2019), p. 224.</w:t>
      </w:r>
    </w:p>
  </w:footnote>
  <w:footnote w:id="22">
    <w:p w14:paraId="0ACFA594" w14:textId="77777777" w:rsidR="00F12443" w:rsidRPr="005D6B6E" w:rsidRDefault="00F12443" w:rsidP="00B900CA">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224.</w:t>
      </w:r>
    </w:p>
  </w:footnote>
  <w:footnote w:id="23">
    <w:p w14:paraId="5B0FD191" w14:textId="77777777" w:rsidR="00F12443" w:rsidRPr="005D6B6E" w:rsidRDefault="00F12443" w:rsidP="00B900CA">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230</w:t>
      </w:r>
    </w:p>
  </w:footnote>
  <w:footnote w:id="24">
    <w:p w14:paraId="08E7875D" w14:textId="77777777" w:rsidR="00F12443" w:rsidRPr="005D6B6E" w:rsidRDefault="00F12443" w:rsidP="00B900CA">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(2015), p. 193. This payment is made to the Commonwealth War Graves Commission of which South Africa is a member. It is comprised of 6 member countries: Australia; Canada; India; New Zealand; South Africa and the United Kingdom.    </w:t>
      </w:r>
    </w:p>
  </w:footnote>
  <w:footnote w:id="25">
    <w:p w14:paraId="3540AC8A" w14:textId="77777777" w:rsidR="00F12443" w:rsidRPr="007E707D" w:rsidRDefault="00F12443" w:rsidP="00174802">
      <w:pPr>
        <w:spacing w:line="240" w:lineRule="exact"/>
        <w:rPr>
          <w:rFonts w:ascii="Times New Roman" w:hAnsi="Times New Roman" w:cs="Times New Roman"/>
          <w:sz w:val="18"/>
          <w:szCs w:val="18"/>
        </w:rPr>
      </w:pPr>
      <w:r w:rsidRPr="007E707D">
        <w:rPr>
          <w:rStyle w:val="FootnoteReference"/>
          <w:rFonts w:ascii="Times New Roman" w:hAnsi="Times New Roman" w:cs="Times New Roman"/>
          <w:sz w:val="18"/>
          <w:szCs w:val="18"/>
        </w:rPr>
        <w:footnoteRef/>
      </w:r>
      <w:r w:rsidRPr="007E707D">
        <w:rPr>
          <w:rFonts w:ascii="Times New Roman" w:hAnsi="Times New Roman" w:cs="Times New Roman"/>
          <w:sz w:val="18"/>
          <w:szCs w:val="18"/>
        </w:rPr>
        <w:t xml:space="preserve"> This programme was known as </w:t>
      </w:r>
      <w:r w:rsidRPr="007E707D">
        <w:rPr>
          <w:rFonts w:ascii="Times New Roman" w:hAnsi="Times New Roman" w:cs="Times New Roman"/>
          <w:bCs/>
          <w:sz w:val="18"/>
          <w:szCs w:val="18"/>
        </w:rPr>
        <w:t>Auxiliary and Associated Services and sought to fund various services, including: compensation for losses on the Government-assisted housing scheme; assistance to organisations for the preservation of national memorials; and meeting protocol responsibilities for State functions.</w:t>
      </w:r>
    </w:p>
  </w:footnote>
  <w:footnote w:id="26">
    <w:p w14:paraId="0D27F4FD" w14:textId="77777777" w:rsidR="00F12443" w:rsidRPr="005D6B6E" w:rsidRDefault="00F12443" w:rsidP="001B01EF">
      <w:pPr>
        <w:pStyle w:val="FootnoteTex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225.</w:t>
      </w:r>
    </w:p>
  </w:footnote>
  <w:footnote w:id="27">
    <w:p w14:paraId="50EE52FE" w14:textId="77777777" w:rsidR="00F12443" w:rsidRPr="005D6B6E" w:rsidRDefault="00F12443" w:rsidP="001B01EF">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214.</w:t>
      </w:r>
    </w:p>
  </w:footnote>
  <w:footnote w:id="28">
    <w:p w14:paraId="61F2C63E" w14:textId="77777777" w:rsidR="00F12443" w:rsidRPr="003C6D26" w:rsidRDefault="00F12443" w:rsidP="00174802">
      <w:pPr>
        <w:pStyle w:val="FootnoteText"/>
        <w:spacing w:line="240" w:lineRule="exact"/>
        <w:jc w:val="both"/>
      </w:pPr>
      <w:r w:rsidRPr="003C6D26">
        <w:rPr>
          <w:rStyle w:val="FootnoteReference"/>
        </w:rPr>
        <w:footnoteRef/>
      </w:r>
      <w:r w:rsidRPr="003C6D26">
        <w:t xml:space="preserve"> Department of Public Works (2016), p. 325.</w:t>
      </w:r>
    </w:p>
  </w:footnote>
  <w:footnote w:id="29">
    <w:p w14:paraId="39AC2EE9" w14:textId="77777777" w:rsidR="00F12443" w:rsidRPr="003C6D26" w:rsidRDefault="00F12443" w:rsidP="00174802">
      <w:pPr>
        <w:pStyle w:val="FootnoteText"/>
        <w:rPr>
          <w:lang w:val="en-GB"/>
        </w:rPr>
      </w:pPr>
      <w:r w:rsidRPr="003C6D26">
        <w:rPr>
          <w:rStyle w:val="FootnoteReference"/>
          <w:lang w:val="en-GB"/>
        </w:rPr>
        <w:footnoteRef/>
      </w:r>
      <w:r w:rsidRPr="003C6D26">
        <w:rPr>
          <w:lang w:val="en-GB"/>
        </w:rPr>
        <w:t xml:space="preserve"> Department of Public Works (2013).</w:t>
      </w:r>
    </w:p>
  </w:footnote>
  <w:footnote w:id="30">
    <w:p w14:paraId="1D907A30" w14:textId="77777777" w:rsidR="00F12443" w:rsidRPr="003A7C1A" w:rsidRDefault="00F12443" w:rsidP="00174802">
      <w:pPr>
        <w:pStyle w:val="FootnoteText"/>
        <w:rPr>
          <w:lang w:val="en-ZA"/>
        </w:rPr>
      </w:pPr>
      <w:r>
        <w:rPr>
          <w:rStyle w:val="FootnoteReference"/>
        </w:rPr>
        <w:footnoteRef/>
      </w:r>
      <w:r>
        <w:t xml:space="preserve"> </w:t>
      </w:r>
      <w:r w:rsidRPr="009F026C">
        <w:t>The PMTE has three years from the date of transfer to measure all assets and liabilities transferred in terms of GRAP 105 and Directive 2.</w:t>
      </w:r>
    </w:p>
  </w:footnote>
  <w:footnote w:id="31">
    <w:p w14:paraId="4AAC393C" w14:textId="77777777" w:rsidR="00F12443" w:rsidRPr="005D6B6E" w:rsidRDefault="00F12443" w:rsidP="004057DB">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National Treasury (2019), p. 229.</w:t>
      </w:r>
    </w:p>
  </w:footnote>
  <w:footnote w:id="32">
    <w:p w14:paraId="4C1C9CAC" w14:textId="77777777" w:rsidR="00F12443" w:rsidRPr="005D6B6E" w:rsidRDefault="00F12443" w:rsidP="00240016">
      <w:pPr>
        <w:pStyle w:val="FootnoteText"/>
        <w:spacing w:line="240" w:lineRule="exact"/>
        <w:rPr>
          <w:rFonts w:cs="Arial"/>
          <w:sz w:val="18"/>
          <w:szCs w:val="18"/>
          <w:lang w:val="en-GB"/>
        </w:rPr>
      </w:pPr>
      <w:r w:rsidRPr="005D6B6E">
        <w:rPr>
          <w:rStyle w:val="FootnoteReference"/>
          <w:rFonts w:cs="Arial"/>
          <w:sz w:val="18"/>
          <w:szCs w:val="18"/>
          <w:lang w:val="en-GB"/>
        </w:rPr>
        <w:footnoteRef/>
      </w:r>
      <w:r w:rsidRPr="005D6B6E">
        <w:rPr>
          <w:rFonts w:cs="Arial"/>
          <w:sz w:val="18"/>
          <w:szCs w:val="18"/>
          <w:lang w:val="en-GB"/>
        </w:rPr>
        <w:t xml:space="preserve"> National Treasury (2019), p. 228.</w:t>
      </w:r>
    </w:p>
  </w:footnote>
  <w:footnote w:id="33">
    <w:p w14:paraId="00B33F37" w14:textId="77777777" w:rsidR="00F12443" w:rsidRPr="005D6B6E" w:rsidRDefault="00F12443" w:rsidP="00C6522B">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4">
    <w:p w14:paraId="778CD474" w14:textId="77777777" w:rsidR="00F12443" w:rsidRPr="005D6B6E" w:rsidRDefault="00F12443" w:rsidP="009E58C6">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5">
    <w:p w14:paraId="70BF5E2D" w14:textId="77777777" w:rsidR="00F12443" w:rsidRPr="005D6B6E" w:rsidRDefault="00F12443" w:rsidP="00470AE2">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6">
    <w:p w14:paraId="788CC946" w14:textId="77777777" w:rsidR="00F12443" w:rsidRPr="005D6B6E" w:rsidRDefault="00F12443" w:rsidP="000F5E43">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7">
    <w:p w14:paraId="4C12760B" w14:textId="77777777" w:rsidR="00F12443" w:rsidRPr="005D6B6E" w:rsidRDefault="00F12443" w:rsidP="00CE1B75">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8">
    <w:p w14:paraId="7B476852" w14:textId="77777777" w:rsidR="00F12443" w:rsidRPr="005D6B6E" w:rsidRDefault="00F12443" w:rsidP="00D76E07">
      <w:pPr>
        <w:pStyle w:val="FootnoteText"/>
        <w:rPr>
          <w:rFonts w:cs="Arial"/>
          <w:sz w:val="18"/>
          <w:szCs w:val="18"/>
        </w:rPr>
      </w:pPr>
      <w:r w:rsidRPr="005D6B6E">
        <w:rPr>
          <w:rStyle w:val="FootnoteReference"/>
          <w:rFonts w:cs="Arial"/>
          <w:sz w:val="18"/>
          <w:szCs w:val="18"/>
        </w:rPr>
        <w:footnoteRef/>
      </w:r>
      <w:r w:rsidRPr="005D6B6E">
        <w:rPr>
          <w:rFonts w:cs="Arial"/>
          <w:sz w:val="18"/>
          <w:szCs w:val="18"/>
        </w:rPr>
        <w:t xml:space="preserve"> </w:t>
      </w:r>
      <w:r w:rsidRPr="005D6B6E">
        <w:rPr>
          <w:rFonts w:cs="Arial"/>
          <w:sz w:val="18"/>
          <w:szCs w:val="18"/>
          <w:lang w:val="en-GB"/>
        </w:rPr>
        <w:t>National Treasury (2019), p. 227.</w:t>
      </w:r>
    </w:p>
  </w:footnote>
  <w:footnote w:id="39">
    <w:p w14:paraId="7D7A1A4E" w14:textId="77777777" w:rsidR="00F12443" w:rsidRPr="00CE3C38" w:rsidRDefault="00F12443" w:rsidP="00FA3845">
      <w:pPr>
        <w:pStyle w:val="FootnoteText"/>
        <w:rPr>
          <w:sz w:val="18"/>
          <w:szCs w:val="18"/>
        </w:rPr>
      </w:pPr>
      <w:r w:rsidRPr="00CE3C38">
        <w:rPr>
          <w:rStyle w:val="FootnoteReference"/>
          <w:sz w:val="18"/>
          <w:szCs w:val="18"/>
        </w:rPr>
        <w:footnoteRef/>
      </w:r>
      <w:r w:rsidRPr="00CE3C38">
        <w:rPr>
          <w:sz w:val="18"/>
          <w:szCs w:val="18"/>
        </w:rPr>
        <w:t xml:space="preserve"> Agrément SA (2017), p. ii.</w:t>
      </w:r>
    </w:p>
  </w:footnote>
  <w:footnote w:id="40">
    <w:p w14:paraId="505020BD" w14:textId="77777777" w:rsidR="00F12443" w:rsidRPr="00E40272" w:rsidRDefault="00F12443" w:rsidP="00FA3845">
      <w:pPr>
        <w:pStyle w:val="FootnoteText"/>
        <w:rPr>
          <w:sz w:val="18"/>
          <w:szCs w:val="18"/>
        </w:rPr>
      </w:pPr>
      <w:r w:rsidRPr="00E40272">
        <w:rPr>
          <w:rStyle w:val="FootnoteReference"/>
          <w:sz w:val="18"/>
          <w:szCs w:val="18"/>
        </w:rPr>
        <w:footnoteRef/>
      </w:r>
      <w:r w:rsidRPr="00E40272">
        <w:rPr>
          <w:sz w:val="18"/>
          <w:szCs w:val="18"/>
        </w:rPr>
        <w:t xml:space="preserve"> </w:t>
      </w:r>
      <w:r w:rsidRPr="00CE3C38">
        <w:rPr>
          <w:sz w:val="18"/>
          <w:szCs w:val="18"/>
        </w:rPr>
        <w:t>Agrément SA (2017), p</w:t>
      </w:r>
      <w:r w:rsidRPr="00E40272">
        <w:rPr>
          <w:sz w:val="18"/>
          <w:szCs w:val="18"/>
        </w:rPr>
        <w:t>. 8.</w:t>
      </w:r>
    </w:p>
  </w:footnote>
  <w:footnote w:id="41">
    <w:p w14:paraId="2D04DCFC" w14:textId="77777777" w:rsidR="00F12443" w:rsidRPr="00E40272" w:rsidRDefault="00F12443" w:rsidP="00FA3845">
      <w:pPr>
        <w:pStyle w:val="FootnoteText"/>
        <w:rPr>
          <w:sz w:val="18"/>
          <w:szCs w:val="18"/>
        </w:rPr>
      </w:pPr>
      <w:r w:rsidRPr="00CE3C38">
        <w:rPr>
          <w:rStyle w:val="FootnoteReference"/>
          <w:sz w:val="18"/>
          <w:szCs w:val="18"/>
        </w:rPr>
        <w:footnoteRef/>
      </w:r>
      <w:r w:rsidRPr="00CE3C38">
        <w:rPr>
          <w:sz w:val="18"/>
          <w:szCs w:val="18"/>
        </w:rPr>
        <w:t xml:space="preserve"> Agrément SA (2017), p</w:t>
      </w:r>
      <w:r w:rsidRPr="00E40272">
        <w:rPr>
          <w:sz w:val="18"/>
          <w:szCs w:val="18"/>
        </w:rPr>
        <w:t>p. 18-19.</w:t>
      </w:r>
    </w:p>
  </w:footnote>
  <w:footnote w:id="42">
    <w:p w14:paraId="2E9E7FB9" w14:textId="77777777" w:rsidR="00F12443" w:rsidRPr="00050BC8" w:rsidRDefault="00F12443" w:rsidP="00FA3845">
      <w:pPr>
        <w:pStyle w:val="FootnoteText"/>
        <w:rPr>
          <w:sz w:val="18"/>
          <w:szCs w:val="18"/>
          <w:lang w:val="en-GB"/>
        </w:rPr>
      </w:pPr>
      <w:r w:rsidRPr="00050BC8">
        <w:rPr>
          <w:rStyle w:val="FootnoteReference"/>
          <w:sz w:val="18"/>
          <w:szCs w:val="18"/>
        </w:rPr>
        <w:footnoteRef/>
      </w:r>
      <w:r w:rsidRPr="00050BC8">
        <w:rPr>
          <w:sz w:val="18"/>
          <w:szCs w:val="18"/>
        </w:rPr>
        <w:t xml:space="preserve"> </w:t>
      </w:r>
      <w:r w:rsidRPr="00050BC8">
        <w:rPr>
          <w:sz w:val="18"/>
          <w:szCs w:val="18"/>
          <w:lang w:val="fr-FR"/>
        </w:rPr>
        <w:t>Agrément SA, (2017), p. 11.</w:t>
      </w:r>
    </w:p>
  </w:footnote>
  <w:footnote w:id="43">
    <w:p w14:paraId="11969D53" w14:textId="77777777" w:rsidR="00F12443" w:rsidRPr="00050BC8" w:rsidRDefault="00F12443" w:rsidP="00FA3845">
      <w:pPr>
        <w:pStyle w:val="FootnoteText"/>
        <w:rPr>
          <w:sz w:val="18"/>
          <w:szCs w:val="18"/>
        </w:rPr>
      </w:pPr>
      <w:r w:rsidRPr="00050BC8">
        <w:rPr>
          <w:rStyle w:val="FootnoteReference"/>
          <w:sz w:val="18"/>
          <w:szCs w:val="18"/>
        </w:rPr>
        <w:footnoteRef/>
      </w:r>
      <w:r w:rsidRPr="00050BC8">
        <w:rPr>
          <w:sz w:val="18"/>
          <w:szCs w:val="18"/>
        </w:rPr>
        <w:t xml:space="preserve"> </w:t>
      </w:r>
      <w:r>
        <w:rPr>
          <w:sz w:val="18"/>
          <w:szCs w:val="18"/>
          <w:lang w:val="fr-FR"/>
        </w:rPr>
        <w:t>Agrément SA, (2019), p. 11</w:t>
      </w:r>
      <w:r w:rsidRPr="00050BC8">
        <w:rPr>
          <w:sz w:val="18"/>
          <w:szCs w:val="18"/>
          <w:lang w:val="fr-FR"/>
        </w:rPr>
        <w:t xml:space="preserve">. The </w:t>
      </w:r>
      <w:r w:rsidRPr="00050BC8">
        <w:rPr>
          <w:sz w:val="18"/>
          <w:szCs w:val="18"/>
        </w:rPr>
        <w:t>South African Bureau of Standards (SABS) is a statutory body established in terms of the Standards Act (No. 29 of 2008). It is the national institute for the promotion and maintenance of standardisation and quality in connection with commodities and the rendering of services.</w:t>
      </w:r>
    </w:p>
  </w:footnote>
  <w:footnote w:id="44">
    <w:p w14:paraId="5A1E26B5" w14:textId="77777777" w:rsidR="00F12443" w:rsidRPr="00283B82" w:rsidRDefault="00F12443">
      <w:pPr>
        <w:pStyle w:val="FootnoteText"/>
        <w:rPr>
          <w:lang w:val="en-ZA"/>
        </w:rPr>
      </w:pPr>
      <w:r>
        <w:rPr>
          <w:rStyle w:val="FootnoteReference"/>
        </w:rPr>
        <w:footnoteRef/>
      </w:r>
      <w:r>
        <w:t xml:space="preserve"> </w:t>
      </w:r>
      <w:r w:rsidRPr="00442DA7">
        <w:rPr>
          <w:sz w:val="18"/>
          <w:szCs w:val="18"/>
          <w:lang w:val="en-ZA"/>
        </w:rPr>
        <w:t>Agrément SA (2019), p.10.</w:t>
      </w:r>
    </w:p>
  </w:footnote>
  <w:footnote w:id="45">
    <w:p w14:paraId="51BFD860" w14:textId="77777777" w:rsidR="00F12443" w:rsidRPr="00442DA7" w:rsidRDefault="00F12443">
      <w:pPr>
        <w:pStyle w:val="FootnoteText"/>
        <w:rPr>
          <w:sz w:val="18"/>
          <w:szCs w:val="18"/>
          <w:lang w:val="en-ZA"/>
        </w:rPr>
      </w:pPr>
      <w:r w:rsidRPr="00442DA7">
        <w:rPr>
          <w:rStyle w:val="FootnoteReference"/>
          <w:sz w:val="18"/>
          <w:szCs w:val="18"/>
        </w:rPr>
        <w:footnoteRef/>
      </w:r>
      <w:r w:rsidRPr="00442DA7">
        <w:rPr>
          <w:sz w:val="18"/>
          <w:szCs w:val="18"/>
        </w:rPr>
        <w:t xml:space="preserve"> </w:t>
      </w:r>
      <w:r>
        <w:rPr>
          <w:sz w:val="18"/>
          <w:szCs w:val="18"/>
          <w:lang w:val="en-ZA"/>
        </w:rPr>
        <w:t>Ibid.</w:t>
      </w:r>
    </w:p>
  </w:footnote>
  <w:footnote w:id="46">
    <w:p w14:paraId="47DCC6EC" w14:textId="77777777" w:rsidR="00F12443" w:rsidRPr="00050BC8" w:rsidRDefault="00F12443" w:rsidP="00FA3845">
      <w:pPr>
        <w:snapToGrid w:val="0"/>
        <w:spacing w:line="240" w:lineRule="exact"/>
        <w:rPr>
          <w:rFonts w:ascii="Times New Roman" w:hAnsi="Times New Roman" w:cs="Times New Roman"/>
          <w:sz w:val="18"/>
        </w:rPr>
      </w:pPr>
      <w:r w:rsidRPr="00050BC8">
        <w:rPr>
          <w:rFonts w:ascii="Times New Roman" w:hAnsi="Times New Roman" w:cs="Times New Roman"/>
          <w:sz w:val="18"/>
          <w:vertAlign w:val="superscript"/>
        </w:rPr>
        <w:footnoteRef/>
      </w:r>
      <w:r w:rsidRPr="00050BC8">
        <w:rPr>
          <w:rFonts w:ascii="Times New Roman" w:hAnsi="Times New Roman" w:cs="Times New Roman"/>
          <w:sz w:val="18"/>
          <w:vertAlign w:val="superscript"/>
        </w:rPr>
        <w:t xml:space="preserve">  </w:t>
      </w:r>
      <w:r>
        <w:rPr>
          <w:rFonts w:ascii="Times New Roman" w:hAnsi="Times New Roman" w:cs="Times New Roman"/>
          <w:sz w:val="18"/>
        </w:rPr>
        <w:t xml:space="preserve"> Agrément SA, (2019), p. 11</w:t>
      </w:r>
      <w:r w:rsidRPr="00050BC8">
        <w:rPr>
          <w:rFonts w:ascii="Times New Roman" w:hAnsi="Times New Roman" w:cs="Times New Roman"/>
          <w:sz w:val="18"/>
        </w:rPr>
        <w:t xml:space="preserve">. The World Federation of Technical Assessment Organisations is comprised of “officially recognized bodies active in the field of technical assessments for construction products and systems.” </w:t>
      </w:r>
    </w:p>
  </w:footnote>
  <w:footnote w:id="47">
    <w:p w14:paraId="7BC822B9" w14:textId="77777777" w:rsidR="00F12443" w:rsidRPr="00F12443" w:rsidRDefault="00F12443" w:rsidP="00FA3845">
      <w:pPr>
        <w:snapToGrid w:val="0"/>
        <w:rPr>
          <w:rFonts w:ascii="Times New Roman" w:hAnsi="Times New Roman" w:cs="Times New Roman"/>
          <w:sz w:val="18"/>
        </w:rPr>
      </w:pPr>
      <w:r w:rsidRPr="00F12443">
        <w:rPr>
          <w:rFonts w:ascii="Times New Roman" w:hAnsi="Times New Roman" w:cs="Times New Roman"/>
          <w:sz w:val="18"/>
          <w:vertAlign w:val="superscript"/>
        </w:rPr>
        <w:footnoteRef/>
      </w:r>
      <w:r w:rsidRPr="00F12443">
        <w:rPr>
          <w:rFonts w:ascii="Times New Roman" w:hAnsi="Times New Roman" w:cs="Times New Roman"/>
          <w:sz w:val="18"/>
          <w:vertAlign w:val="superscript"/>
        </w:rPr>
        <w:t xml:space="preserve">  </w:t>
      </w:r>
      <w:r w:rsidRPr="00F12443">
        <w:rPr>
          <w:rFonts w:ascii="Times New Roman" w:hAnsi="Times New Roman" w:cs="Times New Roman"/>
          <w:sz w:val="18"/>
        </w:rPr>
        <w:t xml:space="preserve"> Agrément SA (2015), p. 9.</w:t>
      </w:r>
    </w:p>
  </w:footnote>
  <w:footnote w:id="48">
    <w:p w14:paraId="47E90EFD" w14:textId="77777777" w:rsidR="00F12443" w:rsidRPr="00996395" w:rsidRDefault="00F12443" w:rsidP="00827934">
      <w:pPr>
        <w:rPr>
          <w:rFonts w:ascii="Times New Roman" w:hAnsi="Times New Roman" w:cs="Times New Roman"/>
          <w:sz w:val="20"/>
          <w:szCs w:val="20"/>
        </w:rPr>
      </w:pPr>
      <w:r w:rsidRPr="00996395">
        <w:rPr>
          <w:rStyle w:val="FootnoteReference"/>
          <w:rFonts w:ascii="Times New Roman" w:hAnsi="Times New Roman" w:cs="Times New Roman"/>
          <w:sz w:val="20"/>
          <w:szCs w:val="20"/>
        </w:rPr>
        <w:footnoteRef/>
      </w:r>
      <w:r w:rsidRPr="00996395">
        <w:rPr>
          <w:rFonts w:ascii="Times New Roman" w:hAnsi="Times New Roman" w:cs="Times New Roman"/>
          <w:sz w:val="20"/>
          <w:szCs w:val="20"/>
        </w:rPr>
        <w:t xml:space="preserve"> CBE (2015), p. 10. Through the Act, the CBE is tasked with regulating and governing the following six Built Environment Professions: Architects, Engineers, Landscape Architects, Quantity Surveyors, Project and Construction Managers and Property Valuers, through the six Professional Councils that were also enacted through legislation. </w:t>
      </w:r>
    </w:p>
  </w:footnote>
  <w:footnote w:id="49">
    <w:p w14:paraId="52F0DC72" w14:textId="77777777" w:rsidR="00F12443" w:rsidRPr="00BD114D" w:rsidRDefault="00F12443" w:rsidP="00827934">
      <w:pPr>
        <w:pStyle w:val="FootnoteText"/>
        <w:rPr>
          <w:lang w:val="en-ZA"/>
        </w:rPr>
      </w:pPr>
      <w:r>
        <w:rPr>
          <w:rStyle w:val="FootnoteReference"/>
        </w:rPr>
        <w:footnoteRef/>
      </w:r>
      <w:r>
        <w:t xml:space="preserve"> </w:t>
      </w:r>
      <w:r w:rsidRPr="00BD114D">
        <w:rPr>
          <w:sz w:val="22"/>
          <w:szCs w:val="22"/>
        </w:rPr>
        <w:t xml:space="preserve">Note that the BEPC has now been changed to </w:t>
      </w:r>
      <w:r w:rsidRPr="002B37BC">
        <w:rPr>
          <w:sz w:val="22"/>
          <w:szCs w:val="22"/>
          <w:lang w:val="en-GB"/>
        </w:rPr>
        <w:t>Councils for the Built Environment Professions (CBEP)</w:t>
      </w:r>
      <w:r>
        <w:rPr>
          <w:sz w:val="22"/>
          <w:szCs w:val="22"/>
          <w:lang w:val="en-GB"/>
        </w:rPr>
        <w:t xml:space="preserve"> in the </w:t>
      </w:r>
      <w:r w:rsidRPr="00BD114D">
        <w:rPr>
          <w:sz w:val="22"/>
          <w:szCs w:val="22"/>
        </w:rPr>
        <w:t xml:space="preserve">2018/19 APP </w:t>
      </w:r>
    </w:p>
  </w:footnote>
  <w:footnote w:id="50">
    <w:p w14:paraId="7D45E7C3" w14:textId="77777777" w:rsidR="00F12443" w:rsidRPr="00996395" w:rsidRDefault="00F12443" w:rsidP="00827934">
      <w:pPr>
        <w:pStyle w:val="FootnoteText"/>
      </w:pPr>
      <w:r w:rsidRPr="00996395">
        <w:rPr>
          <w:rStyle w:val="FootnoteReference"/>
        </w:rPr>
        <w:footnoteRef/>
      </w:r>
      <w:r w:rsidRPr="00996395">
        <w:t xml:space="preserve"> CBE (2015), p. 19.</w:t>
      </w:r>
    </w:p>
  </w:footnote>
  <w:footnote w:id="51">
    <w:p w14:paraId="7DD928AF" w14:textId="77777777" w:rsidR="00F12443" w:rsidRPr="000150C1" w:rsidRDefault="00F12443" w:rsidP="00827934">
      <w:pPr>
        <w:pStyle w:val="FootnoteText"/>
        <w:rPr>
          <w:sz w:val="16"/>
          <w:szCs w:val="16"/>
        </w:rPr>
      </w:pPr>
      <w:r w:rsidRPr="000150C1">
        <w:rPr>
          <w:rStyle w:val="FootnoteReference"/>
          <w:sz w:val="16"/>
          <w:szCs w:val="16"/>
        </w:rPr>
        <w:footnoteRef/>
      </w:r>
      <w:r w:rsidRPr="000150C1">
        <w:rPr>
          <w:sz w:val="16"/>
          <w:szCs w:val="16"/>
        </w:rPr>
        <w:t xml:space="preserve"> CBE (2015), p. 12. </w:t>
      </w:r>
    </w:p>
  </w:footnote>
  <w:footnote w:id="52">
    <w:p w14:paraId="0EFAC3BA" w14:textId="77777777" w:rsidR="00F12443" w:rsidRPr="00106740" w:rsidRDefault="00F12443" w:rsidP="00827934">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46.</w:t>
      </w:r>
    </w:p>
  </w:footnote>
  <w:footnote w:id="53">
    <w:p w14:paraId="45337DAD" w14:textId="77777777" w:rsidR="00F12443" w:rsidRPr="000B42F3" w:rsidRDefault="00F12443" w:rsidP="00827934">
      <w:pPr>
        <w:pStyle w:val="FootnoteText"/>
        <w:rPr>
          <w:lang w:val="en-GB"/>
        </w:rPr>
      </w:pPr>
      <w:r>
        <w:rPr>
          <w:rStyle w:val="FootnoteReference"/>
        </w:rPr>
        <w:footnoteRef/>
      </w:r>
      <w:r>
        <w:t xml:space="preserve"> </w:t>
      </w:r>
      <w:r w:rsidRPr="00106740">
        <w:rPr>
          <w:rFonts w:cs="Arial"/>
          <w:sz w:val="18"/>
          <w:szCs w:val="18"/>
        </w:rPr>
        <w:t xml:space="preserve">CBE (2018), p. </w:t>
      </w:r>
      <w:r>
        <w:rPr>
          <w:rFonts w:cs="Arial"/>
          <w:sz w:val="18"/>
          <w:szCs w:val="18"/>
        </w:rPr>
        <w:t>3 &amp; 6</w:t>
      </w:r>
      <w:r w:rsidRPr="00106740">
        <w:rPr>
          <w:rFonts w:cs="Arial"/>
          <w:sz w:val="18"/>
          <w:szCs w:val="18"/>
        </w:rPr>
        <w:t>6.</w:t>
      </w:r>
    </w:p>
  </w:footnote>
  <w:footnote w:id="54">
    <w:p w14:paraId="63693E25" w14:textId="77777777" w:rsidR="00F12443" w:rsidRPr="000E4806" w:rsidRDefault="00F12443" w:rsidP="00827934">
      <w:pPr>
        <w:pStyle w:val="FootnoteText"/>
        <w:rPr>
          <w:lang w:val="en-ZA"/>
        </w:rPr>
      </w:pPr>
      <w:r>
        <w:rPr>
          <w:rStyle w:val="FootnoteReference"/>
        </w:rPr>
        <w:footnoteRef/>
      </w:r>
      <w:r>
        <w:t xml:space="preserve"> </w:t>
      </w:r>
      <w:r w:rsidRPr="000E4806">
        <w:t>http://www.gov.za/sites/www.gov.za/files/PICC_Final.pdf</w:t>
      </w:r>
    </w:p>
  </w:footnote>
  <w:footnote w:id="55">
    <w:p w14:paraId="57820BA6" w14:textId="77777777" w:rsidR="00F12443" w:rsidRPr="00F42014" w:rsidRDefault="00F12443" w:rsidP="00827934">
      <w:pPr>
        <w:pStyle w:val="FootnoteText"/>
        <w:rPr>
          <w:lang w:val="en-ZA"/>
        </w:rPr>
      </w:pPr>
      <w:r>
        <w:rPr>
          <w:rStyle w:val="FootnoteReference"/>
        </w:rPr>
        <w:footnoteRef/>
      </w:r>
      <w:r>
        <w:t xml:space="preserve"> </w:t>
      </w:r>
      <w:r w:rsidRPr="00F42014">
        <w:t>http://www.publicworks.gov.za/PDFs/Speeches/Minister/Launch_for_SIP_13.pdf</w:t>
      </w:r>
    </w:p>
  </w:footnote>
  <w:footnote w:id="56">
    <w:p w14:paraId="3305C2F6" w14:textId="77777777" w:rsidR="00F12443" w:rsidRPr="00AA7FDA" w:rsidRDefault="00F12443" w:rsidP="00827934">
      <w:pPr>
        <w:pStyle w:val="FootnoteText"/>
        <w:rPr>
          <w:sz w:val="18"/>
          <w:szCs w:val="18"/>
        </w:rPr>
      </w:pPr>
      <w:r w:rsidRPr="00AA7FDA">
        <w:rPr>
          <w:rStyle w:val="FootnoteReference"/>
          <w:sz w:val="18"/>
          <w:szCs w:val="18"/>
        </w:rPr>
        <w:footnoteRef/>
      </w:r>
      <w:r w:rsidRPr="00AA7FDA">
        <w:rPr>
          <w:sz w:val="18"/>
          <w:szCs w:val="18"/>
        </w:rPr>
        <w:t xml:space="preserve"> </w:t>
      </w:r>
      <w:r w:rsidRPr="00AA7FDA">
        <w:rPr>
          <w:sz w:val="18"/>
          <w:szCs w:val="18"/>
          <w:lang w:val="en-GB"/>
        </w:rPr>
        <w:t>IDT (2017), p. 16.</w:t>
      </w:r>
    </w:p>
  </w:footnote>
  <w:footnote w:id="57">
    <w:p w14:paraId="7F15212B" w14:textId="77777777" w:rsidR="00F12443" w:rsidRPr="00AA7FDA" w:rsidRDefault="00F12443">
      <w:pPr>
        <w:pStyle w:val="FootnoteText"/>
        <w:rPr>
          <w:sz w:val="18"/>
          <w:szCs w:val="18"/>
          <w:lang w:val="en-ZA"/>
        </w:rPr>
      </w:pPr>
      <w:r w:rsidRPr="00AA7FDA">
        <w:rPr>
          <w:rStyle w:val="FootnoteReference"/>
          <w:sz w:val="18"/>
          <w:szCs w:val="18"/>
        </w:rPr>
        <w:footnoteRef/>
      </w:r>
      <w:r w:rsidRPr="00AA7FDA">
        <w:rPr>
          <w:sz w:val="18"/>
          <w:szCs w:val="18"/>
        </w:rPr>
        <w:t xml:space="preserve"> IDT (2019) p. 11</w:t>
      </w:r>
      <w:r>
        <w:rPr>
          <w:sz w:val="18"/>
          <w:szCs w:val="18"/>
        </w:rPr>
        <w:t>.</w:t>
      </w:r>
    </w:p>
  </w:footnote>
  <w:footnote w:id="58">
    <w:p w14:paraId="68A66B99" w14:textId="77777777" w:rsidR="00F12443" w:rsidRPr="00AA7FDA" w:rsidRDefault="00F12443">
      <w:pPr>
        <w:pStyle w:val="FootnoteText"/>
        <w:rPr>
          <w:sz w:val="18"/>
          <w:szCs w:val="18"/>
          <w:lang w:val="en-ZA"/>
        </w:rPr>
      </w:pPr>
      <w:r w:rsidRPr="00AA7FDA">
        <w:rPr>
          <w:rStyle w:val="FootnoteReference"/>
          <w:sz w:val="18"/>
          <w:szCs w:val="18"/>
        </w:rPr>
        <w:footnoteRef/>
      </w:r>
      <w:r w:rsidRPr="00AA7FDA">
        <w:rPr>
          <w:sz w:val="18"/>
          <w:szCs w:val="18"/>
        </w:rPr>
        <w:t xml:space="preserve"> </w:t>
      </w:r>
      <w:r w:rsidRPr="00AA7FDA">
        <w:rPr>
          <w:sz w:val="18"/>
          <w:szCs w:val="18"/>
          <w:lang w:val="en-ZA"/>
        </w:rPr>
        <w:t>IDT (2019), p. 7</w:t>
      </w:r>
      <w:r>
        <w:rPr>
          <w:sz w:val="18"/>
          <w:szCs w:val="18"/>
          <w:lang w:val="en-ZA"/>
        </w:rPr>
        <w:t>.</w:t>
      </w:r>
    </w:p>
  </w:footnote>
  <w:footnote w:id="59">
    <w:p w14:paraId="537ACBE2" w14:textId="77777777" w:rsidR="00F12443" w:rsidRPr="008749F9" w:rsidRDefault="00F12443">
      <w:pPr>
        <w:pStyle w:val="FootnoteText"/>
        <w:rPr>
          <w:sz w:val="18"/>
          <w:szCs w:val="18"/>
          <w:lang w:val="en-ZA"/>
        </w:rPr>
      </w:pPr>
      <w:r w:rsidRPr="008749F9">
        <w:rPr>
          <w:rStyle w:val="FootnoteReference"/>
          <w:sz w:val="18"/>
          <w:szCs w:val="18"/>
        </w:rPr>
        <w:footnoteRef/>
      </w:r>
      <w:r w:rsidRPr="008749F9">
        <w:rPr>
          <w:sz w:val="18"/>
          <w:szCs w:val="18"/>
        </w:rPr>
        <w:t xml:space="preserve"> </w:t>
      </w:r>
      <w:r w:rsidRPr="008749F9">
        <w:rPr>
          <w:sz w:val="18"/>
          <w:szCs w:val="18"/>
          <w:lang w:val="en-ZA"/>
        </w:rPr>
        <w:t>ARCHIBUS is a property management software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CC2"/>
    <w:multiLevelType w:val="multilevel"/>
    <w:tmpl w:val="A3EE64A8"/>
    <w:lvl w:ilvl="0">
      <w:start w:val="1"/>
      <w:numFmt w:val="decimal"/>
      <w:lvlText w:val="%1"/>
      <w:lvlJc w:val="left"/>
      <w:pPr>
        <w:ind w:left="1037" w:hanging="579"/>
      </w:pPr>
      <w:rPr>
        <w:rFonts w:hint="default"/>
        <w:lang w:val="en-ZA" w:eastAsia="en-ZA" w:bidi="en-ZA"/>
      </w:rPr>
    </w:lvl>
    <w:lvl w:ilvl="1">
      <w:start w:val="6"/>
      <w:numFmt w:val="decimal"/>
      <w:lvlText w:val="%1.%2"/>
      <w:lvlJc w:val="left"/>
      <w:pPr>
        <w:ind w:left="1037" w:hanging="579"/>
        <w:jc w:val="right"/>
      </w:pPr>
      <w:rPr>
        <w:rFonts w:hint="default"/>
        <w:spacing w:val="-5"/>
        <w:w w:val="100"/>
        <w:lang w:val="en-ZA" w:eastAsia="en-ZA" w:bidi="en-ZA"/>
      </w:rPr>
    </w:lvl>
    <w:lvl w:ilvl="2">
      <w:numFmt w:val="bullet"/>
      <w:lvlText w:val=""/>
      <w:lvlJc w:val="left"/>
      <w:pPr>
        <w:ind w:left="1387" w:hanging="360"/>
      </w:pPr>
      <w:rPr>
        <w:rFonts w:ascii="Wingdings" w:eastAsia="Wingdings" w:hAnsi="Wingdings" w:cs="Wingdings" w:hint="default"/>
        <w:color w:val="7EC260"/>
        <w:w w:val="163"/>
        <w:sz w:val="22"/>
        <w:szCs w:val="22"/>
        <w:lang w:val="en-ZA" w:eastAsia="en-ZA" w:bidi="en-ZA"/>
      </w:rPr>
    </w:lvl>
    <w:lvl w:ilvl="3">
      <w:numFmt w:val="bullet"/>
      <w:lvlText w:val="o"/>
      <w:lvlJc w:val="left"/>
      <w:pPr>
        <w:ind w:left="2258" w:hanging="360"/>
      </w:pPr>
      <w:rPr>
        <w:rFonts w:ascii="Courier New" w:eastAsia="Courier New" w:hAnsi="Courier New" w:cs="Courier New" w:hint="default"/>
        <w:w w:val="100"/>
        <w:sz w:val="23"/>
        <w:szCs w:val="23"/>
        <w:lang w:val="en-ZA" w:eastAsia="en-ZA" w:bidi="en-ZA"/>
      </w:rPr>
    </w:lvl>
    <w:lvl w:ilvl="4">
      <w:numFmt w:val="bullet"/>
      <w:lvlText w:val="•"/>
      <w:lvlJc w:val="left"/>
      <w:pPr>
        <w:ind w:left="4271" w:hanging="360"/>
      </w:pPr>
      <w:rPr>
        <w:rFonts w:hint="default"/>
        <w:lang w:val="en-ZA" w:eastAsia="en-ZA" w:bidi="en-ZA"/>
      </w:rPr>
    </w:lvl>
    <w:lvl w:ilvl="5">
      <w:numFmt w:val="bullet"/>
      <w:lvlText w:val="•"/>
      <w:lvlJc w:val="left"/>
      <w:pPr>
        <w:ind w:left="5277" w:hanging="360"/>
      </w:pPr>
      <w:rPr>
        <w:rFonts w:hint="default"/>
        <w:lang w:val="en-ZA" w:eastAsia="en-ZA" w:bidi="en-ZA"/>
      </w:rPr>
    </w:lvl>
    <w:lvl w:ilvl="6">
      <w:numFmt w:val="bullet"/>
      <w:lvlText w:val="•"/>
      <w:lvlJc w:val="left"/>
      <w:pPr>
        <w:ind w:left="6283" w:hanging="360"/>
      </w:pPr>
      <w:rPr>
        <w:rFonts w:hint="default"/>
        <w:lang w:val="en-ZA" w:eastAsia="en-ZA" w:bidi="en-ZA"/>
      </w:rPr>
    </w:lvl>
    <w:lvl w:ilvl="7">
      <w:numFmt w:val="bullet"/>
      <w:lvlText w:val="•"/>
      <w:lvlJc w:val="left"/>
      <w:pPr>
        <w:ind w:left="7289" w:hanging="360"/>
      </w:pPr>
      <w:rPr>
        <w:rFonts w:hint="default"/>
        <w:lang w:val="en-ZA" w:eastAsia="en-ZA" w:bidi="en-ZA"/>
      </w:rPr>
    </w:lvl>
    <w:lvl w:ilvl="8">
      <w:numFmt w:val="bullet"/>
      <w:lvlText w:val="•"/>
      <w:lvlJc w:val="left"/>
      <w:pPr>
        <w:ind w:left="8294" w:hanging="360"/>
      </w:pPr>
      <w:rPr>
        <w:rFonts w:hint="default"/>
        <w:lang w:val="en-ZA" w:eastAsia="en-ZA" w:bidi="en-ZA"/>
      </w:rPr>
    </w:lvl>
  </w:abstractNum>
  <w:abstractNum w:abstractNumId="1">
    <w:nsid w:val="04950332"/>
    <w:multiLevelType w:val="hybridMultilevel"/>
    <w:tmpl w:val="91C48512"/>
    <w:lvl w:ilvl="0" w:tplc="95BCB542">
      <w:start w:val="1"/>
      <w:numFmt w:val="lowerLetter"/>
      <w:lvlText w:val="%1)"/>
      <w:lvlJc w:val="left"/>
      <w:pPr>
        <w:ind w:left="1303" w:hanging="340"/>
      </w:pPr>
      <w:rPr>
        <w:rFonts w:ascii="Calibri" w:eastAsia="Calibri" w:hAnsi="Calibri" w:cs="Calibri" w:hint="default"/>
        <w:w w:val="101"/>
        <w:sz w:val="19"/>
        <w:szCs w:val="19"/>
        <w:lang w:val="en-US" w:eastAsia="en-US" w:bidi="en-US"/>
      </w:rPr>
    </w:lvl>
    <w:lvl w:ilvl="1" w:tplc="548CF47E">
      <w:numFmt w:val="bullet"/>
      <w:lvlText w:val="•"/>
      <w:lvlJc w:val="left"/>
      <w:pPr>
        <w:ind w:left="2360" w:hanging="340"/>
      </w:pPr>
      <w:rPr>
        <w:rFonts w:hint="default"/>
        <w:lang w:val="en-US" w:eastAsia="en-US" w:bidi="en-US"/>
      </w:rPr>
    </w:lvl>
    <w:lvl w:ilvl="2" w:tplc="1E562DAE">
      <w:numFmt w:val="bullet"/>
      <w:lvlText w:val="•"/>
      <w:lvlJc w:val="left"/>
      <w:pPr>
        <w:ind w:left="3421" w:hanging="340"/>
      </w:pPr>
      <w:rPr>
        <w:rFonts w:hint="default"/>
        <w:lang w:val="en-US" w:eastAsia="en-US" w:bidi="en-US"/>
      </w:rPr>
    </w:lvl>
    <w:lvl w:ilvl="3" w:tplc="C6E854A8">
      <w:numFmt w:val="bullet"/>
      <w:lvlText w:val="•"/>
      <w:lvlJc w:val="left"/>
      <w:pPr>
        <w:ind w:left="4481" w:hanging="340"/>
      </w:pPr>
      <w:rPr>
        <w:rFonts w:hint="default"/>
        <w:lang w:val="en-US" w:eastAsia="en-US" w:bidi="en-US"/>
      </w:rPr>
    </w:lvl>
    <w:lvl w:ilvl="4" w:tplc="1FE88B5E">
      <w:numFmt w:val="bullet"/>
      <w:lvlText w:val="•"/>
      <w:lvlJc w:val="left"/>
      <w:pPr>
        <w:ind w:left="5542" w:hanging="340"/>
      </w:pPr>
      <w:rPr>
        <w:rFonts w:hint="default"/>
        <w:lang w:val="en-US" w:eastAsia="en-US" w:bidi="en-US"/>
      </w:rPr>
    </w:lvl>
    <w:lvl w:ilvl="5" w:tplc="1242AE10">
      <w:numFmt w:val="bullet"/>
      <w:lvlText w:val="•"/>
      <w:lvlJc w:val="left"/>
      <w:pPr>
        <w:ind w:left="6602" w:hanging="340"/>
      </w:pPr>
      <w:rPr>
        <w:rFonts w:hint="default"/>
        <w:lang w:val="en-US" w:eastAsia="en-US" w:bidi="en-US"/>
      </w:rPr>
    </w:lvl>
    <w:lvl w:ilvl="6" w:tplc="40848ED0">
      <w:numFmt w:val="bullet"/>
      <w:lvlText w:val="•"/>
      <w:lvlJc w:val="left"/>
      <w:pPr>
        <w:ind w:left="7663" w:hanging="340"/>
      </w:pPr>
      <w:rPr>
        <w:rFonts w:hint="default"/>
        <w:lang w:val="en-US" w:eastAsia="en-US" w:bidi="en-US"/>
      </w:rPr>
    </w:lvl>
    <w:lvl w:ilvl="7" w:tplc="57F86170">
      <w:numFmt w:val="bullet"/>
      <w:lvlText w:val="•"/>
      <w:lvlJc w:val="left"/>
      <w:pPr>
        <w:ind w:left="8723" w:hanging="340"/>
      </w:pPr>
      <w:rPr>
        <w:rFonts w:hint="default"/>
        <w:lang w:val="en-US" w:eastAsia="en-US" w:bidi="en-US"/>
      </w:rPr>
    </w:lvl>
    <w:lvl w:ilvl="8" w:tplc="8FAE7F6E">
      <w:numFmt w:val="bullet"/>
      <w:lvlText w:val="•"/>
      <w:lvlJc w:val="left"/>
      <w:pPr>
        <w:ind w:left="9784" w:hanging="340"/>
      </w:pPr>
      <w:rPr>
        <w:rFonts w:hint="default"/>
        <w:lang w:val="en-US" w:eastAsia="en-US" w:bidi="en-US"/>
      </w:rPr>
    </w:lvl>
  </w:abstractNum>
  <w:abstractNum w:abstractNumId="2">
    <w:nsid w:val="05C801D6"/>
    <w:multiLevelType w:val="hybridMultilevel"/>
    <w:tmpl w:val="BC9425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E230C4"/>
    <w:multiLevelType w:val="multilevel"/>
    <w:tmpl w:val="950A1AF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352C29"/>
    <w:multiLevelType w:val="hybridMultilevel"/>
    <w:tmpl w:val="C12A1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3269BC"/>
    <w:multiLevelType w:val="hybridMultilevel"/>
    <w:tmpl w:val="2F44B97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953D20"/>
    <w:multiLevelType w:val="hybridMultilevel"/>
    <w:tmpl w:val="79D8C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B5B55D1"/>
    <w:multiLevelType w:val="hybridMultilevel"/>
    <w:tmpl w:val="DEF26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D786783"/>
    <w:multiLevelType w:val="hybridMultilevel"/>
    <w:tmpl w:val="BFFE25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0E697AA9"/>
    <w:multiLevelType w:val="multilevel"/>
    <w:tmpl w:val="07C08C7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D4359B"/>
    <w:multiLevelType w:val="hybridMultilevel"/>
    <w:tmpl w:val="8A3CCB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194B7B3F"/>
    <w:multiLevelType w:val="hybridMultilevel"/>
    <w:tmpl w:val="F8940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1B29FE"/>
    <w:multiLevelType w:val="hybridMultilevel"/>
    <w:tmpl w:val="AB72C47C"/>
    <w:lvl w:ilvl="0" w:tplc="68A02C3E">
      <w:start w:val="1"/>
      <w:numFmt w:val="decimal"/>
      <w:lvlText w:val="%1)"/>
      <w:lvlJc w:val="left"/>
      <w:pPr>
        <w:ind w:left="1303" w:hanging="340"/>
      </w:pPr>
      <w:rPr>
        <w:rFonts w:ascii="Times New Roman" w:eastAsia="Calibri" w:hAnsi="Times New Roman" w:cs="Times New Roman" w:hint="default"/>
        <w:b/>
        <w:bCs/>
        <w:w w:val="108"/>
        <w:sz w:val="22"/>
        <w:szCs w:val="22"/>
        <w:lang w:val="en-US" w:eastAsia="en-US" w:bidi="en-US"/>
      </w:rPr>
    </w:lvl>
    <w:lvl w:ilvl="1" w:tplc="2280D1C8">
      <w:numFmt w:val="bullet"/>
      <w:lvlText w:val="•"/>
      <w:lvlJc w:val="left"/>
      <w:pPr>
        <w:ind w:left="2360" w:hanging="340"/>
      </w:pPr>
      <w:rPr>
        <w:rFonts w:hint="default"/>
        <w:lang w:val="en-US" w:eastAsia="en-US" w:bidi="en-US"/>
      </w:rPr>
    </w:lvl>
    <w:lvl w:ilvl="2" w:tplc="7D523D3E">
      <w:numFmt w:val="bullet"/>
      <w:lvlText w:val="•"/>
      <w:lvlJc w:val="left"/>
      <w:pPr>
        <w:ind w:left="3421" w:hanging="340"/>
      </w:pPr>
      <w:rPr>
        <w:rFonts w:hint="default"/>
        <w:lang w:val="en-US" w:eastAsia="en-US" w:bidi="en-US"/>
      </w:rPr>
    </w:lvl>
    <w:lvl w:ilvl="3" w:tplc="FED4D0EE">
      <w:numFmt w:val="bullet"/>
      <w:lvlText w:val="•"/>
      <w:lvlJc w:val="left"/>
      <w:pPr>
        <w:ind w:left="4481" w:hanging="340"/>
      </w:pPr>
      <w:rPr>
        <w:rFonts w:hint="default"/>
        <w:lang w:val="en-US" w:eastAsia="en-US" w:bidi="en-US"/>
      </w:rPr>
    </w:lvl>
    <w:lvl w:ilvl="4" w:tplc="C0F04810">
      <w:numFmt w:val="bullet"/>
      <w:lvlText w:val="•"/>
      <w:lvlJc w:val="left"/>
      <w:pPr>
        <w:ind w:left="5542" w:hanging="340"/>
      </w:pPr>
      <w:rPr>
        <w:rFonts w:hint="default"/>
        <w:lang w:val="en-US" w:eastAsia="en-US" w:bidi="en-US"/>
      </w:rPr>
    </w:lvl>
    <w:lvl w:ilvl="5" w:tplc="ECA61DBC">
      <w:numFmt w:val="bullet"/>
      <w:lvlText w:val="•"/>
      <w:lvlJc w:val="left"/>
      <w:pPr>
        <w:ind w:left="6602" w:hanging="340"/>
      </w:pPr>
      <w:rPr>
        <w:rFonts w:hint="default"/>
        <w:lang w:val="en-US" w:eastAsia="en-US" w:bidi="en-US"/>
      </w:rPr>
    </w:lvl>
    <w:lvl w:ilvl="6" w:tplc="049E742A">
      <w:numFmt w:val="bullet"/>
      <w:lvlText w:val="•"/>
      <w:lvlJc w:val="left"/>
      <w:pPr>
        <w:ind w:left="7663" w:hanging="340"/>
      </w:pPr>
      <w:rPr>
        <w:rFonts w:hint="default"/>
        <w:lang w:val="en-US" w:eastAsia="en-US" w:bidi="en-US"/>
      </w:rPr>
    </w:lvl>
    <w:lvl w:ilvl="7" w:tplc="EEA0129E">
      <w:numFmt w:val="bullet"/>
      <w:lvlText w:val="•"/>
      <w:lvlJc w:val="left"/>
      <w:pPr>
        <w:ind w:left="8723" w:hanging="340"/>
      </w:pPr>
      <w:rPr>
        <w:rFonts w:hint="default"/>
        <w:lang w:val="en-US" w:eastAsia="en-US" w:bidi="en-US"/>
      </w:rPr>
    </w:lvl>
    <w:lvl w:ilvl="8" w:tplc="777EC084">
      <w:numFmt w:val="bullet"/>
      <w:lvlText w:val="•"/>
      <w:lvlJc w:val="left"/>
      <w:pPr>
        <w:ind w:left="9784" w:hanging="340"/>
      </w:pPr>
      <w:rPr>
        <w:rFonts w:hint="default"/>
        <w:lang w:val="en-US" w:eastAsia="en-US" w:bidi="en-US"/>
      </w:rPr>
    </w:lvl>
  </w:abstractNum>
  <w:abstractNum w:abstractNumId="13">
    <w:nsid w:val="1B247B06"/>
    <w:multiLevelType w:val="hybridMultilevel"/>
    <w:tmpl w:val="E6FAC71C"/>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B792478"/>
    <w:multiLevelType w:val="multilevel"/>
    <w:tmpl w:val="DF60EC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090D56"/>
    <w:multiLevelType w:val="hybridMultilevel"/>
    <w:tmpl w:val="7C149F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D5B5A41"/>
    <w:multiLevelType w:val="multilevel"/>
    <w:tmpl w:val="8DB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15F3C"/>
    <w:multiLevelType w:val="hybridMultilevel"/>
    <w:tmpl w:val="987A1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7AA710B"/>
    <w:multiLevelType w:val="hybridMultilevel"/>
    <w:tmpl w:val="2962169C"/>
    <w:lvl w:ilvl="0" w:tplc="DA3CEE6C">
      <w:start w:val="1"/>
      <w:numFmt w:val="bullet"/>
      <w:lvlText w:val="•"/>
      <w:lvlJc w:val="left"/>
      <w:pPr>
        <w:tabs>
          <w:tab w:val="num" w:pos="720"/>
        </w:tabs>
        <w:ind w:left="720" w:hanging="360"/>
      </w:pPr>
      <w:rPr>
        <w:rFonts w:ascii="Arial" w:hAnsi="Arial" w:hint="default"/>
      </w:rPr>
    </w:lvl>
    <w:lvl w:ilvl="1" w:tplc="68AABE1A">
      <w:start w:val="1"/>
      <w:numFmt w:val="bullet"/>
      <w:lvlText w:val="•"/>
      <w:lvlJc w:val="left"/>
      <w:pPr>
        <w:tabs>
          <w:tab w:val="num" w:pos="1440"/>
        </w:tabs>
        <w:ind w:left="1440" w:hanging="360"/>
      </w:pPr>
      <w:rPr>
        <w:rFonts w:ascii="Arial" w:hAnsi="Arial" w:hint="default"/>
      </w:rPr>
    </w:lvl>
    <w:lvl w:ilvl="2" w:tplc="96BE6AB2" w:tentative="1">
      <w:start w:val="1"/>
      <w:numFmt w:val="bullet"/>
      <w:lvlText w:val="•"/>
      <w:lvlJc w:val="left"/>
      <w:pPr>
        <w:tabs>
          <w:tab w:val="num" w:pos="2160"/>
        </w:tabs>
        <w:ind w:left="2160" w:hanging="360"/>
      </w:pPr>
      <w:rPr>
        <w:rFonts w:ascii="Arial" w:hAnsi="Arial" w:hint="default"/>
      </w:rPr>
    </w:lvl>
    <w:lvl w:ilvl="3" w:tplc="870EBBCA" w:tentative="1">
      <w:start w:val="1"/>
      <w:numFmt w:val="bullet"/>
      <w:lvlText w:val="•"/>
      <w:lvlJc w:val="left"/>
      <w:pPr>
        <w:tabs>
          <w:tab w:val="num" w:pos="2880"/>
        </w:tabs>
        <w:ind w:left="2880" w:hanging="360"/>
      </w:pPr>
      <w:rPr>
        <w:rFonts w:ascii="Arial" w:hAnsi="Arial" w:hint="default"/>
      </w:rPr>
    </w:lvl>
    <w:lvl w:ilvl="4" w:tplc="E8F6DAAC" w:tentative="1">
      <w:start w:val="1"/>
      <w:numFmt w:val="bullet"/>
      <w:lvlText w:val="•"/>
      <w:lvlJc w:val="left"/>
      <w:pPr>
        <w:tabs>
          <w:tab w:val="num" w:pos="3600"/>
        </w:tabs>
        <w:ind w:left="3600" w:hanging="360"/>
      </w:pPr>
      <w:rPr>
        <w:rFonts w:ascii="Arial" w:hAnsi="Arial" w:hint="default"/>
      </w:rPr>
    </w:lvl>
    <w:lvl w:ilvl="5" w:tplc="7A64BE20" w:tentative="1">
      <w:start w:val="1"/>
      <w:numFmt w:val="bullet"/>
      <w:lvlText w:val="•"/>
      <w:lvlJc w:val="left"/>
      <w:pPr>
        <w:tabs>
          <w:tab w:val="num" w:pos="4320"/>
        </w:tabs>
        <w:ind w:left="4320" w:hanging="360"/>
      </w:pPr>
      <w:rPr>
        <w:rFonts w:ascii="Arial" w:hAnsi="Arial" w:hint="default"/>
      </w:rPr>
    </w:lvl>
    <w:lvl w:ilvl="6" w:tplc="531CD782" w:tentative="1">
      <w:start w:val="1"/>
      <w:numFmt w:val="bullet"/>
      <w:lvlText w:val="•"/>
      <w:lvlJc w:val="left"/>
      <w:pPr>
        <w:tabs>
          <w:tab w:val="num" w:pos="5040"/>
        </w:tabs>
        <w:ind w:left="5040" w:hanging="360"/>
      </w:pPr>
      <w:rPr>
        <w:rFonts w:ascii="Arial" w:hAnsi="Arial" w:hint="default"/>
      </w:rPr>
    </w:lvl>
    <w:lvl w:ilvl="7" w:tplc="17D23854" w:tentative="1">
      <w:start w:val="1"/>
      <w:numFmt w:val="bullet"/>
      <w:lvlText w:val="•"/>
      <w:lvlJc w:val="left"/>
      <w:pPr>
        <w:tabs>
          <w:tab w:val="num" w:pos="5760"/>
        </w:tabs>
        <w:ind w:left="5760" w:hanging="360"/>
      </w:pPr>
      <w:rPr>
        <w:rFonts w:ascii="Arial" w:hAnsi="Arial" w:hint="default"/>
      </w:rPr>
    </w:lvl>
    <w:lvl w:ilvl="8" w:tplc="7C02D156" w:tentative="1">
      <w:start w:val="1"/>
      <w:numFmt w:val="bullet"/>
      <w:lvlText w:val="•"/>
      <w:lvlJc w:val="left"/>
      <w:pPr>
        <w:tabs>
          <w:tab w:val="num" w:pos="6480"/>
        </w:tabs>
        <w:ind w:left="6480" w:hanging="360"/>
      </w:pPr>
      <w:rPr>
        <w:rFonts w:ascii="Arial" w:hAnsi="Arial" w:hint="default"/>
      </w:rPr>
    </w:lvl>
  </w:abstractNum>
  <w:abstractNum w:abstractNumId="19">
    <w:nsid w:val="28A04E77"/>
    <w:multiLevelType w:val="hybridMultilevel"/>
    <w:tmpl w:val="FD58A2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2DE869B4"/>
    <w:multiLevelType w:val="hybridMultilevel"/>
    <w:tmpl w:val="B5A2B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1A303E7"/>
    <w:multiLevelType w:val="hybridMultilevel"/>
    <w:tmpl w:val="C67E46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37487386"/>
    <w:multiLevelType w:val="hybridMultilevel"/>
    <w:tmpl w:val="4CE66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924F0"/>
    <w:multiLevelType w:val="hybridMultilevel"/>
    <w:tmpl w:val="7BE0B4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8446D3"/>
    <w:multiLevelType w:val="hybridMultilevel"/>
    <w:tmpl w:val="A1E0A56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nsid w:val="3CDC13A5"/>
    <w:multiLevelType w:val="hybridMultilevel"/>
    <w:tmpl w:val="84029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00A09FD"/>
    <w:multiLevelType w:val="hybridMultilevel"/>
    <w:tmpl w:val="713C92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4257407"/>
    <w:multiLevelType w:val="hybridMultilevel"/>
    <w:tmpl w:val="D5D29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F46524"/>
    <w:multiLevelType w:val="hybridMultilevel"/>
    <w:tmpl w:val="05F01B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9">
    <w:nsid w:val="4C4A0A39"/>
    <w:multiLevelType w:val="multilevel"/>
    <w:tmpl w:val="53488C9A"/>
    <w:lvl w:ilvl="0">
      <w:start w:val="1"/>
      <w:numFmt w:val="decimal"/>
      <w:lvlText w:val="%1."/>
      <w:lvlJc w:val="left"/>
      <w:pPr>
        <w:ind w:left="720" w:hanging="360"/>
      </w:pPr>
      <w:rPr>
        <w:b w:val="0"/>
      </w:rPr>
    </w:lvl>
    <w:lvl w:ilvl="1">
      <w:start w:val="9"/>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527378"/>
    <w:multiLevelType w:val="hybridMultilevel"/>
    <w:tmpl w:val="C0C48FFE"/>
    <w:lvl w:ilvl="0" w:tplc="67105FC4">
      <w:start w:val="1"/>
      <w:numFmt w:val="decimal"/>
      <w:lvlText w:val="%1."/>
      <w:lvlJc w:val="left"/>
      <w:pPr>
        <w:ind w:left="1538" w:hanging="360"/>
      </w:pPr>
      <w:rPr>
        <w:rFonts w:ascii="Calibri" w:eastAsia="Calibri" w:hAnsi="Calibri" w:cs="Calibri" w:hint="default"/>
        <w:color w:val="auto"/>
        <w:w w:val="100"/>
        <w:sz w:val="22"/>
        <w:szCs w:val="22"/>
        <w:lang w:val="en-ZA" w:eastAsia="en-ZA" w:bidi="en-ZA"/>
      </w:rPr>
    </w:lvl>
    <w:lvl w:ilvl="1" w:tplc="D02E1960">
      <w:numFmt w:val="bullet"/>
      <w:lvlText w:val="•"/>
      <w:lvlJc w:val="left"/>
      <w:pPr>
        <w:ind w:left="2416" w:hanging="360"/>
      </w:pPr>
      <w:rPr>
        <w:rFonts w:hint="default"/>
        <w:lang w:val="en-ZA" w:eastAsia="en-ZA" w:bidi="en-ZA"/>
      </w:rPr>
    </w:lvl>
    <w:lvl w:ilvl="2" w:tplc="FE103096">
      <w:numFmt w:val="bullet"/>
      <w:lvlText w:val="•"/>
      <w:lvlJc w:val="left"/>
      <w:pPr>
        <w:ind w:left="3293" w:hanging="360"/>
      </w:pPr>
      <w:rPr>
        <w:rFonts w:hint="default"/>
        <w:lang w:val="en-ZA" w:eastAsia="en-ZA" w:bidi="en-ZA"/>
      </w:rPr>
    </w:lvl>
    <w:lvl w:ilvl="3" w:tplc="5D3401C0">
      <w:numFmt w:val="bullet"/>
      <w:lvlText w:val="•"/>
      <w:lvlJc w:val="left"/>
      <w:pPr>
        <w:ind w:left="4169" w:hanging="360"/>
      </w:pPr>
      <w:rPr>
        <w:rFonts w:hint="default"/>
        <w:lang w:val="en-ZA" w:eastAsia="en-ZA" w:bidi="en-ZA"/>
      </w:rPr>
    </w:lvl>
    <w:lvl w:ilvl="4" w:tplc="990CED00">
      <w:numFmt w:val="bullet"/>
      <w:lvlText w:val="•"/>
      <w:lvlJc w:val="left"/>
      <w:pPr>
        <w:ind w:left="5046" w:hanging="360"/>
      </w:pPr>
      <w:rPr>
        <w:rFonts w:hint="default"/>
        <w:lang w:val="en-ZA" w:eastAsia="en-ZA" w:bidi="en-ZA"/>
      </w:rPr>
    </w:lvl>
    <w:lvl w:ilvl="5" w:tplc="D05E2548">
      <w:numFmt w:val="bullet"/>
      <w:lvlText w:val="•"/>
      <w:lvlJc w:val="left"/>
      <w:pPr>
        <w:ind w:left="5923" w:hanging="360"/>
      </w:pPr>
      <w:rPr>
        <w:rFonts w:hint="default"/>
        <w:lang w:val="en-ZA" w:eastAsia="en-ZA" w:bidi="en-ZA"/>
      </w:rPr>
    </w:lvl>
    <w:lvl w:ilvl="6" w:tplc="ACDC29F8">
      <w:numFmt w:val="bullet"/>
      <w:lvlText w:val="•"/>
      <w:lvlJc w:val="left"/>
      <w:pPr>
        <w:ind w:left="6799" w:hanging="360"/>
      </w:pPr>
      <w:rPr>
        <w:rFonts w:hint="default"/>
        <w:lang w:val="en-ZA" w:eastAsia="en-ZA" w:bidi="en-ZA"/>
      </w:rPr>
    </w:lvl>
    <w:lvl w:ilvl="7" w:tplc="7E10D1C8">
      <w:numFmt w:val="bullet"/>
      <w:lvlText w:val="•"/>
      <w:lvlJc w:val="left"/>
      <w:pPr>
        <w:ind w:left="7676" w:hanging="360"/>
      </w:pPr>
      <w:rPr>
        <w:rFonts w:hint="default"/>
        <w:lang w:val="en-ZA" w:eastAsia="en-ZA" w:bidi="en-ZA"/>
      </w:rPr>
    </w:lvl>
    <w:lvl w:ilvl="8" w:tplc="64BE4B8C">
      <w:numFmt w:val="bullet"/>
      <w:lvlText w:val="•"/>
      <w:lvlJc w:val="left"/>
      <w:pPr>
        <w:ind w:left="8553" w:hanging="360"/>
      </w:pPr>
      <w:rPr>
        <w:rFonts w:hint="default"/>
        <w:lang w:val="en-ZA" w:eastAsia="en-ZA" w:bidi="en-ZA"/>
      </w:rPr>
    </w:lvl>
  </w:abstractNum>
  <w:abstractNum w:abstractNumId="31">
    <w:nsid w:val="562D3815"/>
    <w:multiLevelType w:val="hybridMultilevel"/>
    <w:tmpl w:val="7848F75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8283C94"/>
    <w:multiLevelType w:val="hybridMultilevel"/>
    <w:tmpl w:val="8A12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977095"/>
    <w:multiLevelType w:val="hybridMultilevel"/>
    <w:tmpl w:val="A89AA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C946296"/>
    <w:multiLevelType w:val="singleLevel"/>
    <w:tmpl w:val="00000000"/>
    <w:lvl w:ilvl="0">
      <w:start w:val="1"/>
      <w:numFmt w:val="bullet"/>
      <w:lvlText w:val="·"/>
      <w:lvlJc w:val="left"/>
      <w:pPr>
        <w:ind w:left="0" w:hanging="360"/>
      </w:pPr>
      <w:rPr>
        <w:rFonts w:ascii="Symbol" w:hAnsi="Symbol" w:hint="default"/>
        <w:w w:val="100"/>
      </w:rPr>
    </w:lvl>
  </w:abstractNum>
  <w:abstractNum w:abstractNumId="35">
    <w:nsid w:val="5C94629E"/>
    <w:multiLevelType w:val="singleLevel"/>
    <w:tmpl w:val="00000000"/>
    <w:lvl w:ilvl="0">
      <w:start w:val="1"/>
      <w:numFmt w:val="bullet"/>
      <w:lvlText w:val="·"/>
      <w:lvlJc w:val="left"/>
      <w:pPr>
        <w:ind w:left="-360" w:hanging="360"/>
      </w:pPr>
      <w:rPr>
        <w:rFonts w:ascii="Symbol" w:hAnsi="Symbol" w:hint="default"/>
        <w:w w:val="100"/>
      </w:rPr>
    </w:lvl>
  </w:abstractNum>
  <w:abstractNum w:abstractNumId="36">
    <w:nsid w:val="5FB621B7"/>
    <w:multiLevelType w:val="hybridMultilevel"/>
    <w:tmpl w:val="4B52E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22F628D"/>
    <w:multiLevelType w:val="hybridMultilevel"/>
    <w:tmpl w:val="FDB00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444F74"/>
    <w:multiLevelType w:val="hybridMultilevel"/>
    <w:tmpl w:val="D340F25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90C2DF9"/>
    <w:multiLevelType w:val="hybridMultilevel"/>
    <w:tmpl w:val="D21863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ACA1301"/>
    <w:multiLevelType w:val="hybridMultilevel"/>
    <w:tmpl w:val="A07EAE6A"/>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674FE8"/>
    <w:multiLevelType w:val="hybridMultilevel"/>
    <w:tmpl w:val="66AEBD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F294F47"/>
    <w:multiLevelType w:val="hybridMultilevel"/>
    <w:tmpl w:val="18A4C8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FF67928"/>
    <w:multiLevelType w:val="hybridMultilevel"/>
    <w:tmpl w:val="7DDCE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FA1662"/>
    <w:multiLevelType w:val="hybridMultilevel"/>
    <w:tmpl w:val="DB3AD166"/>
    <w:lvl w:ilvl="0" w:tplc="D2C2177C">
      <w:start w:val="1"/>
      <w:numFmt w:val="bullet"/>
      <w:lvlText w:val=""/>
      <w:lvlJc w:val="left"/>
      <w:pPr>
        <w:ind w:left="1778" w:hanging="360"/>
      </w:pPr>
      <w:rPr>
        <w:rFonts w:ascii="Symbol" w:hAnsi="Symbol" w:hint="default"/>
      </w:rPr>
    </w:lvl>
    <w:lvl w:ilvl="1" w:tplc="1C090003">
      <w:start w:val="1"/>
      <w:numFmt w:val="bullet"/>
      <w:lvlText w:val="o"/>
      <w:lvlJc w:val="left"/>
      <w:pPr>
        <w:ind w:left="2498" w:hanging="360"/>
      </w:pPr>
      <w:rPr>
        <w:rFonts w:ascii="Courier New" w:hAnsi="Courier New" w:cs="Courier New" w:hint="default"/>
      </w:rPr>
    </w:lvl>
    <w:lvl w:ilvl="2" w:tplc="1C090005">
      <w:start w:val="1"/>
      <w:numFmt w:val="bullet"/>
      <w:lvlText w:val=""/>
      <w:lvlJc w:val="left"/>
      <w:pPr>
        <w:ind w:left="3218" w:hanging="360"/>
      </w:pPr>
      <w:rPr>
        <w:rFonts w:ascii="Wingdings" w:hAnsi="Wingdings" w:hint="default"/>
      </w:rPr>
    </w:lvl>
    <w:lvl w:ilvl="3" w:tplc="1C09000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45">
    <w:nsid w:val="75300FD1"/>
    <w:multiLevelType w:val="hybridMultilevel"/>
    <w:tmpl w:val="CC846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917376F"/>
    <w:multiLevelType w:val="hybridMultilevel"/>
    <w:tmpl w:val="A3EC0A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D99275C"/>
    <w:multiLevelType w:val="hybridMultilevel"/>
    <w:tmpl w:val="44CCD6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8"/>
  </w:num>
  <w:num w:numId="3">
    <w:abstractNumId w:val="28"/>
  </w:num>
  <w:num w:numId="4">
    <w:abstractNumId w:val="10"/>
  </w:num>
  <w:num w:numId="5">
    <w:abstractNumId w:val="6"/>
  </w:num>
  <w:num w:numId="6">
    <w:abstractNumId w:val="46"/>
  </w:num>
  <w:num w:numId="7">
    <w:abstractNumId w:val="26"/>
  </w:num>
  <w:num w:numId="8">
    <w:abstractNumId w:val="36"/>
  </w:num>
  <w:num w:numId="9">
    <w:abstractNumId w:val="47"/>
  </w:num>
  <w:num w:numId="10">
    <w:abstractNumId w:val="32"/>
  </w:num>
  <w:num w:numId="11">
    <w:abstractNumId w:val="17"/>
  </w:num>
  <w:num w:numId="12">
    <w:abstractNumId w:val="39"/>
  </w:num>
  <w:num w:numId="13">
    <w:abstractNumId w:val="2"/>
  </w:num>
  <w:num w:numId="14">
    <w:abstractNumId w:val="27"/>
  </w:num>
  <w:num w:numId="15">
    <w:abstractNumId w:val="40"/>
  </w:num>
  <w:num w:numId="16">
    <w:abstractNumId w:val="31"/>
  </w:num>
  <w:num w:numId="17">
    <w:abstractNumId w:val="38"/>
  </w:num>
  <w:num w:numId="18">
    <w:abstractNumId w:val="13"/>
  </w:num>
  <w:num w:numId="19">
    <w:abstractNumId w:val="19"/>
  </w:num>
  <w:num w:numId="20">
    <w:abstractNumId w:val="34"/>
  </w:num>
  <w:num w:numId="21">
    <w:abstractNumId w:val="35"/>
  </w:num>
  <w:num w:numId="22">
    <w:abstractNumId w:val="29"/>
  </w:num>
  <w:num w:numId="23">
    <w:abstractNumId w:val="23"/>
  </w:num>
  <w:num w:numId="24">
    <w:abstractNumId w:val="15"/>
  </w:num>
  <w:num w:numId="25">
    <w:abstractNumId w:val="30"/>
  </w:num>
  <w:num w:numId="26">
    <w:abstractNumId w:val="0"/>
  </w:num>
  <w:num w:numId="27">
    <w:abstractNumId w:val="33"/>
  </w:num>
  <w:num w:numId="28">
    <w:abstractNumId w:val="44"/>
  </w:num>
  <w:num w:numId="29">
    <w:abstractNumId w:val="22"/>
  </w:num>
  <w:num w:numId="30">
    <w:abstractNumId w:val="14"/>
  </w:num>
  <w:num w:numId="31">
    <w:abstractNumId w:val="18"/>
  </w:num>
  <w:num w:numId="32">
    <w:abstractNumId w:val="37"/>
  </w:num>
  <w:num w:numId="33">
    <w:abstractNumId w:val="1"/>
  </w:num>
  <w:num w:numId="34">
    <w:abstractNumId w:val="12"/>
  </w:num>
  <w:num w:numId="35">
    <w:abstractNumId w:val="20"/>
  </w:num>
  <w:num w:numId="36">
    <w:abstractNumId w:val="4"/>
  </w:num>
  <w:num w:numId="37">
    <w:abstractNumId w:val="45"/>
  </w:num>
  <w:num w:numId="38">
    <w:abstractNumId w:val="25"/>
  </w:num>
  <w:num w:numId="39">
    <w:abstractNumId w:val="11"/>
  </w:num>
  <w:num w:numId="40">
    <w:abstractNumId w:val="24"/>
  </w:num>
  <w:num w:numId="41">
    <w:abstractNumId w:val="7"/>
  </w:num>
  <w:num w:numId="42">
    <w:abstractNumId w:val="16"/>
  </w:num>
  <w:num w:numId="43">
    <w:abstractNumId w:val="9"/>
  </w:num>
  <w:num w:numId="44">
    <w:abstractNumId w:val="42"/>
  </w:num>
  <w:num w:numId="45">
    <w:abstractNumId w:val="43"/>
  </w:num>
  <w:num w:numId="46">
    <w:abstractNumId w:val="41"/>
  </w:num>
  <w:num w:numId="47">
    <w:abstractNumId w:val="3"/>
  </w:num>
  <w:num w:numId="4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D0"/>
    <w:rsid w:val="00001EE9"/>
    <w:rsid w:val="00003254"/>
    <w:rsid w:val="00003548"/>
    <w:rsid w:val="0000389A"/>
    <w:rsid w:val="00003C8C"/>
    <w:rsid w:val="0000484C"/>
    <w:rsid w:val="00004954"/>
    <w:rsid w:val="00004CCC"/>
    <w:rsid w:val="00006EC7"/>
    <w:rsid w:val="000071B1"/>
    <w:rsid w:val="00012EED"/>
    <w:rsid w:val="00014016"/>
    <w:rsid w:val="0001591E"/>
    <w:rsid w:val="0004162B"/>
    <w:rsid w:val="000437EF"/>
    <w:rsid w:val="00043A3B"/>
    <w:rsid w:val="0005129A"/>
    <w:rsid w:val="00051E9C"/>
    <w:rsid w:val="0005304F"/>
    <w:rsid w:val="00060BC1"/>
    <w:rsid w:val="00061695"/>
    <w:rsid w:val="00066B00"/>
    <w:rsid w:val="000676B1"/>
    <w:rsid w:val="00081A21"/>
    <w:rsid w:val="00083133"/>
    <w:rsid w:val="000831A2"/>
    <w:rsid w:val="00085F3E"/>
    <w:rsid w:val="000877BD"/>
    <w:rsid w:val="00091902"/>
    <w:rsid w:val="00097348"/>
    <w:rsid w:val="000A14EB"/>
    <w:rsid w:val="000A2FAE"/>
    <w:rsid w:val="000A7ADB"/>
    <w:rsid w:val="000B097D"/>
    <w:rsid w:val="000B3873"/>
    <w:rsid w:val="000B4501"/>
    <w:rsid w:val="000B5345"/>
    <w:rsid w:val="000C30BB"/>
    <w:rsid w:val="000C313C"/>
    <w:rsid w:val="000C4614"/>
    <w:rsid w:val="000C5479"/>
    <w:rsid w:val="000D1625"/>
    <w:rsid w:val="000D1FCC"/>
    <w:rsid w:val="000D36F0"/>
    <w:rsid w:val="000D38B9"/>
    <w:rsid w:val="000D38E5"/>
    <w:rsid w:val="000D38E7"/>
    <w:rsid w:val="000E2C53"/>
    <w:rsid w:val="000E4A25"/>
    <w:rsid w:val="000F5E43"/>
    <w:rsid w:val="000F7321"/>
    <w:rsid w:val="000F772B"/>
    <w:rsid w:val="00104C10"/>
    <w:rsid w:val="001141A0"/>
    <w:rsid w:val="00117DD2"/>
    <w:rsid w:val="00120131"/>
    <w:rsid w:val="00120146"/>
    <w:rsid w:val="001268C5"/>
    <w:rsid w:val="00132B26"/>
    <w:rsid w:val="00134DF9"/>
    <w:rsid w:val="00145F22"/>
    <w:rsid w:val="001471A6"/>
    <w:rsid w:val="001473C9"/>
    <w:rsid w:val="001525C2"/>
    <w:rsid w:val="0015282A"/>
    <w:rsid w:val="001538AD"/>
    <w:rsid w:val="00153FB5"/>
    <w:rsid w:val="0015491B"/>
    <w:rsid w:val="00155231"/>
    <w:rsid w:val="00155F46"/>
    <w:rsid w:val="0016039C"/>
    <w:rsid w:val="00160FCA"/>
    <w:rsid w:val="00162998"/>
    <w:rsid w:val="00164742"/>
    <w:rsid w:val="00166CF0"/>
    <w:rsid w:val="00170113"/>
    <w:rsid w:val="00172E1E"/>
    <w:rsid w:val="00173020"/>
    <w:rsid w:val="00174802"/>
    <w:rsid w:val="00177F52"/>
    <w:rsid w:val="0018045C"/>
    <w:rsid w:val="00183E51"/>
    <w:rsid w:val="001876E6"/>
    <w:rsid w:val="00187BE5"/>
    <w:rsid w:val="00190CA1"/>
    <w:rsid w:val="0019126B"/>
    <w:rsid w:val="00197BCE"/>
    <w:rsid w:val="00197D04"/>
    <w:rsid w:val="001A03C3"/>
    <w:rsid w:val="001A1BF6"/>
    <w:rsid w:val="001B01EF"/>
    <w:rsid w:val="001B0ACD"/>
    <w:rsid w:val="001B1AF4"/>
    <w:rsid w:val="001C0842"/>
    <w:rsid w:val="001C10AC"/>
    <w:rsid w:val="001C3D9A"/>
    <w:rsid w:val="001C4E0F"/>
    <w:rsid w:val="001C4F31"/>
    <w:rsid w:val="001C6F0B"/>
    <w:rsid w:val="001D4F1D"/>
    <w:rsid w:val="001D61B3"/>
    <w:rsid w:val="001D6F92"/>
    <w:rsid w:val="001D70E9"/>
    <w:rsid w:val="001E4EDA"/>
    <w:rsid w:val="001E5657"/>
    <w:rsid w:val="001F4670"/>
    <w:rsid w:val="001F4BC2"/>
    <w:rsid w:val="001F5422"/>
    <w:rsid w:val="001F5B61"/>
    <w:rsid w:val="001F74A3"/>
    <w:rsid w:val="00205659"/>
    <w:rsid w:val="00205671"/>
    <w:rsid w:val="002105B6"/>
    <w:rsid w:val="00221DAF"/>
    <w:rsid w:val="00221EEF"/>
    <w:rsid w:val="0023238C"/>
    <w:rsid w:val="00234D73"/>
    <w:rsid w:val="002365AC"/>
    <w:rsid w:val="002366E1"/>
    <w:rsid w:val="00236B10"/>
    <w:rsid w:val="00237836"/>
    <w:rsid w:val="00240016"/>
    <w:rsid w:val="00240CAE"/>
    <w:rsid w:val="002416B9"/>
    <w:rsid w:val="00245B2D"/>
    <w:rsid w:val="00246704"/>
    <w:rsid w:val="00251210"/>
    <w:rsid w:val="00253282"/>
    <w:rsid w:val="0025424F"/>
    <w:rsid w:val="00257B8B"/>
    <w:rsid w:val="002727E1"/>
    <w:rsid w:val="0027325E"/>
    <w:rsid w:val="002751E2"/>
    <w:rsid w:val="002768C3"/>
    <w:rsid w:val="00283B82"/>
    <w:rsid w:val="00284D01"/>
    <w:rsid w:val="00286AE0"/>
    <w:rsid w:val="00286E74"/>
    <w:rsid w:val="0029076E"/>
    <w:rsid w:val="00292BB0"/>
    <w:rsid w:val="0029419C"/>
    <w:rsid w:val="00296E66"/>
    <w:rsid w:val="002974CC"/>
    <w:rsid w:val="002A5FE5"/>
    <w:rsid w:val="002B0355"/>
    <w:rsid w:val="002B1DED"/>
    <w:rsid w:val="002B48DB"/>
    <w:rsid w:val="002B709D"/>
    <w:rsid w:val="002B7512"/>
    <w:rsid w:val="002B7E86"/>
    <w:rsid w:val="002C2EB4"/>
    <w:rsid w:val="002C5F41"/>
    <w:rsid w:val="002C69CE"/>
    <w:rsid w:val="002C764B"/>
    <w:rsid w:val="002D03A2"/>
    <w:rsid w:val="002D5BAC"/>
    <w:rsid w:val="002E068C"/>
    <w:rsid w:val="002E20AC"/>
    <w:rsid w:val="002E2382"/>
    <w:rsid w:val="002F16A3"/>
    <w:rsid w:val="002F480A"/>
    <w:rsid w:val="00304AD8"/>
    <w:rsid w:val="00307214"/>
    <w:rsid w:val="00311C62"/>
    <w:rsid w:val="003170EA"/>
    <w:rsid w:val="00320438"/>
    <w:rsid w:val="003208B9"/>
    <w:rsid w:val="00323025"/>
    <w:rsid w:val="00324878"/>
    <w:rsid w:val="00324FFC"/>
    <w:rsid w:val="0032549E"/>
    <w:rsid w:val="00336673"/>
    <w:rsid w:val="003371DD"/>
    <w:rsid w:val="0033788D"/>
    <w:rsid w:val="00341289"/>
    <w:rsid w:val="00341FD3"/>
    <w:rsid w:val="00342261"/>
    <w:rsid w:val="00350333"/>
    <w:rsid w:val="003511C3"/>
    <w:rsid w:val="00351284"/>
    <w:rsid w:val="00351DB4"/>
    <w:rsid w:val="00355BDF"/>
    <w:rsid w:val="003572DA"/>
    <w:rsid w:val="0037073C"/>
    <w:rsid w:val="00371D6B"/>
    <w:rsid w:val="00372976"/>
    <w:rsid w:val="0037356D"/>
    <w:rsid w:val="00373E1B"/>
    <w:rsid w:val="00375EEE"/>
    <w:rsid w:val="0037664A"/>
    <w:rsid w:val="00380ED0"/>
    <w:rsid w:val="003816D3"/>
    <w:rsid w:val="00382629"/>
    <w:rsid w:val="00383939"/>
    <w:rsid w:val="0039069E"/>
    <w:rsid w:val="00393362"/>
    <w:rsid w:val="003941CB"/>
    <w:rsid w:val="003B0270"/>
    <w:rsid w:val="003B1189"/>
    <w:rsid w:val="003C2424"/>
    <w:rsid w:val="003C47BE"/>
    <w:rsid w:val="003C5E70"/>
    <w:rsid w:val="003C5EF4"/>
    <w:rsid w:val="003C730D"/>
    <w:rsid w:val="003D00DC"/>
    <w:rsid w:val="003D2F75"/>
    <w:rsid w:val="003D3747"/>
    <w:rsid w:val="003D3E86"/>
    <w:rsid w:val="003E329B"/>
    <w:rsid w:val="003E390F"/>
    <w:rsid w:val="003E3E65"/>
    <w:rsid w:val="003E3FC6"/>
    <w:rsid w:val="003F1483"/>
    <w:rsid w:val="003F3382"/>
    <w:rsid w:val="003F3FCC"/>
    <w:rsid w:val="00401109"/>
    <w:rsid w:val="004057DB"/>
    <w:rsid w:val="00407C05"/>
    <w:rsid w:val="0041107D"/>
    <w:rsid w:val="00412700"/>
    <w:rsid w:val="00412702"/>
    <w:rsid w:val="00414B3D"/>
    <w:rsid w:val="0042064B"/>
    <w:rsid w:val="00420C57"/>
    <w:rsid w:val="00422B69"/>
    <w:rsid w:val="0042327E"/>
    <w:rsid w:val="00425B34"/>
    <w:rsid w:val="00426639"/>
    <w:rsid w:val="00427C86"/>
    <w:rsid w:val="00427EBA"/>
    <w:rsid w:val="004300D5"/>
    <w:rsid w:val="004308BE"/>
    <w:rsid w:val="00430A80"/>
    <w:rsid w:val="00432B29"/>
    <w:rsid w:val="00435EDC"/>
    <w:rsid w:val="00436083"/>
    <w:rsid w:val="004400D5"/>
    <w:rsid w:val="00442DA7"/>
    <w:rsid w:val="00447CD6"/>
    <w:rsid w:val="00452839"/>
    <w:rsid w:val="00453A4A"/>
    <w:rsid w:val="00470331"/>
    <w:rsid w:val="00470AE2"/>
    <w:rsid w:val="004756E3"/>
    <w:rsid w:val="004779D7"/>
    <w:rsid w:val="00482E7C"/>
    <w:rsid w:val="004838B6"/>
    <w:rsid w:val="0048456D"/>
    <w:rsid w:val="00484F36"/>
    <w:rsid w:val="004852F1"/>
    <w:rsid w:val="0048568C"/>
    <w:rsid w:val="00486F0A"/>
    <w:rsid w:val="00486FE8"/>
    <w:rsid w:val="00487013"/>
    <w:rsid w:val="004905C7"/>
    <w:rsid w:val="00491618"/>
    <w:rsid w:val="00493D78"/>
    <w:rsid w:val="00493E1B"/>
    <w:rsid w:val="00494CF5"/>
    <w:rsid w:val="00494E5C"/>
    <w:rsid w:val="004962F0"/>
    <w:rsid w:val="00496AE4"/>
    <w:rsid w:val="004A0BF0"/>
    <w:rsid w:val="004A5D7F"/>
    <w:rsid w:val="004B34BD"/>
    <w:rsid w:val="004B4A20"/>
    <w:rsid w:val="004C0D90"/>
    <w:rsid w:val="004C3865"/>
    <w:rsid w:val="004C65A5"/>
    <w:rsid w:val="004C70BA"/>
    <w:rsid w:val="004C7619"/>
    <w:rsid w:val="004C76FA"/>
    <w:rsid w:val="004D2ACF"/>
    <w:rsid w:val="004D3515"/>
    <w:rsid w:val="004D39C8"/>
    <w:rsid w:val="004D3C70"/>
    <w:rsid w:val="004E11FF"/>
    <w:rsid w:val="004F4425"/>
    <w:rsid w:val="005001E9"/>
    <w:rsid w:val="0050061F"/>
    <w:rsid w:val="00503958"/>
    <w:rsid w:val="00504321"/>
    <w:rsid w:val="00504EEE"/>
    <w:rsid w:val="005051D9"/>
    <w:rsid w:val="0050537C"/>
    <w:rsid w:val="005065CF"/>
    <w:rsid w:val="00510091"/>
    <w:rsid w:val="005142C8"/>
    <w:rsid w:val="00514F22"/>
    <w:rsid w:val="00516A1E"/>
    <w:rsid w:val="005178BD"/>
    <w:rsid w:val="00517CB2"/>
    <w:rsid w:val="005224A1"/>
    <w:rsid w:val="00523D25"/>
    <w:rsid w:val="0052737A"/>
    <w:rsid w:val="00533E38"/>
    <w:rsid w:val="00536C29"/>
    <w:rsid w:val="00542892"/>
    <w:rsid w:val="00546286"/>
    <w:rsid w:val="005462D1"/>
    <w:rsid w:val="00546DD1"/>
    <w:rsid w:val="00546F75"/>
    <w:rsid w:val="00547090"/>
    <w:rsid w:val="00547D27"/>
    <w:rsid w:val="0055021F"/>
    <w:rsid w:val="00550C39"/>
    <w:rsid w:val="0055166C"/>
    <w:rsid w:val="005536E3"/>
    <w:rsid w:val="00554667"/>
    <w:rsid w:val="00557BFB"/>
    <w:rsid w:val="00562EF9"/>
    <w:rsid w:val="0056438C"/>
    <w:rsid w:val="00573C68"/>
    <w:rsid w:val="00573CE9"/>
    <w:rsid w:val="00574E78"/>
    <w:rsid w:val="00574F2B"/>
    <w:rsid w:val="005916AF"/>
    <w:rsid w:val="005A65D1"/>
    <w:rsid w:val="005A67EA"/>
    <w:rsid w:val="005A7B40"/>
    <w:rsid w:val="005B609C"/>
    <w:rsid w:val="005B629E"/>
    <w:rsid w:val="005C0067"/>
    <w:rsid w:val="005C1443"/>
    <w:rsid w:val="005C1D2A"/>
    <w:rsid w:val="005C2542"/>
    <w:rsid w:val="005C3EFC"/>
    <w:rsid w:val="005C62FD"/>
    <w:rsid w:val="005D47A7"/>
    <w:rsid w:val="005E08F4"/>
    <w:rsid w:val="005E1464"/>
    <w:rsid w:val="005E3CB9"/>
    <w:rsid w:val="005F0E89"/>
    <w:rsid w:val="005F70A8"/>
    <w:rsid w:val="005F72E1"/>
    <w:rsid w:val="006070C5"/>
    <w:rsid w:val="0061131F"/>
    <w:rsid w:val="00612D5B"/>
    <w:rsid w:val="00616134"/>
    <w:rsid w:val="00621BAB"/>
    <w:rsid w:val="00623F37"/>
    <w:rsid w:val="00627B25"/>
    <w:rsid w:val="0063135D"/>
    <w:rsid w:val="00633BEA"/>
    <w:rsid w:val="00634B9A"/>
    <w:rsid w:val="00634F79"/>
    <w:rsid w:val="006465C2"/>
    <w:rsid w:val="00650662"/>
    <w:rsid w:val="00650F1E"/>
    <w:rsid w:val="0065231D"/>
    <w:rsid w:val="00652A03"/>
    <w:rsid w:val="00654B85"/>
    <w:rsid w:val="006554AF"/>
    <w:rsid w:val="00660A5C"/>
    <w:rsid w:val="00661465"/>
    <w:rsid w:val="00664F63"/>
    <w:rsid w:val="0066579C"/>
    <w:rsid w:val="006718F3"/>
    <w:rsid w:val="006727E3"/>
    <w:rsid w:val="0068041F"/>
    <w:rsid w:val="006816D5"/>
    <w:rsid w:val="00692B5E"/>
    <w:rsid w:val="00693D34"/>
    <w:rsid w:val="00694ECA"/>
    <w:rsid w:val="00695AF9"/>
    <w:rsid w:val="006A2A01"/>
    <w:rsid w:val="006A2E52"/>
    <w:rsid w:val="006A35D1"/>
    <w:rsid w:val="006A3952"/>
    <w:rsid w:val="006A6D7D"/>
    <w:rsid w:val="006B11A5"/>
    <w:rsid w:val="006B2849"/>
    <w:rsid w:val="006B4E1B"/>
    <w:rsid w:val="006B65CA"/>
    <w:rsid w:val="006B7A46"/>
    <w:rsid w:val="006C12BD"/>
    <w:rsid w:val="006C155E"/>
    <w:rsid w:val="006C55CD"/>
    <w:rsid w:val="006C7196"/>
    <w:rsid w:val="006C79D0"/>
    <w:rsid w:val="006D0A23"/>
    <w:rsid w:val="006D1BDC"/>
    <w:rsid w:val="006D3EF9"/>
    <w:rsid w:val="006D7238"/>
    <w:rsid w:val="006D7E4E"/>
    <w:rsid w:val="006E0490"/>
    <w:rsid w:val="006F6819"/>
    <w:rsid w:val="006F7175"/>
    <w:rsid w:val="00701C98"/>
    <w:rsid w:val="00703488"/>
    <w:rsid w:val="00705319"/>
    <w:rsid w:val="00707470"/>
    <w:rsid w:val="00713E31"/>
    <w:rsid w:val="007144C7"/>
    <w:rsid w:val="00717BC0"/>
    <w:rsid w:val="00726656"/>
    <w:rsid w:val="00731628"/>
    <w:rsid w:val="00732A22"/>
    <w:rsid w:val="00734AF4"/>
    <w:rsid w:val="00735F0C"/>
    <w:rsid w:val="0074076D"/>
    <w:rsid w:val="007455E3"/>
    <w:rsid w:val="00746F9E"/>
    <w:rsid w:val="007478E9"/>
    <w:rsid w:val="007478FB"/>
    <w:rsid w:val="00747997"/>
    <w:rsid w:val="00747D54"/>
    <w:rsid w:val="00751EAE"/>
    <w:rsid w:val="00754CB2"/>
    <w:rsid w:val="00760BDA"/>
    <w:rsid w:val="007620E3"/>
    <w:rsid w:val="00766062"/>
    <w:rsid w:val="007677F2"/>
    <w:rsid w:val="0077190D"/>
    <w:rsid w:val="0077205E"/>
    <w:rsid w:val="00774517"/>
    <w:rsid w:val="00774836"/>
    <w:rsid w:val="00782BD2"/>
    <w:rsid w:val="00784EB4"/>
    <w:rsid w:val="0078516C"/>
    <w:rsid w:val="00785A75"/>
    <w:rsid w:val="00786AA6"/>
    <w:rsid w:val="00786F37"/>
    <w:rsid w:val="0079222A"/>
    <w:rsid w:val="00794C16"/>
    <w:rsid w:val="007979CC"/>
    <w:rsid w:val="007A1758"/>
    <w:rsid w:val="007A1FAF"/>
    <w:rsid w:val="007B1280"/>
    <w:rsid w:val="007B7E32"/>
    <w:rsid w:val="007C584A"/>
    <w:rsid w:val="007C6B29"/>
    <w:rsid w:val="007D3AB8"/>
    <w:rsid w:val="007D4A51"/>
    <w:rsid w:val="007E0961"/>
    <w:rsid w:val="007E3E8C"/>
    <w:rsid w:val="007E4AE0"/>
    <w:rsid w:val="007E707D"/>
    <w:rsid w:val="007E7472"/>
    <w:rsid w:val="007F3543"/>
    <w:rsid w:val="007F5132"/>
    <w:rsid w:val="007F59E0"/>
    <w:rsid w:val="008030BF"/>
    <w:rsid w:val="0081196F"/>
    <w:rsid w:val="008151B1"/>
    <w:rsid w:val="00817FF2"/>
    <w:rsid w:val="00822083"/>
    <w:rsid w:val="00822748"/>
    <w:rsid w:val="00825A9F"/>
    <w:rsid w:val="00827934"/>
    <w:rsid w:val="00832421"/>
    <w:rsid w:val="00835DFA"/>
    <w:rsid w:val="008363AC"/>
    <w:rsid w:val="008449E5"/>
    <w:rsid w:val="00844D27"/>
    <w:rsid w:val="0084749C"/>
    <w:rsid w:val="008503BC"/>
    <w:rsid w:val="00856B8F"/>
    <w:rsid w:val="00861FC7"/>
    <w:rsid w:val="00862AA5"/>
    <w:rsid w:val="0086469C"/>
    <w:rsid w:val="0087290D"/>
    <w:rsid w:val="00874027"/>
    <w:rsid w:val="008749F9"/>
    <w:rsid w:val="008775FF"/>
    <w:rsid w:val="0087783B"/>
    <w:rsid w:val="00884286"/>
    <w:rsid w:val="00887ECB"/>
    <w:rsid w:val="00891B4D"/>
    <w:rsid w:val="00892B7F"/>
    <w:rsid w:val="00896555"/>
    <w:rsid w:val="008977C7"/>
    <w:rsid w:val="008A4EF5"/>
    <w:rsid w:val="008B07D5"/>
    <w:rsid w:val="008B0E55"/>
    <w:rsid w:val="008B2560"/>
    <w:rsid w:val="008B3231"/>
    <w:rsid w:val="008B6F83"/>
    <w:rsid w:val="008C1D3F"/>
    <w:rsid w:val="008C3E1B"/>
    <w:rsid w:val="008C3FA0"/>
    <w:rsid w:val="008C7391"/>
    <w:rsid w:val="008C7A16"/>
    <w:rsid w:val="008D2B04"/>
    <w:rsid w:val="008D2F02"/>
    <w:rsid w:val="008E03DD"/>
    <w:rsid w:val="008E1243"/>
    <w:rsid w:val="008E27AD"/>
    <w:rsid w:val="008E6F05"/>
    <w:rsid w:val="008F35B1"/>
    <w:rsid w:val="00900A50"/>
    <w:rsid w:val="009114E0"/>
    <w:rsid w:val="00912C61"/>
    <w:rsid w:val="00912DB3"/>
    <w:rsid w:val="0092121A"/>
    <w:rsid w:val="009218B1"/>
    <w:rsid w:val="00923CCE"/>
    <w:rsid w:val="00925304"/>
    <w:rsid w:val="009253FB"/>
    <w:rsid w:val="00933436"/>
    <w:rsid w:val="00934132"/>
    <w:rsid w:val="00935492"/>
    <w:rsid w:val="009374EB"/>
    <w:rsid w:val="009432D8"/>
    <w:rsid w:val="00950BEA"/>
    <w:rsid w:val="00951C31"/>
    <w:rsid w:val="00954102"/>
    <w:rsid w:val="00970561"/>
    <w:rsid w:val="009706E1"/>
    <w:rsid w:val="009738DC"/>
    <w:rsid w:val="00973D03"/>
    <w:rsid w:val="009750B9"/>
    <w:rsid w:val="00975A1A"/>
    <w:rsid w:val="00975F2F"/>
    <w:rsid w:val="00976471"/>
    <w:rsid w:val="0098076A"/>
    <w:rsid w:val="00980C9A"/>
    <w:rsid w:val="00984B76"/>
    <w:rsid w:val="00987920"/>
    <w:rsid w:val="00990A91"/>
    <w:rsid w:val="009A0EFC"/>
    <w:rsid w:val="009A70F0"/>
    <w:rsid w:val="009A71C3"/>
    <w:rsid w:val="009B3BB9"/>
    <w:rsid w:val="009B52A7"/>
    <w:rsid w:val="009C4145"/>
    <w:rsid w:val="009C46CA"/>
    <w:rsid w:val="009D4005"/>
    <w:rsid w:val="009D403F"/>
    <w:rsid w:val="009D421B"/>
    <w:rsid w:val="009D4B87"/>
    <w:rsid w:val="009D6872"/>
    <w:rsid w:val="009D7B0A"/>
    <w:rsid w:val="009E58C6"/>
    <w:rsid w:val="009F02F5"/>
    <w:rsid w:val="009F3391"/>
    <w:rsid w:val="009F4E08"/>
    <w:rsid w:val="00A0047D"/>
    <w:rsid w:val="00A0451F"/>
    <w:rsid w:val="00A06445"/>
    <w:rsid w:val="00A07E61"/>
    <w:rsid w:val="00A10124"/>
    <w:rsid w:val="00A12F99"/>
    <w:rsid w:val="00A147A0"/>
    <w:rsid w:val="00A203DA"/>
    <w:rsid w:val="00A2151A"/>
    <w:rsid w:val="00A21C73"/>
    <w:rsid w:val="00A24A07"/>
    <w:rsid w:val="00A24CEA"/>
    <w:rsid w:val="00A2505F"/>
    <w:rsid w:val="00A34AF1"/>
    <w:rsid w:val="00A3655F"/>
    <w:rsid w:val="00A37F9C"/>
    <w:rsid w:val="00A423F4"/>
    <w:rsid w:val="00A43A85"/>
    <w:rsid w:val="00A4641D"/>
    <w:rsid w:val="00A51237"/>
    <w:rsid w:val="00A5362F"/>
    <w:rsid w:val="00A604C1"/>
    <w:rsid w:val="00A6296B"/>
    <w:rsid w:val="00A65BFF"/>
    <w:rsid w:val="00A70EF9"/>
    <w:rsid w:val="00A75791"/>
    <w:rsid w:val="00A761E3"/>
    <w:rsid w:val="00A80D1C"/>
    <w:rsid w:val="00A87574"/>
    <w:rsid w:val="00A9294A"/>
    <w:rsid w:val="00A9552C"/>
    <w:rsid w:val="00A97558"/>
    <w:rsid w:val="00AA0EF4"/>
    <w:rsid w:val="00AA1E0C"/>
    <w:rsid w:val="00AA3EFB"/>
    <w:rsid w:val="00AA7FDA"/>
    <w:rsid w:val="00AB02C3"/>
    <w:rsid w:val="00AB72E1"/>
    <w:rsid w:val="00AC0ECE"/>
    <w:rsid w:val="00AC1E50"/>
    <w:rsid w:val="00AC7517"/>
    <w:rsid w:val="00AC78B7"/>
    <w:rsid w:val="00AC7A07"/>
    <w:rsid w:val="00AD545A"/>
    <w:rsid w:val="00AE4B68"/>
    <w:rsid w:val="00AF1FC9"/>
    <w:rsid w:val="00B054CE"/>
    <w:rsid w:val="00B15C4B"/>
    <w:rsid w:val="00B16243"/>
    <w:rsid w:val="00B22689"/>
    <w:rsid w:val="00B2699E"/>
    <w:rsid w:val="00B362E6"/>
    <w:rsid w:val="00B42D7E"/>
    <w:rsid w:val="00B51279"/>
    <w:rsid w:val="00B57088"/>
    <w:rsid w:val="00B63A39"/>
    <w:rsid w:val="00B641D8"/>
    <w:rsid w:val="00B660CD"/>
    <w:rsid w:val="00B670B4"/>
    <w:rsid w:val="00B67AB2"/>
    <w:rsid w:val="00B70D6A"/>
    <w:rsid w:val="00B84A17"/>
    <w:rsid w:val="00B867F2"/>
    <w:rsid w:val="00B900CA"/>
    <w:rsid w:val="00B9679A"/>
    <w:rsid w:val="00B97BD3"/>
    <w:rsid w:val="00BA01E7"/>
    <w:rsid w:val="00BA5787"/>
    <w:rsid w:val="00BA7CA4"/>
    <w:rsid w:val="00BB33C0"/>
    <w:rsid w:val="00BB7909"/>
    <w:rsid w:val="00BB7CEC"/>
    <w:rsid w:val="00BB7D9E"/>
    <w:rsid w:val="00BC01D5"/>
    <w:rsid w:val="00BC0A28"/>
    <w:rsid w:val="00BC0B1E"/>
    <w:rsid w:val="00BC2A1E"/>
    <w:rsid w:val="00BC4B0A"/>
    <w:rsid w:val="00BC746B"/>
    <w:rsid w:val="00BD5D08"/>
    <w:rsid w:val="00BE23A8"/>
    <w:rsid w:val="00BE2536"/>
    <w:rsid w:val="00BE6359"/>
    <w:rsid w:val="00BF0F0B"/>
    <w:rsid w:val="00BF599F"/>
    <w:rsid w:val="00C06CFD"/>
    <w:rsid w:val="00C134A0"/>
    <w:rsid w:val="00C26076"/>
    <w:rsid w:val="00C31405"/>
    <w:rsid w:val="00C33170"/>
    <w:rsid w:val="00C3620E"/>
    <w:rsid w:val="00C36CC3"/>
    <w:rsid w:val="00C42EF8"/>
    <w:rsid w:val="00C462F3"/>
    <w:rsid w:val="00C46542"/>
    <w:rsid w:val="00C54DC3"/>
    <w:rsid w:val="00C56505"/>
    <w:rsid w:val="00C56E03"/>
    <w:rsid w:val="00C61CC8"/>
    <w:rsid w:val="00C629C4"/>
    <w:rsid w:val="00C63E82"/>
    <w:rsid w:val="00C64683"/>
    <w:rsid w:val="00C6522B"/>
    <w:rsid w:val="00C77C2B"/>
    <w:rsid w:val="00C80B42"/>
    <w:rsid w:val="00C83BA4"/>
    <w:rsid w:val="00C8451C"/>
    <w:rsid w:val="00C8718B"/>
    <w:rsid w:val="00C91C8E"/>
    <w:rsid w:val="00C91CC8"/>
    <w:rsid w:val="00C91F43"/>
    <w:rsid w:val="00C92526"/>
    <w:rsid w:val="00C97249"/>
    <w:rsid w:val="00C9777E"/>
    <w:rsid w:val="00CA2A79"/>
    <w:rsid w:val="00CA58FD"/>
    <w:rsid w:val="00CA6134"/>
    <w:rsid w:val="00CB2CC8"/>
    <w:rsid w:val="00CB2D02"/>
    <w:rsid w:val="00CB3854"/>
    <w:rsid w:val="00CB4119"/>
    <w:rsid w:val="00CB5B9B"/>
    <w:rsid w:val="00CC0391"/>
    <w:rsid w:val="00CC0781"/>
    <w:rsid w:val="00CC0B3C"/>
    <w:rsid w:val="00CC17E2"/>
    <w:rsid w:val="00CC2B6D"/>
    <w:rsid w:val="00CC3505"/>
    <w:rsid w:val="00CD259B"/>
    <w:rsid w:val="00CD346C"/>
    <w:rsid w:val="00CD58F4"/>
    <w:rsid w:val="00CE19E1"/>
    <w:rsid w:val="00CE1B75"/>
    <w:rsid w:val="00CE305B"/>
    <w:rsid w:val="00CE3C66"/>
    <w:rsid w:val="00CE4023"/>
    <w:rsid w:val="00CF0E4A"/>
    <w:rsid w:val="00CF3055"/>
    <w:rsid w:val="00CF3E25"/>
    <w:rsid w:val="00D00071"/>
    <w:rsid w:val="00D01732"/>
    <w:rsid w:val="00D02034"/>
    <w:rsid w:val="00D06D59"/>
    <w:rsid w:val="00D10329"/>
    <w:rsid w:val="00D1494F"/>
    <w:rsid w:val="00D215F1"/>
    <w:rsid w:val="00D23A43"/>
    <w:rsid w:val="00D23A7D"/>
    <w:rsid w:val="00D34A14"/>
    <w:rsid w:val="00D420DC"/>
    <w:rsid w:val="00D51E36"/>
    <w:rsid w:val="00D52778"/>
    <w:rsid w:val="00D53DED"/>
    <w:rsid w:val="00D54E0B"/>
    <w:rsid w:val="00D55B1D"/>
    <w:rsid w:val="00D563DD"/>
    <w:rsid w:val="00D5747E"/>
    <w:rsid w:val="00D61DA2"/>
    <w:rsid w:val="00D634C8"/>
    <w:rsid w:val="00D70A1C"/>
    <w:rsid w:val="00D739DF"/>
    <w:rsid w:val="00D748C4"/>
    <w:rsid w:val="00D75A41"/>
    <w:rsid w:val="00D7644A"/>
    <w:rsid w:val="00D76E07"/>
    <w:rsid w:val="00D77DCB"/>
    <w:rsid w:val="00D81E30"/>
    <w:rsid w:val="00D83CB6"/>
    <w:rsid w:val="00D85576"/>
    <w:rsid w:val="00D94141"/>
    <w:rsid w:val="00D95967"/>
    <w:rsid w:val="00D9623F"/>
    <w:rsid w:val="00D97358"/>
    <w:rsid w:val="00D97F26"/>
    <w:rsid w:val="00DA3EEA"/>
    <w:rsid w:val="00DA4C55"/>
    <w:rsid w:val="00DA6CC1"/>
    <w:rsid w:val="00DB78FD"/>
    <w:rsid w:val="00DC0BD1"/>
    <w:rsid w:val="00DC1840"/>
    <w:rsid w:val="00DC1E35"/>
    <w:rsid w:val="00DC21AC"/>
    <w:rsid w:val="00DC27D1"/>
    <w:rsid w:val="00DC41E5"/>
    <w:rsid w:val="00DD0C9E"/>
    <w:rsid w:val="00DD1258"/>
    <w:rsid w:val="00DD2A8C"/>
    <w:rsid w:val="00DD3305"/>
    <w:rsid w:val="00DE07A0"/>
    <w:rsid w:val="00DE57F9"/>
    <w:rsid w:val="00DE6386"/>
    <w:rsid w:val="00DE6ED4"/>
    <w:rsid w:val="00DF3696"/>
    <w:rsid w:val="00DF5BF7"/>
    <w:rsid w:val="00E00CA2"/>
    <w:rsid w:val="00E0367C"/>
    <w:rsid w:val="00E10AC2"/>
    <w:rsid w:val="00E11296"/>
    <w:rsid w:val="00E12748"/>
    <w:rsid w:val="00E16FAE"/>
    <w:rsid w:val="00E20CE8"/>
    <w:rsid w:val="00E20E1E"/>
    <w:rsid w:val="00E21CD6"/>
    <w:rsid w:val="00E21EA1"/>
    <w:rsid w:val="00E2682F"/>
    <w:rsid w:val="00E2784B"/>
    <w:rsid w:val="00E311F5"/>
    <w:rsid w:val="00E32A84"/>
    <w:rsid w:val="00E4014A"/>
    <w:rsid w:val="00E4228A"/>
    <w:rsid w:val="00E461F0"/>
    <w:rsid w:val="00E50E1F"/>
    <w:rsid w:val="00E5304B"/>
    <w:rsid w:val="00E5339A"/>
    <w:rsid w:val="00E5524A"/>
    <w:rsid w:val="00E55CD5"/>
    <w:rsid w:val="00E563B7"/>
    <w:rsid w:val="00E56EE9"/>
    <w:rsid w:val="00E638CF"/>
    <w:rsid w:val="00E65371"/>
    <w:rsid w:val="00E67A02"/>
    <w:rsid w:val="00E70911"/>
    <w:rsid w:val="00E72584"/>
    <w:rsid w:val="00E8114D"/>
    <w:rsid w:val="00E82B19"/>
    <w:rsid w:val="00E8461E"/>
    <w:rsid w:val="00E86D1B"/>
    <w:rsid w:val="00E8795F"/>
    <w:rsid w:val="00E9082E"/>
    <w:rsid w:val="00E923E8"/>
    <w:rsid w:val="00EA3438"/>
    <w:rsid w:val="00EA62EB"/>
    <w:rsid w:val="00EA6A1B"/>
    <w:rsid w:val="00EA6D53"/>
    <w:rsid w:val="00EB097D"/>
    <w:rsid w:val="00EB0A4A"/>
    <w:rsid w:val="00EB280B"/>
    <w:rsid w:val="00EB3072"/>
    <w:rsid w:val="00EB3EE3"/>
    <w:rsid w:val="00EB4FB5"/>
    <w:rsid w:val="00EC002E"/>
    <w:rsid w:val="00EC1C6D"/>
    <w:rsid w:val="00EC528D"/>
    <w:rsid w:val="00EC63DD"/>
    <w:rsid w:val="00EC6717"/>
    <w:rsid w:val="00ED0317"/>
    <w:rsid w:val="00ED054E"/>
    <w:rsid w:val="00ED2EE0"/>
    <w:rsid w:val="00EE059A"/>
    <w:rsid w:val="00EE1A4B"/>
    <w:rsid w:val="00EE6E50"/>
    <w:rsid w:val="00EF1AD3"/>
    <w:rsid w:val="00EF4616"/>
    <w:rsid w:val="00EF7249"/>
    <w:rsid w:val="00EF7D3F"/>
    <w:rsid w:val="00F011DA"/>
    <w:rsid w:val="00F01A17"/>
    <w:rsid w:val="00F01B65"/>
    <w:rsid w:val="00F063DA"/>
    <w:rsid w:val="00F06F3A"/>
    <w:rsid w:val="00F07ACD"/>
    <w:rsid w:val="00F07DF1"/>
    <w:rsid w:val="00F112F6"/>
    <w:rsid w:val="00F11B5E"/>
    <w:rsid w:val="00F12443"/>
    <w:rsid w:val="00F13B16"/>
    <w:rsid w:val="00F14D8D"/>
    <w:rsid w:val="00F21A9B"/>
    <w:rsid w:val="00F23395"/>
    <w:rsid w:val="00F233A1"/>
    <w:rsid w:val="00F23821"/>
    <w:rsid w:val="00F27164"/>
    <w:rsid w:val="00F403AD"/>
    <w:rsid w:val="00F41BCC"/>
    <w:rsid w:val="00F429BE"/>
    <w:rsid w:val="00F42AE9"/>
    <w:rsid w:val="00F565EC"/>
    <w:rsid w:val="00F57E5E"/>
    <w:rsid w:val="00F70BCE"/>
    <w:rsid w:val="00F71548"/>
    <w:rsid w:val="00F7213D"/>
    <w:rsid w:val="00F74006"/>
    <w:rsid w:val="00F774D3"/>
    <w:rsid w:val="00F80D9C"/>
    <w:rsid w:val="00F853A8"/>
    <w:rsid w:val="00F945CB"/>
    <w:rsid w:val="00F94FD4"/>
    <w:rsid w:val="00F97C99"/>
    <w:rsid w:val="00FA19CA"/>
    <w:rsid w:val="00FA1C36"/>
    <w:rsid w:val="00FA3845"/>
    <w:rsid w:val="00FA45D6"/>
    <w:rsid w:val="00FB1130"/>
    <w:rsid w:val="00FB3A07"/>
    <w:rsid w:val="00FB70E0"/>
    <w:rsid w:val="00FB75D6"/>
    <w:rsid w:val="00FC462B"/>
    <w:rsid w:val="00FC591A"/>
    <w:rsid w:val="00FD381C"/>
    <w:rsid w:val="00FD75D8"/>
    <w:rsid w:val="00FE2BE6"/>
    <w:rsid w:val="00FE5AF6"/>
    <w:rsid w:val="00FE657E"/>
    <w:rsid w:val="00FF2614"/>
    <w:rsid w:val="00FF6417"/>
    <w:rsid w:val="00FF78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RUSH2"/>
    <w:basedOn w:val="Normal"/>
    <w:next w:val="Normal"/>
    <w:link w:val="Heading3Char"/>
    <w:uiPriority w:val="9"/>
    <w:unhideWhenUsed/>
    <w:qFormat/>
    <w:rsid w:val="00874027"/>
    <w:pPr>
      <w:keepNext/>
      <w:keepLines/>
      <w:spacing w:after="0" w:line="280" w:lineRule="exact"/>
      <w:jc w:val="both"/>
      <w:outlineLvl w:val="2"/>
    </w:pPr>
    <w:rPr>
      <w:rFonts w:ascii="Arial" w:eastAsia="Times New Roman" w:hAnsi="Arial" w:cs="Times New Roman"/>
      <w:b/>
      <w:i/>
      <w:color w:val="53813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uiPriority w:val="99"/>
    <w:rsid w:val="00380ED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uiPriority w:val="99"/>
    <w:rsid w:val="00380ED0"/>
    <w:rPr>
      <w:rFonts w:ascii="Times New Roman" w:eastAsia="Times New Roman" w:hAnsi="Times New Roman" w:cs="Times New Roman"/>
      <w:sz w:val="20"/>
      <w:szCs w:val="20"/>
      <w:lang w:val="en-US"/>
    </w:rPr>
  </w:style>
  <w:style w:type="character" w:styleId="FootnoteReference">
    <w:name w:val="footnote reference"/>
    <w:uiPriority w:val="99"/>
    <w:rsid w:val="00380ED0"/>
    <w:rPr>
      <w:vertAlign w:val="superscript"/>
    </w:rPr>
  </w:style>
  <w:style w:type="paragraph" w:styleId="Header">
    <w:name w:val="header"/>
    <w:basedOn w:val="Normal"/>
    <w:link w:val="HeaderChar"/>
    <w:uiPriority w:val="99"/>
    <w:unhideWhenUsed/>
    <w:rsid w:val="0038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D0"/>
  </w:style>
  <w:style w:type="paragraph" w:styleId="Footer">
    <w:name w:val="footer"/>
    <w:basedOn w:val="Normal"/>
    <w:link w:val="FooterChar"/>
    <w:uiPriority w:val="99"/>
    <w:unhideWhenUsed/>
    <w:rsid w:val="0038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D0"/>
  </w:style>
  <w:style w:type="paragraph" w:styleId="ListParagraph">
    <w:name w:val="List Paragraph"/>
    <w:aliases w:val="normal,List Paragraph 1,Bullets,Bullet Style,Recommendation,List Paragraph1,Bullet List,Table of contents numbered,Colorful List - Accent 11,footer text,Dot pt,F5 List Paragraph,No Spacing1,List Paragraph Char Char Char,Indicator Text"/>
    <w:basedOn w:val="Normal"/>
    <w:link w:val="ListParagraphChar"/>
    <w:uiPriority w:val="34"/>
    <w:qFormat/>
    <w:rsid w:val="00A34AF1"/>
    <w:pPr>
      <w:spacing w:after="0" w:line="240" w:lineRule="auto"/>
      <w:ind w:left="720"/>
      <w:contextualSpacing/>
    </w:pPr>
    <w:rPr>
      <w:rFonts w:ascii="Times New Roman" w:eastAsia="Times New Roman" w:hAnsi="Times New Roman" w:cs="Times New Roman"/>
      <w:sz w:val="24"/>
      <w:szCs w:val="24"/>
      <w:lang w:eastAsia="en-ZA"/>
    </w:rPr>
  </w:style>
  <w:style w:type="character" w:customStyle="1" w:styleId="Heading3Char">
    <w:name w:val="Heading 3 Char"/>
    <w:aliases w:val="Heading 3 RUSH2 Char"/>
    <w:basedOn w:val="DefaultParagraphFont"/>
    <w:link w:val="Heading3"/>
    <w:uiPriority w:val="9"/>
    <w:rsid w:val="00874027"/>
    <w:rPr>
      <w:rFonts w:ascii="Arial" w:eastAsia="Times New Roman" w:hAnsi="Arial" w:cs="Times New Roman"/>
      <w:b/>
      <w:i/>
      <w:color w:val="538135"/>
      <w:szCs w:val="24"/>
      <w:lang w:val="en-GB"/>
    </w:rPr>
  </w:style>
  <w:style w:type="paragraph" w:customStyle="1" w:styleId="Default">
    <w:name w:val="Default"/>
    <w:rsid w:val="009D4005"/>
    <w:pPr>
      <w:autoSpaceDE w:val="0"/>
      <w:autoSpaceDN w:val="0"/>
      <w:adjustRightInd w:val="0"/>
      <w:spacing w:after="0" w:line="240" w:lineRule="auto"/>
    </w:pPr>
    <w:rPr>
      <w:rFonts w:ascii="Arial" w:eastAsia="Times New Roman" w:hAnsi="Arial" w:cs="Arial"/>
      <w:color w:val="000000"/>
      <w:sz w:val="24"/>
      <w:szCs w:val="24"/>
      <w:lang w:eastAsia="en-ZA"/>
    </w:rPr>
  </w:style>
  <w:style w:type="character" w:customStyle="1" w:styleId="Heading2Char">
    <w:name w:val="Heading 2 Char"/>
    <w:basedOn w:val="DefaultParagraphFont"/>
    <w:link w:val="Heading2"/>
    <w:uiPriority w:val="9"/>
    <w:rsid w:val="00A2151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ormal Char,List Paragraph 1 Char,Bullets Char,Bullet Style Char,Recommendation Char,List Paragraph1 Char,Bullet List Char,Table of contents numbered Char,Colorful List - Accent 11 Char,footer text Char,Dot pt Char,No Spacing1 Char"/>
    <w:link w:val="ListParagraph"/>
    <w:uiPriority w:val="34"/>
    <w:locked/>
    <w:rsid w:val="003F3382"/>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827934"/>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827934"/>
  </w:style>
  <w:style w:type="paragraph" w:styleId="BodyText">
    <w:name w:val="Body Text"/>
    <w:basedOn w:val="Normal"/>
    <w:link w:val="BodyTextChar"/>
    <w:unhideWhenUsed/>
    <w:rsid w:val="00827934"/>
    <w:pPr>
      <w:spacing w:after="0" w:line="280" w:lineRule="exact"/>
      <w:jc w:val="both"/>
    </w:pPr>
    <w:rPr>
      <w:rFonts w:ascii="Arial" w:eastAsia="Times New Roman" w:hAnsi="Arial" w:cs="Times New Roman"/>
      <w:color w:val="000000"/>
      <w:spacing w:val="6"/>
      <w:sz w:val="24"/>
      <w:szCs w:val="18"/>
      <w:lang w:val="x-none" w:eastAsia="en-GB"/>
    </w:rPr>
  </w:style>
  <w:style w:type="character" w:customStyle="1" w:styleId="BodyTextChar">
    <w:name w:val="Body Text Char"/>
    <w:basedOn w:val="DefaultParagraphFont"/>
    <w:link w:val="BodyText"/>
    <w:rsid w:val="00827934"/>
    <w:rPr>
      <w:rFonts w:ascii="Arial" w:eastAsia="Times New Roman" w:hAnsi="Arial" w:cs="Times New Roman"/>
      <w:color w:val="000000"/>
      <w:spacing w:val="6"/>
      <w:sz w:val="24"/>
      <w:szCs w:val="18"/>
      <w:lang w:val="x-none" w:eastAsia="en-GB"/>
    </w:rPr>
  </w:style>
  <w:style w:type="paragraph" w:customStyle="1" w:styleId="Normalbold">
    <w:name w:val="Normal bold"/>
    <w:basedOn w:val="Normal"/>
    <w:rsid w:val="00827934"/>
    <w:pPr>
      <w:spacing w:after="0" w:line="280" w:lineRule="exact"/>
      <w:jc w:val="both"/>
    </w:pPr>
    <w:rPr>
      <w:rFonts w:ascii="Arial" w:eastAsia="Times New Roman" w:hAnsi="Arial" w:cs="Times New Roman"/>
      <w:b/>
      <w:color w:val="000000"/>
      <w:spacing w:val="6"/>
      <w:szCs w:val="18"/>
      <w:lang w:val="en-GB" w:eastAsia="en-GB"/>
    </w:rPr>
  </w:style>
  <w:style w:type="table" w:styleId="TableGrid">
    <w:name w:val="Table Grid"/>
    <w:basedOn w:val="TableNormal"/>
    <w:rsid w:val="00827934"/>
    <w:pPr>
      <w:spacing w:after="0" w:line="240" w:lineRule="auto"/>
    </w:pPr>
    <w:rPr>
      <w:rFonts w:ascii="Arial" w:eastAsia="Times New Roman" w:hAnsi="Arial"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93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Paragraph">
    <w:name w:val="Table Paragraph"/>
    <w:basedOn w:val="Normal"/>
    <w:uiPriority w:val="1"/>
    <w:qFormat/>
    <w:rsid w:val="004779D7"/>
    <w:pPr>
      <w:widowControl w:val="0"/>
      <w:autoSpaceDE w:val="0"/>
      <w:autoSpaceDN w:val="0"/>
      <w:spacing w:after="0" w:line="240" w:lineRule="auto"/>
    </w:pPr>
    <w:rPr>
      <w:rFonts w:ascii="Calibri" w:eastAsia="Calibri" w:hAnsi="Calibri" w:cs="Calibri"/>
      <w:lang w:eastAsia="en-ZA" w:bidi="en-ZA"/>
    </w:rPr>
  </w:style>
  <w:style w:type="paragraph" w:customStyle="1" w:styleId="Text">
    <w:name w:val="Text"/>
    <w:link w:val="TextChar"/>
    <w:autoRedefine/>
    <w:qFormat/>
    <w:rsid w:val="007C6B29"/>
    <w:pPr>
      <w:spacing w:before="220" w:after="220" w:line="360" w:lineRule="auto"/>
      <w:jc w:val="both"/>
    </w:pPr>
    <w:rPr>
      <w:rFonts w:ascii="Times New Roman" w:eastAsiaTheme="majorEastAsia" w:hAnsi="Times New Roman" w:cs="Times New Roman"/>
      <w:lang w:bidi="en-US"/>
    </w:rPr>
  </w:style>
  <w:style w:type="character" w:customStyle="1" w:styleId="TextChar">
    <w:name w:val="Text Char"/>
    <w:basedOn w:val="DefaultParagraphFont"/>
    <w:link w:val="Text"/>
    <w:rsid w:val="007C6B29"/>
    <w:rPr>
      <w:rFonts w:ascii="Times New Roman" w:eastAsiaTheme="majorEastAsia" w:hAnsi="Times New Roman" w:cs="Times New Roman"/>
      <w:lang w:bidi="en-US"/>
    </w:rPr>
  </w:style>
  <w:style w:type="paragraph" w:styleId="Caption">
    <w:name w:val="caption"/>
    <w:basedOn w:val="Normal"/>
    <w:next w:val="Normal"/>
    <w:uiPriority w:val="35"/>
    <w:unhideWhenUsed/>
    <w:qFormat/>
    <w:rsid w:val="00ED0317"/>
    <w:pPr>
      <w:spacing w:after="200" w:line="240" w:lineRule="auto"/>
    </w:pPr>
    <w:rPr>
      <w:i/>
      <w:iCs/>
      <w:color w:val="44546A" w:themeColor="text2"/>
      <w:sz w:val="18"/>
      <w:szCs w:val="18"/>
    </w:rPr>
  </w:style>
  <w:style w:type="table" w:customStyle="1" w:styleId="TableGrid12">
    <w:name w:val="Table Grid12"/>
    <w:basedOn w:val="TableNormal"/>
    <w:next w:val="TableGrid"/>
    <w:uiPriority w:val="39"/>
    <w:rsid w:val="00ED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D031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RUSH2"/>
    <w:basedOn w:val="Normal"/>
    <w:next w:val="Normal"/>
    <w:link w:val="Heading3Char"/>
    <w:uiPriority w:val="9"/>
    <w:unhideWhenUsed/>
    <w:qFormat/>
    <w:rsid w:val="00874027"/>
    <w:pPr>
      <w:keepNext/>
      <w:keepLines/>
      <w:spacing w:after="0" w:line="280" w:lineRule="exact"/>
      <w:jc w:val="both"/>
      <w:outlineLvl w:val="2"/>
    </w:pPr>
    <w:rPr>
      <w:rFonts w:ascii="Arial" w:eastAsia="Times New Roman" w:hAnsi="Arial" w:cs="Times New Roman"/>
      <w:b/>
      <w:i/>
      <w:color w:val="53813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uiPriority w:val="99"/>
    <w:rsid w:val="00380ED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uiPriority w:val="99"/>
    <w:rsid w:val="00380ED0"/>
    <w:rPr>
      <w:rFonts w:ascii="Times New Roman" w:eastAsia="Times New Roman" w:hAnsi="Times New Roman" w:cs="Times New Roman"/>
      <w:sz w:val="20"/>
      <w:szCs w:val="20"/>
      <w:lang w:val="en-US"/>
    </w:rPr>
  </w:style>
  <w:style w:type="character" w:styleId="FootnoteReference">
    <w:name w:val="footnote reference"/>
    <w:uiPriority w:val="99"/>
    <w:rsid w:val="00380ED0"/>
    <w:rPr>
      <w:vertAlign w:val="superscript"/>
    </w:rPr>
  </w:style>
  <w:style w:type="paragraph" w:styleId="Header">
    <w:name w:val="header"/>
    <w:basedOn w:val="Normal"/>
    <w:link w:val="HeaderChar"/>
    <w:uiPriority w:val="99"/>
    <w:unhideWhenUsed/>
    <w:rsid w:val="0038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D0"/>
  </w:style>
  <w:style w:type="paragraph" w:styleId="Footer">
    <w:name w:val="footer"/>
    <w:basedOn w:val="Normal"/>
    <w:link w:val="FooterChar"/>
    <w:uiPriority w:val="99"/>
    <w:unhideWhenUsed/>
    <w:rsid w:val="0038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D0"/>
  </w:style>
  <w:style w:type="paragraph" w:styleId="ListParagraph">
    <w:name w:val="List Paragraph"/>
    <w:aliases w:val="normal,List Paragraph 1,Bullets,Bullet Style,Recommendation,List Paragraph1,Bullet List,Table of contents numbered,Colorful List - Accent 11,footer text,Dot pt,F5 List Paragraph,No Spacing1,List Paragraph Char Char Char,Indicator Text"/>
    <w:basedOn w:val="Normal"/>
    <w:link w:val="ListParagraphChar"/>
    <w:uiPriority w:val="34"/>
    <w:qFormat/>
    <w:rsid w:val="00A34AF1"/>
    <w:pPr>
      <w:spacing w:after="0" w:line="240" w:lineRule="auto"/>
      <w:ind w:left="720"/>
      <w:contextualSpacing/>
    </w:pPr>
    <w:rPr>
      <w:rFonts w:ascii="Times New Roman" w:eastAsia="Times New Roman" w:hAnsi="Times New Roman" w:cs="Times New Roman"/>
      <w:sz w:val="24"/>
      <w:szCs w:val="24"/>
      <w:lang w:eastAsia="en-ZA"/>
    </w:rPr>
  </w:style>
  <w:style w:type="character" w:customStyle="1" w:styleId="Heading3Char">
    <w:name w:val="Heading 3 Char"/>
    <w:aliases w:val="Heading 3 RUSH2 Char"/>
    <w:basedOn w:val="DefaultParagraphFont"/>
    <w:link w:val="Heading3"/>
    <w:uiPriority w:val="9"/>
    <w:rsid w:val="00874027"/>
    <w:rPr>
      <w:rFonts w:ascii="Arial" w:eastAsia="Times New Roman" w:hAnsi="Arial" w:cs="Times New Roman"/>
      <w:b/>
      <w:i/>
      <w:color w:val="538135"/>
      <w:szCs w:val="24"/>
      <w:lang w:val="en-GB"/>
    </w:rPr>
  </w:style>
  <w:style w:type="paragraph" w:customStyle="1" w:styleId="Default">
    <w:name w:val="Default"/>
    <w:rsid w:val="009D4005"/>
    <w:pPr>
      <w:autoSpaceDE w:val="0"/>
      <w:autoSpaceDN w:val="0"/>
      <w:adjustRightInd w:val="0"/>
      <w:spacing w:after="0" w:line="240" w:lineRule="auto"/>
    </w:pPr>
    <w:rPr>
      <w:rFonts w:ascii="Arial" w:eastAsia="Times New Roman" w:hAnsi="Arial" w:cs="Arial"/>
      <w:color w:val="000000"/>
      <w:sz w:val="24"/>
      <w:szCs w:val="24"/>
      <w:lang w:eastAsia="en-ZA"/>
    </w:rPr>
  </w:style>
  <w:style w:type="character" w:customStyle="1" w:styleId="Heading2Char">
    <w:name w:val="Heading 2 Char"/>
    <w:basedOn w:val="DefaultParagraphFont"/>
    <w:link w:val="Heading2"/>
    <w:uiPriority w:val="9"/>
    <w:rsid w:val="00A2151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ormal Char,List Paragraph 1 Char,Bullets Char,Bullet Style Char,Recommendation Char,List Paragraph1 Char,Bullet List Char,Table of contents numbered Char,Colorful List - Accent 11 Char,footer text Char,Dot pt Char,No Spacing1 Char"/>
    <w:link w:val="ListParagraph"/>
    <w:uiPriority w:val="34"/>
    <w:locked/>
    <w:rsid w:val="003F3382"/>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827934"/>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827934"/>
  </w:style>
  <w:style w:type="paragraph" w:styleId="BodyText">
    <w:name w:val="Body Text"/>
    <w:basedOn w:val="Normal"/>
    <w:link w:val="BodyTextChar"/>
    <w:unhideWhenUsed/>
    <w:rsid w:val="00827934"/>
    <w:pPr>
      <w:spacing w:after="0" w:line="280" w:lineRule="exact"/>
      <w:jc w:val="both"/>
    </w:pPr>
    <w:rPr>
      <w:rFonts w:ascii="Arial" w:eastAsia="Times New Roman" w:hAnsi="Arial" w:cs="Times New Roman"/>
      <w:color w:val="000000"/>
      <w:spacing w:val="6"/>
      <w:sz w:val="24"/>
      <w:szCs w:val="18"/>
      <w:lang w:val="x-none" w:eastAsia="en-GB"/>
    </w:rPr>
  </w:style>
  <w:style w:type="character" w:customStyle="1" w:styleId="BodyTextChar">
    <w:name w:val="Body Text Char"/>
    <w:basedOn w:val="DefaultParagraphFont"/>
    <w:link w:val="BodyText"/>
    <w:rsid w:val="00827934"/>
    <w:rPr>
      <w:rFonts w:ascii="Arial" w:eastAsia="Times New Roman" w:hAnsi="Arial" w:cs="Times New Roman"/>
      <w:color w:val="000000"/>
      <w:spacing w:val="6"/>
      <w:sz w:val="24"/>
      <w:szCs w:val="18"/>
      <w:lang w:val="x-none" w:eastAsia="en-GB"/>
    </w:rPr>
  </w:style>
  <w:style w:type="paragraph" w:customStyle="1" w:styleId="Normalbold">
    <w:name w:val="Normal bold"/>
    <w:basedOn w:val="Normal"/>
    <w:rsid w:val="00827934"/>
    <w:pPr>
      <w:spacing w:after="0" w:line="280" w:lineRule="exact"/>
      <w:jc w:val="both"/>
    </w:pPr>
    <w:rPr>
      <w:rFonts w:ascii="Arial" w:eastAsia="Times New Roman" w:hAnsi="Arial" w:cs="Times New Roman"/>
      <w:b/>
      <w:color w:val="000000"/>
      <w:spacing w:val="6"/>
      <w:szCs w:val="18"/>
      <w:lang w:val="en-GB" w:eastAsia="en-GB"/>
    </w:rPr>
  </w:style>
  <w:style w:type="table" w:styleId="TableGrid">
    <w:name w:val="Table Grid"/>
    <w:basedOn w:val="TableNormal"/>
    <w:rsid w:val="00827934"/>
    <w:pPr>
      <w:spacing w:after="0" w:line="240" w:lineRule="auto"/>
    </w:pPr>
    <w:rPr>
      <w:rFonts w:ascii="Arial" w:eastAsia="Times New Roman" w:hAnsi="Arial"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93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Paragraph">
    <w:name w:val="Table Paragraph"/>
    <w:basedOn w:val="Normal"/>
    <w:uiPriority w:val="1"/>
    <w:qFormat/>
    <w:rsid w:val="004779D7"/>
    <w:pPr>
      <w:widowControl w:val="0"/>
      <w:autoSpaceDE w:val="0"/>
      <w:autoSpaceDN w:val="0"/>
      <w:spacing w:after="0" w:line="240" w:lineRule="auto"/>
    </w:pPr>
    <w:rPr>
      <w:rFonts w:ascii="Calibri" w:eastAsia="Calibri" w:hAnsi="Calibri" w:cs="Calibri"/>
      <w:lang w:eastAsia="en-ZA" w:bidi="en-ZA"/>
    </w:rPr>
  </w:style>
  <w:style w:type="paragraph" w:customStyle="1" w:styleId="Text">
    <w:name w:val="Text"/>
    <w:link w:val="TextChar"/>
    <w:autoRedefine/>
    <w:qFormat/>
    <w:rsid w:val="007C6B29"/>
    <w:pPr>
      <w:spacing w:before="220" w:after="220" w:line="360" w:lineRule="auto"/>
      <w:jc w:val="both"/>
    </w:pPr>
    <w:rPr>
      <w:rFonts w:ascii="Times New Roman" w:eastAsiaTheme="majorEastAsia" w:hAnsi="Times New Roman" w:cs="Times New Roman"/>
      <w:lang w:bidi="en-US"/>
    </w:rPr>
  </w:style>
  <w:style w:type="character" w:customStyle="1" w:styleId="TextChar">
    <w:name w:val="Text Char"/>
    <w:basedOn w:val="DefaultParagraphFont"/>
    <w:link w:val="Text"/>
    <w:rsid w:val="007C6B29"/>
    <w:rPr>
      <w:rFonts w:ascii="Times New Roman" w:eastAsiaTheme="majorEastAsia" w:hAnsi="Times New Roman" w:cs="Times New Roman"/>
      <w:lang w:bidi="en-US"/>
    </w:rPr>
  </w:style>
  <w:style w:type="paragraph" w:styleId="Caption">
    <w:name w:val="caption"/>
    <w:basedOn w:val="Normal"/>
    <w:next w:val="Normal"/>
    <w:uiPriority w:val="35"/>
    <w:unhideWhenUsed/>
    <w:qFormat/>
    <w:rsid w:val="00ED0317"/>
    <w:pPr>
      <w:spacing w:after="200" w:line="240" w:lineRule="auto"/>
    </w:pPr>
    <w:rPr>
      <w:i/>
      <w:iCs/>
      <w:color w:val="44546A" w:themeColor="text2"/>
      <w:sz w:val="18"/>
      <w:szCs w:val="18"/>
    </w:rPr>
  </w:style>
  <w:style w:type="table" w:customStyle="1" w:styleId="TableGrid12">
    <w:name w:val="Table Grid12"/>
    <w:basedOn w:val="TableNormal"/>
    <w:next w:val="TableGrid"/>
    <w:uiPriority w:val="39"/>
    <w:rsid w:val="00ED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D031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806">
      <w:bodyDiv w:val="1"/>
      <w:marLeft w:val="0"/>
      <w:marRight w:val="0"/>
      <w:marTop w:val="0"/>
      <w:marBottom w:val="0"/>
      <w:divBdr>
        <w:top w:val="none" w:sz="0" w:space="0" w:color="auto"/>
        <w:left w:val="none" w:sz="0" w:space="0" w:color="auto"/>
        <w:bottom w:val="none" w:sz="0" w:space="0" w:color="auto"/>
        <w:right w:val="none" w:sz="0" w:space="0" w:color="auto"/>
      </w:divBdr>
    </w:div>
    <w:div w:id="299918059">
      <w:bodyDiv w:val="1"/>
      <w:marLeft w:val="0"/>
      <w:marRight w:val="0"/>
      <w:marTop w:val="0"/>
      <w:marBottom w:val="0"/>
      <w:divBdr>
        <w:top w:val="none" w:sz="0" w:space="0" w:color="auto"/>
        <w:left w:val="none" w:sz="0" w:space="0" w:color="auto"/>
        <w:bottom w:val="none" w:sz="0" w:space="0" w:color="auto"/>
        <w:right w:val="none" w:sz="0" w:space="0" w:color="auto"/>
      </w:divBdr>
    </w:div>
    <w:div w:id="592128084">
      <w:bodyDiv w:val="1"/>
      <w:marLeft w:val="0"/>
      <w:marRight w:val="0"/>
      <w:marTop w:val="0"/>
      <w:marBottom w:val="0"/>
      <w:divBdr>
        <w:top w:val="none" w:sz="0" w:space="0" w:color="auto"/>
        <w:left w:val="none" w:sz="0" w:space="0" w:color="auto"/>
        <w:bottom w:val="none" w:sz="0" w:space="0" w:color="auto"/>
        <w:right w:val="none" w:sz="0" w:space="0" w:color="auto"/>
      </w:divBdr>
    </w:div>
    <w:div w:id="825049252">
      <w:bodyDiv w:val="1"/>
      <w:marLeft w:val="0"/>
      <w:marRight w:val="0"/>
      <w:marTop w:val="0"/>
      <w:marBottom w:val="0"/>
      <w:divBdr>
        <w:top w:val="none" w:sz="0" w:space="0" w:color="auto"/>
        <w:left w:val="none" w:sz="0" w:space="0" w:color="auto"/>
        <w:bottom w:val="none" w:sz="0" w:space="0" w:color="auto"/>
        <w:right w:val="none" w:sz="0" w:space="0" w:color="auto"/>
      </w:divBdr>
    </w:div>
    <w:div w:id="829249513">
      <w:bodyDiv w:val="1"/>
      <w:marLeft w:val="0"/>
      <w:marRight w:val="0"/>
      <w:marTop w:val="0"/>
      <w:marBottom w:val="0"/>
      <w:divBdr>
        <w:top w:val="none" w:sz="0" w:space="0" w:color="auto"/>
        <w:left w:val="none" w:sz="0" w:space="0" w:color="auto"/>
        <w:bottom w:val="none" w:sz="0" w:space="0" w:color="auto"/>
        <w:right w:val="none" w:sz="0" w:space="0" w:color="auto"/>
      </w:divBdr>
      <w:divsChild>
        <w:div w:id="1052388498">
          <w:marLeft w:val="634"/>
          <w:marRight w:val="0"/>
          <w:marTop w:val="0"/>
          <w:marBottom w:val="0"/>
          <w:divBdr>
            <w:top w:val="none" w:sz="0" w:space="0" w:color="auto"/>
            <w:left w:val="none" w:sz="0" w:space="0" w:color="auto"/>
            <w:bottom w:val="none" w:sz="0" w:space="0" w:color="auto"/>
            <w:right w:val="none" w:sz="0" w:space="0" w:color="auto"/>
          </w:divBdr>
        </w:div>
        <w:div w:id="535699296">
          <w:marLeft w:val="634"/>
          <w:marRight w:val="0"/>
          <w:marTop w:val="0"/>
          <w:marBottom w:val="0"/>
          <w:divBdr>
            <w:top w:val="none" w:sz="0" w:space="0" w:color="auto"/>
            <w:left w:val="none" w:sz="0" w:space="0" w:color="auto"/>
            <w:bottom w:val="none" w:sz="0" w:space="0" w:color="auto"/>
            <w:right w:val="none" w:sz="0" w:space="0" w:color="auto"/>
          </w:divBdr>
        </w:div>
      </w:divsChild>
    </w:div>
    <w:div w:id="1070150229">
      <w:bodyDiv w:val="1"/>
      <w:marLeft w:val="0"/>
      <w:marRight w:val="0"/>
      <w:marTop w:val="0"/>
      <w:marBottom w:val="0"/>
      <w:divBdr>
        <w:top w:val="none" w:sz="0" w:space="0" w:color="auto"/>
        <w:left w:val="none" w:sz="0" w:space="0" w:color="auto"/>
        <w:bottom w:val="none" w:sz="0" w:space="0" w:color="auto"/>
        <w:right w:val="none" w:sz="0" w:space="0" w:color="auto"/>
      </w:divBdr>
    </w:div>
    <w:div w:id="1173111014">
      <w:bodyDiv w:val="1"/>
      <w:marLeft w:val="0"/>
      <w:marRight w:val="0"/>
      <w:marTop w:val="0"/>
      <w:marBottom w:val="0"/>
      <w:divBdr>
        <w:top w:val="none" w:sz="0" w:space="0" w:color="auto"/>
        <w:left w:val="none" w:sz="0" w:space="0" w:color="auto"/>
        <w:bottom w:val="none" w:sz="0" w:space="0" w:color="auto"/>
        <w:right w:val="none" w:sz="0" w:space="0" w:color="auto"/>
      </w:divBdr>
    </w:div>
    <w:div w:id="1441954805">
      <w:bodyDiv w:val="1"/>
      <w:marLeft w:val="0"/>
      <w:marRight w:val="0"/>
      <w:marTop w:val="0"/>
      <w:marBottom w:val="0"/>
      <w:divBdr>
        <w:top w:val="none" w:sz="0" w:space="0" w:color="auto"/>
        <w:left w:val="none" w:sz="0" w:space="0" w:color="auto"/>
        <w:bottom w:val="none" w:sz="0" w:space="0" w:color="auto"/>
        <w:right w:val="none" w:sz="0" w:space="0" w:color="auto"/>
      </w:divBdr>
    </w:div>
    <w:div w:id="1456871332">
      <w:bodyDiv w:val="1"/>
      <w:marLeft w:val="0"/>
      <w:marRight w:val="0"/>
      <w:marTop w:val="0"/>
      <w:marBottom w:val="0"/>
      <w:divBdr>
        <w:top w:val="none" w:sz="0" w:space="0" w:color="auto"/>
        <w:left w:val="none" w:sz="0" w:space="0" w:color="auto"/>
        <w:bottom w:val="none" w:sz="0" w:space="0" w:color="auto"/>
        <w:right w:val="none" w:sz="0" w:space="0" w:color="auto"/>
      </w:divBdr>
    </w:div>
    <w:div w:id="17470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DB5F-98A8-445D-8125-057F86FE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14147</Words>
  <Characters>80639</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cp:lastPrinted>2019-07-04T14:42:00Z</cp:lastPrinted>
  <dcterms:created xsi:type="dcterms:W3CDTF">2019-07-08T11:08:00Z</dcterms:created>
  <dcterms:modified xsi:type="dcterms:W3CDTF">2019-07-08T11:08:00Z</dcterms:modified>
</cp:coreProperties>
</file>