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82051" w14:textId="77777777" w:rsidR="000A4369" w:rsidRPr="000A4369" w:rsidRDefault="000A4369" w:rsidP="000A4369">
      <w:pPr>
        <w:spacing w:after="0" w:line="280" w:lineRule="exact"/>
        <w:ind w:left="540" w:hanging="540"/>
        <w:jc w:val="both"/>
        <w:rPr>
          <w:rFonts w:ascii="Times New Roman" w:eastAsia="Times New Roman" w:hAnsi="Times New Roman" w:cs="Times New Roman"/>
          <w:b/>
          <w:sz w:val="28"/>
          <w:szCs w:val="28"/>
          <w:lang w:val="en-GB"/>
        </w:rPr>
      </w:pPr>
      <w:bookmarkStart w:id="0" w:name="_GoBack"/>
      <w:bookmarkEnd w:id="0"/>
      <w:r w:rsidRPr="000A4369">
        <w:rPr>
          <w:rFonts w:ascii="Times New Roman" w:eastAsia="Times New Roman" w:hAnsi="Times New Roman" w:cs="Times New Roman"/>
          <w:b/>
          <w:sz w:val="28"/>
          <w:szCs w:val="28"/>
          <w:lang w:val="en-GB"/>
        </w:rPr>
        <w:t>8.</w:t>
      </w:r>
      <w:r w:rsidRPr="000A4369">
        <w:rPr>
          <w:rFonts w:ascii="Times New Roman" w:eastAsia="Times New Roman" w:hAnsi="Times New Roman" w:cs="Times New Roman"/>
          <w:b/>
          <w:sz w:val="28"/>
          <w:szCs w:val="28"/>
          <w:lang w:val="en-GB"/>
        </w:rPr>
        <w:tab/>
      </w:r>
      <w:r w:rsidR="00A32202" w:rsidRPr="000A4369">
        <w:rPr>
          <w:rFonts w:ascii="Times New Roman" w:eastAsia="Times New Roman" w:hAnsi="Times New Roman" w:cs="Times New Roman"/>
          <w:b/>
          <w:sz w:val="28"/>
          <w:szCs w:val="28"/>
          <w:lang w:val="en-GB"/>
        </w:rPr>
        <w:t>R</w:t>
      </w:r>
      <w:r w:rsidRPr="000A4369">
        <w:rPr>
          <w:rFonts w:ascii="Times New Roman" w:eastAsia="Times New Roman" w:hAnsi="Times New Roman" w:cs="Times New Roman"/>
          <w:b/>
          <w:sz w:val="28"/>
          <w:szCs w:val="28"/>
          <w:lang w:val="en-GB"/>
        </w:rPr>
        <w:t>eport of the Portfolio Committee on Cooperative Governance and Traditional Affairs on the Annual Performance Plan and Budget of the Department of Cooperative Governance and Traditional Affairs, Dated 04 July 2019</w:t>
      </w:r>
    </w:p>
    <w:p w14:paraId="5EFC7F97" w14:textId="77777777" w:rsidR="00A32202" w:rsidRPr="000A4369" w:rsidRDefault="00A32202" w:rsidP="00A32202">
      <w:pPr>
        <w:spacing w:after="0" w:line="280" w:lineRule="exact"/>
        <w:jc w:val="both"/>
        <w:rPr>
          <w:rFonts w:ascii="Times New Roman" w:eastAsia="Times New Roman" w:hAnsi="Times New Roman" w:cs="Times New Roman"/>
          <w:b/>
          <w:lang w:val="en-GB"/>
        </w:rPr>
      </w:pPr>
    </w:p>
    <w:p w14:paraId="17B7BE97" w14:textId="77777777" w:rsidR="00305282" w:rsidRPr="000A4369" w:rsidRDefault="00305282" w:rsidP="00305282">
      <w:pPr>
        <w:spacing w:after="0" w:line="280" w:lineRule="exact"/>
        <w:jc w:val="both"/>
        <w:rPr>
          <w:rFonts w:ascii="Times New Roman" w:eastAsia="Times New Roman" w:hAnsi="Times New Roman" w:cs="Times New Roman"/>
          <w:sz w:val="24"/>
          <w:szCs w:val="24"/>
          <w:lang w:val="en-GB"/>
        </w:rPr>
      </w:pPr>
      <w:r w:rsidRPr="000A4369">
        <w:rPr>
          <w:rFonts w:ascii="Times New Roman" w:eastAsia="Times New Roman" w:hAnsi="Times New Roman" w:cs="Times New Roman"/>
          <w:sz w:val="24"/>
          <w:szCs w:val="24"/>
          <w:lang w:val="en-GB"/>
        </w:rPr>
        <w:t xml:space="preserve">Having met with the Department of Cooperative Governance and Traditional Affairs, and the entities reporting to it, </w:t>
      </w:r>
      <w:r w:rsidR="00657E87" w:rsidRPr="000A4369">
        <w:rPr>
          <w:rFonts w:ascii="Times New Roman" w:eastAsia="Times New Roman" w:hAnsi="Times New Roman" w:cs="Times New Roman"/>
          <w:sz w:val="24"/>
          <w:szCs w:val="24"/>
          <w:lang w:val="en-GB"/>
        </w:rPr>
        <w:t xml:space="preserve">on </w:t>
      </w:r>
      <w:r w:rsidR="00826740" w:rsidRPr="000A4369">
        <w:rPr>
          <w:rFonts w:ascii="Times New Roman" w:eastAsia="Times New Roman" w:hAnsi="Times New Roman" w:cs="Times New Roman"/>
          <w:sz w:val="24"/>
          <w:szCs w:val="24"/>
          <w:lang w:val="en-GB"/>
        </w:rPr>
        <w:t>their 2019</w:t>
      </w:r>
      <w:r w:rsidR="00657E87" w:rsidRPr="000A4369">
        <w:rPr>
          <w:rFonts w:ascii="Times New Roman" w:eastAsia="Times New Roman" w:hAnsi="Times New Roman" w:cs="Times New Roman"/>
          <w:sz w:val="24"/>
          <w:szCs w:val="24"/>
          <w:lang w:val="en-GB"/>
        </w:rPr>
        <w:t xml:space="preserve"> – 2024 </w:t>
      </w:r>
      <w:r w:rsidR="00826740" w:rsidRPr="000A4369">
        <w:rPr>
          <w:rFonts w:ascii="Times New Roman" w:eastAsia="Times New Roman" w:hAnsi="Times New Roman" w:cs="Times New Roman"/>
          <w:sz w:val="24"/>
          <w:szCs w:val="24"/>
          <w:lang w:val="en-GB"/>
        </w:rPr>
        <w:t>Strategic Plans</w:t>
      </w:r>
      <w:r w:rsidR="00657E87" w:rsidRPr="000A4369">
        <w:rPr>
          <w:rFonts w:ascii="Times New Roman" w:eastAsia="Times New Roman" w:hAnsi="Times New Roman" w:cs="Times New Roman"/>
          <w:sz w:val="24"/>
          <w:szCs w:val="24"/>
          <w:lang w:val="en-GB"/>
        </w:rPr>
        <w:t xml:space="preserve"> and 2018/19 Annual Performance Plan</w:t>
      </w:r>
      <w:r w:rsidR="00826740" w:rsidRPr="000A4369">
        <w:rPr>
          <w:rFonts w:ascii="Times New Roman" w:eastAsia="Times New Roman" w:hAnsi="Times New Roman" w:cs="Times New Roman"/>
          <w:sz w:val="24"/>
          <w:szCs w:val="24"/>
          <w:lang w:val="en-GB"/>
        </w:rPr>
        <w:t>s</w:t>
      </w:r>
      <w:r w:rsidR="00657E87" w:rsidRPr="000A4369">
        <w:rPr>
          <w:rFonts w:ascii="Times New Roman" w:eastAsia="Times New Roman" w:hAnsi="Times New Roman" w:cs="Times New Roman"/>
          <w:sz w:val="24"/>
          <w:szCs w:val="24"/>
          <w:lang w:val="en-GB"/>
        </w:rPr>
        <w:t xml:space="preserve"> (APPs), </w:t>
      </w:r>
      <w:r w:rsidRPr="000A4369">
        <w:rPr>
          <w:rFonts w:ascii="Times New Roman" w:eastAsia="Times New Roman" w:hAnsi="Times New Roman" w:cs="Times New Roman"/>
          <w:sz w:val="24"/>
          <w:szCs w:val="24"/>
          <w:lang w:val="en-GB"/>
        </w:rPr>
        <w:t xml:space="preserve">the Portfolio Committee on Cooperative Governance and </w:t>
      </w:r>
      <w:r w:rsidR="00657E87" w:rsidRPr="000A4369">
        <w:rPr>
          <w:rFonts w:ascii="Times New Roman" w:eastAsia="Times New Roman" w:hAnsi="Times New Roman" w:cs="Times New Roman"/>
          <w:sz w:val="24"/>
          <w:szCs w:val="24"/>
          <w:lang w:val="en-GB"/>
        </w:rPr>
        <w:t>Traditional Affairs</w:t>
      </w:r>
      <w:r w:rsidRPr="000A4369">
        <w:rPr>
          <w:rFonts w:ascii="Times New Roman" w:eastAsia="Times New Roman" w:hAnsi="Times New Roman" w:cs="Times New Roman"/>
          <w:sz w:val="24"/>
          <w:szCs w:val="24"/>
          <w:lang w:val="en-GB"/>
        </w:rPr>
        <w:t>, reports as follows:</w:t>
      </w:r>
    </w:p>
    <w:p w14:paraId="7F176E8F" w14:textId="77777777" w:rsidR="00654446" w:rsidRPr="000A4369" w:rsidRDefault="00654446" w:rsidP="00305282">
      <w:pPr>
        <w:spacing w:after="0" w:line="280" w:lineRule="exact"/>
        <w:jc w:val="both"/>
        <w:rPr>
          <w:rFonts w:ascii="Times New Roman" w:eastAsia="Times New Roman" w:hAnsi="Times New Roman" w:cs="Times New Roman"/>
          <w:sz w:val="24"/>
          <w:szCs w:val="24"/>
          <w:lang w:val="en-GB"/>
        </w:rPr>
      </w:pPr>
    </w:p>
    <w:p w14:paraId="40F95DA2" w14:textId="77777777" w:rsidR="00654446" w:rsidRPr="000A4369" w:rsidRDefault="00654446" w:rsidP="00654446">
      <w:pPr>
        <w:pStyle w:val="ListParagraph"/>
        <w:numPr>
          <w:ilvl w:val="0"/>
          <w:numId w:val="17"/>
        </w:numPr>
        <w:spacing w:after="0" w:line="280" w:lineRule="exact"/>
        <w:jc w:val="both"/>
        <w:rPr>
          <w:rFonts w:ascii="Times New Roman" w:eastAsia="Times New Roman" w:hAnsi="Times New Roman" w:cs="Times New Roman"/>
          <w:b/>
          <w:sz w:val="24"/>
          <w:szCs w:val="24"/>
          <w:lang w:val="en-GB"/>
        </w:rPr>
      </w:pPr>
      <w:r w:rsidRPr="000A4369">
        <w:rPr>
          <w:rFonts w:ascii="Times New Roman" w:eastAsia="Times New Roman" w:hAnsi="Times New Roman" w:cs="Times New Roman"/>
          <w:b/>
          <w:sz w:val="24"/>
          <w:szCs w:val="24"/>
          <w:lang w:val="en-GB"/>
        </w:rPr>
        <w:t>Background</w:t>
      </w:r>
    </w:p>
    <w:p w14:paraId="3989E918" w14:textId="77777777" w:rsidR="00654446" w:rsidRPr="000A4369" w:rsidRDefault="00654446" w:rsidP="00654446">
      <w:pPr>
        <w:spacing w:after="0" w:line="280" w:lineRule="exact"/>
        <w:jc w:val="both"/>
        <w:rPr>
          <w:rFonts w:ascii="Times New Roman" w:eastAsia="Times New Roman" w:hAnsi="Times New Roman" w:cs="Times New Roman"/>
          <w:b/>
          <w:sz w:val="24"/>
          <w:szCs w:val="24"/>
          <w:lang w:val="en-GB"/>
        </w:rPr>
      </w:pPr>
    </w:p>
    <w:p w14:paraId="7ABFFE01" w14:textId="77777777" w:rsidR="00654446" w:rsidRPr="000A4369" w:rsidRDefault="00654446" w:rsidP="00654446">
      <w:pPr>
        <w:spacing w:after="0" w:line="240" w:lineRule="auto"/>
        <w:ind w:left="66"/>
        <w:jc w:val="both"/>
        <w:rPr>
          <w:rFonts w:ascii="Times New Roman" w:eastAsia="Times New Roman" w:hAnsi="Times New Roman" w:cs="Times New Roman"/>
          <w:color w:val="000000"/>
          <w:spacing w:val="6"/>
          <w:sz w:val="24"/>
          <w:szCs w:val="24"/>
          <w:lang w:val="en-GB" w:eastAsia="en-GB"/>
        </w:rPr>
      </w:pPr>
      <w:r w:rsidRPr="000A4369">
        <w:rPr>
          <w:rFonts w:ascii="Times New Roman" w:eastAsia="Times New Roman" w:hAnsi="Times New Roman" w:cs="Times New Roman"/>
          <w:color w:val="000000"/>
          <w:spacing w:val="6"/>
          <w:sz w:val="24"/>
          <w:szCs w:val="24"/>
          <w:lang w:val="en-GB" w:eastAsia="en-GB"/>
        </w:rPr>
        <w:t xml:space="preserve">In terms of section 55(2) of the Constitution of the Republic of South Africa, (Act 108 of 1996), the National Assembly must provide for mechanisms: (a) to ensure that all executive organs of state in the national sphere of government are accountable to it; and, (b) to maintain oversight of – </w:t>
      </w:r>
    </w:p>
    <w:p w14:paraId="328066B9" w14:textId="77777777" w:rsidR="00654446" w:rsidRPr="000A4369" w:rsidRDefault="00654446" w:rsidP="00654446">
      <w:pPr>
        <w:spacing w:after="0" w:line="240" w:lineRule="auto"/>
        <w:ind w:left="66"/>
        <w:jc w:val="both"/>
        <w:rPr>
          <w:rFonts w:ascii="Times New Roman" w:eastAsia="Times New Roman" w:hAnsi="Times New Roman" w:cs="Times New Roman"/>
          <w:color w:val="000000"/>
          <w:spacing w:val="6"/>
          <w:sz w:val="24"/>
          <w:szCs w:val="24"/>
          <w:lang w:val="en-GB" w:eastAsia="en-GB"/>
        </w:rPr>
      </w:pPr>
    </w:p>
    <w:p w14:paraId="02F19284" w14:textId="77777777" w:rsidR="00654446" w:rsidRPr="000A4369" w:rsidRDefault="00654446" w:rsidP="00654446">
      <w:pPr>
        <w:numPr>
          <w:ilvl w:val="0"/>
          <w:numId w:val="18"/>
        </w:numPr>
        <w:spacing w:after="0" w:line="240" w:lineRule="auto"/>
        <w:contextualSpacing/>
        <w:jc w:val="both"/>
        <w:rPr>
          <w:rFonts w:ascii="Times New Roman" w:eastAsia="Times New Roman" w:hAnsi="Times New Roman" w:cs="Times New Roman"/>
          <w:color w:val="000000"/>
          <w:spacing w:val="6"/>
          <w:sz w:val="24"/>
          <w:szCs w:val="24"/>
          <w:lang w:val="en-GB" w:eastAsia="en-GB"/>
        </w:rPr>
      </w:pPr>
      <w:r w:rsidRPr="000A4369">
        <w:rPr>
          <w:rFonts w:ascii="Times New Roman" w:eastAsia="Times New Roman" w:hAnsi="Times New Roman" w:cs="Times New Roman"/>
          <w:color w:val="000000"/>
          <w:spacing w:val="6"/>
          <w:sz w:val="24"/>
          <w:szCs w:val="24"/>
          <w:lang w:val="en-GB" w:eastAsia="en-GB"/>
        </w:rPr>
        <w:t xml:space="preserve">The national executive authority, including the implementation of legislation; and       </w:t>
      </w:r>
    </w:p>
    <w:p w14:paraId="088E7420" w14:textId="77777777" w:rsidR="00654446" w:rsidRPr="000A4369" w:rsidRDefault="00654446" w:rsidP="00654446">
      <w:pPr>
        <w:numPr>
          <w:ilvl w:val="0"/>
          <w:numId w:val="18"/>
        </w:numPr>
        <w:spacing w:after="0" w:line="240" w:lineRule="auto"/>
        <w:contextualSpacing/>
        <w:jc w:val="both"/>
        <w:rPr>
          <w:rFonts w:ascii="Times New Roman" w:eastAsia="Times New Roman" w:hAnsi="Times New Roman" w:cs="Times New Roman"/>
          <w:color w:val="000000"/>
          <w:spacing w:val="6"/>
          <w:sz w:val="24"/>
          <w:szCs w:val="24"/>
          <w:lang w:val="en-GB" w:eastAsia="en-GB"/>
        </w:rPr>
      </w:pPr>
      <w:r w:rsidRPr="000A4369">
        <w:rPr>
          <w:rFonts w:ascii="Times New Roman" w:eastAsia="Times New Roman" w:hAnsi="Times New Roman" w:cs="Times New Roman"/>
          <w:color w:val="000000"/>
          <w:spacing w:val="6"/>
          <w:sz w:val="24"/>
          <w:szCs w:val="24"/>
          <w:lang w:val="en-GB" w:eastAsia="en-GB"/>
        </w:rPr>
        <w:t xml:space="preserve">Any organ of state. </w:t>
      </w:r>
    </w:p>
    <w:p w14:paraId="5C099C82" w14:textId="77777777" w:rsidR="00654446" w:rsidRPr="000A4369" w:rsidRDefault="00654446" w:rsidP="00654446">
      <w:pPr>
        <w:spacing w:after="0" w:line="240" w:lineRule="auto"/>
        <w:contextualSpacing/>
        <w:jc w:val="both"/>
        <w:rPr>
          <w:rFonts w:ascii="Times New Roman" w:eastAsia="Times New Roman" w:hAnsi="Times New Roman" w:cs="Times New Roman"/>
          <w:color w:val="000000"/>
          <w:spacing w:val="6"/>
          <w:sz w:val="24"/>
          <w:szCs w:val="24"/>
          <w:lang w:val="en-GB" w:eastAsia="en-GB"/>
        </w:rPr>
      </w:pPr>
    </w:p>
    <w:p w14:paraId="77C6107D" w14:textId="77777777" w:rsidR="00654446" w:rsidRPr="000A4369" w:rsidRDefault="00654446" w:rsidP="00654446">
      <w:pPr>
        <w:spacing w:after="0" w:line="240" w:lineRule="auto"/>
        <w:ind w:left="66"/>
        <w:jc w:val="both"/>
        <w:rPr>
          <w:rFonts w:ascii="Times New Roman" w:eastAsia="Times New Roman" w:hAnsi="Times New Roman" w:cs="Times New Roman"/>
          <w:color w:val="000000"/>
          <w:spacing w:val="6"/>
          <w:sz w:val="24"/>
          <w:szCs w:val="24"/>
          <w:lang w:val="en-GB" w:eastAsia="en-GB"/>
        </w:rPr>
      </w:pPr>
      <w:r w:rsidRPr="000A4369">
        <w:rPr>
          <w:rFonts w:ascii="Times New Roman" w:eastAsia="Times New Roman" w:hAnsi="Times New Roman" w:cs="Times New Roman"/>
          <w:color w:val="000000"/>
          <w:spacing w:val="6"/>
          <w:sz w:val="24"/>
          <w:szCs w:val="24"/>
          <w:lang w:val="en-GB" w:eastAsia="en-GB"/>
        </w:rPr>
        <w:t>The Money Bills Amendment Procedure and Related Matters Act, (Act 9 of 2009) vests powers in Parliament to reject or recommend budgets of national government departments. The Act further makes provision for the implementation of recommendations emanating from the Committee oversight.</w:t>
      </w:r>
    </w:p>
    <w:p w14:paraId="04738433" w14:textId="77777777" w:rsidR="00654446" w:rsidRPr="000A4369" w:rsidRDefault="00654446" w:rsidP="00654446">
      <w:pPr>
        <w:spacing w:after="0" w:line="240" w:lineRule="auto"/>
        <w:ind w:left="66"/>
        <w:jc w:val="both"/>
        <w:rPr>
          <w:rFonts w:ascii="Times New Roman" w:eastAsia="Times New Roman" w:hAnsi="Times New Roman" w:cs="Times New Roman"/>
          <w:color w:val="000000"/>
          <w:spacing w:val="6"/>
          <w:sz w:val="24"/>
          <w:szCs w:val="24"/>
          <w:lang w:val="en-GB" w:eastAsia="en-GB"/>
        </w:rPr>
      </w:pPr>
    </w:p>
    <w:p w14:paraId="5EA34482" w14:textId="77777777" w:rsidR="00654446" w:rsidRPr="000A4369" w:rsidRDefault="00654446" w:rsidP="00654446">
      <w:pPr>
        <w:spacing w:after="0" w:line="240" w:lineRule="auto"/>
        <w:ind w:left="66"/>
        <w:jc w:val="both"/>
        <w:rPr>
          <w:rFonts w:ascii="Times New Roman" w:eastAsia="Times New Roman" w:hAnsi="Times New Roman" w:cs="Times New Roman"/>
          <w:color w:val="000000"/>
          <w:spacing w:val="6"/>
          <w:sz w:val="24"/>
          <w:szCs w:val="24"/>
          <w:lang w:val="en-GB" w:eastAsia="en-GB"/>
        </w:rPr>
      </w:pPr>
      <w:r w:rsidRPr="000A4369">
        <w:rPr>
          <w:rFonts w:ascii="Times New Roman" w:eastAsia="Times New Roman" w:hAnsi="Times New Roman" w:cs="Times New Roman"/>
          <w:color w:val="000000"/>
          <w:spacing w:val="6"/>
          <w:sz w:val="24"/>
          <w:szCs w:val="24"/>
          <w:lang w:val="en-GB" w:eastAsia="en-GB"/>
        </w:rPr>
        <w:t>The Committee exercises its mandate of oversight in line with the above-mentioned legislative framework over the Department of Cooperative Governance and Traditional A</w:t>
      </w:r>
      <w:r w:rsidR="0041055D" w:rsidRPr="000A4369">
        <w:rPr>
          <w:rFonts w:ascii="Times New Roman" w:eastAsia="Times New Roman" w:hAnsi="Times New Roman" w:cs="Times New Roman"/>
          <w:color w:val="000000"/>
          <w:spacing w:val="6"/>
          <w:sz w:val="24"/>
          <w:szCs w:val="24"/>
          <w:lang w:val="en-GB" w:eastAsia="en-GB"/>
        </w:rPr>
        <w:t>ffairs (CO</w:t>
      </w:r>
      <w:r w:rsidRPr="000A4369">
        <w:rPr>
          <w:rFonts w:ascii="Times New Roman" w:eastAsia="Times New Roman" w:hAnsi="Times New Roman" w:cs="Times New Roman"/>
          <w:color w:val="000000"/>
          <w:spacing w:val="6"/>
          <w:sz w:val="24"/>
          <w:szCs w:val="24"/>
          <w:lang w:val="en-GB" w:eastAsia="en-GB"/>
        </w:rPr>
        <w:t>GTA) and its entities, as follows -</w:t>
      </w:r>
    </w:p>
    <w:p w14:paraId="388820F8" w14:textId="77777777" w:rsidR="00654446" w:rsidRPr="000A4369" w:rsidRDefault="00654446" w:rsidP="00654446">
      <w:pPr>
        <w:spacing w:after="0" w:line="240" w:lineRule="auto"/>
        <w:ind w:left="66"/>
        <w:jc w:val="both"/>
        <w:rPr>
          <w:rFonts w:ascii="Times New Roman" w:eastAsia="Times New Roman" w:hAnsi="Times New Roman" w:cs="Times New Roman"/>
          <w:color w:val="000000"/>
          <w:spacing w:val="6"/>
          <w:sz w:val="24"/>
          <w:szCs w:val="24"/>
          <w:lang w:val="en-GB" w:eastAsia="en-GB"/>
        </w:rPr>
      </w:pPr>
    </w:p>
    <w:p w14:paraId="59659997" w14:textId="77777777" w:rsidR="00654446" w:rsidRPr="000A4369" w:rsidRDefault="00654446" w:rsidP="00654446">
      <w:pPr>
        <w:pStyle w:val="ListParagraph"/>
        <w:numPr>
          <w:ilvl w:val="0"/>
          <w:numId w:val="19"/>
        </w:numPr>
        <w:spacing w:after="0" w:line="240" w:lineRule="auto"/>
        <w:jc w:val="both"/>
        <w:rPr>
          <w:rFonts w:ascii="Times New Roman" w:eastAsia="Times New Roman" w:hAnsi="Times New Roman" w:cs="Times New Roman"/>
          <w:color w:val="000000"/>
          <w:spacing w:val="6"/>
          <w:sz w:val="24"/>
          <w:szCs w:val="24"/>
          <w:lang w:val="en-GB" w:eastAsia="en-GB"/>
        </w:rPr>
      </w:pPr>
      <w:r w:rsidRPr="000A4369">
        <w:rPr>
          <w:rFonts w:ascii="Times New Roman" w:eastAsia="Times New Roman" w:hAnsi="Times New Roman" w:cs="Times New Roman"/>
          <w:color w:val="000000"/>
          <w:spacing w:val="6"/>
          <w:sz w:val="24"/>
          <w:szCs w:val="24"/>
          <w:lang w:val="en-GB" w:eastAsia="en-GB"/>
        </w:rPr>
        <w:t xml:space="preserve">the Municipal Demarcation Board (MDB); </w:t>
      </w:r>
    </w:p>
    <w:p w14:paraId="29C22B58" w14:textId="77777777" w:rsidR="00654446" w:rsidRPr="000A4369" w:rsidRDefault="00654446" w:rsidP="00654446">
      <w:pPr>
        <w:pStyle w:val="ListParagraph"/>
        <w:numPr>
          <w:ilvl w:val="0"/>
          <w:numId w:val="19"/>
        </w:numPr>
        <w:spacing w:after="0" w:line="240" w:lineRule="auto"/>
        <w:jc w:val="both"/>
        <w:rPr>
          <w:rFonts w:ascii="Times New Roman" w:eastAsia="Times New Roman" w:hAnsi="Times New Roman" w:cs="Times New Roman"/>
          <w:color w:val="000000"/>
          <w:spacing w:val="6"/>
          <w:sz w:val="24"/>
          <w:szCs w:val="24"/>
          <w:lang w:val="en-GB" w:eastAsia="en-GB"/>
        </w:rPr>
      </w:pPr>
      <w:r w:rsidRPr="000A4369">
        <w:rPr>
          <w:rFonts w:ascii="Times New Roman" w:eastAsia="Times New Roman" w:hAnsi="Times New Roman" w:cs="Times New Roman"/>
          <w:color w:val="000000"/>
          <w:spacing w:val="6"/>
          <w:sz w:val="24"/>
          <w:szCs w:val="24"/>
          <w:lang w:val="en-GB" w:eastAsia="en-GB"/>
        </w:rPr>
        <w:t xml:space="preserve">the Commission for the Promotion and Protection of the Rights of Cultural, Religious and Linguistic Communities (CRL Rights Commission); </w:t>
      </w:r>
    </w:p>
    <w:p w14:paraId="1905A19E" w14:textId="77777777" w:rsidR="00654446" w:rsidRPr="000A4369" w:rsidRDefault="00654446" w:rsidP="00654446">
      <w:pPr>
        <w:pStyle w:val="ListParagraph"/>
        <w:numPr>
          <w:ilvl w:val="0"/>
          <w:numId w:val="19"/>
        </w:numPr>
        <w:spacing w:after="0" w:line="240" w:lineRule="auto"/>
        <w:jc w:val="both"/>
        <w:rPr>
          <w:rFonts w:ascii="Times New Roman" w:eastAsia="Times New Roman" w:hAnsi="Times New Roman" w:cs="Times New Roman"/>
          <w:color w:val="000000"/>
          <w:spacing w:val="6"/>
          <w:sz w:val="24"/>
          <w:szCs w:val="24"/>
          <w:lang w:val="en-GB" w:eastAsia="en-GB"/>
        </w:rPr>
      </w:pPr>
      <w:r w:rsidRPr="000A4369">
        <w:rPr>
          <w:rFonts w:ascii="Times New Roman" w:eastAsia="Times New Roman" w:hAnsi="Times New Roman" w:cs="Times New Roman"/>
          <w:color w:val="000000"/>
          <w:spacing w:val="6"/>
          <w:sz w:val="24"/>
          <w:szCs w:val="24"/>
          <w:lang w:val="en-GB" w:eastAsia="en-GB"/>
        </w:rPr>
        <w:t>the South African Local Government Association (SALGA); and</w:t>
      </w:r>
    </w:p>
    <w:p w14:paraId="0815EB4A" w14:textId="77777777" w:rsidR="00654446" w:rsidRPr="000A4369" w:rsidRDefault="00654446" w:rsidP="00654446">
      <w:pPr>
        <w:pStyle w:val="ListParagraph"/>
        <w:numPr>
          <w:ilvl w:val="0"/>
          <w:numId w:val="19"/>
        </w:numPr>
        <w:spacing w:after="0" w:line="240" w:lineRule="auto"/>
        <w:jc w:val="both"/>
        <w:rPr>
          <w:rFonts w:ascii="Times New Roman" w:eastAsia="Times New Roman" w:hAnsi="Times New Roman" w:cs="Times New Roman"/>
          <w:color w:val="000000"/>
          <w:spacing w:val="6"/>
          <w:sz w:val="24"/>
          <w:szCs w:val="24"/>
          <w:lang w:val="en-GB" w:eastAsia="en-GB"/>
        </w:rPr>
      </w:pPr>
      <w:r w:rsidRPr="000A4369">
        <w:rPr>
          <w:rFonts w:ascii="Times New Roman" w:eastAsia="Times New Roman" w:hAnsi="Times New Roman" w:cs="Times New Roman"/>
          <w:color w:val="000000"/>
          <w:spacing w:val="6"/>
          <w:sz w:val="24"/>
          <w:szCs w:val="24"/>
          <w:lang w:val="en-GB" w:eastAsia="en-GB"/>
        </w:rPr>
        <w:t>Municipal Infrastructure Support Agent (MISA)</w:t>
      </w:r>
    </w:p>
    <w:p w14:paraId="4BF034E6" w14:textId="77777777" w:rsidR="00654446" w:rsidRPr="000A4369" w:rsidRDefault="00654446" w:rsidP="00654446">
      <w:pPr>
        <w:spacing w:after="0" w:line="240" w:lineRule="auto"/>
        <w:jc w:val="both"/>
        <w:rPr>
          <w:rFonts w:ascii="Times New Roman" w:eastAsia="Times New Roman" w:hAnsi="Times New Roman" w:cs="Times New Roman"/>
          <w:color w:val="000000"/>
          <w:spacing w:val="6"/>
          <w:sz w:val="24"/>
          <w:szCs w:val="24"/>
          <w:lang w:val="en-GB" w:eastAsia="en-GB"/>
        </w:rPr>
      </w:pPr>
    </w:p>
    <w:p w14:paraId="592A2C2D" w14:textId="77777777" w:rsidR="00654446" w:rsidRPr="000A4369" w:rsidRDefault="00654446" w:rsidP="00654446">
      <w:pPr>
        <w:spacing w:after="0" w:line="240" w:lineRule="auto"/>
        <w:jc w:val="both"/>
        <w:rPr>
          <w:rFonts w:ascii="Times New Roman" w:eastAsia="Times New Roman" w:hAnsi="Times New Roman" w:cs="Times New Roman"/>
          <w:color w:val="000000"/>
          <w:spacing w:val="6"/>
          <w:sz w:val="24"/>
          <w:szCs w:val="24"/>
          <w:lang w:val="en-GB" w:eastAsia="en-GB"/>
        </w:rPr>
      </w:pPr>
      <w:r w:rsidRPr="000A4369">
        <w:rPr>
          <w:rFonts w:ascii="Times New Roman" w:eastAsia="Times New Roman" w:hAnsi="Times New Roman" w:cs="Times New Roman"/>
          <w:color w:val="000000"/>
          <w:spacing w:val="6"/>
          <w:sz w:val="24"/>
          <w:szCs w:val="24"/>
          <w:lang w:val="en-GB" w:eastAsia="en-GB"/>
        </w:rPr>
        <w:t>The Committee met with the Department of</w:t>
      </w:r>
      <w:r w:rsidR="004E3F23" w:rsidRPr="000A4369">
        <w:rPr>
          <w:rFonts w:ascii="Times New Roman" w:eastAsia="Times New Roman" w:hAnsi="Times New Roman" w:cs="Times New Roman"/>
          <w:color w:val="000000"/>
          <w:spacing w:val="6"/>
          <w:sz w:val="24"/>
          <w:szCs w:val="24"/>
          <w:lang w:val="en-GB" w:eastAsia="en-GB"/>
        </w:rPr>
        <w:t xml:space="preserve"> CO</w:t>
      </w:r>
      <w:r w:rsidRPr="000A4369">
        <w:rPr>
          <w:rFonts w:ascii="Times New Roman" w:eastAsia="Times New Roman" w:hAnsi="Times New Roman" w:cs="Times New Roman"/>
          <w:color w:val="000000"/>
          <w:spacing w:val="6"/>
          <w:sz w:val="24"/>
          <w:szCs w:val="24"/>
          <w:lang w:val="en-GB" w:eastAsia="en-GB"/>
        </w:rPr>
        <w:t xml:space="preserve">GTA on </w:t>
      </w:r>
      <w:r w:rsidR="004E3F23" w:rsidRPr="000A4369">
        <w:rPr>
          <w:rFonts w:ascii="Times New Roman" w:eastAsia="Times New Roman" w:hAnsi="Times New Roman" w:cs="Times New Roman"/>
          <w:color w:val="000000"/>
          <w:spacing w:val="6"/>
          <w:sz w:val="24"/>
          <w:szCs w:val="24"/>
          <w:lang w:val="en-GB" w:eastAsia="en-GB"/>
        </w:rPr>
        <w:t>02 and 03 July 2019</w:t>
      </w:r>
      <w:r w:rsidRPr="000A4369">
        <w:rPr>
          <w:rFonts w:ascii="Times New Roman" w:eastAsia="Times New Roman" w:hAnsi="Times New Roman" w:cs="Times New Roman"/>
          <w:color w:val="000000"/>
          <w:spacing w:val="6"/>
          <w:sz w:val="24"/>
          <w:szCs w:val="24"/>
          <w:lang w:val="en-GB" w:eastAsia="en-GB"/>
        </w:rPr>
        <w:t xml:space="preserve">, to receive a briefing on the Strategic and Annual Performance Plans and the Budget of the Department. </w:t>
      </w:r>
      <w:r w:rsidR="004E3F23" w:rsidRPr="000A4369">
        <w:rPr>
          <w:rFonts w:ascii="Times New Roman" w:eastAsia="Times New Roman" w:hAnsi="Times New Roman" w:cs="Times New Roman"/>
          <w:color w:val="000000"/>
          <w:spacing w:val="6"/>
          <w:sz w:val="24"/>
          <w:szCs w:val="24"/>
          <w:lang w:val="en-GB" w:eastAsia="en-GB"/>
        </w:rPr>
        <w:t>The Committee also met with</w:t>
      </w:r>
      <w:r w:rsidRPr="000A4369">
        <w:rPr>
          <w:rFonts w:ascii="Times New Roman" w:eastAsia="Times New Roman" w:hAnsi="Times New Roman" w:cs="Times New Roman"/>
          <w:color w:val="000000"/>
          <w:spacing w:val="6"/>
          <w:sz w:val="24"/>
          <w:szCs w:val="24"/>
          <w:lang w:val="en-GB" w:eastAsia="en-GB"/>
        </w:rPr>
        <w:t xml:space="preserve"> SALGA, </w:t>
      </w:r>
      <w:r w:rsidR="004E3F23" w:rsidRPr="000A4369">
        <w:rPr>
          <w:rFonts w:ascii="Times New Roman" w:eastAsia="Times New Roman" w:hAnsi="Times New Roman" w:cs="Times New Roman"/>
          <w:color w:val="000000"/>
          <w:spacing w:val="6"/>
          <w:sz w:val="24"/>
          <w:szCs w:val="24"/>
          <w:lang w:val="en-GB" w:eastAsia="en-GB"/>
        </w:rPr>
        <w:t>CRL Rights Commission and MDB on 03 July</w:t>
      </w:r>
      <w:r w:rsidRPr="000A4369">
        <w:rPr>
          <w:rFonts w:ascii="Times New Roman" w:eastAsia="Times New Roman" w:hAnsi="Times New Roman" w:cs="Times New Roman"/>
          <w:color w:val="000000"/>
          <w:spacing w:val="6"/>
          <w:sz w:val="24"/>
          <w:szCs w:val="24"/>
          <w:lang w:val="en-GB" w:eastAsia="en-GB"/>
        </w:rPr>
        <w:t xml:space="preserve"> 201</w:t>
      </w:r>
      <w:r w:rsidR="004E3F23" w:rsidRPr="000A4369">
        <w:rPr>
          <w:rFonts w:ascii="Times New Roman" w:eastAsia="Times New Roman" w:hAnsi="Times New Roman" w:cs="Times New Roman"/>
          <w:color w:val="000000"/>
          <w:spacing w:val="6"/>
          <w:sz w:val="24"/>
          <w:szCs w:val="24"/>
          <w:lang w:val="en-GB" w:eastAsia="en-GB"/>
        </w:rPr>
        <w:t>9</w:t>
      </w:r>
      <w:r w:rsidRPr="000A4369">
        <w:rPr>
          <w:rFonts w:ascii="Times New Roman" w:eastAsia="Times New Roman" w:hAnsi="Times New Roman" w:cs="Times New Roman"/>
          <w:color w:val="000000"/>
          <w:spacing w:val="6"/>
          <w:sz w:val="24"/>
          <w:szCs w:val="24"/>
          <w:lang w:val="en-GB" w:eastAsia="en-GB"/>
        </w:rPr>
        <w:t xml:space="preserve"> to receive a briefing on their Five-year Strategic Plan, APP and their Budget. </w:t>
      </w:r>
    </w:p>
    <w:p w14:paraId="41EDA545" w14:textId="77777777" w:rsidR="00305282" w:rsidRPr="000A4369" w:rsidRDefault="00305282" w:rsidP="00305282">
      <w:pPr>
        <w:spacing w:after="0" w:line="280" w:lineRule="exact"/>
        <w:jc w:val="both"/>
        <w:rPr>
          <w:rFonts w:ascii="Times New Roman" w:eastAsia="Times New Roman" w:hAnsi="Times New Roman" w:cs="Times New Roman"/>
          <w:sz w:val="24"/>
          <w:szCs w:val="24"/>
          <w:lang w:val="en-GB"/>
        </w:rPr>
      </w:pPr>
    </w:p>
    <w:p w14:paraId="54EA299F" w14:textId="77777777" w:rsidR="00162B96" w:rsidRPr="000A4369" w:rsidRDefault="00162B96" w:rsidP="00162B96">
      <w:pPr>
        <w:pStyle w:val="ListParagraph"/>
        <w:numPr>
          <w:ilvl w:val="0"/>
          <w:numId w:val="17"/>
        </w:numPr>
        <w:spacing w:after="0" w:line="280" w:lineRule="exact"/>
        <w:jc w:val="both"/>
        <w:rPr>
          <w:rFonts w:ascii="Times New Roman" w:eastAsia="Times New Roman" w:hAnsi="Times New Roman" w:cs="Times New Roman"/>
          <w:b/>
          <w:sz w:val="24"/>
          <w:szCs w:val="24"/>
          <w:lang w:val="en-GB"/>
        </w:rPr>
      </w:pPr>
      <w:r w:rsidRPr="000A4369">
        <w:rPr>
          <w:rFonts w:ascii="Times New Roman" w:eastAsia="Times New Roman" w:hAnsi="Times New Roman" w:cs="Times New Roman"/>
          <w:b/>
          <w:sz w:val="24"/>
          <w:szCs w:val="24"/>
          <w:lang w:val="en-GB"/>
        </w:rPr>
        <w:t>Introduction</w:t>
      </w:r>
    </w:p>
    <w:p w14:paraId="364BA5A2" w14:textId="77777777" w:rsidR="00162B96" w:rsidRPr="000A4369" w:rsidRDefault="00162B96" w:rsidP="00305282">
      <w:pPr>
        <w:spacing w:after="0" w:line="280" w:lineRule="exact"/>
        <w:jc w:val="both"/>
        <w:rPr>
          <w:rFonts w:ascii="Times New Roman" w:eastAsia="Times New Roman" w:hAnsi="Times New Roman" w:cs="Times New Roman"/>
          <w:b/>
          <w:sz w:val="24"/>
          <w:szCs w:val="24"/>
          <w:lang w:val="en-GB"/>
        </w:rPr>
      </w:pPr>
    </w:p>
    <w:p w14:paraId="0F1E0EC6" w14:textId="77777777" w:rsidR="00445402" w:rsidRPr="000A4369" w:rsidRDefault="000460FC" w:rsidP="00445402">
      <w:pPr>
        <w:autoSpaceDE w:val="0"/>
        <w:autoSpaceDN w:val="0"/>
        <w:adjustRightInd w:val="0"/>
        <w:spacing w:after="0" w:line="280" w:lineRule="exact"/>
        <w:jc w:val="both"/>
        <w:rPr>
          <w:rFonts w:ascii="Times New Roman" w:hAnsi="Times New Roman" w:cs="Times New Roman"/>
          <w:sz w:val="24"/>
          <w:szCs w:val="24"/>
        </w:rPr>
      </w:pPr>
      <w:r w:rsidRPr="000A4369">
        <w:rPr>
          <w:rFonts w:ascii="Times New Roman" w:hAnsi="Times New Roman" w:cs="Times New Roman"/>
          <w:sz w:val="24"/>
          <w:szCs w:val="24"/>
        </w:rPr>
        <w:t>This</w:t>
      </w:r>
      <w:r w:rsidR="00445402" w:rsidRPr="000A4369">
        <w:rPr>
          <w:rFonts w:ascii="Times New Roman" w:hAnsi="Times New Roman" w:cs="Times New Roman"/>
          <w:sz w:val="24"/>
          <w:szCs w:val="24"/>
        </w:rPr>
        <w:t xml:space="preserve"> an overview and analysis of the Budget with special focus on the Estimates of National Expenditure (ENE) and Budget Review, as well as the strategic and operational plans of departments for the 2019/20 financial year. The budget analysis seeks to provide a summary and analysis of the budget, as well as a snapshot of how the budget will affect the Department of Cooperative Governance and Traditional Affairs (CoGTA). The analysis will also provide a short review of progress with service delivery in respect of the 2018/19 budget. </w:t>
      </w:r>
    </w:p>
    <w:p w14:paraId="0F296A05" w14:textId="77777777" w:rsidR="00445402" w:rsidRPr="000A4369" w:rsidRDefault="00445402" w:rsidP="00445402">
      <w:pPr>
        <w:autoSpaceDE w:val="0"/>
        <w:autoSpaceDN w:val="0"/>
        <w:adjustRightInd w:val="0"/>
        <w:spacing w:after="0" w:line="280" w:lineRule="exact"/>
        <w:jc w:val="both"/>
        <w:rPr>
          <w:rFonts w:ascii="Times New Roman" w:hAnsi="Times New Roman" w:cs="Times New Roman"/>
          <w:sz w:val="24"/>
          <w:szCs w:val="24"/>
        </w:rPr>
      </w:pPr>
    </w:p>
    <w:p w14:paraId="42D4FC1C" w14:textId="77777777" w:rsidR="00445402" w:rsidRPr="000A4369" w:rsidRDefault="00AA4B4B" w:rsidP="00FF17D6">
      <w:pPr>
        <w:pStyle w:val="ListParagraph"/>
        <w:numPr>
          <w:ilvl w:val="0"/>
          <w:numId w:val="17"/>
        </w:numPr>
        <w:autoSpaceDE w:val="0"/>
        <w:autoSpaceDN w:val="0"/>
        <w:adjustRightInd w:val="0"/>
        <w:spacing w:after="0" w:line="280" w:lineRule="exact"/>
        <w:jc w:val="both"/>
        <w:rPr>
          <w:rFonts w:ascii="Times New Roman" w:hAnsi="Times New Roman" w:cs="Times New Roman"/>
          <w:b/>
          <w:sz w:val="24"/>
          <w:szCs w:val="24"/>
        </w:rPr>
      </w:pPr>
      <w:r w:rsidRPr="000A4369">
        <w:rPr>
          <w:rFonts w:ascii="Times New Roman" w:hAnsi="Times New Roman" w:cs="Times New Roman"/>
          <w:b/>
          <w:sz w:val="24"/>
          <w:szCs w:val="24"/>
        </w:rPr>
        <w:t xml:space="preserve">Overview of performance during the </w:t>
      </w:r>
      <w:r w:rsidR="00FF17D6" w:rsidRPr="000A4369">
        <w:rPr>
          <w:rFonts w:ascii="Times New Roman" w:hAnsi="Times New Roman" w:cs="Times New Roman"/>
          <w:b/>
          <w:sz w:val="24"/>
          <w:szCs w:val="24"/>
        </w:rPr>
        <w:t>2017/18 financial year</w:t>
      </w:r>
    </w:p>
    <w:p w14:paraId="7FD8A425" w14:textId="77777777" w:rsidR="00731FD8" w:rsidRPr="000A4369" w:rsidRDefault="00731FD8" w:rsidP="00305282">
      <w:pPr>
        <w:spacing w:after="0" w:line="280" w:lineRule="exact"/>
        <w:jc w:val="both"/>
        <w:rPr>
          <w:rFonts w:ascii="Times New Roman" w:eastAsia="Times New Roman" w:hAnsi="Times New Roman" w:cs="Times New Roman"/>
          <w:b/>
          <w:sz w:val="24"/>
          <w:szCs w:val="24"/>
          <w:lang w:val="en-GB"/>
        </w:rPr>
      </w:pPr>
    </w:p>
    <w:p w14:paraId="351E27D0" w14:textId="77777777" w:rsidR="007A16A9" w:rsidRPr="000A4369" w:rsidRDefault="007A16A9" w:rsidP="007A16A9">
      <w:pPr>
        <w:tabs>
          <w:tab w:val="left" w:pos="1428"/>
        </w:tabs>
        <w:spacing w:after="0" w:line="280" w:lineRule="exact"/>
        <w:jc w:val="both"/>
        <w:rPr>
          <w:rFonts w:ascii="Times New Roman" w:hAnsi="Times New Roman" w:cs="Times New Roman"/>
          <w:sz w:val="24"/>
          <w:szCs w:val="24"/>
        </w:rPr>
      </w:pPr>
      <w:r w:rsidRPr="000A4369">
        <w:rPr>
          <w:rFonts w:ascii="Times New Roman" w:hAnsi="Times New Roman" w:cs="Times New Roman"/>
          <w:sz w:val="24"/>
          <w:szCs w:val="24"/>
        </w:rPr>
        <w:t>For the period under review, the Department’s stated manda</w:t>
      </w:r>
      <w:r w:rsidR="00CC12DE" w:rsidRPr="000A4369">
        <w:rPr>
          <w:rFonts w:ascii="Times New Roman" w:hAnsi="Times New Roman" w:cs="Times New Roman"/>
          <w:sz w:val="24"/>
          <w:szCs w:val="24"/>
        </w:rPr>
        <w:t>te and key objectives related to,</w:t>
      </w:r>
    </w:p>
    <w:p w14:paraId="60EA2084" w14:textId="77777777" w:rsidR="007A16A9" w:rsidRPr="000A4369" w:rsidRDefault="007A16A9" w:rsidP="007A16A9">
      <w:pPr>
        <w:tabs>
          <w:tab w:val="left" w:pos="1428"/>
        </w:tabs>
        <w:spacing w:after="0" w:line="280" w:lineRule="exact"/>
        <w:jc w:val="both"/>
        <w:rPr>
          <w:rFonts w:ascii="Times New Roman" w:hAnsi="Times New Roman" w:cs="Times New Roman"/>
          <w:bCs/>
          <w:sz w:val="24"/>
          <w:szCs w:val="24"/>
        </w:rPr>
      </w:pPr>
    </w:p>
    <w:p w14:paraId="10EE4C83" w14:textId="77777777" w:rsidR="007A16A9" w:rsidRPr="000A4369" w:rsidRDefault="007A16A9" w:rsidP="007A16A9">
      <w:pPr>
        <w:numPr>
          <w:ilvl w:val="0"/>
          <w:numId w:val="22"/>
        </w:numPr>
        <w:tabs>
          <w:tab w:val="left" w:pos="1428"/>
        </w:tabs>
        <w:spacing w:after="0" w:line="280" w:lineRule="exact"/>
        <w:contextualSpacing/>
        <w:jc w:val="both"/>
        <w:rPr>
          <w:rFonts w:ascii="Times New Roman" w:hAnsi="Times New Roman" w:cs="Times New Roman"/>
          <w:bCs/>
          <w:sz w:val="24"/>
          <w:szCs w:val="24"/>
        </w:rPr>
      </w:pPr>
      <w:r w:rsidRPr="000A4369">
        <w:rPr>
          <w:rFonts w:ascii="Times New Roman" w:hAnsi="Times New Roman" w:cs="Times New Roman"/>
          <w:bCs/>
          <w:sz w:val="24"/>
          <w:szCs w:val="24"/>
        </w:rPr>
        <w:t>Investing in skills development in municipalities.</w:t>
      </w:r>
    </w:p>
    <w:p w14:paraId="20F9E7ED" w14:textId="77777777" w:rsidR="007A16A9" w:rsidRPr="000A4369" w:rsidRDefault="007A16A9" w:rsidP="007A16A9">
      <w:pPr>
        <w:numPr>
          <w:ilvl w:val="0"/>
          <w:numId w:val="22"/>
        </w:numPr>
        <w:spacing w:after="0" w:line="280" w:lineRule="exact"/>
        <w:contextualSpacing/>
        <w:jc w:val="both"/>
        <w:rPr>
          <w:rFonts w:ascii="Times New Roman" w:hAnsi="Times New Roman" w:cs="Times New Roman"/>
          <w:bCs/>
          <w:sz w:val="24"/>
          <w:szCs w:val="24"/>
        </w:rPr>
      </w:pPr>
      <w:r w:rsidRPr="000A4369">
        <w:rPr>
          <w:rFonts w:ascii="Times New Roman" w:hAnsi="Times New Roman" w:cs="Times New Roman"/>
          <w:bCs/>
          <w:sz w:val="24"/>
          <w:szCs w:val="24"/>
        </w:rPr>
        <w:t xml:space="preserve">Providing infrastructure planning, delivery, operation and maintenance, infrastructure management, financial management and resolve governance and administration issues in the 27 priority district municipalities, as well as in the 55 municipalities diagnosed as distressed or dysfunctional. </w:t>
      </w:r>
    </w:p>
    <w:p w14:paraId="2E433AA0" w14:textId="77777777" w:rsidR="007A16A9" w:rsidRPr="000A4369" w:rsidRDefault="007A16A9" w:rsidP="007A16A9">
      <w:pPr>
        <w:numPr>
          <w:ilvl w:val="0"/>
          <w:numId w:val="22"/>
        </w:numPr>
        <w:spacing w:after="0" w:line="280" w:lineRule="exact"/>
        <w:contextualSpacing/>
        <w:jc w:val="both"/>
        <w:rPr>
          <w:rFonts w:ascii="Times New Roman" w:hAnsi="Times New Roman" w:cs="Times New Roman"/>
          <w:bCs/>
          <w:sz w:val="24"/>
          <w:szCs w:val="24"/>
        </w:rPr>
      </w:pPr>
      <w:r w:rsidRPr="000A4369">
        <w:rPr>
          <w:rFonts w:ascii="Times New Roman" w:hAnsi="Times New Roman" w:cs="Times New Roman"/>
          <w:bCs/>
          <w:sz w:val="24"/>
          <w:szCs w:val="24"/>
        </w:rPr>
        <w:t>Improving water conservation and water demand management in municipalities in order to limit non-revenue water losses in view of the difficult situation South Africa faces as a water scarce country.</w:t>
      </w:r>
    </w:p>
    <w:p w14:paraId="642CE98F" w14:textId="77777777" w:rsidR="00162B96" w:rsidRPr="000A4369" w:rsidRDefault="007A16A9" w:rsidP="00305282">
      <w:pPr>
        <w:numPr>
          <w:ilvl w:val="0"/>
          <w:numId w:val="22"/>
        </w:numPr>
        <w:spacing w:after="0" w:line="280" w:lineRule="exact"/>
        <w:contextualSpacing/>
        <w:jc w:val="both"/>
        <w:rPr>
          <w:rFonts w:ascii="Times New Roman" w:hAnsi="Times New Roman" w:cs="Times New Roman"/>
          <w:bCs/>
          <w:sz w:val="24"/>
          <w:szCs w:val="24"/>
        </w:rPr>
      </w:pPr>
      <w:r w:rsidRPr="000A4369">
        <w:rPr>
          <w:rFonts w:ascii="Times New Roman" w:hAnsi="Times New Roman" w:cs="Times New Roman"/>
          <w:bCs/>
          <w:sz w:val="24"/>
          <w:szCs w:val="24"/>
        </w:rPr>
        <w:t>Coordinating multi-sectoral intervention measures to address the drought situation in all affected provinces.</w:t>
      </w:r>
    </w:p>
    <w:p w14:paraId="2A090032" w14:textId="77777777" w:rsidR="00B67E95" w:rsidRPr="000A4369" w:rsidRDefault="00B67E95" w:rsidP="00B67E95">
      <w:pPr>
        <w:spacing w:after="0" w:line="280" w:lineRule="exact"/>
        <w:ind w:left="360"/>
        <w:contextualSpacing/>
        <w:jc w:val="both"/>
        <w:rPr>
          <w:rFonts w:ascii="Times New Roman" w:hAnsi="Times New Roman" w:cs="Times New Roman"/>
          <w:bCs/>
          <w:sz w:val="24"/>
          <w:szCs w:val="24"/>
        </w:rPr>
      </w:pPr>
    </w:p>
    <w:p w14:paraId="3659518F" w14:textId="77777777" w:rsidR="00B67E95" w:rsidRPr="000A4369" w:rsidRDefault="00B67E95" w:rsidP="00B67E95">
      <w:pPr>
        <w:pStyle w:val="ListParagraph"/>
        <w:numPr>
          <w:ilvl w:val="1"/>
          <w:numId w:val="17"/>
        </w:numPr>
        <w:spacing w:after="0" w:line="280" w:lineRule="exact"/>
        <w:jc w:val="both"/>
        <w:rPr>
          <w:rFonts w:ascii="Times New Roman" w:hAnsi="Times New Roman" w:cs="Times New Roman"/>
          <w:b/>
          <w:bCs/>
          <w:sz w:val="24"/>
          <w:szCs w:val="24"/>
        </w:rPr>
      </w:pPr>
      <w:r w:rsidRPr="000A4369">
        <w:rPr>
          <w:rFonts w:ascii="Times New Roman" w:hAnsi="Times New Roman" w:cs="Times New Roman"/>
          <w:b/>
          <w:bCs/>
          <w:sz w:val="24"/>
          <w:szCs w:val="24"/>
        </w:rPr>
        <w:t>Skills development in municipalities</w:t>
      </w:r>
    </w:p>
    <w:p w14:paraId="1B9ABB29" w14:textId="77777777" w:rsidR="00B67E95" w:rsidRPr="000A4369" w:rsidRDefault="00B67E95" w:rsidP="00B67E95">
      <w:pPr>
        <w:spacing w:after="0" w:line="280" w:lineRule="exact"/>
        <w:jc w:val="both"/>
        <w:rPr>
          <w:rFonts w:ascii="Times New Roman" w:hAnsi="Times New Roman" w:cs="Times New Roman"/>
          <w:b/>
          <w:bCs/>
          <w:sz w:val="24"/>
          <w:szCs w:val="24"/>
        </w:rPr>
      </w:pPr>
    </w:p>
    <w:p w14:paraId="1A0AD011" w14:textId="77777777" w:rsidR="00741565" w:rsidRPr="000A4369" w:rsidRDefault="00741565" w:rsidP="00741565">
      <w:pPr>
        <w:tabs>
          <w:tab w:val="left" w:pos="989"/>
        </w:tabs>
        <w:spacing w:after="0" w:line="280" w:lineRule="exact"/>
        <w:jc w:val="both"/>
        <w:rPr>
          <w:rFonts w:ascii="Times New Roman" w:hAnsi="Times New Roman" w:cs="Times New Roman"/>
          <w:sz w:val="24"/>
          <w:szCs w:val="24"/>
        </w:rPr>
      </w:pPr>
      <w:r w:rsidRPr="000A4369">
        <w:rPr>
          <w:rFonts w:ascii="Times New Roman" w:hAnsi="Times New Roman" w:cs="Times New Roman"/>
          <w:sz w:val="24"/>
          <w:szCs w:val="24"/>
        </w:rPr>
        <w:t>To invest in skills development in municipalities, especially the development of engineering capacity, the Municipal Infrastructure Support Agent (MISA) envisaged deploying 150 Young Graduates to municipalities through its Young Graduate Programme. During the first quarter, MISA had deployed 67 Young Graduates.</w:t>
      </w:r>
      <w:r w:rsidRPr="000A4369">
        <w:rPr>
          <w:rFonts w:ascii="Times New Roman" w:hAnsi="Times New Roman" w:cs="Times New Roman"/>
          <w:sz w:val="24"/>
          <w:szCs w:val="24"/>
          <w:vertAlign w:val="superscript"/>
        </w:rPr>
        <w:footnoteReference w:id="1"/>
      </w:r>
    </w:p>
    <w:p w14:paraId="2BDCCA2F" w14:textId="77777777" w:rsidR="005A09ED" w:rsidRPr="000A4369" w:rsidRDefault="005A09ED" w:rsidP="00741565">
      <w:pPr>
        <w:tabs>
          <w:tab w:val="left" w:pos="989"/>
        </w:tabs>
        <w:spacing w:after="0" w:line="280" w:lineRule="exact"/>
        <w:jc w:val="both"/>
        <w:rPr>
          <w:rFonts w:ascii="Times New Roman" w:hAnsi="Times New Roman" w:cs="Times New Roman"/>
          <w:sz w:val="24"/>
          <w:szCs w:val="24"/>
        </w:rPr>
      </w:pPr>
    </w:p>
    <w:p w14:paraId="504534C8" w14:textId="77777777" w:rsidR="005A09ED" w:rsidRPr="000A4369" w:rsidRDefault="007E610B" w:rsidP="009B350E">
      <w:pPr>
        <w:pStyle w:val="ListParagraph"/>
        <w:numPr>
          <w:ilvl w:val="1"/>
          <w:numId w:val="17"/>
        </w:numPr>
        <w:tabs>
          <w:tab w:val="left" w:pos="989"/>
        </w:tabs>
        <w:spacing w:after="0" w:line="280" w:lineRule="exact"/>
        <w:jc w:val="both"/>
        <w:rPr>
          <w:rFonts w:ascii="Times New Roman" w:hAnsi="Times New Roman" w:cs="Times New Roman"/>
          <w:b/>
          <w:sz w:val="24"/>
          <w:szCs w:val="24"/>
        </w:rPr>
      </w:pPr>
      <w:r w:rsidRPr="000A4369">
        <w:rPr>
          <w:rFonts w:ascii="Times New Roman" w:hAnsi="Times New Roman" w:cs="Times New Roman"/>
          <w:b/>
          <w:sz w:val="24"/>
          <w:szCs w:val="24"/>
        </w:rPr>
        <w:t xml:space="preserve">Infrastructure in 27 Districts and 55 municipalities </w:t>
      </w:r>
    </w:p>
    <w:p w14:paraId="0A06AFFB" w14:textId="77777777" w:rsidR="005A09ED" w:rsidRPr="000A4369" w:rsidRDefault="005A09ED" w:rsidP="00741565">
      <w:pPr>
        <w:tabs>
          <w:tab w:val="left" w:pos="989"/>
        </w:tabs>
        <w:spacing w:after="0" w:line="280" w:lineRule="exact"/>
        <w:jc w:val="both"/>
        <w:rPr>
          <w:rFonts w:ascii="Times New Roman" w:hAnsi="Times New Roman" w:cs="Times New Roman"/>
          <w:sz w:val="24"/>
          <w:szCs w:val="24"/>
        </w:rPr>
      </w:pPr>
    </w:p>
    <w:p w14:paraId="3D99E30F" w14:textId="77777777" w:rsidR="007E610B" w:rsidRPr="000A4369" w:rsidRDefault="007E610B" w:rsidP="007E610B">
      <w:pPr>
        <w:tabs>
          <w:tab w:val="left" w:pos="1428"/>
        </w:tabs>
        <w:spacing w:after="0" w:line="280" w:lineRule="exact"/>
        <w:jc w:val="both"/>
        <w:rPr>
          <w:rFonts w:ascii="Times New Roman" w:hAnsi="Times New Roman" w:cs="Times New Roman"/>
          <w:sz w:val="24"/>
          <w:szCs w:val="24"/>
        </w:rPr>
      </w:pPr>
      <w:r w:rsidRPr="000A4369">
        <w:rPr>
          <w:rFonts w:ascii="Times New Roman" w:hAnsi="Times New Roman" w:cs="Times New Roman"/>
          <w:sz w:val="24"/>
          <w:szCs w:val="24"/>
        </w:rPr>
        <w:t>To build permanent technical capacity in the 55 municipalities diagnosed as distressed or dysfunctional, MISA had established 12 district technical support teams in 39 municipalities by May 2018. It anticipated establishing six additional teams by October 2018 to support the remaining 16 municipalities.</w:t>
      </w:r>
      <w:r w:rsidRPr="000A4369">
        <w:rPr>
          <w:rFonts w:ascii="Times New Roman" w:hAnsi="Times New Roman" w:cs="Times New Roman"/>
          <w:sz w:val="24"/>
          <w:szCs w:val="24"/>
          <w:vertAlign w:val="superscript"/>
        </w:rPr>
        <w:footnoteReference w:id="2"/>
      </w:r>
      <w:r w:rsidRPr="000A4369">
        <w:rPr>
          <w:rFonts w:ascii="Times New Roman" w:hAnsi="Times New Roman" w:cs="Times New Roman"/>
          <w:sz w:val="24"/>
          <w:szCs w:val="24"/>
        </w:rPr>
        <w:t xml:space="preserve"> </w:t>
      </w:r>
    </w:p>
    <w:p w14:paraId="53A89D1A" w14:textId="77777777" w:rsidR="007E610B" w:rsidRPr="000A4369" w:rsidRDefault="007E610B" w:rsidP="007E610B">
      <w:pPr>
        <w:tabs>
          <w:tab w:val="left" w:pos="1428"/>
        </w:tabs>
        <w:spacing w:after="0" w:line="280" w:lineRule="exact"/>
        <w:jc w:val="both"/>
        <w:rPr>
          <w:rFonts w:ascii="Times New Roman" w:hAnsi="Times New Roman" w:cs="Times New Roman"/>
          <w:sz w:val="24"/>
          <w:szCs w:val="24"/>
        </w:rPr>
      </w:pPr>
    </w:p>
    <w:p w14:paraId="069FC272" w14:textId="77777777" w:rsidR="007E610B" w:rsidRPr="000A4369" w:rsidRDefault="007E610B" w:rsidP="007E610B">
      <w:pPr>
        <w:tabs>
          <w:tab w:val="left" w:pos="1428"/>
        </w:tabs>
        <w:spacing w:after="0" w:line="280" w:lineRule="exact"/>
        <w:jc w:val="both"/>
        <w:rPr>
          <w:rFonts w:ascii="Times New Roman" w:hAnsi="Times New Roman" w:cs="Times New Roman"/>
          <w:sz w:val="24"/>
          <w:szCs w:val="24"/>
        </w:rPr>
      </w:pPr>
      <w:r w:rsidRPr="000A4369">
        <w:rPr>
          <w:rFonts w:ascii="Times New Roman" w:hAnsi="Times New Roman" w:cs="Times New Roman"/>
          <w:sz w:val="24"/>
          <w:szCs w:val="24"/>
        </w:rPr>
        <w:t xml:space="preserve">MISA also envisaged assessing the 27 district municipalities prioritised for targeted support towards the eradication of service backlogs. The outcome of the assessments would form the basis for developing tailored support plans. MISA targeted assessing 22 districts by the end of the 2018/19 financial year. </w:t>
      </w:r>
    </w:p>
    <w:p w14:paraId="39F33448" w14:textId="77777777" w:rsidR="00A13B92" w:rsidRPr="000A4369" w:rsidRDefault="00A13B92" w:rsidP="007E610B">
      <w:pPr>
        <w:tabs>
          <w:tab w:val="left" w:pos="1428"/>
        </w:tabs>
        <w:spacing w:after="0" w:line="280" w:lineRule="exact"/>
        <w:jc w:val="both"/>
        <w:rPr>
          <w:rFonts w:ascii="Times New Roman" w:hAnsi="Times New Roman" w:cs="Times New Roman"/>
          <w:sz w:val="24"/>
          <w:szCs w:val="24"/>
        </w:rPr>
      </w:pPr>
    </w:p>
    <w:p w14:paraId="42296FB8" w14:textId="77777777" w:rsidR="00A13B92" w:rsidRPr="000A4369" w:rsidRDefault="00A13B92" w:rsidP="00A13B92">
      <w:pPr>
        <w:pStyle w:val="ListParagraph"/>
        <w:numPr>
          <w:ilvl w:val="1"/>
          <w:numId w:val="17"/>
        </w:numPr>
        <w:tabs>
          <w:tab w:val="left" w:pos="1428"/>
        </w:tabs>
        <w:spacing w:after="0" w:line="280" w:lineRule="exact"/>
        <w:jc w:val="both"/>
        <w:rPr>
          <w:rFonts w:ascii="Times New Roman" w:hAnsi="Times New Roman" w:cs="Times New Roman"/>
          <w:b/>
          <w:sz w:val="24"/>
          <w:szCs w:val="24"/>
        </w:rPr>
      </w:pPr>
      <w:r w:rsidRPr="000A4369">
        <w:rPr>
          <w:rFonts w:ascii="Times New Roman" w:hAnsi="Times New Roman" w:cs="Times New Roman"/>
          <w:b/>
          <w:sz w:val="24"/>
          <w:szCs w:val="24"/>
        </w:rPr>
        <w:t>Limiting non-revenue water losses</w:t>
      </w:r>
    </w:p>
    <w:p w14:paraId="4AAFBD36" w14:textId="77777777" w:rsidR="00A13B92" w:rsidRPr="000A4369" w:rsidRDefault="00A13B92" w:rsidP="00A13B92">
      <w:pPr>
        <w:tabs>
          <w:tab w:val="left" w:pos="1428"/>
        </w:tabs>
        <w:spacing w:after="0" w:line="280" w:lineRule="exact"/>
        <w:jc w:val="both"/>
        <w:rPr>
          <w:rFonts w:ascii="Times New Roman" w:hAnsi="Times New Roman" w:cs="Times New Roman"/>
          <w:b/>
          <w:sz w:val="24"/>
          <w:szCs w:val="24"/>
        </w:rPr>
      </w:pPr>
    </w:p>
    <w:p w14:paraId="52FA9283" w14:textId="77777777" w:rsidR="00153F3F" w:rsidRPr="000A4369" w:rsidRDefault="00153F3F" w:rsidP="00153F3F">
      <w:pPr>
        <w:tabs>
          <w:tab w:val="left" w:pos="1428"/>
        </w:tabs>
        <w:spacing w:after="0" w:line="280" w:lineRule="exact"/>
        <w:jc w:val="both"/>
        <w:rPr>
          <w:rFonts w:ascii="Times New Roman" w:hAnsi="Times New Roman" w:cs="Times New Roman"/>
          <w:sz w:val="24"/>
          <w:szCs w:val="24"/>
        </w:rPr>
      </w:pPr>
      <w:r w:rsidRPr="000A4369">
        <w:rPr>
          <w:rFonts w:ascii="Times New Roman" w:hAnsi="Times New Roman" w:cs="Times New Roman"/>
          <w:sz w:val="24"/>
          <w:szCs w:val="24"/>
        </w:rPr>
        <w:t>A 2017 study revealed that 37% of South Africa’s water supply is lost through leaks across many cities.</w:t>
      </w:r>
      <w:r w:rsidRPr="000A4369">
        <w:rPr>
          <w:rFonts w:ascii="Times New Roman" w:hAnsi="Times New Roman" w:cs="Times New Roman"/>
          <w:sz w:val="24"/>
          <w:szCs w:val="24"/>
          <w:vertAlign w:val="superscript"/>
        </w:rPr>
        <w:footnoteReference w:id="3"/>
      </w:r>
      <w:r w:rsidRPr="000A4369">
        <w:rPr>
          <w:rFonts w:ascii="Times New Roman" w:hAnsi="Times New Roman" w:cs="Times New Roman"/>
          <w:sz w:val="24"/>
          <w:szCs w:val="24"/>
        </w:rPr>
        <w:t xml:space="preserve"> Thus, a significant portion of water that is treated and supplied into water distribution infrastructure is physically lost before it reaches users. As the Financial and Fiscal</w:t>
      </w:r>
      <w:r w:rsidRPr="000A4369" w:rsidDel="00D01DDF">
        <w:rPr>
          <w:rFonts w:ascii="Times New Roman" w:hAnsi="Times New Roman" w:cs="Times New Roman"/>
          <w:sz w:val="24"/>
          <w:szCs w:val="24"/>
        </w:rPr>
        <w:t xml:space="preserve"> </w:t>
      </w:r>
      <w:r w:rsidRPr="000A4369">
        <w:rPr>
          <w:rFonts w:ascii="Times New Roman" w:hAnsi="Times New Roman" w:cs="Times New Roman"/>
          <w:sz w:val="24"/>
          <w:szCs w:val="24"/>
        </w:rPr>
        <w:t>Commission (FFC) further notes, ‘a further significant proportion of what is supplied reaches users but is not accounted for and users are not billed for its supply.’</w:t>
      </w:r>
      <w:r w:rsidRPr="000A4369">
        <w:rPr>
          <w:rFonts w:ascii="Times New Roman" w:hAnsi="Times New Roman" w:cs="Times New Roman"/>
          <w:sz w:val="24"/>
          <w:szCs w:val="24"/>
          <w:vertAlign w:val="superscript"/>
        </w:rPr>
        <w:footnoteReference w:id="4"/>
      </w:r>
      <w:r w:rsidRPr="000A4369">
        <w:rPr>
          <w:rFonts w:ascii="Times New Roman" w:hAnsi="Times New Roman" w:cs="Times New Roman"/>
          <w:sz w:val="24"/>
          <w:szCs w:val="24"/>
        </w:rPr>
        <w:t xml:space="preserve"> This, together with the drought conditions that prevailed during the period under review, made it more important for municipalities to improve loss management in respe</w:t>
      </w:r>
      <w:r w:rsidR="00C4085A" w:rsidRPr="000A4369">
        <w:rPr>
          <w:rFonts w:ascii="Times New Roman" w:hAnsi="Times New Roman" w:cs="Times New Roman"/>
          <w:sz w:val="24"/>
          <w:szCs w:val="24"/>
        </w:rPr>
        <w:t>ct of water services</w:t>
      </w:r>
      <w:r w:rsidRPr="000A4369">
        <w:rPr>
          <w:rFonts w:ascii="Times New Roman" w:hAnsi="Times New Roman" w:cs="Times New Roman"/>
          <w:sz w:val="24"/>
          <w:szCs w:val="24"/>
        </w:rPr>
        <w:t xml:space="preserve">. The </w:t>
      </w:r>
      <w:r w:rsidRPr="000A4369">
        <w:rPr>
          <w:rFonts w:ascii="Times New Roman" w:hAnsi="Times New Roman" w:cs="Times New Roman"/>
          <w:sz w:val="24"/>
          <w:szCs w:val="24"/>
        </w:rPr>
        <w:lastRenderedPageBreak/>
        <w:t>FFC notes that Government has made little progress, despite the national prioritisation of the need to reduce non-revenue water losses.</w:t>
      </w:r>
    </w:p>
    <w:p w14:paraId="71D399E2" w14:textId="77777777" w:rsidR="00134ACC" w:rsidRPr="000A4369" w:rsidRDefault="00134ACC" w:rsidP="00153F3F">
      <w:pPr>
        <w:tabs>
          <w:tab w:val="left" w:pos="1428"/>
        </w:tabs>
        <w:spacing w:after="0" w:line="280" w:lineRule="exact"/>
        <w:jc w:val="both"/>
        <w:rPr>
          <w:rFonts w:ascii="Times New Roman" w:hAnsi="Times New Roman" w:cs="Times New Roman"/>
          <w:sz w:val="24"/>
          <w:szCs w:val="24"/>
        </w:rPr>
      </w:pPr>
    </w:p>
    <w:p w14:paraId="5DC35B53" w14:textId="77777777" w:rsidR="00134ACC" w:rsidRPr="000A4369" w:rsidRDefault="00134ACC" w:rsidP="00134ACC">
      <w:pPr>
        <w:pStyle w:val="ListParagraph"/>
        <w:numPr>
          <w:ilvl w:val="1"/>
          <w:numId w:val="17"/>
        </w:numPr>
        <w:tabs>
          <w:tab w:val="left" w:pos="1428"/>
        </w:tabs>
        <w:spacing w:after="0" w:line="280" w:lineRule="exact"/>
        <w:jc w:val="both"/>
        <w:rPr>
          <w:rFonts w:ascii="Times New Roman" w:hAnsi="Times New Roman" w:cs="Times New Roman"/>
          <w:b/>
          <w:sz w:val="24"/>
          <w:szCs w:val="24"/>
        </w:rPr>
      </w:pPr>
      <w:r w:rsidRPr="000A4369">
        <w:rPr>
          <w:rFonts w:ascii="Times New Roman" w:hAnsi="Times New Roman" w:cs="Times New Roman"/>
          <w:b/>
          <w:sz w:val="24"/>
          <w:szCs w:val="24"/>
        </w:rPr>
        <w:t>Drought interventions measures</w:t>
      </w:r>
    </w:p>
    <w:p w14:paraId="2A937278" w14:textId="77777777" w:rsidR="00A13B92" w:rsidRPr="000A4369" w:rsidRDefault="00A13B92" w:rsidP="00A13B92">
      <w:pPr>
        <w:tabs>
          <w:tab w:val="left" w:pos="1428"/>
        </w:tabs>
        <w:spacing w:after="0" w:line="280" w:lineRule="exact"/>
        <w:jc w:val="both"/>
        <w:rPr>
          <w:rFonts w:ascii="Times New Roman" w:hAnsi="Times New Roman" w:cs="Times New Roman"/>
          <w:b/>
          <w:sz w:val="24"/>
          <w:szCs w:val="24"/>
        </w:rPr>
      </w:pPr>
    </w:p>
    <w:p w14:paraId="759B2DF9" w14:textId="77777777" w:rsidR="008C2CBD" w:rsidRPr="000A4369" w:rsidRDefault="00D2399C" w:rsidP="00A13B92">
      <w:pPr>
        <w:tabs>
          <w:tab w:val="left" w:pos="1428"/>
        </w:tabs>
        <w:spacing w:after="0" w:line="280" w:lineRule="exact"/>
        <w:jc w:val="both"/>
        <w:rPr>
          <w:rFonts w:ascii="Times New Roman" w:hAnsi="Times New Roman" w:cs="Times New Roman"/>
          <w:sz w:val="24"/>
          <w:szCs w:val="24"/>
        </w:rPr>
      </w:pPr>
      <w:r w:rsidRPr="000A4369">
        <w:rPr>
          <w:rFonts w:ascii="Times New Roman" w:hAnsi="Times New Roman" w:cs="Times New Roman"/>
          <w:sz w:val="24"/>
          <w:szCs w:val="24"/>
        </w:rPr>
        <w:t xml:space="preserve">The Department’s Disaster Management Programme - which is responsible for promoting an integrated and coordinated system of disaster prevention, mitigation and risk management - received an additional once-off allocation of R1.2 billion to provide immediate drought relief and future mitigation funding to affected sectors, such as water, agriculture and environmental affairs. The funding was in the form of the municipal disaster recovery grant, which Government transferred to three severely drought-stricken metropolitan municipalities: Cape Town, Nelson Mandela Bay and Mangaung. </w:t>
      </w:r>
    </w:p>
    <w:p w14:paraId="5D3F9521" w14:textId="77777777" w:rsidR="002C3B9D" w:rsidRPr="000A4369" w:rsidRDefault="002C3B9D" w:rsidP="00A13B92">
      <w:pPr>
        <w:tabs>
          <w:tab w:val="left" w:pos="1428"/>
        </w:tabs>
        <w:spacing w:after="0" w:line="280" w:lineRule="exact"/>
        <w:jc w:val="both"/>
        <w:rPr>
          <w:rFonts w:ascii="Times New Roman" w:hAnsi="Times New Roman" w:cs="Times New Roman"/>
          <w:sz w:val="24"/>
          <w:szCs w:val="24"/>
        </w:rPr>
      </w:pPr>
    </w:p>
    <w:p w14:paraId="6B48ED93" w14:textId="77777777" w:rsidR="002C3B9D" w:rsidRPr="000A4369" w:rsidRDefault="002C3B9D" w:rsidP="002C3B9D">
      <w:pPr>
        <w:pStyle w:val="ListParagraph"/>
        <w:numPr>
          <w:ilvl w:val="1"/>
          <w:numId w:val="17"/>
        </w:numPr>
        <w:tabs>
          <w:tab w:val="left" w:pos="1428"/>
        </w:tabs>
        <w:spacing w:after="0" w:line="280" w:lineRule="exact"/>
        <w:jc w:val="both"/>
        <w:rPr>
          <w:rFonts w:ascii="Times New Roman" w:hAnsi="Times New Roman" w:cs="Times New Roman"/>
          <w:b/>
          <w:sz w:val="24"/>
          <w:szCs w:val="24"/>
        </w:rPr>
      </w:pPr>
      <w:r w:rsidRPr="000A4369">
        <w:rPr>
          <w:rFonts w:ascii="Times New Roman" w:hAnsi="Times New Roman" w:cs="Times New Roman"/>
          <w:b/>
          <w:sz w:val="24"/>
          <w:szCs w:val="24"/>
        </w:rPr>
        <w:t>Other relevant developments</w:t>
      </w:r>
    </w:p>
    <w:p w14:paraId="67CF1164" w14:textId="77777777" w:rsidR="002C3B9D" w:rsidRPr="000A4369" w:rsidRDefault="002C3B9D" w:rsidP="002C3B9D">
      <w:pPr>
        <w:tabs>
          <w:tab w:val="left" w:pos="1428"/>
        </w:tabs>
        <w:spacing w:after="0" w:line="280" w:lineRule="exact"/>
        <w:jc w:val="both"/>
        <w:rPr>
          <w:rFonts w:ascii="Times New Roman" w:hAnsi="Times New Roman" w:cs="Times New Roman"/>
          <w:b/>
          <w:sz w:val="24"/>
          <w:szCs w:val="24"/>
        </w:rPr>
      </w:pPr>
    </w:p>
    <w:p w14:paraId="0DDB263D" w14:textId="77777777" w:rsidR="007D1B2C" w:rsidRPr="000A4369" w:rsidRDefault="007D1B2C" w:rsidP="007D1B2C">
      <w:pPr>
        <w:tabs>
          <w:tab w:val="left" w:pos="1428"/>
        </w:tabs>
        <w:spacing w:after="0" w:line="280" w:lineRule="exact"/>
        <w:jc w:val="both"/>
        <w:rPr>
          <w:rFonts w:ascii="Times New Roman" w:hAnsi="Times New Roman" w:cs="Times New Roman"/>
          <w:sz w:val="24"/>
          <w:szCs w:val="24"/>
        </w:rPr>
      </w:pPr>
      <w:r w:rsidRPr="000A4369">
        <w:rPr>
          <w:rFonts w:ascii="Times New Roman" w:hAnsi="Times New Roman" w:cs="Times New Roman"/>
          <w:sz w:val="24"/>
          <w:szCs w:val="24"/>
        </w:rPr>
        <w:t>The period under review also witnessed a number of municipalities undergoing investigation for unlawfully investing millions of rand in the VBS Mutual Bank, in contravention of Treasury Regulations. Section 71(1) of the Municipal Finance Management Act (MFMA),</w:t>
      </w:r>
      <w:r w:rsidRPr="000A4369">
        <w:rPr>
          <w:rFonts w:ascii="Times New Roman" w:hAnsi="Times New Roman" w:cs="Times New Roman"/>
          <w:sz w:val="24"/>
          <w:szCs w:val="24"/>
          <w:vertAlign w:val="superscript"/>
        </w:rPr>
        <w:footnoteReference w:id="5"/>
      </w:r>
      <w:r w:rsidRPr="000A4369">
        <w:rPr>
          <w:rFonts w:ascii="Times New Roman" w:hAnsi="Times New Roman" w:cs="Times New Roman"/>
          <w:sz w:val="24"/>
          <w:szCs w:val="24"/>
        </w:rPr>
        <w:t xml:space="preserve"> requires the Accounting Officer of a municipality to submit a report, in a prescribed format, to the Executive Mayor within 10 working days after the end of each month. The report should detail the state of the municipality’s budget reflecting actual revenue, actual expenditure, any allocations received, actual borrowings, and any other budget information as National and Provincial Treasury may require for monitoring purposes. The fact that this provision could not</w:t>
      </w:r>
      <w:r w:rsidR="00546DD2" w:rsidRPr="000A4369">
        <w:rPr>
          <w:rFonts w:ascii="Times New Roman" w:hAnsi="Times New Roman" w:cs="Times New Roman"/>
          <w:sz w:val="24"/>
          <w:szCs w:val="24"/>
        </w:rPr>
        <w:t xml:space="preserve"> be complied with </w:t>
      </w:r>
      <w:r w:rsidRPr="000A4369">
        <w:rPr>
          <w:rFonts w:ascii="Times New Roman" w:hAnsi="Times New Roman" w:cs="Times New Roman"/>
          <w:sz w:val="24"/>
          <w:szCs w:val="24"/>
        </w:rPr>
        <w:t>points to the need for improved oversight over section 71 reporting. In this regard, National Treasury may need to consider involving CoGTA and the South African Local Government Association (SALGA) in the analysis of these reports.</w:t>
      </w:r>
      <w:r w:rsidR="00025730" w:rsidRPr="000A4369">
        <w:rPr>
          <w:rFonts w:ascii="Times New Roman" w:hAnsi="Times New Roman" w:cs="Times New Roman"/>
          <w:sz w:val="24"/>
          <w:szCs w:val="24"/>
        </w:rPr>
        <w:t xml:space="preserve"> </w:t>
      </w:r>
      <w:r w:rsidR="00C32ECF" w:rsidRPr="000A4369">
        <w:rPr>
          <w:rFonts w:ascii="Times New Roman" w:hAnsi="Times New Roman" w:cs="Times New Roman"/>
          <w:sz w:val="24"/>
          <w:szCs w:val="24"/>
        </w:rPr>
        <w:t>National Treasury should also consider capacity building for</w:t>
      </w:r>
      <w:r w:rsidR="00025730" w:rsidRPr="000A4369">
        <w:rPr>
          <w:rFonts w:ascii="Times New Roman" w:hAnsi="Times New Roman" w:cs="Times New Roman"/>
          <w:sz w:val="24"/>
          <w:szCs w:val="24"/>
        </w:rPr>
        <w:t xml:space="preserve"> people involve</w:t>
      </w:r>
      <w:r w:rsidR="00C32ECF" w:rsidRPr="000A4369">
        <w:rPr>
          <w:rFonts w:ascii="Times New Roman" w:hAnsi="Times New Roman" w:cs="Times New Roman"/>
          <w:sz w:val="24"/>
          <w:szCs w:val="24"/>
        </w:rPr>
        <w:t>d in analysing the r</w:t>
      </w:r>
      <w:r w:rsidR="00025730" w:rsidRPr="000A4369">
        <w:rPr>
          <w:rFonts w:ascii="Times New Roman" w:hAnsi="Times New Roman" w:cs="Times New Roman"/>
          <w:sz w:val="24"/>
          <w:szCs w:val="24"/>
        </w:rPr>
        <w:t xml:space="preserve">eports. </w:t>
      </w:r>
    </w:p>
    <w:p w14:paraId="2B569DC5" w14:textId="77777777" w:rsidR="002C3B9D" w:rsidRPr="000A4369" w:rsidRDefault="002C3B9D" w:rsidP="002C3B9D">
      <w:pPr>
        <w:tabs>
          <w:tab w:val="left" w:pos="1428"/>
        </w:tabs>
        <w:spacing w:after="0" w:line="280" w:lineRule="exact"/>
        <w:jc w:val="both"/>
        <w:rPr>
          <w:rFonts w:ascii="Times New Roman" w:hAnsi="Times New Roman" w:cs="Times New Roman"/>
          <w:b/>
          <w:sz w:val="24"/>
          <w:szCs w:val="24"/>
        </w:rPr>
      </w:pPr>
    </w:p>
    <w:p w14:paraId="34EF5D78" w14:textId="77777777" w:rsidR="00C5006E" w:rsidRPr="000A4369" w:rsidRDefault="00C5006E" w:rsidP="00C5006E">
      <w:pPr>
        <w:pStyle w:val="ListParagraph"/>
        <w:numPr>
          <w:ilvl w:val="1"/>
          <w:numId w:val="17"/>
        </w:numPr>
        <w:tabs>
          <w:tab w:val="left" w:pos="1428"/>
        </w:tabs>
        <w:spacing w:after="0" w:line="280" w:lineRule="exact"/>
        <w:jc w:val="both"/>
        <w:rPr>
          <w:rFonts w:ascii="Times New Roman" w:hAnsi="Times New Roman" w:cs="Times New Roman"/>
          <w:b/>
          <w:sz w:val="24"/>
          <w:szCs w:val="24"/>
        </w:rPr>
      </w:pPr>
      <w:r w:rsidRPr="000A4369">
        <w:rPr>
          <w:rFonts w:ascii="Times New Roman" w:hAnsi="Times New Roman" w:cs="Times New Roman"/>
          <w:b/>
          <w:sz w:val="24"/>
          <w:szCs w:val="24"/>
        </w:rPr>
        <w:t>Summary of budget expenditure</w:t>
      </w:r>
    </w:p>
    <w:p w14:paraId="5DE18255" w14:textId="77777777" w:rsidR="007954D0" w:rsidRPr="000A4369" w:rsidRDefault="007954D0" w:rsidP="007954D0">
      <w:pPr>
        <w:tabs>
          <w:tab w:val="left" w:pos="1428"/>
        </w:tabs>
        <w:spacing w:after="0" w:line="280" w:lineRule="exact"/>
        <w:jc w:val="both"/>
        <w:rPr>
          <w:rFonts w:ascii="Times New Roman" w:hAnsi="Times New Roman" w:cs="Times New Roman"/>
          <w:b/>
          <w:sz w:val="24"/>
          <w:szCs w:val="24"/>
        </w:rPr>
      </w:pPr>
    </w:p>
    <w:p w14:paraId="2F51EA7F" w14:textId="77777777" w:rsidR="007954D0" w:rsidRPr="000A4369" w:rsidRDefault="006D11BE" w:rsidP="007954D0">
      <w:pPr>
        <w:tabs>
          <w:tab w:val="left" w:pos="1428"/>
        </w:tabs>
        <w:spacing w:after="0" w:line="280" w:lineRule="exact"/>
        <w:jc w:val="both"/>
        <w:rPr>
          <w:rFonts w:ascii="Times New Roman" w:hAnsi="Times New Roman" w:cs="Times New Roman"/>
          <w:sz w:val="24"/>
          <w:szCs w:val="24"/>
        </w:rPr>
      </w:pPr>
      <w:r w:rsidRPr="000A4369">
        <w:rPr>
          <w:rFonts w:ascii="Times New Roman" w:hAnsi="Times New Roman" w:cs="Times New Roman"/>
          <w:bCs/>
          <w:sz w:val="24"/>
          <w:szCs w:val="24"/>
        </w:rPr>
        <w:t>The total budget allocated to the Department in 2018/19 amounted to R83.6 billion, which was later adjusted to R85 billion. As at 28 February 2019</w:t>
      </w:r>
      <w:r w:rsidRPr="000A4369">
        <w:rPr>
          <w:rFonts w:ascii="Times New Roman" w:hAnsi="Times New Roman" w:cs="Times New Roman"/>
          <w:sz w:val="24"/>
          <w:szCs w:val="24"/>
        </w:rPr>
        <w:t>, total expenditure amounted to R59.6 billion or 83 percent of the allocated budget.</w:t>
      </w:r>
      <w:r w:rsidRPr="000A4369">
        <w:rPr>
          <w:rFonts w:ascii="Times New Roman" w:hAnsi="Times New Roman" w:cs="Times New Roman"/>
          <w:sz w:val="24"/>
          <w:szCs w:val="24"/>
          <w:vertAlign w:val="superscript"/>
        </w:rPr>
        <w:footnoteReference w:id="6"/>
      </w:r>
      <w:r w:rsidRPr="000A4369">
        <w:rPr>
          <w:rFonts w:ascii="Times New Roman" w:hAnsi="Times New Roman" w:cs="Times New Roman"/>
          <w:sz w:val="24"/>
          <w:szCs w:val="24"/>
        </w:rPr>
        <w:t xml:space="preserve"> Table 1 depicts the Department’s monthly expenditure trends from April 2018 to February 2019. </w:t>
      </w:r>
    </w:p>
    <w:p w14:paraId="749DC806" w14:textId="77777777" w:rsidR="005B43E3" w:rsidRPr="000A4369" w:rsidRDefault="005B43E3" w:rsidP="007954D0">
      <w:pPr>
        <w:tabs>
          <w:tab w:val="left" w:pos="1428"/>
        </w:tabs>
        <w:spacing w:after="0" w:line="280" w:lineRule="exact"/>
        <w:jc w:val="both"/>
        <w:rPr>
          <w:rFonts w:ascii="Times New Roman" w:hAnsi="Times New Roman" w:cs="Times New Roman"/>
          <w:sz w:val="24"/>
          <w:szCs w:val="24"/>
        </w:rPr>
      </w:pPr>
    </w:p>
    <w:p w14:paraId="640F8FBB" w14:textId="77777777" w:rsidR="005B43E3" w:rsidRPr="000A4369" w:rsidRDefault="005B43E3" w:rsidP="007954D0">
      <w:pPr>
        <w:tabs>
          <w:tab w:val="left" w:pos="1428"/>
        </w:tabs>
        <w:spacing w:after="0" w:line="280" w:lineRule="exact"/>
        <w:jc w:val="both"/>
        <w:rPr>
          <w:rFonts w:ascii="Times New Roman" w:hAnsi="Times New Roman" w:cs="Times New Roman"/>
          <w:sz w:val="24"/>
          <w:szCs w:val="24"/>
        </w:rPr>
      </w:pPr>
    </w:p>
    <w:p w14:paraId="4409D505" w14:textId="77777777" w:rsidR="005B43E3" w:rsidRPr="000A4369" w:rsidRDefault="005B43E3" w:rsidP="007954D0">
      <w:pPr>
        <w:tabs>
          <w:tab w:val="left" w:pos="1428"/>
        </w:tabs>
        <w:spacing w:after="0" w:line="280" w:lineRule="exact"/>
        <w:jc w:val="both"/>
        <w:rPr>
          <w:rFonts w:ascii="Times New Roman" w:hAnsi="Times New Roman" w:cs="Times New Roman"/>
          <w:sz w:val="24"/>
          <w:szCs w:val="24"/>
        </w:rPr>
      </w:pPr>
    </w:p>
    <w:p w14:paraId="483E03B9" w14:textId="77777777" w:rsidR="005B43E3" w:rsidRPr="000A4369" w:rsidRDefault="005B43E3" w:rsidP="007954D0">
      <w:pPr>
        <w:tabs>
          <w:tab w:val="left" w:pos="1428"/>
        </w:tabs>
        <w:spacing w:after="0" w:line="280" w:lineRule="exact"/>
        <w:jc w:val="both"/>
        <w:rPr>
          <w:rFonts w:ascii="Times New Roman" w:hAnsi="Times New Roman" w:cs="Times New Roman"/>
          <w:sz w:val="24"/>
          <w:szCs w:val="24"/>
        </w:rPr>
      </w:pPr>
    </w:p>
    <w:p w14:paraId="0E21A10F"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3B2C6F8D"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32C0496B"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15CD5581"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01560238"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5B9FD557"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1DC850E3"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28D3D115"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6108EA71" w14:textId="77777777" w:rsidR="00496591" w:rsidRPr="000A4369" w:rsidRDefault="00496591" w:rsidP="007954D0">
      <w:pPr>
        <w:tabs>
          <w:tab w:val="left" w:pos="1428"/>
        </w:tabs>
        <w:spacing w:after="0" w:line="280" w:lineRule="exact"/>
        <w:jc w:val="both"/>
        <w:rPr>
          <w:rFonts w:ascii="Times New Roman" w:hAnsi="Times New Roman" w:cs="Times New Roman"/>
        </w:rPr>
      </w:pPr>
    </w:p>
    <w:p w14:paraId="2E16ECC2" w14:textId="77777777" w:rsidR="00496591" w:rsidRPr="000A4369" w:rsidRDefault="00496591" w:rsidP="007954D0">
      <w:pPr>
        <w:tabs>
          <w:tab w:val="left" w:pos="1428"/>
        </w:tabs>
        <w:spacing w:after="0" w:line="280" w:lineRule="exact"/>
        <w:jc w:val="both"/>
        <w:rPr>
          <w:rFonts w:ascii="Times New Roman" w:hAnsi="Times New Roman" w:cs="Times New Roman"/>
        </w:rPr>
      </w:pPr>
    </w:p>
    <w:p w14:paraId="4085A40C" w14:textId="77777777" w:rsidR="005B43E3" w:rsidRPr="000A4369" w:rsidRDefault="005B43E3" w:rsidP="007954D0">
      <w:pPr>
        <w:tabs>
          <w:tab w:val="left" w:pos="1428"/>
        </w:tabs>
        <w:spacing w:after="0" w:line="280" w:lineRule="exact"/>
        <w:jc w:val="both"/>
        <w:rPr>
          <w:rFonts w:ascii="Times New Roman" w:hAnsi="Times New Roman" w:cs="Times New Roman"/>
        </w:rPr>
      </w:pPr>
      <w:r w:rsidRPr="000A4369">
        <w:rPr>
          <w:rFonts w:ascii="Times New Roman" w:hAnsi="Times New Roman" w:cs="Times New Roman"/>
          <w:noProof/>
          <w:lang w:eastAsia="en-ZA"/>
        </w:rPr>
        <w:drawing>
          <wp:anchor distT="0" distB="0" distL="114300" distR="114300" simplePos="0" relativeHeight="251662336" behindDoc="0" locked="0" layoutInCell="1" allowOverlap="1" wp14:anchorId="5D92C8AF" wp14:editId="6329DACE">
            <wp:simplePos x="0" y="0"/>
            <wp:positionH relativeFrom="margin">
              <wp:posOffset>0</wp:posOffset>
            </wp:positionH>
            <wp:positionV relativeFrom="paragraph">
              <wp:posOffset>0</wp:posOffset>
            </wp:positionV>
            <wp:extent cx="6023445" cy="30448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3445" cy="304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F32478"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47CAEDB4"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4F0DF1A0"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64FB5BCB"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19FD5E54"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28187F5A"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4EDA7A6F"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2E97CCE4"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109C1522"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4EE365B5"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04C1BEFA"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17C837B7"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770E387A"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779987B8"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57F89128"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75E59A59"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045F3AFA" w14:textId="77777777" w:rsidR="005B43E3" w:rsidRPr="000A4369" w:rsidRDefault="005B43E3" w:rsidP="005B43E3">
      <w:pPr>
        <w:tabs>
          <w:tab w:val="left" w:pos="1428"/>
        </w:tabs>
        <w:spacing w:after="0" w:line="280" w:lineRule="exact"/>
        <w:jc w:val="both"/>
        <w:rPr>
          <w:rFonts w:ascii="Times New Roman" w:hAnsi="Times New Roman" w:cs="Times New Roman"/>
          <w:sz w:val="20"/>
        </w:rPr>
      </w:pPr>
      <w:r w:rsidRPr="000A4369">
        <w:rPr>
          <w:rFonts w:ascii="Times New Roman" w:hAnsi="Times New Roman" w:cs="Times New Roman"/>
          <w:i/>
          <w:sz w:val="20"/>
        </w:rPr>
        <w:t xml:space="preserve">Data Source: </w:t>
      </w:r>
      <w:r w:rsidRPr="000A4369">
        <w:rPr>
          <w:rFonts w:ascii="Times New Roman" w:hAnsi="Times New Roman" w:cs="Times New Roman"/>
          <w:sz w:val="20"/>
        </w:rPr>
        <w:t>National Treasury (2019).</w:t>
      </w:r>
    </w:p>
    <w:p w14:paraId="54663900" w14:textId="77777777" w:rsidR="005B43E3" w:rsidRPr="000A4369" w:rsidRDefault="005B43E3" w:rsidP="007954D0">
      <w:pPr>
        <w:tabs>
          <w:tab w:val="left" w:pos="1428"/>
        </w:tabs>
        <w:spacing w:after="0" w:line="280" w:lineRule="exact"/>
        <w:jc w:val="both"/>
        <w:rPr>
          <w:rFonts w:ascii="Times New Roman" w:hAnsi="Times New Roman" w:cs="Times New Roman"/>
        </w:rPr>
      </w:pPr>
    </w:p>
    <w:p w14:paraId="70A586F8" w14:textId="77777777" w:rsidR="005B43E3" w:rsidRPr="000A4369" w:rsidRDefault="005B43E3" w:rsidP="005B43E3">
      <w:pPr>
        <w:tabs>
          <w:tab w:val="left" w:pos="1428"/>
        </w:tabs>
        <w:spacing w:after="0" w:line="280" w:lineRule="exact"/>
        <w:jc w:val="both"/>
        <w:rPr>
          <w:rFonts w:ascii="Times New Roman" w:hAnsi="Times New Roman" w:cs="Times New Roman"/>
          <w:sz w:val="24"/>
          <w:szCs w:val="24"/>
        </w:rPr>
      </w:pPr>
      <w:r w:rsidRPr="000A4369">
        <w:rPr>
          <w:rFonts w:ascii="Times New Roman" w:hAnsi="Times New Roman" w:cs="Times New Roman"/>
          <w:sz w:val="24"/>
          <w:szCs w:val="24"/>
        </w:rPr>
        <w:t>The municipal financial year runs from 1 July to 30 June of the following year. Furthermore, Government disburses equitable share allocations to municipalities during December. The bulk of the budget allocated to the Department consists of transfers and subsidies to provinces and municipalities, primarily through the local government equitable share and the municipal infrastructure grant. This explains the spike in expenditure witnessed during these periods in Table 1 above.</w:t>
      </w:r>
    </w:p>
    <w:p w14:paraId="1937CD5C" w14:textId="77777777" w:rsidR="00FF17D6" w:rsidRPr="000A4369" w:rsidRDefault="00FF17D6" w:rsidP="00305282">
      <w:pPr>
        <w:spacing w:after="0" w:line="280" w:lineRule="exact"/>
        <w:jc w:val="both"/>
        <w:rPr>
          <w:rFonts w:ascii="Times New Roman" w:eastAsia="Times New Roman" w:hAnsi="Times New Roman" w:cs="Times New Roman"/>
          <w:b/>
          <w:sz w:val="24"/>
          <w:szCs w:val="24"/>
          <w:lang w:val="en-GB"/>
        </w:rPr>
      </w:pPr>
    </w:p>
    <w:p w14:paraId="0CCE003E" w14:textId="77777777" w:rsidR="005B43E3" w:rsidRPr="000A4369" w:rsidRDefault="005B43E3" w:rsidP="005B43E3">
      <w:pPr>
        <w:pStyle w:val="ListParagraph"/>
        <w:numPr>
          <w:ilvl w:val="0"/>
          <w:numId w:val="17"/>
        </w:numPr>
        <w:spacing w:after="0" w:line="280" w:lineRule="exact"/>
        <w:jc w:val="both"/>
        <w:rPr>
          <w:rFonts w:ascii="Times New Roman" w:eastAsia="Times New Roman" w:hAnsi="Times New Roman" w:cs="Times New Roman"/>
          <w:b/>
          <w:sz w:val="24"/>
          <w:szCs w:val="24"/>
          <w:lang w:val="en-GB"/>
        </w:rPr>
      </w:pPr>
      <w:r w:rsidRPr="000A4369">
        <w:rPr>
          <w:rFonts w:ascii="Times New Roman" w:eastAsia="Times New Roman" w:hAnsi="Times New Roman" w:cs="Times New Roman"/>
          <w:b/>
          <w:sz w:val="24"/>
          <w:szCs w:val="24"/>
          <w:lang w:val="en-GB"/>
        </w:rPr>
        <w:t>Policy Priorities for 2019/20</w:t>
      </w:r>
    </w:p>
    <w:p w14:paraId="55EBF861" w14:textId="77777777" w:rsidR="005B43E3" w:rsidRPr="000A4369" w:rsidRDefault="005B43E3" w:rsidP="005B43E3">
      <w:pPr>
        <w:spacing w:after="0" w:line="280" w:lineRule="exact"/>
        <w:jc w:val="both"/>
        <w:rPr>
          <w:rFonts w:ascii="Times New Roman" w:eastAsia="Times New Roman" w:hAnsi="Times New Roman" w:cs="Times New Roman"/>
          <w:b/>
          <w:sz w:val="24"/>
          <w:szCs w:val="24"/>
          <w:lang w:val="en-GB"/>
        </w:rPr>
      </w:pPr>
    </w:p>
    <w:p w14:paraId="58A4815F" w14:textId="77777777" w:rsidR="0034185C" w:rsidRPr="000A4369" w:rsidRDefault="0034185C" w:rsidP="0034185C">
      <w:pPr>
        <w:spacing w:after="0" w:line="280" w:lineRule="exact"/>
        <w:jc w:val="both"/>
        <w:rPr>
          <w:rFonts w:ascii="Times New Roman" w:hAnsi="Times New Roman" w:cs="Times New Roman"/>
          <w:bCs/>
          <w:sz w:val="24"/>
          <w:szCs w:val="24"/>
        </w:rPr>
      </w:pPr>
      <w:r w:rsidRPr="000A4369">
        <w:rPr>
          <w:rFonts w:ascii="Times New Roman" w:hAnsi="Times New Roman" w:cs="Times New Roman"/>
          <w:bCs/>
          <w:sz w:val="24"/>
          <w:szCs w:val="24"/>
        </w:rPr>
        <w:t>The implementation of the second phase of the ‘Back to Basics’ Programme is CoGTA’s key policy priority for the 2019/20 financial year. The Department introduced the Programme during the 2014/15 financial year, and implemented its first phase in the course of the 2014-2019 Medium Term Strategic Framework (MTSF) period. In its first iteration, the Programme consisted of five pillars, which aligned to the Department’s five 2014-2019 MTSF sub-outcomes, as tabulated below.</w:t>
      </w:r>
    </w:p>
    <w:p w14:paraId="3A03F513" w14:textId="77777777" w:rsidR="005B43E3" w:rsidRPr="000A4369" w:rsidRDefault="005B43E3" w:rsidP="005B43E3">
      <w:pPr>
        <w:spacing w:after="0" w:line="280" w:lineRule="exact"/>
        <w:jc w:val="both"/>
        <w:rPr>
          <w:rFonts w:ascii="Times New Roman" w:eastAsia="Times New Roman" w:hAnsi="Times New Roman" w:cs="Times New Roman"/>
          <w:b/>
          <w:sz w:val="24"/>
          <w:szCs w:val="24"/>
          <w:lang w:val="en-GB"/>
        </w:rPr>
      </w:pPr>
    </w:p>
    <w:tbl>
      <w:tblPr>
        <w:tblStyle w:val="TableGrid1"/>
        <w:tblW w:w="5000" w:type="pct"/>
        <w:tblLook w:val="04A0" w:firstRow="1" w:lastRow="0" w:firstColumn="1" w:lastColumn="0" w:noHBand="0" w:noVBand="1"/>
      </w:tblPr>
      <w:tblGrid>
        <w:gridCol w:w="3225"/>
        <w:gridCol w:w="6017"/>
      </w:tblGrid>
      <w:tr w:rsidR="002F26CD" w:rsidRPr="000A4369" w14:paraId="3C165A2C" w14:textId="77777777" w:rsidTr="002D00EA">
        <w:tc>
          <w:tcPr>
            <w:tcW w:w="1745" w:type="pct"/>
          </w:tcPr>
          <w:p w14:paraId="44DDB265" w14:textId="77777777" w:rsidR="002F26CD" w:rsidRPr="000A4369" w:rsidRDefault="002F26CD" w:rsidP="002F26CD">
            <w:pPr>
              <w:tabs>
                <w:tab w:val="left" w:pos="1227"/>
              </w:tabs>
              <w:spacing w:line="280" w:lineRule="exact"/>
              <w:jc w:val="center"/>
              <w:rPr>
                <w:rFonts w:ascii="Times New Roman" w:hAnsi="Times New Roman" w:cs="Times New Roman"/>
                <w:b/>
              </w:rPr>
            </w:pPr>
          </w:p>
          <w:p w14:paraId="08119407" w14:textId="77777777" w:rsidR="002F26CD" w:rsidRPr="000A4369" w:rsidRDefault="002F26CD" w:rsidP="002F26CD">
            <w:pPr>
              <w:tabs>
                <w:tab w:val="left" w:pos="1227"/>
              </w:tabs>
              <w:spacing w:line="280" w:lineRule="exact"/>
              <w:jc w:val="center"/>
              <w:rPr>
                <w:rFonts w:ascii="Times New Roman" w:hAnsi="Times New Roman" w:cs="Times New Roman"/>
                <w:b/>
              </w:rPr>
            </w:pPr>
            <w:r w:rsidRPr="000A4369">
              <w:rPr>
                <w:rFonts w:ascii="Times New Roman" w:hAnsi="Times New Roman" w:cs="Times New Roman"/>
                <w:b/>
              </w:rPr>
              <w:t>Back to Basics Pillars</w:t>
            </w:r>
          </w:p>
        </w:tc>
        <w:tc>
          <w:tcPr>
            <w:tcW w:w="3255" w:type="pct"/>
          </w:tcPr>
          <w:p w14:paraId="25688106" w14:textId="77777777" w:rsidR="002F26CD" w:rsidRPr="000A4369" w:rsidRDefault="002F26CD" w:rsidP="002F26CD">
            <w:pPr>
              <w:tabs>
                <w:tab w:val="left" w:pos="1227"/>
              </w:tabs>
              <w:spacing w:line="280" w:lineRule="exact"/>
              <w:jc w:val="center"/>
              <w:rPr>
                <w:rFonts w:ascii="Times New Roman" w:hAnsi="Times New Roman" w:cs="Times New Roman"/>
                <w:b/>
              </w:rPr>
            </w:pPr>
          </w:p>
          <w:p w14:paraId="352A8AAA" w14:textId="77777777" w:rsidR="002F26CD" w:rsidRPr="000A4369" w:rsidRDefault="002F26CD" w:rsidP="002F26CD">
            <w:pPr>
              <w:tabs>
                <w:tab w:val="left" w:pos="1227"/>
              </w:tabs>
              <w:spacing w:line="280" w:lineRule="exact"/>
              <w:jc w:val="center"/>
              <w:rPr>
                <w:rFonts w:ascii="Times New Roman" w:hAnsi="Times New Roman" w:cs="Times New Roman"/>
                <w:b/>
              </w:rPr>
            </w:pPr>
            <w:r w:rsidRPr="000A4369">
              <w:rPr>
                <w:rFonts w:ascii="Times New Roman" w:hAnsi="Times New Roman" w:cs="Times New Roman"/>
                <w:b/>
              </w:rPr>
              <w:t>CoGTA’s 2014-2019 MTSF sub-outcomes</w:t>
            </w:r>
          </w:p>
        </w:tc>
      </w:tr>
      <w:tr w:rsidR="002F26CD" w:rsidRPr="000A4369" w14:paraId="707D6560" w14:textId="77777777" w:rsidTr="002D00EA">
        <w:tc>
          <w:tcPr>
            <w:tcW w:w="1745" w:type="pct"/>
          </w:tcPr>
          <w:p w14:paraId="408E2F96" w14:textId="77777777" w:rsidR="002F26CD" w:rsidRPr="000A4369" w:rsidRDefault="002F26CD" w:rsidP="002F26CD">
            <w:pPr>
              <w:numPr>
                <w:ilvl w:val="0"/>
                <w:numId w:val="23"/>
              </w:numPr>
              <w:tabs>
                <w:tab w:val="left" w:pos="1227"/>
              </w:tabs>
              <w:spacing w:line="280" w:lineRule="exact"/>
              <w:contextualSpacing/>
              <w:jc w:val="both"/>
              <w:rPr>
                <w:rFonts w:ascii="Times New Roman" w:hAnsi="Times New Roman" w:cs="Times New Roman"/>
              </w:rPr>
            </w:pPr>
            <w:r w:rsidRPr="000A4369">
              <w:rPr>
                <w:rFonts w:ascii="Times New Roman" w:hAnsi="Times New Roman" w:cs="Times New Roman"/>
              </w:rPr>
              <w:t>Putting people first: let’s listen and communicate</w:t>
            </w:r>
          </w:p>
        </w:tc>
        <w:tc>
          <w:tcPr>
            <w:tcW w:w="3255" w:type="pct"/>
          </w:tcPr>
          <w:p w14:paraId="29C47306" w14:textId="77777777" w:rsidR="002F26CD" w:rsidRPr="000A4369" w:rsidRDefault="002F26CD" w:rsidP="002F26CD">
            <w:pPr>
              <w:tabs>
                <w:tab w:val="left" w:pos="1227"/>
              </w:tabs>
              <w:spacing w:line="280" w:lineRule="exact"/>
              <w:jc w:val="both"/>
              <w:rPr>
                <w:rFonts w:ascii="Times New Roman" w:hAnsi="Times New Roman" w:cs="Times New Roman"/>
              </w:rPr>
            </w:pPr>
            <w:r w:rsidRPr="000A4369">
              <w:rPr>
                <w:rFonts w:ascii="Times New Roman" w:hAnsi="Times New Roman" w:cs="Times New Roman"/>
              </w:rPr>
              <w:t xml:space="preserve">Local public employment programmes expanded through the Community Work Programme. </w:t>
            </w:r>
          </w:p>
        </w:tc>
      </w:tr>
      <w:tr w:rsidR="002F26CD" w:rsidRPr="000A4369" w14:paraId="5665FB86" w14:textId="77777777" w:rsidTr="002D00EA">
        <w:tc>
          <w:tcPr>
            <w:tcW w:w="1745" w:type="pct"/>
          </w:tcPr>
          <w:p w14:paraId="15A6F68F" w14:textId="77777777" w:rsidR="002F26CD" w:rsidRPr="000A4369" w:rsidRDefault="002F26CD" w:rsidP="002F26CD">
            <w:pPr>
              <w:numPr>
                <w:ilvl w:val="0"/>
                <w:numId w:val="23"/>
              </w:numPr>
              <w:tabs>
                <w:tab w:val="left" w:pos="1227"/>
              </w:tabs>
              <w:spacing w:line="280" w:lineRule="exact"/>
              <w:contextualSpacing/>
              <w:jc w:val="both"/>
              <w:rPr>
                <w:rFonts w:ascii="Times New Roman" w:hAnsi="Times New Roman" w:cs="Times New Roman"/>
              </w:rPr>
            </w:pPr>
            <w:r w:rsidRPr="000A4369">
              <w:rPr>
                <w:rFonts w:ascii="Times New Roman" w:hAnsi="Times New Roman" w:cs="Times New Roman"/>
              </w:rPr>
              <w:t>Consistent provision of services to the right quality and standard</w:t>
            </w:r>
          </w:p>
        </w:tc>
        <w:tc>
          <w:tcPr>
            <w:tcW w:w="3255" w:type="pct"/>
          </w:tcPr>
          <w:p w14:paraId="414D87F8" w14:textId="77777777" w:rsidR="002F26CD" w:rsidRPr="000A4369" w:rsidRDefault="002F26CD" w:rsidP="002F26CD">
            <w:pPr>
              <w:tabs>
                <w:tab w:val="left" w:pos="1227"/>
              </w:tabs>
              <w:spacing w:line="280" w:lineRule="exact"/>
              <w:jc w:val="both"/>
              <w:rPr>
                <w:rFonts w:ascii="Times New Roman" w:hAnsi="Times New Roman" w:cs="Times New Roman"/>
              </w:rPr>
            </w:pPr>
            <w:r w:rsidRPr="000A4369">
              <w:rPr>
                <w:rFonts w:ascii="Times New Roman" w:hAnsi="Times New Roman" w:cs="Times New Roman"/>
              </w:rPr>
              <w:t>Members of society have sustainable and reliable access to basic services</w:t>
            </w:r>
          </w:p>
        </w:tc>
      </w:tr>
      <w:tr w:rsidR="002F26CD" w:rsidRPr="000A4369" w14:paraId="6E9E19C0" w14:textId="77777777" w:rsidTr="002D00EA">
        <w:tc>
          <w:tcPr>
            <w:tcW w:w="1745" w:type="pct"/>
          </w:tcPr>
          <w:p w14:paraId="216F39FE" w14:textId="77777777" w:rsidR="002F26CD" w:rsidRPr="000A4369" w:rsidRDefault="002F26CD" w:rsidP="002F26CD">
            <w:pPr>
              <w:numPr>
                <w:ilvl w:val="0"/>
                <w:numId w:val="23"/>
              </w:numPr>
              <w:tabs>
                <w:tab w:val="left" w:pos="1227"/>
              </w:tabs>
              <w:spacing w:line="280" w:lineRule="exact"/>
              <w:contextualSpacing/>
              <w:jc w:val="both"/>
              <w:rPr>
                <w:rFonts w:ascii="Times New Roman" w:hAnsi="Times New Roman" w:cs="Times New Roman"/>
              </w:rPr>
            </w:pPr>
            <w:r w:rsidRPr="000A4369">
              <w:rPr>
                <w:rFonts w:ascii="Times New Roman" w:hAnsi="Times New Roman" w:cs="Times New Roman"/>
              </w:rPr>
              <w:t>Good governance and transparent administration</w:t>
            </w:r>
          </w:p>
        </w:tc>
        <w:tc>
          <w:tcPr>
            <w:tcW w:w="3255" w:type="pct"/>
          </w:tcPr>
          <w:p w14:paraId="431097D8" w14:textId="77777777" w:rsidR="002F26CD" w:rsidRPr="000A4369" w:rsidRDefault="002F26CD" w:rsidP="002F26CD">
            <w:pPr>
              <w:tabs>
                <w:tab w:val="left" w:pos="1227"/>
              </w:tabs>
              <w:spacing w:line="280" w:lineRule="exact"/>
              <w:jc w:val="both"/>
              <w:rPr>
                <w:rFonts w:ascii="Times New Roman" w:hAnsi="Times New Roman" w:cs="Times New Roman"/>
              </w:rPr>
            </w:pPr>
            <w:r w:rsidRPr="000A4369">
              <w:rPr>
                <w:rFonts w:ascii="Times New Roman" w:hAnsi="Times New Roman" w:cs="Times New Roman"/>
              </w:rPr>
              <w:t>Democratic, well-governed and effective municipal institutions capable of carrying out their development mandate as per the Constitution</w:t>
            </w:r>
          </w:p>
        </w:tc>
      </w:tr>
      <w:tr w:rsidR="002F26CD" w:rsidRPr="000A4369" w14:paraId="38194595" w14:textId="77777777" w:rsidTr="002D00EA">
        <w:tc>
          <w:tcPr>
            <w:tcW w:w="1745" w:type="pct"/>
          </w:tcPr>
          <w:p w14:paraId="424EC440" w14:textId="77777777" w:rsidR="002F26CD" w:rsidRPr="000A4369" w:rsidRDefault="002F26CD" w:rsidP="002F26CD">
            <w:pPr>
              <w:numPr>
                <w:ilvl w:val="0"/>
                <w:numId w:val="23"/>
              </w:numPr>
              <w:tabs>
                <w:tab w:val="left" w:pos="1227"/>
              </w:tabs>
              <w:spacing w:line="280" w:lineRule="exact"/>
              <w:contextualSpacing/>
              <w:jc w:val="both"/>
              <w:rPr>
                <w:rFonts w:ascii="Times New Roman" w:hAnsi="Times New Roman" w:cs="Times New Roman"/>
              </w:rPr>
            </w:pPr>
            <w:r w:rsidRPr="000A4369">
              <w:rPr>
                <w:rFonts w:ascii="Times New Roman" w:hAnsi="Times New Roman" w:cs="Times New Roman"/>
              </w:rPr>
              <w:t>Sound financial management and accounting</w:t>
            </w:r>
          </w:p>
        </w:tc>
        <w:tc>
          <w:tcPr>
            <w:tcW w:w="3255" w:type="pct"/>
          </w:tcPr>
          <w:p w14:paraId="62CB9B7F" w14:textId="77777777" w:rsidR="002F26CD" w:rsidRPr="000A4369" w:rsidRDefault="002F26CD" w:rsidP="002F26CD">
            <w:pPr>
              <w:tabs>
                <w:tab w:val="left" w:pos="1227"/>
              </w:tabs>
              <w:spacing w:line="280" w:lineRule="exact"/>
              <w:jc w:val="both"/>
              <w:rPr>
                <w:rFonts w:ascii="Times New Roman" w:hAnsi="Times New Roman" w:cs="Times New Roman"/>
              </w:rPr>
            </w:pPr>
            <w:r w:rsidRPr="000A4369">
              <w:rPr>
                <w:rFonts w:ascii="Times New Roman" w:hAnsi="Times New Roman" w:cs="Times New Roman"/>
              </w:rPr>
              <w:t>Sound financial management</w:t>
            </w:r>
          </w:p>
        </w:tc>
      </w:tr>
      <w:tr w:rsidR="002F26CD" w:rsidRPr="000A4369" w14:paraId="3DF6A83F" w14:textId="77777777" w:rsidTr="002D00EA">
        <w:tc>
          <w:tcPr>
            <w:tcW w:w="1745" w:type="pct"/>
          </w:tcPr>
          <w:p w14:paraId="3C8F34EE" w14:textId="77777777" w:rsidR="002F26CD" w:rsidRPr="000A4369" w:rsidRDefault="002F26CD" w:rsidP="002F26CD">
            <w:pPr>
              <w:numPr>
                <w:ilvl w:val="0"/>
                <w:numId w:val="23"/>
              </w:numPr>
              <w:tabs>
                <w:tab w:val="left" w:pos="1227"/>
              </w:tabs>
              <w:spacing w:line="280" w:lineRule="exact"/>
              <w:contextualSpacing/>
              <w:jc w:val="both"/>
              <w:rPr>
                <w:rFonts w:ascii="Times New Roman" w:hAnsi="Times New Roman" w:cs="Times New Roman"/>
              </w:rPr>
            </w:pPr>
            <w:r w:rsidRPr="000A4369">
              <w:rPr>
                <w:rFonts w:ascii="Times New Roman" w:hAnsi="Times New Roman" w:cs="Times New Roman"/>
              </w:rPr>
              <w:lastRenderedPageBreak/>
              <w:t>Robust institutions with skilled and capable staff</w:t>
            </w:r>
          </w:p>
        </w:tc>
        <w:tc>
          <w:tcPr>
            <w:tcW w:w="3255" w:type="pct"/>
          </w:tcPr>
          <w:p w14:paraId="5CEE5318" w14:textId="77777777" w:rsidR="002F26CD" w:rsidRPr="000A4369" w:rsidRDefault="002F26CD" w:rsidP="002F26CD">
            <w:pPr>
              <w:tabs>
                <w:tab w:val="left" w:pos="1227"/>
              </w:tabs>
              <w:spacing w:line="280" w:lineRule="exact"/>
              <w:jc w:val="both"/>
              <w:rPr>
                <w:rFonts w:ascii="Times New Roman" w:hAnsi="Times New Roman" w:cs="Times New Roman"/>
              </w:rPr>
            </w:pPr>
            <w:r w:rsidRPr="000A4369">
              <w:rPr>
                <w:rFonts w:ascii="Times New Roman" w:hAnsi="Times New Roman" w:cs="Times New Roman"/>
              </w:rPr>
              <w:t>Strengthened intergovernmental arrangements for a functional system of cooperative governance for local government</w:t>
            </w:r>
          </w:p>
        </w:tc>
      </w:tr>
    </w:tbl>
    <w:p w14:paraId="3AA13B46" w14:textId="77777777" w:rsidR="002F26CD" w:rsidRPr="000A4369" w:rsidRDefault="002F26CD" w:rsidP="005B43E3">
      <w:pPr>
        <w:spacing w:after="0" w:line="280" w:lineRule="exact"/>
        <w:jc w:val="both"/>
        <w:rPr>
          <w:rFonts w:ascii="Times New Roman" w:eastAsia="Times New Roman" w:hAnsi="Times New Roman" w:cs="Times New Roman"/>
          <w:b/>
          <w:lang w:val="en-GB"/>
        </w:rPr>
      </w:pPr>
    </w:p>
    <w:p w14:paraId="566BC3B8" w14:textId="77777777" w:rsidR="003B1404" w:rsidRPr="000A4369" w:rsidRDefault="003B1404" w:rsidP="003B1404">
      <w:pPr>
        <w:tabs>
          <w:tab w:val="left" w:pos="1227"/>
        </w:tabs>
        <w:spacing w:after="0" w:line="280" w:lineRule="exact"/>
        <w:jc w:val="both"/>
        <w:rPr>
          <w:rFonts w:ascii="Times New Roman" w:hAnsi="Times New Roman" w:cs="Times New Roman"/>
          <w:bCs/>
          <w:sz w:val="24"/>
          <w:szCs w:val="24"/>
        </w:rPr>
      </w:pPr>
      <w:r w:rsidRPr="000A4369">
        <w:rPr>
          <w:rFonts w:ascii="Times New Roman" w:hAnsi="Times New Roman" w:cs="Times New Roman"/>
          <w:bCs/>
          <w:sz w:val="24"/>
          <w:szCs w:val="24"/>
        </w:rPr>
        <w:t>The Department provides a template for all municipalities to report, on a monthly basis, on progress in the implementation of these pillars. Marking the second phase of Back to Basics is the introduction of three additional pillars: disaster management, spatial transformation and local economic development. Considering that the progress made in the implementation of the original five pillars has not been particularly encouraging, Parliament may need to question the wisdom of three additional pillars.</w:t>
      </w:r>
    </w:p>
    <w:p w14:paraId="7F405B22" w14:textId="77777777" w:rsidR="00E72AA2" w:rsidRPr="000A4369" w:rsidRDefault="00E72AA2" w:rsidP="003B1404">
      <w:pPr>
        <w:tabs>
          <w:tab w:val="left" w:pos="1227"/>
        </w:tabs>
        <w:spacing w:after="0" w:line="280" w:lineRule="exact"/>
        <w:jc w:val="both"/>
        <w:rPr>
          <w:rFonts w:ascii="Times New Roman" w:hAnsi="Times New Roman" w:cs="Times New Roman"/>
          <w:bCs/>
          <w:sz w:val="24"/>
          <w:szCs w:val="24"/>
        </w:rPr>
      </w:pPr>
    </w:p>
    <w:p w14:paraId="62F519C4" w14:textId="77777777" w:rsidR="003B1404" w:rsidRPr="000A4369" w:rsidRDefault="00E72AA2" w:rsidP="00E72AA2">
      <w:pPr>
        <w:pStyle w:val="Caption"/>
        <w:keepNext/>
        <w:spacing w:after="0"/>
        <w:contextualSpacing/>
        <w:rPr>
          <w:rFonts w:ascii="Times New Roman" w:hAnsi="Times New Roman" w:cs="Times New Roman"/>
        </w:rPr>
      </w:pPr>
      <w:r w:rsidRPr="000A4369">
        <w:rPr>
          <w:rFonts w:ascii="Times New Roman" w:hAnsi="Times New Roman" w:cs="Times New Roman"/>
        </w:rPr>
        <w:t xml:space="preserve">Table </w:t>
      </w:r>
      <w:r w:rsidR="000A4369" w:rsidRPr="000A4369">
        <w:rPr>
          <w:rFonts w:ascii="Times New Roman" w:hAnsi="Times New Roman" w:cs="Times New Roman"/>
        </w:rPr>
        <w:fldChar w:fldCharType="begin"/>
      </w:r>
      <w:r w:rsidR="000A4369" w:rsidRPr="000A4369">
        <w:rPr>
          <w:rFonts w:ascii="Times New Roman" w:hAnsi="Times New Roman" w:cs="Times New Roman"/>
        </w:rPr>
        <w:instrText xml:space="preserve"> SEQ Table \* ARABIC </w:instrText>
      </w:r>
      <w:r w:rsidR="000A4369" w:rsidRPr="000A4369">
        <w:rPr>
          <w:rFonts w:ascii="Times New Roman" w:hAnsi="Times New Roman" w:cs="Times New Roman"/>
        </w:rPr>
        <w:fldChar w:fldCharType="separate"/>
      </w:r>
      <w:r w:rsidR="007F1C6D" w:rsidRPr="000A4369">
        <w:rPr>
          <w:rFonts w:ascii="Times New Roman" w:hAnsi="Times New Roman" w:cs="Times New Roman"/>
          <w:noProof/>
        </w:rPr>
        <w:t>1</w:t>
      </w:r>
      <w:r w:rsidR="000A4369" w:rsidRPr="000A4369">
        <w:rPr>
          <w:rFonts w:ascii="Times New Roman" w:hAnsi="Times New Roman" w:cs="Times New Roman"/>
          <w:noProof/>
        </w:rPr>
        <w:fldChar w:fldCharType="end"/>
      </w:r>
      <w:r w:rsidRPr="000A4369">
        <w:rPr>
          <w:rFonts w:ascii="Times New Roman" w:hAnsi="Times New Roman" w:cs="Times New Roman"/>
        </w:rPr>
        <w:t>: Overall Budget Allocation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73"/>
        <w:gridCol w:w="1021"/>
        <w:gridCol w:w="1308"/>
        <w:gridCol w:w="1276"/>
        <w:gridCol w:w="1578"/>
        <w:gridCol w:w="1489"/>
      </w:tblGrid>
      <w:tr w:rsidR="00E72AA2" w:rsidRPr="000A4369" w14:paraId="39536319" w14:textId="77777777" w:rsidTr="002D00EA">
        <w:trPr>
          <w:trHeight w:val="760"/>
        </w:trPr>
        <w:tc>
          <w:tcPr>
            <w:tcW w:w="1418" w:type="dxa"/>
            <w:shd w:val="clear" w:color="auto" w:fill="auto"/>
            <w:noWrap/>
            <w:vAlign w:val="bottom"/>
            <w:hideMark/>
          </w:tcPr>
          <w:p w14:paraId="6FEA5C20" w14:textId="77777777" w:rsidR="00E72AA2" w:rsidRPr="000A4369" w:rsidRDefault="00E72AA2" w:rsidP="00E72AA2">
            <w:pPr>
              <w:spacing w:after="0" w:line="240" w:lineRule="auto"/>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Programme</w:t>
            </w:r>
          </w:p>
        </w:tc>
        <w:tc>
          <w:tcPr>
            <w:tcW w:w="2094" w:type="dxa"/>
            <w:gridSpan w:val="2"/>
            <w:shd w:val="clear" w:color="auto" w:fill="auto"/>
            <w:vAlign w:val="center"/>
            <w:hideMark/>
          </w:tcPr>
          <w:p w14:paraId="0CDD355C" w14:textId="77777777" w:rsidR="00E72AA2" w:rsidRPr="000A4369" w:rsidRDefault="00E72AA2" w:rsidP="00E72AA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Budget</w:t>
            </w:r>
          </w:p>
        </w:tc>
        <w:tc>
          <w:tcPr>
            <w:tcW w:w="1308" w:type="dxa"/>
            <w:vMerge w:val="restart"/>
            <w:shd w:val="clear" w:color="auto" w:fill="auto"/>
            <w:vAlign w:val="center"/>
            <w:hideMark/>
          </w:tcPr>
          <w:p w14:paraId="1D54B61C" w14:textId="77777777" w:rsidR="00E72AA2" w:rsidRPr="000A4369" w:rsidRDefault="00E72AA2" w:rsidP="00E72AA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Nominal Increase / Decrease in 2019/20 </w:t>
            </w:r>
            <w:r w:rsidRPr="000A4369">
              <w:rPr>
                <w:rFonts w:ascii="Times New Roman" w:eastAsia="Times New Roman" w:hAnsi="Times New Roman" w:cs="Times New Roman"/>
                <w:b/>
                <w:bCs/>
                <w:sz w:val="18"/>
                <w:szCs w:val="18"/>
                <w:vertAlign w:val="superscript"/>
                <w:lang w:eastAsia="en-ZA"/>
              </w:rPr>
              <w:footnoteReference w:id="7"/>
            </w:r>
          </w:p>
        </w:tc>
        <w:tc>
          <w:tcPr>
            <w:tcW w:w="1276" w:type="dxa"/>
            <w:vMerge w:val="restart"/>
            <w:shd w:val="clear" w:color="auto" w:fill="auto"/>
            <w:vAlign w:val="center"/>
            <w:hideMark/>
          </w:tcPr>
          <w:p w14:paraId="55DAFFAD" w14:textId="77777777" w:rsidR="00E72AA2" w:rsidRPr="000A4369" w:rsidRDefault="00E72AA2" w:rsidP="00E72AA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Real Increase/Decrease in 2019/20 </w:t>
            </w:r>
            <w:r w:rsidRPr="000A4369">
              <w:rPr>
                <w:rFonts w:ascii="Times New Roman" w:eastAsia="Times New Roman" w:hAnsi="Times New Roman" w:cs="Times New Roman"/>
                <w:b/>
                <w:bCs/>
                <w:sz w:val="18"/>
                <w:szCs w:val="18"/>
                <w:vertAlign w:val="superscript"/>
                <w:lang w:eastAsia="en-ZA"/>
              </w:rPr>
              <w:footnoteReference w:id="8"/>
            </w:r>
          </w:p>
        </w:tc>
        <w:tc>
          <w:tcPr>
            <w:tcW w:w="1578" w:type="dxa"/>
            <w:vMerge w:val="restart"/>
            <w:shd w:val="clear" w:color="auto" w:fill="auto"/>
            <w:vAlign w:val="center"/>
            <w:hideMark/>
          </w:tcPr>
          <w:p w14:paraId="4D8F6FD5" w14:textId="77777777" w:rsidR="00E72AA2" w:rsidRPr="000A4369" w:rsidRDefault="00E72AA2" w:rsidP="00E72AA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Nominal Percent change in 2019/20</w:t>
            </w:r>
          </w:p>
        </w:tc>
        <w:tc>
          <w:tcPr>
            <w:tcW w:w="1489" w:type="dxa"/>
            <w:vMerge w:val="restart"/>
            <w:shd w:val="clear" w:color="auto" w:fill="auto"/>
            <w:vAlign w:val="center"/>
            <w:hideMark/>
          </w:tcPr>
          <w:p w14:paraId="12C20C02" w14:textId="77777777" w:rsidR="00E72AA2" w:rsidRPr="000A4369" w:rsidRDefault="00E72AA2" w:rsidP="00E72AA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Real Percent change in 2019/20</w:t>
            </w:r>
          </w:p>
        </w:tc>
      </w:tr>
      <w:tr w:rsidR="00E72AA2" w:rsidRPr="000A4369" w14:paraId="6CBA3686" w14:textId="77777777" w:rsidTr="002D00EA">
        <w:trPr>
          <w:trHeight w:val="253"/>
        </w:trPr>
        <w:tc>
          <w:tcPr>
            <w:tcW w:w="1418" w:type="dxa"/>
            <w:shd w:val="clear" w:color="auto" w:fill="auto"/>
            <w:noWrap/>
            <w:vAlign w:val="bottom"/>
            <w:hideMark/>
          </w:tcPr>
          <w:p w14:paraId="4F0D7CAA" w14:textId="77777777" w:rsidR="00E72AA2" w:rsidRPr="000A4369" w:rsidRDefault="00E72AA2" w:rsidP="00E72AA2">
            <w:pPr>
              <w:spacing w:after="0" w:line="240" w:lineRule="auto"/>
              <w:jc w:val="center"/>
              <w:rPr>
                <w:rFonts w:ascii="Times New Roman" w:eastAsia="Times New Roman" w:hAnsi="Times New Roman" w:cs="Times New Roman"/>
                <w:b/>
                <w:bCs/>
                <w:sz w:val="20"/>
                <w:szCs w:val="20"/>
                <w:lang w:eastAsia="en-ZA"/>
              </w:rPr>
            </w:pPr>
            <w:r w:rsidRPr="000A4369">
              <w:rPr>
                <w:rFonts w:ascii="Times New Roman" w:eastAsia="Times New Roman" w:hAnsi="Times New Roman" w:cs="Times New Roman"/>
                <w:b/>
                <w:bCs/>
                <w:sz w:val="20"/>
                <w:szCs w:val="20"/>
                <w:lang w:eastAsia="en-ZA"/>
              </w:rPr>
              <w:t>R million</w:t>
            </w:r>
          </w:p>
        </w:tc>
        <w:tc>
          <w:tcPr>
            <w:tcW w:w="1073" w:type="dxa"/>
            <w:shd w:val="clear" w:color="auto" w:fill="auto"/>
            <w:noWrap/>
            <w:vAlign w:val="bottom"/>
            <w:hideMark/>
          </w:tcPr>
          <w:p w14:paraId="537463A4" w14:textId="77777777" w:rsidR="00E72AA2" w:rsidRPr="000A4369" w:rsidRDefault="00E72AA2" w:rsidP="00E72AA2">
            <w:pPr>
              <w:spacing w:after="0" w:line="240" w:lineRule="auto"/>
              <w:jc w:val="center"/>
              <w:rPr>
                <w:rFonts w:ascii="Times New Roman" w:eastAsia="Times New Roman" w:hAnsi="Times New Roman" w:cs="Times New Roman"/>
                <w:b/>
                <w:bCs/>
                <w:sz w:val="20"/>
                <w:szCs w:val="20"/>
                <w:lang w:eastAsia="en-ZA"/>
              </w:rPr>
            </w:pPr>
            <w:r w:rsidRPr="000A4369">
              <w:rPr>
                <w:rFonts w:ascii="Times New Roman" w:eastAsia="Times New Roman" w:hAnsi="Times New Roman" w:cs="Times New Roman"/>
                <w:b/>
                <w:bCs/>
                <w:sz w:val="20"/>
                <w:szCs w:val="20"/>
                <w:lang w:eastAsia="en-ZA"/>
              </w:rPr>
              <w:t>2018/19</w:t>
            </w:r>
          </w:p>
        </w:tc>
        <w:tc>
          <w:tcPr>
            <w:tcW w:w="1021" w:type="dxa"/>
            <w:shd w:val="clear" w:color="auto" w:fill="auto"/>
            <w:noWrap/>
            <w:vAlign w:val="bottom"/>
            <w:hideMark/>
          </w:tcPr>
          <w:p w14:paraId="331F7B45" w14:textId="77777777" w:rsidR="00E72AA2" w:rsidRPr="000A4369" w:rsidRDefault="00E72AA2" w:rsidP="00E72AA2">
            <w:pPr>
              <w:spacing w:after="0" w:line="240" w:lineRule="auto"/>
              <w:jc w:val="center"/>
              <w:rPr>
                <w:rFonts w:ascii="Times New Roman" w:eastAsia="Times New Roman" w:hAnsi="Times New Roman" w:cs="Times New Roman"/>
                <w:b/>
                <w:bCs/>
                <w:sz w:val="20"/>
                <w:szCs w:val="20"/>
                <w:lang w:eastAsia="en-ZA"/>
              </w:rPr>
            </w:pPr>
            <w:r w:rsidRPr="000A4369">
              <w:rPr>
                <w:rFonts w:ascii="Times New Roman" w:eastAsia="Times New Roman" w:hAnsi="Times New Roman" w:cs="Times New Roman"/>
                <w:b/>
                <w:bCs/>
                <w:sz w:val="20"/>
                <w:szCs w:val="20"/>
                <w:lang w:eastAsia="en-ZA"/>
              </w:rPr>
              <w:t>2019/20</w:t>
            </w:r>
          </w:p>
        </w:tc>
        <w:tc>
          <w:tcPr>
            <w:tcW w:w="1308" w:type="dxa"/>
            <w:vMerge/>
            <w:vAlign w:val="center"/>
            <w:hideMark/>
          </w:tcPr>
          <w:p w14:paraId="59C8E719" w14:textId="77777777" w:rsidR="00E72AA2" w:rsidRPr="000A4369" w:rsidRDefault="00E72AA2" w:rsidP="00E72AA2">
            <w:pPr>
              <w:spacing w:after="0" w:line="240" w:lineRule="auto"/>
              <w:rPr>
                <w:rFonts w:ascii="Times New Roman" w:eastAsia="Times New Roman" w:hAnsi="Times New Roman" w:cs="Times New Roman"/>
                <w:b/>
                <w:bCs/>
                <w:sz w:val="20"/>
                <w:szCs w:val="20"/>
                <w:lang w:eastAsia="en-ZA"/>
              </w:rPr>
            </w:pPr>
          </w:p>
        </w:tc>
        <w:tc>
          <w:tcPr>
            <w:tcW w:w="1276" w:type="dxa"/>
            <w:vMerge/>
            <w:vAlign w:val="center"/>
            <w:hideMark/>
          </w:tcPr>
          <w:p w14:paraId="0B568C8B" w14:textId="77777777" w:rsidR="00E72AA2" w:rsidRPr="000A4369" w:rsidRDefault="00E72AA2" w:rsidP="00E72AA2">
            <w:pPr>
              <w:spacing w:after="0" w:line="240" w:lineRule="auto"/>
              <w:rPr>
                <w:rFonts w:ascii="Times New Roman" w:eastAsia="Times New Roman" w:hAnsi="Times New Roman" w:cs="Times New Roman"/>
                <w:b/>
                <w:bCs/>
                <w:sz w:val="20"/>
                <w:szCs w:val="20"/>
                <w:lang w:eastAsia="en-ZA"/>
              </w:rPr>
            </w:pPr>
          </w:p>
        </w:tc>
        <w:tc>
          <w:tcPr>
            <w:tcW w:w="1578" w:type="dxa"/>
            <w:vMerge/>
            <w:vAlign w:val="center"/>
            <w:hideMark/>
          </w:tcPr>
          <w:p w14:paraId="125A5789" w14:textId="77777777" w:rsidR="00E72AA2" w:rsidRPr="000A4369" w:rsidRDefault="00E72AA2" w:rsidP="00E72AA2">
            <w:pPr>
              <w:spacing w:after="0" w:line="240" w:lineRule="auto"/>
              <w:rPr>
                <w:rFonts w:ascii="Times New Roman" w:eastAsia="Times New Roman" w:hAnsi="Times New Roman" w:cs="Times New Roman"/>
                <w:b/>
                <w:bCs/>
                <w:sz w:val="20"/>
                <w:szCs w:val="20"/>
                <w:lang w:eastAsia="en-ZA"/>
              </w:rPr>
            </w:pPr>
          </w:p>
        </w:tc>
        <w:tc>
          <w:tcPr>
            <w:tcW w:w="1489" w:type="dxa"/>
            <w:vMerge/>
            <w:vAlign w:val="center"/>
            <w:hideMark/>
          </w:tcPr>
          <w:p w14:paraId="2EDCEE99" w14:textId="77777777" w:rsidR="00E72AA2" w:rsidRPr="000A4369" w:rsidRDefault="00E72AA2" w:rsidP="00E72AA2">
            <w:pPr>
              <w:spacing w:after="0" w:line="240" w:lineRule="auto"/>
              <w:rPr>
                <w:rFonts w:ascii="Times New Roman" w:eastAsia="Times New Roman" w:hAnsi="Times New Roman" w:cs="Times New Roman"/>
                <w:b/>
                <w:bCs/>
                <w:sz w:val="20"/>
                <w:szCs w:val="20"/>
                <w:lang w:eastAsia="en-ZA"/>
              </w:rPr>
            </w:pPr>
          </w:p>
        </w:tc>
      </w:tr>
      <w:tr w:rsidR="00E72AA2" w:rsidRPr="000A4369" w14:paraId="0ADB5E40" w14:textId="77777777" w:rsidTr="002D00EA">
        <w:trPr>
          <w:trHeight w:val="253"/>
        </w:trPr>
        <w:tc>
          <w:tcPr>
            <w:tcW w:w="1418" w:type="dxa"/>
            <w:shd w:val="clear" w:color="auto" w:fill="auto"/>
            <w:noWrap/>
            <w:vAlign w:val="bottom"/>
            <w:hideMark/>
          </w:tcPr>
          <w:p w14:paraId="3ECAB5CE" w14:textId="77777777" w:rsidR="00E72AA2" w:rsidRPr="000A4369" w:rsidRDefault="00E72AA2" w:rsidP="00E72AA2">
            <w:pPr>
              <w:spacing w:after="0" w:line="240" w:lineRule="auto"/>
              <w:jc w:val="center"/>
              <w:rPr>
                <w:rFonts w:ascii="Times New Roman" w:eastAsia="Times New Roman" w:hAnsi="Times New Roman" w:cs="Times New Roman"/>
                <w:b/>
                <w:bCs/>
                <w:sz w:val="20"/>
                <w:szCs w:val="20"/>
                <w:lang w:eastAsia="en-ZA"/>
              </w:rPr>
            </w:pPr>
          </w:p>
        </w:tc>
        <w:tc>
          <w:tcPr>
            <w:tcW w:w="1073" w:type="dxa"/>
            <w:shd w:val="clear" w:color="auto" w:fill="auto"/>
            <w:noWrap/>
            <w:vAlign w:val="bottom"/>
            <w:hideMark/>
          </w:tcPr>
          <w:p w14:paraId="01AD74E2" w14:textId="77777777" w:rsidR="00E72AA2" w:rsidRPr="000A4369" w:rsidRDefault="00E72AA2" w:rsidP="00E72AA2">
            <w:pPr>
              <w:spacing w:after="0" w:line="240" w:lineRule="auto"/>
              <w:rPr>
                <w:rFonts w:ascii="Times New Roman" w:eastAsia="Times New Roman" w:hAnsi="Times New Roman" w:cs="Times New Roman"/>
                <w:sz w:val="20"/>
                <w:szCs w:val="20"/>
                <w:lang w:eastAsia="en-ZA"/>
              </w:rPr>
            </w:pPr>
          </w:p>
        </w:tc>
        <w:tc>
          <w:tcPr>
            <w:tcW w:w="1021" w:type="dxa"/>
            <w:shd w:val="clear" w:color="auto" w:fill="auto"/>
            <w:noWrap/>
            <w:vAlign w:val="bottom"/>
            <w:hideMark/>
          </w:tcPr>
          <w:p w14:paraId="7669BBCB" w14:textId="77777777" w:rsidR="00E72AA2" w:rsidRPr="000A4369" w:rsidRDefault="00E72AA2" w:rsidP="00E72AA2">
            <w:pPr>
              <w:spacing w:after="0" w:line="240" w:lineRule="auto"/>
              <w:rPr>
                <w:rFonts w:ascii="Times New Roman" w:eastAsia="Times New Roman" w:hAnsi="Times New Roman" w:cs="Times New Roman"/>
                <w:sz w:val="20"/>
                <w:szCs w:val="20"/>
                <w:lang w:eastAsia="en-ZA"/>
              </w:rPr>
            </w:pPr>
          </w:p>
        </w:tc>
        <w:tc>
          <w:tcPr>
            <w:tcW w:w="1308" w:type="dxa"/>
            <w:shd w:val="clear" w:color="auto" w:fill="auto"/>
            <w:noWrap/>
            <w:vAlign w:val="bottom"/>
            <w:hideMark/>
          </w:tcPr>
          <w:p w14:paraId="515655B4" w14:textId="77777777" w:rsidR="00E72AA2" w:rsidRPr="000A4369" w:rsidRDefault="00E72AA2" w:rsidP="00E72AA2">
            <w:pPr>
              <w:spacing w:after="0" w:line="240" w:lineRule="auto"/>
              <w:rPr>
                <w:rFonts w:ascii="Times New Roman" w:eastAsia="Times New Roman" w:hAnsi="Times New Roman" w:cs="Times New Roman"/>
                <w:sz w:val="20"/>
                <w:szCs w:val="20"/>
                <w:lang w:eastAsia="en-ZA"/>
              </w:rPr>
            </w:pPr>
          </w:p>
        </w:tc>
        <w:tc>
          <w:tcPr>
            <w:tcW w:w="1276" w:type="dxa"/>
            <w:shd w:val="clear" w:color="auto" w:fill="auto"/>
            <w:noWrap/>
            <w:vAlign w:val="bottom"/>
            <w:hideMark/>
          </w:tcPr>
          <w:p w14:paraId="7822CE00" w14:textId="77777777" w:rsidR="00E72AA2" w:rsidRPr="000A4369" w:rsidRDefault="00E72AA2" w:rsidP="00E72AA2">
            <w:pPr>
              <w:spacing w:after="0" w:line="240" w:lineRule="auto"/>
              <w:rPr>
                <w:rFonts w:ascii="Times New Roman" w:eastAsia="Times New Roman" w:hAnsi="Times New Roman" w:cs="Times New Roman"/>
                <w:sz w:val="20"/>
                <w:szCs w:val="20"/>
                <w:lang w:eastAsia="en-ZA"/>
              </w:rPr>
            </w:pPr>
          </w:p>
        </w:tc>
        <w:tc>
          <w:tcPr>
            <w:tcW w:w="1578" w:type="dxa"/>
            <w:shd w:val="clear" w:color="auto" w:fill="auto"/>
            <w:noWrap/>
            <w:vAlign w:val="bottom"/>
            <w:hideMark/>
          </w:tcPr>
          <w:p w14:paraId="6A45E09D" w14:textId="77777777" w:rsidR="00E72AA2" w:rsidRPr="000A4369" w:rsidRDefault="00E72AA2" w:rsidP="00E72AA2">
            <w:pPr>
              <w:spacing w:after="0" w:line="240" w:lineRule="auto"/>
              <w:rPr>
                <w:rFonts w:ascii="Times New Roman" w:eastAsia="Times New Roman" w:hAnsi="Times New Roman" w:cs="Times New Roman"/>
                <w:sz w:val="20"/>
                <w:szCs w:val="20"/>
                <w:lang w:eastAsia="en-ZA"/>
              </w:rPr>
            </w:pPr>
          </w:p>
        </w:tc>
        <w:tc>
          <w:tcPr>
            <w:tcW w:w="1489" w:type="dxa"/>
            <w:shd w:val="clear" w:color="auto" w:fill="auto"/>
            <w:noWrap/>
            <w:vAlign w:val="bottom"/>
            <w:hideMark/>
          </w:tcPr>
          <w:p w14:paraId="15C6E8BD" w14:textId="77777777" w:rsidR="00E72AA2" w:rsidRPr="000A4369" w:rsidRDefault="00E72AA2" w:rsidP="00E72AA2">
            <w:pPr>
              <w:spacing w:after="0" w:line="240" w:lineRule="auto"/>
              <w:rPr>
                <w:rFonts w:ascii="Times New Roman" w:eastAsia="Times New Roman" w:hAnsi="Times New Roman" w:cs="Times New Roman"/>
                <w:sz w:val="20"/>
                <w:szCs w:val="20"/>
                <w:lang w:eastAsia="en-ZA"/>
              </w:rPr>
            </w:pPr>
          </w:p>
        </w:tc>
      </w:tr>
      <w:tr w:rsidR="00E72AA2" w:rsidRPr="000A4369" w14:paraId="29146EF9" w14:textId="77777777" w:rsidTr="002D00EA">
        <w:trPr>
          <w:trHeight w:val="253"/>
        </w:trPr>
        <w:tc>
          <w:tcPr>
            <w:tcW w:w="1418" w:type="dxa"/>
            <w:shd w:val="clear" w:color="auto" w:fill="auto"/>
            <w:noWrap/>
            <w:vAlign w:val="bottom"/>
            <w:hideMark/>
          </w:tcPr>
          <w:p w14:paraId="1CBB6A96" w14:textId="77777777" w:rsidR="00E72AA2" w:rsidRPr="000A4369" w:rsidRDefault="00E72AA2" w:rsidP="00E72AA2">
            <w:pPr>
              <w:numPr>
                <w:ilvl w:val="0"/>
                <w:numId w:val="24"/>
              </w:numPr>
              <w:spacing w:after="0" w:line="240" w:lineRule="auto"/>
              <w:ind w:left="174" w:hanging="174"/>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Administration</w:t>
            </w:r>
          </w:p>
        </w:tc>
        <w:tc>
          <w:tcPr>
            <w:tcW w:w="1073" w:type="dxa"/>
            <w:shd w:val="clear" w:color="auto" w:fill="auto"/>
            <w:noWrap/>
            <w:vAlign w:val="bottom"/>
            <w:hideMark/>
          </w:tcPr>
          <w:p w14:paraId="5CF4ABD8" w14:textId="77777777" w:rsidR="00E72AA2" w:rsidRPr="000A4369" w:rsidRDefault="00E72AA2" w:rsidP="00E72AA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278,5</w:t>
            </w:r>
          </w:p>
        </w:tc>
        <w:tc>
          <w:tcPr>
            <w:tcW w:w="1021" w:type="dxa"/>
            <w:shd w:val="clear" w:color="auto" w:fill="auto"/>
            <w:noWrap/>
            <w:vAlign w:val="bottom"/>
            <w:hideMark/>
          </w:tcPr>
          <w:p w14:paraId="317175E1"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275,7</w:t>
            </w:r>
          </w:p>
        </w:tc>
        <w:tc>
          <w:tcPr>
            <w:tcW w:w="1308" w:type="dxa"/>
            <w:shd w:val="clear" w:color="auto" w:fill="auto"/>
            <w:noWrap/>
            <w:vAlign w:val="bottom"/>
            <w:hideMark/>
          </w:tcPr>
          <w:p w14:paraId="68C40E9B"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-2,8</w:t>
            </w:r>
          </w:p>
        </w:tc>
        <w:tc>
          <w:tcPr>
            <w:tcW w:w="1276" w:type="dxa"/>
            <w:shd w:val="clear" w:color="auto" w:fill="auto"/>
            <w:noWrap/>
            <w:vAlign w:val="bottom"/>
            <w:hideMark/>
          </w:tcPr>
          <w:p w14:paraId="4471304B"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-16,4</w:t>
            </w:r>
          </w:p>
        </w:tc>
        <w:tc>
          <w:tcPr>
            <w:tcW w:w="1578" w:type="dxa"/>
            <w:shd w:val="clear" w:color="auto" w:fill="auto"/>
            <w:noWrap/>
            <w:vAlign w:val="bottom"/>
            <w:hideMark/>
          </w:tcPr>
          <w:p w14:paraId="45567ADF"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-1,01 per cent</w:t>
            </w:r>
          </w:p>
        </w:tc>
        <w:tc>
          <w:tcPr>
            <w:tcW w:w="1489" w:type="dxa"/>
            <w:shd w:val="clear" w:color="auto" w:fill="auto"/>
            <w:noWrap/>
            <w:vAlign w:val="bottom"/>
            <w:hideMark/>
          </w:tcPr>
          <w:p w14:paraId="21B49DBF"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-5,90 per cent</w:t>
            </w:r>
          </w:p>
        </w:tc>
      </w:tr>
      <w:tr w:rsidR="00E72AA2" w:rsidRPr="000A4369" w14:paraId="68B8E8DB" w14:textId="77777777" w:rsidTr="002D00EA">
        <w:trPr>
          <w:trHeight w:val="253"/>
        </w:trPr>
        <w:tc>
          <w:tcPr>
            <w:tcW w:w="1418" w:type="dxa"/>
            <w:shd w:val="clear" w:color="auto" w:fill="auto"/>
            <w:noWrap/>
            <w:vAlign w:val="bottom"/>
            <w:hideMark/>
          </w:tcPr>
          <w:p w14:paraId="0FF1FDFB" w14:textId="77777777" w:rsidR="00E72AA2" w:rsidRPr="000A4369" w:rsidRDefault="00E72AA2" w:rsidP="00E72AA2">
            <w:pPr>
              <w:numPr>
                <w:ilvl w:val="0"/>
                <w:numId w:val="24"/>
              </w:numPr>
              <w:spacing w:after="0" w:line="240" w:lineRule="auto"/>
              <w:ind w:left="174" w:hanging="174"/>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Regional and Urban Development and Legislative Support</w:t>
            </w:r>
          </w:p>
        </w:tc>
        <w:tc>
          <w:tcPr>
            <w:tcW w:w="1073" w:type="dxa"/>
            <w:shd w:val="clear" w:color="auto" w:fill="auto"/>
            <w:noWrap/>
            <w:vAlign w:val="bottom"/>
            <w:hideMark/>
          </w:tcPr>
          <w:p w14:paraId="51A95083" w14:textId="77777777" w:rsidR="00E72AA2" w:rsidRPr="000A4369" w:rsidRDefault="00E72AA2" w:rsidP="00E72AA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104,4</w:t>
            </w:r>
          </w:p>
        </w:tc>
        <w:tc>
          <w:tcPr>
            <w:tcW w:w="1021" w:type="dxa"/>
            <w:shd w:val="clear" w:color="auto" w:fill="auto"/>
            <w:noWrap/>
            <w:vAlign w:val="bottom"/>
            <w:hideMark/>
          </w:tcPr>
          <w:p w14:paraId="6782929F"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966,6</w:t>
            </w:r>
          </w:p>
        </w:tc>
        <w:tc>
          <w:tcPr>
            <w:tcW w:w="1308" w:type="dxa"/>
            <w:shd w:val="clear" w:color="auto" w:fill="auto"/>
            <w:noWrap/>
            <w:vAlign w:val="bottom"/>
            <w:hideMark/>
          </w:tcPr>
          <w:p w14:paraId="173FC038"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862,2</w:t>
            </w:r>
          </w:p>
        </w:tc>
        <w:tc>
          <w:tcPr>
            <w:tcW w:w="1276" w:type="dxa"/>
            <w:shd w:val="clear" w:color="auto" w:fill="auto"/>
            <w:noWrap/>
            <w:vAlign w:val="bottom"/>
            <w:hideMark/>
          </w:tcPr>
          <w:p w14:paraId="03BDF1C0"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814,4</w:t>
            </w:r>
          </w:p>
        </w:tc>
        <w:tc>
          <w:tcPr>
            <w:tcW w:w="1578" w:type="dxa"/>
            <w:shd w:val="clear" w:color="auto" w:fill="auto"/>
            <w:noWrap/>
            <w:vAlign w:val="bottom"/>
            <w:hideMark/>
          </w:tcPr>
          <w:p w14:paraId="28EFF837"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825,86 per cent</w:t>
            </w:r>
          </w:p>
        </w:tc>
        <w:tc>
          <w:tcPr>
            <w:tcW w:w="1489" w:type="dxa"/>
            <w:shd w:val="clear" w:color="auto" w:fill="auto"/>
            <w:noWrap/>
            <w:vAlign w:val="bottom"/>
            <w:hideMark/>
          </w:tcPr>
          <w:p w14:paraId="191228EE"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780,10 per cent</w:t>
            </w:r>
          </w:p>
        </w:tc>
      </w:tr>
      <w:tr w:rsidR="00E72AA2" w:rsidRPr="000A4369" w14:paraId="02ECE27B" w14:textId="77777777" w:rsidTr="002D00EA">
        <w:trPr>
          <w:trHeight w:val="253"/>
        </w:trPr>
        <w:tc>
          <w:tcPr>
            <w:tcW w:w="1418" w:type="dxa"/>
            <w:shd w:val="clear" w:color="auto" w:fill="auto"/>
            <w:noWrap/>
            <w:vAlign w:val="bottom"/>
            <w:hideMark/>
          </w:tcPr>
          <w:p w14:paraId="18CA14D1" w14:textId="77777777" w:rsidR="00E72AA2" w:rsidRPr="000A4369" w:rsidRDefault="00E72AA2" w:rsidP="00E72AA2">
            <w:pPr>
              <w:numPr>
                <w:ilvl w:val="0"/>
                <w:numId w:val="24"/>
              </w:numPr>
              <w:tabs>
                <w:tab w:val="left" w:pos="174"/>
                <w:tab w:val="left" w:pos="657"/>
              </w:tabs>
              <w:spacing w:after="0" w:line="240" w:lineRule="auto"/>
              <w:ind w:left="174" w:hanging="174"/>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Institutional Development</w:t>
            </w:r>
          </w:p>
        </w:tc>
        <w:tc>
          <w:tcPr>
            <w:tcW w:w="1073" w:type="dxa"/>
            <w:shd w:val="clear" w:color="auto" w:fill="auto"/>
            <w:noWrap/>
            <w:vAlign w:val="bottom"/>
            <w:hideMark/>
          </w:tcPr>
          <w:p w14:paraId="1B8D680D" w14:textId="77777777" w:rsidR="00E72AA2" w:rsidRPr="000A4369" w:rsidRDefault="00E72AA2" w:rsidP="00E72AA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63 114,7</w:t>
            </w:r>
          </w:p>
        </w:tc>
        <w:tc>
          <w:tcPr>
            <w:tcW w:w="1021" w:type="dxa"/>
            <w:shd w:val="clear" w:color="auto" w:fill="auto"/>
            <w:noWrap/>
            <w:vAlign w:val="bottom"/>
            <w:hideMark/>
          </w:tcPr>
          <w:p w14:paraId="1ADD7133"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69 370,3</w:t>
            </w:r>
          </w:p>
        </w:tc>
        <w:tc>
          <w:tcPr>
            <w:tcW w:w="1308" w:type="dxa"/>
            <w:shd w:val="clear" w:color="auto" w:fill="auto"/>
            <w:noWrap/>
            <w:vAlign w:val="bottom"/>
            <w:hideMark/>
          </w:tcPr>
          <w:p w14:paraId="3C4C6707"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6 255,6</w:t>
            </w:r>
          </w:p>
        </w:tc>
        <w:tc>
          <w:tcPr>
            <w:tcW w:w="1276" w:type="dxa"/>
            <w:shd w:val="clear" w:color="auto" w:fill="auto"/>
            <w:noWrap/>
            <w:vAlign w:val="bottom"/>
            <w:hideMark/>
          </w:tcPr>
          <w:p w14:paraId="5A19458B"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2 826,6</w:t>
            </w:r>
          </w:p>
        </w:tc>
        <w:tc>
          <w:tcPr>
            <w:tcW w:w="1578" w:type="dxa"/>
            <w:shd w:val="clear" w:color="auto" w:fill="auto"/>
            <w:noWrap/>
            <w:vAlign w:val="bottom"/>
            <w:hideMark/>
          </w:tcPr>
          <w:p w14:paraId="168DC2B6"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9,91 per cent</w:t>
            </w:r>
          </w:p>
        </w:tc>
        <w:tc>
          <w:tcPr>
            <w:tcW w:w="1489" w:type="dxa"/>
            <w:shd w:val="clear" w:color="auto" w:fill="auto"/>
            <w:noWrap/>
            <w:vAlign w:val="bottom"/>
            <w:hideMark/>
          </w:tcPr>
          <w:p w14:paraId="57737218"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4,48 per cent</w:t>
            </w:r>
          </w:p>
        </w:tc>
      </w:tr>
      <w:tr w:rsidR="00E72AA2" w:rsidRPr="000A4369" w14:paraId="786A98DD" w14:textId="77777777" w:rsidTr="002D00EA">
        <w:trPr>
          <w:trHeight w:val="253"/>
        </w:trPr>
        <w:tc>
          <w:tcPr>
            <w:tcW w:w="1418" w:type="dxa"/>
            <w:shd w:val="clear" w:color="auto" w:fill="auto"/>
            <w:noWrap/>
            <w:vAlign w:val="bottom"/>
            <w:hideMark/>
          </w:tcPr>
          <w:p w14:paraId="54B94167" w14:textId="77777777" w:rsidR="00E72AA2" w:rsidRPr="000A4369" w:rsidRDefault="00E72AA2" w:rsidP="00E72AA2">
            <w:pPr>
              <w:numPr>
                <w:ilvl w:val="0"/>
                <w:numId w:val="24"/>
              </w:numPr>
              <w:spacing w:after="0" w:line="240" w:lineRule="auto"/>
              <w:ind w:left="174" w:hanging="174"/>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National Disaster Management Centre</w:t>
            </w:r>
          </w:p>
        </w:tc>
        <w:tc>
          <w:tcPr>
            <w:tcW w:w="1073" w:type="dxa"/>
            <w:shd w:val="clear" w:color="auto" w:fill="auto"/>
            <w:noWrap/>
            <w:vAlign w:val="bottom"/>
            <w:hideMark/>
          </w:tcPr>
          <w:p w14:paraId="620EF984" w14:textId="77777777" w:rsidR="00E72AA2" w:rsidRPr="000A4369" w:rsidRDefault="00E72AA2" w:rsidP="00E72AA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1 967,7</w:t>
            </w:r>
          </w:p>
        </w:tc>
        <w:tc>
          <w:tcPr>
            <w:tcW w:w="1021" w:type="dxa"/>
            <w:shd w:val="clear" w:color="auto" w:fill="auto"/>
            <w:noWrap/>
            <w:vAlign w:val="bottom"/>
            <w:hideMark/>
          </w:tcPr>
          <w:p w14:paraId="73871969"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761,2</w:t>
            </w:r>
          </w:p>
        </w:tc>
        <w:tc>
          <w:tcPr>
            <w:tcW w:w="1308" w:type="dxa"/>
            <w:shd w:val="clear" w:color="auto" w:fill="auto"/>
            <w:noWrap/>
            <w:vAlign w:val="bottom"/>
            <w:hideMark/>
          </w:tcPr>
          <w:p w14:paraId="20E6D6E5"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-1 206,5</w:t>
            </w:r>
          </w:p>
        </w:tc>
        <w:tc>
          <w:tcPr>
            <w:tcW w:w="1276" w:type="dxa"/>
            <w:shd w:val="clear" w:color="auto" w:fill="auto"/>
            <w:noWrap/>
            <w:vAlign w:val="bottom"/>
            <w:hideMark/>
          </w:tcPr>
          <w:p w14:paraId="52CECB82"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- 1 244,1</w:t>
            </w:r>
          </w:p>
        </w:tc>
        <w:tc>
          <w:tcPr>
            <w:tcW w:w="1578" w:type="dxa"/>
            <w:shd w:val="clear" w:color="auto" w:fill="auto"/>
            <w:noWrap/>
            <w:vAlign w:val="bottom"/>
            <w:hideMark/>
          </w:tcPr>
          <w:p w14:paraId="62621C88"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-61,32 per cent</w:t>
            </w:r>
          </w:p>
        </w:tc>
        <w:tc>
          <w:tcPr>
            <w:tcW w:w="1489" w:type="dxa"/>
            <w:shd w:val="clear" w:color="auto" w:fill="auto"/>
            <w:noWrap/>
            <w:vAlign w:val="bottom"/>
            <w:hideMark/>
          </w:tcPr>
          <w:p w14:paraId="68ED733B"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-63,23 per cent</w:t>
            </w:r>
          </w:p>
        </w:tc>
      </w:tr>
      <w:tr w:rsidR="00E72AA2" w:rsidRPr="000A4369" w14:paraId="29C0B2A9" w14:textId="77777777" w:rsidTr="002D00EA">
        <w:trPr>
          <w:trHeight w:val="253"/>
        </w:trPr>
        <w:tc>
          <w:tcPr>
            <w:tcW w:w="1418" w:type="dxa"/>
            <w:shd w:val="clear" w:color="auto" w:fill="auto"/>
            <w:noWrap/>
            <w:vAlign w:val="bottom"/>
            <w:hideMark/>
          </w:tcPr>
          <w:p w14:paraId="2C774ED9" w14:textId="77777777" w:rsidR="00E72AA2" w:rsidRPr="000A4369" w:rsidRDefault="00E72AA2" w:rsidP="00E72AA2">
            <w:pPr>
              <w:numPr>
                <w:ilvl w:val="0"/>
                <w:numId w:val="24"/>
              </w:numPr>
              <w:spacing w:after="0" w:line="240" w:lineRule="auto"/>
              <w:ind w:left="174" w:hanging="174"/>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Local Government Support and Intervention Management</w:t>
            </w:r>
          </w:p>
        </w:tc>
        <w:tc>
          <w:tcPr>
            <w:tcW w:w="1073" w:type="dxa"/>
            <w:shd w:val="clear" w:color="auto" w:fill="auto"/>
            <w:noWrap/>
            <w:vAlign w:val="bottom"/>
            <w:hideMark/>
          </w:tcPr>
          <w:p w14:paraId="78189858" w14:textId="77777777" w:rsidR="00E72AA2" w:rsidRPr="000A4369" w:rsidRDefault="00E72AA2" w:rsidP="00E72AA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15 708,1</w:t>
            </w:r>
          </w:p>
        </w:tc>
        <w:tc>
          <w:tcPr>
            <w:tcW w:w="1021" w:type="dxa"/>
            <w:shd w:val="clear" w:color="auto" w:fill="auto"/>
            <w:noWrap/>
            <w:vAlign w:val="bottom"/>
            <w:hideMark/>
          </w:tcPr>
          <w:p w14:paraId="62996D0A"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15 259,8</w:t>
            </w:r>
          </w:p>
        </w:tc>
        <w:tc>
          <w:tcPr>
            <w:tcW w:w="1308" w:type="dxa"/>
            <w:shd w:val="clear" w:color="auto" w:fill="auto"/>
            <w:noWrap/>
            <w:vAlign w:val="bottom"/>
            <w:hideMark/>
          </w:tcPr>
          <w:p w14:paraId="32F90940"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-448,3</w:t>
            </w:r>
          </w:p>
        </w:tc>
        <w:tc>
          <w:tcPr>
            <w:tcW w:w="1276" w:type="dxa"/>
            <w:shd w:val="clear" w:color="auto" w:fill="auto"/>
            <w:noWrap/>
            <w:vAlign w:val="bottom"/>
            <w:hideMark/>
          </w:tcPr>
          <w:p w14:paraId="16E4B651"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- 1 202,6</w:t>
            </w:r>
          </w:p>
        </w:tc>
        <w:tc>
          <w:tcPr>
            <w:tcW w:w="1578" w:type="dxa"/>
            <w:shd w:val="clear" w:color="auto" w:fill="auto"/>
            <w:noWrap/>
            <w:vAlign w:val="bottom"/>
            <w:hideMark/>
          </w:tcPr>
          <w:p w14:paraId="5F3301A3"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-2,85 per cent</w:t>
            </w:r>
          </w:p>
        </w:tc>
        <w:tc>
          <w:tcPr>
            <w:tcW w:w="1489" w:type="dxa"/>
            <w:shd w:val="clear" w:color="auto" w:fill="auto"/>
            <w:noWrap/>
            <w:vAlign w:val="bottom"/>
            <w:hideMark/>
          </w:tcPr>
          <w:p w14:paraId="42D2BD9B"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-7,66 per cent</w:t>
            </w:r>
          </w:p>
        </w:tc>
      </w:tr>
      <w:tr w:rsidR="00E72AA2" w:rsidRPr="000A4369" w14:paraId="59421DA0" w14:textId="77777777" w:rsidTr="002D00EA">
        <w:trPr>
          <w:trHeight w:val="253"/>
        </w:trPr>
        <w:tc>
          <w:tcPr>
            <w:tcW w:w="1418" w:type="dxa"/>
            <w:shd w:val="clear" w:color="auto" w:fill="auto"/>
            <w:noWrap/>
            <w:vAlign w:val="bottom"/>
            <w:hideMark/>
          </w:tcPr>
          <w:p w14:paraId="6092BE95" w14:textId="77777777" w:rsidR="00E72AA2" w:rsidRPr="000A4369" w:rsidRDefault="00E72AA2" w:rsidP="00E72AA2">
            <w:pPr>
              <w:numPr>
                <w:ilvl w:val="0"/>
                <w:numId w:val="24"/>
              </w:numPr>
              <w:spacing w:after="0" w:line="240" w:lineRule="auto"/>
              <w:ind w:left="174" w:hanging="174"/>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Community Work Programme</w:t>
            </w:r>
          </w:p>
        </w:tc>
        <w:tc>
          <w:tcPr>
            <w:tcW w:w="1073" w:type="dxa"/>
            <w:shd w:val="clear" w:color="auto" w:fill="auto"/>
            <w:noWrap/>
            <w:vAlign w:val="bottom"/>
            <w:hideMark/>
          </w:tcPr>
          <w:p w14:paraId="78A63504" w14:textId="77777777" w:rsidR="00E72AA2" w:rsidRPr="000A4369" w:rsidRDefault="00E72AA2" w:rsidP="00E72AA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3 863,7</w:t>
            </w:r>
          </w:p>
        </w:tc>
        <w:tc>
          <w:tcPr>
            <w:tcW w:w="1021" w:type="dxa"/>
            <w:shd w:val="clear" w:color="auto" w:fill="auto"/>
            <w:noWrap/>
            <w:vAlign w:val="bottom"/>
            <w:hideMark/>
          </w:tcPr>
          <w:p w14:paraId="1B4CC0F5"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4 084,1</w:t>
            </w:r>
          </w:p>
        </w:tc>
        <w:tc>
          <w:tcPr>
            <w:tcW w:w="1308" w:type="dxa"/>
            <w:shd w:val="clear" w:color="auto" w:fill="auto"/>
            <w:noWrap/>
            <w:vAlign w:val="bottom"/>
            <w:hideMark/>
          </w:tcPr>
          <w:p w14:paraId="6A933D0F"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220,4</w:t>
            </w:r>
          </w:p>
        </w:tc>
        <w:tc>
          <w:tcPr>
            <w:tcW w:w="1276" w:type="dxa"/>
            <w:shd w:val="clear" w:color="auto" w:fill="auto"/>
            <w:noWrap/>
            <w:vAlign w:val="bottom"/>
            <w:hideMark/>
          </w:tcPr>
          <w:p w14:paraId="2D9A6249"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18,5</w:t>
            </w:r>
          </w:p>
        </w:tc>
        <w:tc>
          <w:tcPr>
            <w:tcW w:w="1578" w:type="dxa"/>
            <w:shd w:val="clear" w:color="auto" w:fill="auto"/>
            <w:noWrap/>
            <w:vAlign w:val="bottom"/>
            <w:hideMark/>
          </w:tcPr>
          <w:p w14:paraId="16B94B56"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5,70 per cent</w:t>
            </w:r>
          </w:p>
        </w:tc>
        <w:tc>
          <w:tcPr>
            <w:tcW w:w="1489" w:type="dxa"/>
            <w:shd w:val="clear" w:color="auto" w:fill="auto"/>
            <w:noWrap/>
            <w:vAlign w:val="bottom"/>
            <w:hideMark/>
          </w:tcPr>
          <w:p w14:paraId="5D8BDA49"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0,48 per cent</w:t>
            </w:r>
          </w:p>
        </w:tc>
      </w:tr>
      <w:tr w:rsidR="00E72AA2" w:rsidRPr="000A4369" w14:paraId="5E92A885" w14:textId="77777777" w:rsidTr="002D00EA">
        <w:trPr>
          <w:trHeight w:val="253"/>
        </w:trPr>
        <w:tc>
          <w:tcPr>
            <w:tcW w:w="1418" w:type="dxa"/>
            <w:shd w:val="clear" w:color="auto" w:fill="auto"/>
            <w:noWrap/>
            <w:vAlign w:val="bottom"/>
            <w:hideMark/>
          </w:tcPr>
          <w:p w14:paraId="58776DAC" w14:textId="77777777" w:rsidR="00E72AA2" w:rsidRPr="000A4369" w:rsidRDefault="00E72AA2" w:rsidP="00E72AA2">
            <w:pPr>
              <w:spacing w:after="0" w:line="240" w:lineRule="auto"/>
              <w:jc w:val="right"/>
              <w:rPr>
                <w:rFonts w:ascii="Times New Roman" w:eastAsia="Times New Roman" w:hAnsi="Times New Roman" w:cs="Times New Roman"/>
                <w:sz w:val="18"/>
                <w:szCs w:val="18"/>
                <w:lang w:eastAsia="en-ZA"/>
              </w:rPr>
            </w:pPr>
          </w:p>
        </w:tc>
        <w:tc>
          <w:tcPr>
            <w:tcW w:w="1073" w:type="dxa"/>
            <w:shd w:val="clear" w:color="auto" w:fill="auto"/>
            <w:noWrap/>
            <w:vAlign w:val="bottom"/>
            <w:hideMark/>
          </w:tcPr>
          <w:p w14:paraId="78B7448F" w14:textId="77777777" w:rsidR="00E72AA2" w:rsidRPr="000A4369" w:rsidRDefault="00E72AA2" w:rsidP="00E72AA2">
            <w:pPr>
              <w:spacing w:after="0" w:line="240" w:lineRule="auto"/>
              <w:rPr>
                <w:rFonts w:ascii="Times New Roman" w:eastAsia="Times New Roman" w:hAnsi="Times New Roman" w:cs="Times New Roman"/>
                <w:sz w:val="18"/>
                <w:szCs w:val="18"/>
                <w:lang w:eastAsia="en-ZA"/>
              </w:rPr>
            </w:pPr>
          </w:p>
        </w:tc>
        <w:tc>
          <w:tcPr>
            <w:tcW w:w="1021" w:type="dxa"/>
            <w:shd w:val="clear" w:color="auto" w:fill="auto"/>
            <w:noWrap/>
            <w:vAlign w:val="bottom"/>
            <w:hideMark/>
          </w:tcPr>
          <w:p w14:paraId="29CE236D"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p>
        </w:tc>
        <w:tc>
          <w:tcPr>
            <w:tcW w:w="1308" w:type="dxa"/>
            <w:shd w:val="clear" w:color="auto" w:fill="auto"/>
            <w:noWrap/>
            <w:vAlign w:val="bottom"/>
            <w:hideMark/>
          </w:tcPr>
          <w:p w14:paraId="6431E1A4"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p>
        </w:tc>
        <w:tc>
          <w:tcPr>
            <w:tcW w:w="1276" w:type="dxa"/>
            <w:shd w:val="clear" w:color="auto" w:fill="auto"/>
            <w:noWrap/>
            <w:vAlign w:val="bottom"/>
            <w:hideMark/>
          </w:tcPr>
          <w:p w14:paraId="68AA30A2"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p>
        </w:tc>
        <w:tc>
          <w:tcPr>
            <w:tcW w:w="1578" w:type="dxa"/>
            <w:shd w:val="clear" w:color="auto" w:fill="auto"/>
            <w:noWrap/>
            <w:vAlign w:val="bottom"/>
            <w:hideMark/>
          </w:tcPr>
          <w:p w14:paraId="6418B1CF"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p>
        </w:tc>
        <w:tc>
          <w:tcPr>
            <w:tcW w:w="1489" w:type="dxa"/>
            <w:shd w:val="clear" w:color="auto" w:fill="auto"/>
            <w:noWrap/>
            <w:vAlign w:val="bottom"/>
            <w:hideMark/>
          </w:tcPr>
          <w:p w14:paraId="226A2ED0"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p>
        </w:tc>
      </w:tr>
      <w:tr w:rsidR="00E72AA2" w:rsidRPr="000A4369" w14:paraId="5AD13305" w14:textId="77777777" w:rsidTr="002D00EA">
        <w:trPr>
          <w:trHeight w:val="461"/>
        </w:trPr>
        <w:tc>
          <w:tcPr>
            <w:tcW w:w="1418" w:type="dxa"/>
            <w:shd w:val="clear" w:color="auto" w:fill="auto"/>
            <w:noWrap/>
            <w:vAlign w:val="bottom"/>
            <w:hideMark/>
          </w:tcPr>
          <w:p w14:paraId="3B57D0AE" w14:textId="77777777" w:rsidR="00E72AA2" w:rsidRPr="000A4369" w:rsidRDefault="00E72AA2" w:rsidP="00E72AA2">
            <w:pPr>
              <w:spacing w:after="0" w:line="240" w:lineRule="auto"/>
              <w:jc w:val="center"/>
              <w:rPr>
                <w:rFonts w:ascii="Times New Roman" w:eastAsia="Times New Roman" w:hAnsi="Times New Roman" w:cs="Times New Roman"/>
                <w:b/>
                <w:sz w:val="18"/>
                <w:szCs w:val="18"/>
                <w:lang w:eastAsia="en-ZA"/>
              </w:rPr>
            </w:pPr>
            <w:r w:rsidRPr="000A4369">
              <w:rPr>
                <w:rFonts w:ascii="Times New Roman" w:eastAsia="Times New Roman" w:hAnsi="Times New Roman" w:cs="Times New Roman"/>
                <w:b/>
                <w:sz w:val="18"/>
                <w:szCs w:val="18"/>
                <w:lang w:eastAsia="en-ZA"/>
              </w:rPr>
              <w:t>Total</w:t>
            </w:r>
          </w:p>
        </w:tc>
        <w:tc>
          <w:tcPr>
            <w:tcW w:w="1073" w:type="dxa"/>
            <w:shd w:val="clear" w:color="auto" w:fill="auto"/>
            <w:noWrap/>
            <w:vAlign w:val="bottom"/>
            <w:hideMark/>
          </w:tcPr>
          <w:p w14:paraId="32ED7F4D" w14:textId="77777777" w:rsidR="00E72AA2" w:rsidRPr="000A4369" w:rsidRDefault="00E72AA2" w:rsidP="00E72AA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85 037,1</w:t>
            </w:r>
          </w:p>
        </w:tc>
        <w:tc>
          <w:tcPr>
            <w:tcW w:w="1021" w:type="dxa"/>
            <w:shd w:val="clear" w:color="auto" w:fill="auto"/>
            <w:noWrap/>
            <w:vAlign w:val="bottom"/>
            <w:hideMark/>
          </w:tcPr>
          <w:p w14:paraId="5C396983"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90 717,7</w:t>
            </w:r>
          </w:p>
        </w:tc>
        <w:tc>
          <w:tcPr>
            <w:tcW w:w="1308" w:type="dxa"/>
            <w:shd w:val="clear" w:color="auto" w:fill="auto"/>
            <w:noWrap/>
            <w:vAlign w:val="bottom"/>
            <w:hideMark/>
          </w:tcPr>
          <w:p w14:paraId="2191BDCE"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5 680,6</w:t>
            </w:r>
          </w:p>
        </w:tc>
        <w:tc>
          <w:tcPr>
            <w:tcW w:w="1276" w:type="dxa"/>
            <w:shd w:val="clear" w:color="auto" w:fill="auto"/>
            <w:noWrap/>
            <w:vAlign w:val="bottom"/>
            <w:hideMark/>
          </w:tcPr>
          <w:p w14:paraId="6F2B3AEF"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1 196,5</w:t>
            </w:r>
          </w:p>
        </w:tc>
        <w:tc>
          <w:tcPr>
            <w:tcW w:w="1578" w:type="dxa"/>
            <w:shd w:val="clear" w:color="auto" w:fill="auto"/>
            <w:noWrap/>
            <w:vAlign w:val="bottom"/>
            <w:hideMark/>
          </w:tcPr>
          <w:p w14:paraId="6880DE61"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6,68 per cent</w:t>
            </w:r>
          </w:p>
        </w:tc>
        <w:tc>
          <w:tcPr>
            <w:tcW w:w="1489" w:type="dxa"/>
            <w:shd w:val="clear" w:color="auto" w:fill="auto"/>
            <w:noWrap/>
            <w:vAlign w:val="bottom"/>
            <w:hideMark/>
          </w:tcPr>
          <w:p w14:paraId="32E01D4F" w14:textId="77777777" w:rsidR="00E72AA2" w:rsidRPr="000A4369" w:rsidRDefault="00E72AA2" w:rsidP="00E72AA2">
            <w:pPr>
              <w:spacing w:after="0" w:line="240" w:lineRule="auto"/>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1,41 per cent</w:t>
            </w:r>
          </w:p>
        </w:tc>
      </w:tr>
    </w:tbl>
    <w:p w14:paraId="269F200F" w14:textId="77777777" w:rsidR="00E72AA2" w:rsidRPr="000A4369" w:rsidRDefault="00E72AA2" w:rsidP="00305282">
      <w:pPr>
        <w:spacing w:after="0" w:line="280" w:lineRule="exact"/>
        <w:jc w:val="both"/>
        <w:rPr>
          <w:rFonts w:ascii="Times New Roman" w:eastAsia="Times New Roman" w:hAnsi="Times New Roman" w:cs="Times New Roman"/>
          <w:b/>
          <w:lang w:val="en-GB"/>
        </w:rPr>
      </w:pPr>
    </w:p>
    <w:p w14:paraId="419D9FBD" w14:textId="77777777" w:rsidR="003D3932" w:rsidRPr="000A4369" w:rsidRDefault="003D3932" w:rsidP="003D3932">
      <w:pPr>
        <w:spacing w:after="0" w:line="280" w:lineRule="exact"/>
        <w:jc w:val="both"/>
        <w:rPr>
          <w:rFonts w:ascii="Times New Roman" w:hAnsi="Times New Roman" w:cs="Times New Roman"/>
          <w:sz w:val="24"/>
          <w:szCs w:val="24"/>
        </w:rPr>
      </w:pPr>
      <w:r w:rsidRPr="000A4369">
        <w:rPr>
          <w:rFonts w:ascii="Times New Roman" w:hAnsi="Times New Roman" w:cs="Times New Roman"/>
          <w:sz w:val="24"/>
          <w:szCs w:val="24"/>
        </w:rPr>
        <w:t>As illustrated in Table 2 above, the overall budget allocation to the Department increases by 1.4 percent in real terms, from R85 billion in 2018/19 to R90.7 billion in 2019/20. The main cost drivers are Programmes 3, 5 and 6, which transfer the Local Government Equitable Share (LGES) and the Municipal Infrastructure Grant (MIG), as well as to administer payments to participants in the Community Work Programme (CWP), respectively. As Figure 1 below illustrates, the three programmes constitute more than 95 of the Department’s total budget allocation.</w:t>
      </w:r>
    </w:p>
    <w:p w14:paraId="5705E9A7" w14:textId="77777777" w:rsidR="003D3932" w:rsidRPr="000A4369" w:rsidRDefault="003D3932" w:rsidP="00305282">
      <w:pPr>
        <w:spacing w:after="0" w:line="280" w:lineRule="exact"/>
        <w:jc w:val="both"/>
        <w:rPr>
          <w:rFonts w:ascii="Times New Roman" w:eastAsia="Times New Roman" w:hAnsi="Times New Roman" w:cs="Times New Roman"/>
          <w:b/>
          <w:sz w:val="24"/>
          <w:szCs w:val="24"/>
          <w:lang w:val="en-GB"/>
        </w:rPr>
      </w:pPr>
    </w:p>
    <w:p w14:paraId="18E19D43" w14:textId="77777777" w:rsidR="000A4369" w:rsidRDefault="000A4369">
      <w:pPr>
        <w:rPr>
          <w:rFonts w:ascii="Times New Roman" w:eastAsia="Times New Roman" w:hAnsi="Times New Roman" w:cs="Times New Roman"/>
          <w:b/>
          <w:lang w:val="en-GB"/>
        </w:rPr>
      </w:pPr>
      <w:r>
        <w:rPr>
          <w:rFonts w:ascii="Times New Roman" w:eastAsia="Times New Roman" w:hAnsi="Times New Roman" w:cs="Times New Roman"/>
          <w:b/>
          <w:lang w:val="en-GB"/>
        </w:rPr>
        <w:br w:type="page"/>
      </w:r>
    </w:p>
    <w:p w14:paraId="225AD4E7" w14:textId="77777777" w:rsidR="00694C58" w:rsidRPr="000A4369" w:rsidRDefault="00694C58" w:rsidP="00305282">
      <w:pPr>
        <w:spacing w:after="0" w:line="280" w:lineRule="exact"/>
        <w:jc w:val="both"/>
        <w:rPr>
          <w:rFonts w:ascii="Times New Roman" w:eastAsia="Times New Roman" w:hAnsi="Times New Roman" w:cs="Times New Roman"/>
          <w:b/>
          <w:lang w:val="en-GB"/>
        </w:rPr>
      </w:pPr>
    </w:p>
    <w:p w14:paraId="11A6794A" w14:textId="77777777" w:rsidR="00716526" w:rsidRPr="000A4369" w:rsidRDefault="00716526" w:rsidP="00716526">
      <w:pPr>
        <w:rPr>
          <w:rFonts w:ascii="Times New Roman" w:hAnsi="Times New Roman" w:cs="Times New Roman"/>
        </w:rPr>
      </w:pPr>
      <w:r w:rsidRPr="000A4369">
        <w:rPr>
          <w:rFonts w:ascii="Times New Roman" w:hAnsi="Times New Roman" w:cs="Times New Roman"/>
          <w:noProof/>
          <w:lang w:eastAsia="en-ZA"/>
        </w:rPr>
        <mc:AlternateContent>
          <mc:Choice Requires="wps">
            <w:drawing>
              <wp:anchor distT="0" distB="0" distL="114300" distR="114300" simplePos="0" relativeHeight="251666432" behindDoc="0" locked="0" layoutInCell="1" allowOverlap="1" wp14:anchorId="57BC0CFE" wp14:editId="644B4549">
                <wp:simplePos x="0" y="0"/>
                <wp:positionH relativeFrom="column">
                  <wp:posOffset>87464</wp:posOffset>
                </wp:positionH>
                <wp:positionV relativeFrom="paragraph">
                  <wp:posOffset>-4474</wp:posOffset>
                </wp:positionV>
                <wp:extent cx="5731510" cy="242515"/>
                <wp:effectExtent l="0" t="0" r="2540" b="5715"/>
                <wp:wrapNone/>
                <wp:docPr id="13" name="Text Box 13"/>
                <wp:cNvGraphicFramePr/>
                <a:graphic xmlns:a="http://schemas.openxmlformats.org/drawingml/2006/main">
                  <a:graphicData uri="http://schemas.microsoft.com/office/word/2010/wordprocessingShape">
                    <wps:wsp>
                      <wps:cNvSpPr txBox="1"/>
                      <wps:spPr>
                        <a:xfrm>
                          <a:off x="0" y="0"/>
                          <a:ext cx="5731510" cy="242515"/>
                        </a:xfrm>
                        <a:prstGeom prst="rect">
                          <a:avLst/>
                        </a:prstGeom>
                        <a:solidFill>
                          <a:prstClr val="white"/>
                        </a:solidFill>
                        <a:ln>
                          <a:noFill/>
                        </a:ln>
                      </wps:spPr>
                      <wps:txbx>
                        <w:txbxContent>
                          <w:p w14:paraId="43CD36E9" w14:textId="77777777" w:rsidR="002D00EA" w:rsidRPr="00DA4BB2" w:rsidRDefault="002D00EA" w:rsidP="00716526">
                            <w:pPr>
                              <w:pStyle w:val="Caption"/>
                              <w:spacing w:after="0"/>
                              <w:contextualSpacing/>
                              <w:rPr>
                                <w:noProof/>
                              </w:rPr>
                            </w:pPr>
                            <w:r>
                              <w:t xml:space="preserve">Figure </w:t>
                            </w:r>
                            <w:fldSimple w:instr=" SEQ Figure \* ARABIC ">
                              <w:r w:rsidR="007F1C6D">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85186FE" id="_x0000_t202" coordsize="21600,21600" o:spt="202" path="m,l,21600r21600,l21600,xe">
                <v:stroke joinstyle="miter"/>
                <v:path gradientshapeok="t" o:connecttype="rect"/>
              </v:shapetype>
              <v:shape id="Text Box 13" o:spid="_x0000_s1026" type="#_x0000_t202" style="position:absolute;margin-left:6.9pt;margin-top:-.35pt;width:451.3pt;height:19.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" stroked="f">
                <v:textbox inset="0,0,0,0">
                  <w:txbxContent>
                    <w:p w:rsidR="002D00EA" w:rsidRPr="00DA4BB2" w:rsidRDefault="002D00EA" w:rsidP="00716526">
                      <w:pPr>
                        <w:pStyle w:val="Caption"/>
                        <w:spacing w:after="0"/>
                        <w:contextualSpacing/>
                        <w:rPr>
                          <w:noProof/>
                        </w:rPr>
                      </w:pPr>
                      <w:r>
                        <w:t xml:space="preserve">Figure </w:t>
                      </w:r>
                      <w:fldSimple w:instr=" SEQ Figure \* ARABIC ">
                        <w:r w:rsidR="007F1C6D">
                          <w:rPr>
                            <w:noProof/>
                          </w:rPr>
                          <w:t>1</w:t>
                        </w:r>
                      </w:fldSimple>
                    </w:p>
                  </w:txbxContent>
                </v:textbox>
              </v:shape>
            </w:pict>
          </mc:Fallback>
        </mc:AlternateContent>
      </w:r>
    </w:p>
    <w:p w14:paraId="3A87B76B" w14:textId="77777777" w:rsidR="00694C58" w:rsidRPr="000A4369" w:rsidRDefault="00694C58" w:rsidP="00305282">
      <w:pPr>
        <w:spacing w:after="0" w:line="280" w:lineRule="exact"/>
        <w:jc w:val="both"/>
        <w:rPr>
          <w:rFonts w:ascii="Times New Roman" w:eastAsia="Times New Roman" w:hAnsi="Times New Roman" w:cs="Times New Roman"/>
          <w:b/>
          <w:lang w:val="en-GB"/>
        </w:rPr>
      </w:pPr>
      <w:r w:rsidRPr="000A4369">
        <w:rPr>
          <w:rFonts w:ascii="Times New Roman" w:hAnsi="Times New Roman" w:cs="Times New Roman"/>
          <w:noProof/>
          <w:lang w:eastAsia="en-ZA"/>
        </w:rPr>
        <w:drawing>
          <wp:anchor distT="0" distB="0" distL="114300" distR="114300" simplePos="0" relativeHeight="251664384" behindDoc="0" locked="0" layoutInCell="1" allowOverlap="1" wp14:anchorId="36ADF9A1" wp14:editId="4B4E75D8">
            <wp:simplePos x="0" y="0"/>
            <wp:positionH relativeFrom="margin">
              <wp:posOffset>0</wp:posOffset>
            </wp:positionH>
            <wp:positionV relativeFrom="paragraph">
              <wp:posOffset>0</wp:posOffset>
            </wp:positionV>
            <wp:extent cx="5731510" cy="3382645"/>
            <wp:effectExtent l="0" t="0" r="2540" b="825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03944BCE" w14:textId="77777777" w:rsidR="00694C58" w:rsidRPr="000A4369" w:rsidRDefault="00694C58" w:rsidP="00305282">
      <w:pPr>
        <w:spacing w:after="0" w:line="280" w:lineRule="exact"/>
        <w:jc w:val="both"/>
        <w:rPr>
          <w:rFonts w:ascii="Times New Roman" w:eastAsia="Times New Roman" w:hAnsi="Times New Roman" w:cs="Times New Roman"/>
          <w:b/>
          <w:lang w:val="en-GB"/>
        </w:rPr>
      </w:pPr>
    </w:p>
    <w:p w14:paraId="6B2CDFB2" w14:textId="77777777" w:rsidR="00694C58" w:rsidRPr="000A4369" w:rsidRDefault="00694C58" w:rsidP="00305282">
      <w:pPr>
        <w:spacing w:after="0" w:line="280" w:lineRule="exact"/>
        <w:jc w:val="both"/>
        <w:rPr>
          <w:rFonts w:ascii="Times New Roman" w:eastAsia="Times New Roman" w:hAnsi="Times New Roman" w:cs="Times New Roman"/>
          <w:b/>
          <w:lang w:val="en-GB"/>
        </w:rPr>
      </w:pPr>
    </w:p>
    <w:p w14:paraId="338EA2E8" w14:textId="77777777" w:rsidR="00694C58" w:rsidRPr="000A4369" w:rsidRDefault="00694C58" w:rsidP="00305282">
      <w:pPr>
        <w:spacing w:after="0" w:line="280" w:lineRule="exact"/>
        <w:jc w:val="both"/>
        <w:rPr>
          <w:rFonts w:ascii="Times New Roman" w:eastAsia="Times New Roman" w:hAnsi="Times New Roman" w:cs="Times New Roman"/>
          <w:b/>
          <w:lang w:val="en-GB"/>
        </w:rPr>
      </w:pPr>
    </w:p>
    <w:p w14:paraId="020C5FD9" w14:textId="77777777" w:rsidR="00694C58" w:rsidRPr="000A4369" w:rsidRDefault="00694C58" w:rsidP="00305282">
      <w:pPr>
        <w:spacing w:after="0" w:line="280" w:lineRule="exact"/>
        <w:jc w:val="both"/>
        <w:rPr>
          <w:rFonts w:ascii="Times New Roman" w:eastAsia="Times New Roman" w:hAnsi="Times New Roman" w:cs="Times New Roman"/>
          <w:b/>
          <w:lang w:val="en-GB"/>
        </w:rPr>
      </w:pPr>
    </w:p>
    <w:p w14:paraId="2FC5B8D6" w14:textId="77777777" w:rsidR="00694C58" w:rsidRPr="000A4369" w:rsidRDefault="00694C58" w:rsidP="00305282">
      <w:pPr>
        <w:spacing w:after="0" w:line="280" w:lineRule="exact"/>
        <w:jc w:val="both"/>
        <w:rPr>
          <w:rFonts w:ascii="Times New Roman" w:eastAsia="Times New Roman" w:hAnsi="Times New Roman" w:cs="Times New Roman"/>
          <w:b/>
          <w:lang w:val="en-GB"/>
        </w:rPr>
      </w:pPr>
    </w:p>
    <w:p w14:paraId="4F50BBA4" w14:textId="77777777" w:rsidR="00694C58" w:rsidRPr="000A4369" w:rsidRDefault="00694C58" w:rsidP="00305282">
      <w:pPr>
        <w:spacing w:after="0" w:line="280" w:lineRule="exact"/>
        <w:jc w:val="both"/>
        <w:rPr>
          <w:rFonts w:ascii="Times New Roman" w:eastAsia="Times New Roman" w:hAnsi="Times New Roman" w:cs="Times New Roman"/>
          <w:b/>
          <w:lang w:val="en-GB"/>
        </w:rPr>
      </w:pPr>
    </w:p>
    <w:p w14:paraId="673B6183" w14:textId="77777777" w:rsidR="00694C58" w:rsidRPr="000A4369" w:rsidRDefault="00694C58" w:rsidP="00305282">
      <w:pPr>
        <w:spacing w:after="0" w:line="280" w:lineRule="exact"/>
        <w:jc w:val="both"/>
        <w:rPr>
          <w:rFonts w:ascii="Times New Roman" w:eastAsia="Times New Roman" w:hAnsi="Times New Roman" w:cs="Times New Roman"/>
          <w:b/>
          <w:lang w:val="en-GB"/>
        </w:rPr>
      </w:pPr>
    </w:p>
    <w:p w14:paraId="6C18BDBF" w14:textId="77777777" w:rsidR="00694C58" w:rsidRPr="000A4369" w:rsidRDefault="00694C58" w:rsidP="00305282">
      <w:pPr>
        <w:spacing w:after="0" w:line="280" w:lineRule="exact"/>
        <w:jc w:val="both"/>
        <w:rPr>
          <w:rFonts w:ascii="Times New Roman" w:eastAsia="Times New Roman" w:hAnsi="Times New Roman" w:cs="Times New Roman"/>
          <w:b/>
          <w:lang w:val="en-GB"/>
        </w:rPr>
      </w:pPr>
    </w:p>
    <w:p w14:paraId="0C343C74" w14:textId="77777777" w:rsidR="00694C58" w:rsidRPr="000A4369" w:rsidRDefault="00694C58" w:rsidP="00305282">
      <w:pPr>
        <w:spacing w:after="0" w:line="280" w:lineRule="exact"/>
        <w:jc w:val="both"/>
        <w:rPr>
          <w:rFonts w:ascii="Times New Roman" w:eastAsia="Times New Roman" w:hAnsi="Times New Roman" w:cs="Times New Roman"/>
          <w:b/>
          <w:lang w:val="en-GB"/>
        </w:rPr>
      </w:pPr>
    </w:p>
    <w:p w14:paraId="4AFFEF8D" w14:textId="77777777" w:rsidR="00694C58" w:rsidRPr="000A4369" w:rsidRDefault="00694C58" w:rsidP="00305282">
      <w:pPr>
        <w:spacing w:after="0" w:line="280" w:lineRule="exact"/>
        <w:jc w:val="both"/>
        <w:rPr>
          <w:rFonts w:ascii="Times New Roman" w:eastAsia="Times New Roman" w:hAnsi="Times New Roman" w:cs="Times New Roman"/>
          <w:b/>
          <w:lang w:val="en-GB"/>
        </w:rPr>
      </w:pPr>
    </w:p>
    <w:p w14:paraId="5795E404" w14:textId="77777777" w:rsidR="00694C58" w:rsidRPr="000A4369" w:rsidRDefault="00694C58" w:rsidP="00305282">
      <w:pPr>
        <w:spacing w:after="0" w:line="280" w:lineRule="exact"/>
        <w:jc w:val="both"/>
        <w:rPr>
          <w:rFonts w:ascii="Times New Roman" w:eastAsia="Times New Roman" w:hAnsi="Times New Roman" w:cs="Times New Roman"/>
          <w:b/>
          <w:lang w:val="en-GB"/>
        </w:rPr>
      </w:pPr>
    </w:p>
    <w:p w14:paraId="2C594798" w14:textId="77777777" w:rsidR="00694C58" w:rsidRPr="000A4369" w:rsidRDefault="00694C58" w:rsidP="00305282">
      <w:pPr>
        <w:spacing w:after="0" w:line="280" w:lineRule="exact"/>
        <w:jc w:val="both"/>
        <w:rPr>
          <w:rFonts w:ascii="Times New Roman" w:eastAsia="Times New Roman" w:hAnsi="Times New Roman" w:cs="Times New Roman"/>
          <w:b/>
          <w:lang w:val="en-GB"/>
        </w:rPr>
      </w:pPr>
    </w:p>
    <w:p w14:paraId="781C5966" w14:textId="77777777" w:rsidR="00694C58" w:rsidRPr="000A4369" w:rsidRDefault="00694C58" w:rsidP="00305282">
      <w:pPr>
        <w:spacing w:after="0" w:line="280" w:lineRule="exact"/>
        <w:jc w:val="both"/>
        <w:rPr>
          <w:rFonts w:ascii="Times New Roman" w:eastAsia="Times New Roman" w:hAnsi="Times New Roman" w:cs="Times New Roman"/>
          <w:b/>
          <w:lang w:val="en-GB"/>
        </w:rPr>
      </w:pPr>
    </w:p>
    <w:p w14:paraId="729E8D52" w14:textId="77777777" w:rsidR="00694C58" w:rsidRPr="000A4369" w:rsidRDefault="00694C58" w:rsidP="00305282">
      <w:pPr>
        <w:spacing w:after="0" w:line="280" w:lineRule="exact"/>
        <w:jc w:val="both"/>
        <w:rPr>
          <w:rFonts w:ascii="Times New Roman" w:eastAsia="Times New Roman" w:hAnsi="Times New Roman" w:cs="Times New Roman"/>
          <w:b/>
          <w:lang w:val="en-GB"/>
        </w:rPr>
      </w:pPr>
    </w:p>
    <w:p w14:paraId="47A078F3" w14:textId="77777777" w:rsidR="00694C58" w:rsidRPr="000A4369" w:rsidRDefault="00694C58" w:rsidP="00305282">
      <w:pPr>
        <w:spacing w:after="0" w:line="280" w:lineRule="exact"/>
        <w:jc w:val="both"/>
        <w:rPr>
          <w:rFonts w:ascii="Times New Roman" w:eastAsia="Times New Roman" w:hAnsi="Times New Roman" w:cs="Times New Roman"/>
          <w:b/>
          <w:lang w:val="en-GB"/>
        </w:rPr>
      </w:pPr>
    </w:p>
    <w:p w14:paraId="724CED59" w14:textId="77777777" w:rsidR="00694C58" w:rsidRPr="000A4369" w:rsidRDefault="00694C58" w:rsidP="00305282">
      <w:pPr>
        <w:spacing w:after="0" w:line="280" w:lineRule="exact"/>
        <w:jc w:val="both"/>
        <w:rPr>
          <w:rFonts w:ascii="Times New Roman" w:eastAsia="Times New Roman" w:hAnsi="Times New Roman" w:cs="Times New Roman"/>
          <w:b/>
          <w:lang w:val="en-GB"/>
        </w:rPr>
      </w:pPr>
    </w:p>
    <w:p w14:paraId="0C3A5ED4" w14:textId="77777777" w:rsidR="00694C58" w:rsidRPr="000A4369" w:rsidRDefault="00694C58" w:rsidP="00305282">
      <w:pPr>
        <w:spacing w:after="0" w:line="280" w:lineRule="exact"/>
        <w:jc w:val="both"/>
        <w:rPr>
          <w:rFonts w:ascii="Times New Roman" w:eastAsia="Times New Roman" w:hAnsi="Times New Roman" w:cs="Times New Roman"/>
          <w:b/>
          <w:lang w:val="en-GB"/>
        </w:rPr>
      </w:pPr>
    </w:p>
    <w:p w14:paraId="3654A948" w14:textId="77777777" w:rsidR="00694C58" w:rsidRPr="000A4369" w:rsidRDefault="00694C58" w:rsidP="00305282">
      <w:pPr>
        <w:spacing w:after="0" w:line="280" w:lineRule="exact"/>
        <w:jc w:val="both"/>
        <w:rPr>
          <w:rFonts w:ascii="Times New Roman" w:eastAsia="Times New Roman" w:hAnsi="Times New Roman" w:cs="Times New Roman"/>
          <w:b/>
          <w:lang w:val="en-GB"/>
        </w:rPr>
      </w:pPr>
    </w:p>
    <w:p w14:paraId="68EF06D2" w14:textId="77777777" w:rsidR="00694C58" w:rsidRPr="000A4369" w:rsidRDefault="00694C58" w:rsidP="00305282">
      <w:pPr>
        <w:spacing w:after="0" w:line="280" w:lineRule="exact"/>
        <w:jc w:val="both"/>
        <w:rPr>
          <w:rFonts w:ascii="Times New Roman" w:eastAsia="Times New Roman" w:hAnsi="Times New Roman" w:cs="Times New Roman"/>
          <w:b/>
          <w:lang w:val="en-GB"/>
        </w:rPr>
      </w:pPr>
    </w:p>
    <w:p w14:paraId="34E5940F" w14:textId="77777777" w:rsidR="005479A2" w:rsidRPr="000A4369" w:rsidRDefault="005479A2" w:rsidP="005479A2">
      <w:pPr>
        <w:spacing w:after="0" w:line="280" w:lineRule="exact"/>
        <w:jc w:val="both"/>
        <w:rPr>
          <w:rFonts w:ascii="Times New Roman" w:hAnsi="Times New Roman" w:cs="Times New Roman"/>
          <w:sz w:val="24"/>
          <w:szCs w:val="24"/>
        </w:rPr>
      </w:pPr>
      <w:r w:rsidRPr="000A4369">
        <w:rPr>
          <w:rFonts w:ascii="Times New Roman" w:hAnsi="Times New Roman" w:cs="Times New Roman"/>
          <w:sz w:val="24"/>
          <w:szCs w:val="24"/>
        </w:rPr>
        <w:t>Figure one also shows strong growth in allocation to the LGES (Programme 3), which will continue over the next three years. The MIG allocation on the other hand continues to decline in line with the significant reductions in conditional grants witnessed in the 2018 Medium Term Expenditure Framework (MTEF) period. In this regard, ‘government has repeatedly emphasized the importance of municipalities focusing on growing their own revenue base in order to expand resources available for local service delivery.’</w:t>
      </w:r>
      <w:r w:rsidRPr="000A4369">
        <w:rPr>
          <w:rFonts w:ascii="Times New Roman" w:hAnsi="Times New Roman" w:cs="Times New Roman"/>
          <w:sz w:val="24"/>
          <w:szCs w:val="24"/>
          <w:vertAlign w:val="superscript"/>
        </w:rPr>
        <w:footnoteReference w:id="9"/>
      </w:r>
      <w:r w:rsidRPr="000A4369">
        <w:rPr>
          <w:rFonts w:ascii="Times New Roman" w:hAnsi="Times New Roman" w:cs="Times New Roman"/>
          <w:sz w:val="24"/>
          <w:szCs w:val="24"/>
        </w:rPr>
        <w:t xml:space="preserve"> A process is already under way to assist qualifying non-metropolitan municipalities to shift from the MIG to the new Integrated Urban Development Grant (IUDG), which ‘has different planning requirements and incentives intended for more integrated developments and greater leveraging of non-grant finance.’</w:t>
      </w:r>
      <w:r w:rsidRPr="000A4369">
        <w:rPr>
          <w:rFonts w:ascii="Times New Roman" w:hAnsi="Times New Roman" w:cs="Times New Roman"/>
          <w:sz w:val="24"/>
          <w:szCs w:val="24"/>
          <w:vertAlign w:val="superscript"/>
        </w:rPr>
        <w:footnoteReference w:id="10"/>
      </w:r>
    </w:p>
    <w:p w14:paraId="666DE142" w14:textId="77777777" w:rsidR="00694C58" w:rsidRPr="000A4369" w:rsidRDefault="00694C58" w:rsidP="00305282">
      <w:pPr>
        <w:spacing w:after="0" w:line="280" w:lineRule="exact"/>
        <w:jc w:val="both"/>
        <w:rPr>
          <w:rFonts w:ascii="Times New Roman" w:eastAsia="Times New Roman" w:hAnsi="Times New Roman" w:cs="Times New Roman"/>
          <w:b/>
          <w:sz w:val="24"/>
          <w:szCs w:val="24"/>
          <w:lang w:val="en-GB"/>
        </w:rPr>
      </w:pPr>
    </w:p>
    <w:p w14:paraId="20678AB4" w14:textId="77777777" w:rsidR="005479A2" w:rsidRPr="000A4369" w:rsidRDefault="001F76F2" w:rsidP="001F76F2">
      <w:pPr>
        <w:pStyle w:val="ListParagraph"/>
        <w:numPr>
          <w:ilvl w:val="1"/>
          <w:numId w:val="17"/>
        </w:numPr>
        <w:spacing w:after="0" w:line="280" w:lineRule="exact"/>
        <w:jc w:val="both"/>
        <w:rPr>
          <w:rFonts w:ascii="Times New Roman" w:eastAsia="Times New Roman" w:hAnsi="Times New Roman" w:cs="Times New Roman"/>
          <w:b/>
          <w:sz w:val="24"/>
          <w:szCs w:val="24"/>
          <w:lang w:val="en-GB"/>
        </w:rPr>
      </w:pPr>
      <w:r w:rsidRPr="000A4369">
        <w:rPr>
          <w:rFonts w:ascii="Times New Roman" w:eastAsia="Times New Roman" w:hAnsi="Times New Roman" w:cs="Times New Roman"/>
          <w:b/>
          <w:sz w:val="24"/>
          <w:szCs w:val="24"/>
          <w:lang w:val="en-GB"/>
        </w:rPr>
        <w:t>Programme 1: Administration</w:t>
      </w:r>
    </w:p>
    <w:p w14:paraId="3F40DA2E" w14:textId="77777777" w:rsidR="001F76F2" w:rsidRPr="000A4369" w:rsidRDefault="001F76F2" w:rsidP="001F76F2">
      <w:pPr>
        <w:pStyle w:val="Caption"/>
        <w:keepNext/>
        <w:rPr>
          <w:rFonts w:ascii="Times New Roman" w:hAnsi="Times New Roman" w:cs="Times New Roman"/>
          <w:sz w:val="24"/>
          <w:szCs w:val="24"/>
        </w:rPr>
      </w:pPr>
    </w:p>
    <w:p w14:paraId="35FEF8CB" w14:textId="77777777" w:rsidR="001F76F2" w:rsidRPr="000A4369" w:rsidRDefault="001F76F2" w:rsidP="001F76F2">
      <w:pPr>
        <w:pStyle w:val="Caption"/>
        <w:keepNext/>
        <w:rPr>
          <w:rFonts w:ascii="Times New Roman" w:hAnsi="Times New Roman" w:cs="Times New Roman"/>
        </w:rPr>
      </w:pPr>
      <w:r w:rsidRPr="000A4369">
        <w:rPr>
          <w:rFonts w:ascii="Times New Roman" w:hAnsi="Times New Roman" w:cs="Times New Roman"/>
        </w:rPr>
        <w:t xml:space="preserve">Table </w:t>
      </w:r>
      <w:r w:rsidR="000A4369" w:rsidRPr="000A4369">
        <w:rPr>
          <w:rFonts w:ascii="Times New Roman" w:hAnsi="Times New Roman" w:cs="Times New Roman"/>
        </w:rPr>
        <w:fldChar w:fldCharType="begin"/>
      </w:r>
      <w:r w:rsidR="000A4369" w:rsidRPr="000A4369">
        <w:rPr>
          <w:rFonts w:ascii="Times New Roman" w:hAnsi="Times New Roman" w:cs="Times New Roman"/>
        </w:rPr>
        <w:instrText xml:space="preserve"> SEQ Table \* ARABIC </w:instrText>
      </w:r>
      <w:r w:rsidR="000A4369" w:rsidRPr="000A4369">
        <w:rPr>
          <w:rFonts w:ascii="Times New Roman" w:hAnsi="Times New Roman" w:cs="Times New Roman"/>
        </w:rPr>
        <w:fldChar w:fldCharType="separate"/>
      </w:r>
      <w:r w:rsidR="007F1C6D" w:rsidRPr="000A4369">
        <w:rPr>
          <w:rFonts w:ascii="Times New Roman" w:hAnsi="Times New Roman" w:cs="Times New Roman"/>
          <w:noProof/>
        </w:rPr>
        <w:t>2</w:t>
      </w:r>
      <w:r w:rsidR="000A4369" w:rsidRPr="000A4369">
        <w:rPr>
          <w:rFonts w:ascii="Times New Roman" w:hAnsi="Times New Roman" w:cs="Times New Roman"/>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1307"/>
        <w:gridCol w:w="1229"/>
        <w:gridCol w:w="242"/>
        <w:gridCol w:w="919"/>
        <w:gridCol w:w="1009"/>
        <w:gridCol w:w="1401"/>
        <w:gridCol w:w="1394"/>
      </w:tblGrid>
      <w:tr w:rsidR="001F76F2" w:rsidRPr="000A4369" w14:paraId="1051B997" w14:textId="77777777" w:rsidTr="002D00EA">
        <w:trPr>
          <w:trHeight w:val="780"/>
          <w:tblHeader/>
        </w:trPr>
        <w:tc>
          <w:tcPr>
            <w:tcW w:w="942" w:type="pct"/>
            <w:shd w:val="clear" w:color="auto" w:fill="auto"/>
            <w:noWrap/>
            <w:vAlign w:val="bottom"/>
            <w:hideMark/>
          </w:tcPr>
          <w:p w14:paraId="119B54AC" w14:textId="77777777" w:rsidR="001F76F2" w:rsidRPr="000A4369" w:rsidRDefault="001F76F2" w:rsidP="001F76F2">
            <w:pPr>
              <w:spacing w:after="0" w:line="240" w:lineRule="auto"/>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Sub-Programme</w:t>
            </w:r>
          </w:p>
        </w:tc>
        <w:tc>
          <w:tcPr>
            <w:tcW w:w="1500" w:type="pct"/>
            <w:gridSpan w:val="3"/>
            <w:shd w:val="clear" w:color="auto" w:fill="auto"/>
            <w:vAlign w:val="center"/>
            <w:hideMark/>
          </w:tcPr>
          <w:p w14:paraId="0F0C048F" w14:textId="77777777" w:rsidR="001F76F2" w:rsidRPr="000A4369" w:rsidRDefault="001F76F2" w:rsidP="001F76F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Budget</w:t>
            </w:r>
          </w:p>
        </w:tc>
        <w:tc>
          <w:tcPr>
            <w:tcW w:w="497" w:type="pct"/>
            <w:shd w:val="clear" w:color="auto" w:fill="auto"/>
            <w:vAlign w:val="center"/>
            <w:hideMark/>
          </w:tcPr>
          <w:p w14:paraId="5B178CA8" w14:textId="77777777" w:rsidR="001F76F2" w:rsidRPr="000A4369" w:rsidRDefault="001F76F2" w:rsidP="001F76F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Nominal Rand change</w:t>
            </w:r>
          </w:p>
        </w:tc>
        <w:tc>
          <w:tcPr>
            <w:tcW w:w="546" w:type="pct"/>
            <w:shd w:val="clear" w:color="auto" w:fill="auto"/>
            <w:vAlign w:val="center"/>
            <w:hideMark/>
          </w:tcPr>
          <w:p w14:paraId="317BF767" w14:textId="77777777" w:rsidR="001F76F2" w:rsidRPr="000A4369" w:rsidRDefault="001F76F2" w:rsidP="001F76F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Real Rand change</w:t>
            </w:r>
          </w:p>
        </w:tc>
        <w:tc>
          <w:tcPr>
            <w:tcW w:w="758" w:type="pct"/>
            <w:shd w:val="clear" w:color="auto" w:fill="auto"/>
            <w:vAlign w:val="center"/>
            <w:hideMark/>
          </w:tcPr>
          <w:p w14:paraId="7BCEF33F" w14:textId="77777777" w:rsidR="001F76F2" w:rsidRPr="000A4369" w:rsidRDefault="001F76F2" w:rsidP="001F76F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Nominal % change</w:t>
            </w:r>
          </w:p>
        </w:tc>
        <w:tc>
          <w:tcPr>
            <w:tcW w:w="757" w:type="pct"/>
            <w:shd w:val="clear" w:color="auto" w:fill="auto"/>
            <w:vAlign w:val="center"/>
            <w:hideMark/>
          </w:tcPr>
          <w:p w14:paraId="4D56A701" w14:textId="77777777" w:rsidR="001F76F2" w:rsidRPr="000A4369" w:rsidRDefault="001F76F2" w:rsidP="001F76F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Real % change</w:t>
            </w:r>
          </w:p>
        </w:tc>
      </w:tr>
      <w:tr w:rsidR="001F76F2" w:rsidRPr="000A4369" w14:paraId="0C805FCD" w14:textId="77777777" w:rsidTr="002D00EA">
        <w:trPr>
          <w:trHeight w:val="255"/>
        </w:trPr>
        <w:tc>
          <w:tcPr>
            <w:tcW w:w="942" w:type="pct"/>
            <w:shd w:val="clear" w:color="auto" w:fill="auto"/>
            <w:noWrap/>
            <w:vAlign w:val="bottom"/>
            <w:hideMark/>
          </w:tcPr>
          <w:p w14:paraId="2A49A2BC" w14:textId="77777777" w:rsidR="001F76F2" w:rsidRPr="000A4369" w:rsidRDefault="001F76F2" w:rsidP="001F76F2">
            <w:pPr>
              <w:spacing w:after="0" w:line="240" w:lineRule="auto"/>
              <w:jc w:val="center"/>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R million</w:t>
            </w:r>
          </w:p>
        </w:tc>
        <w:tc>
          <w:tcPr>
            <w:tcW w:w="707" w:type="pct"/>
            <w:shd w:val="clear" w:color="auto" w:fill="auto"/>
            <w:noWrap/>
            <w:vAlign w:val="bottom"/>
            <w:hideMark/>
          </w:tcPr>
          <w:p w14:paraId="65F4C7B5" w14:textId="77777777" w:rsidR="001F76F2" w:rsidRPr="000A4369" w:rsidRDefault="001F76F2" w:rsidP="001F76F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2018/19</w:t>
            </w:r>
          </w:p>
        </w:tc>
        <w:tc>
          <w:tcPr>
            <w:tcW w:w="665" w:type="pct"/>
            <w:shd w:val="clear" w:color="auto" w:fill="auto"/>
            <w:noWrap/>
            <w:vAlign w:val="bottom"/>
            <w:hideMark/>
          </w:tcPr>
          <w:p w14:paraId="7A9E5A8B" w14:textId="77777777" w:rsidR="001F76F2" w:rsidRPr="000A4369" w:rsidRDefault="001F76F2" w:rsidP="001F76F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2019/20</w:t>
            </w:r>
          </w:p>
        </w:tc>
        <w:tc>
          <w:tcPr>
            <w:tcW w:w="131" w:type="pct"/>
            <w:vMerge w:val="restart"/>
            <w:shd w:val="clear" w:color="auto" w:fill="auto"/>
            <w:noWrap/>
            <w:vAlign w:val="bottom"/>
          </w:tcPr>
          <w:p w14:paraId="28048700" w14:textId="77777777" w:rsidR="001F76F2" w:rsidRPr="000A4369" w:rsidRDefault="001F76F2" w:rsidP="001F76F2">
            <w:pPr>
              <w:spacing w:after="0" w:line="240" w:lineRule="auto"/>
              <w:jc w:val="center"/>
              <w:rPr>
                <w:rFonts w:ascii="Times New Roman" w:eastAsia="Times New Roman" w:hAnsi="Times New Roman" w:cs="Times New Roman"/>
                <w:b/>
                <w:bCs/>
                <w:sz w:val="18"/>
                <w:szCs w:val="18"/>
                <w:lang w:eastAsia="en-ZA"/>
              </w:rPr>
            </w:pPr>
          </w:p>
        </w:tc>
        <w:tc>
          <w:tcPr>
            <w:tcW w:w="1040" w:type="pct"/>
            <w:gridSpan w:val="2"/>
            <w:shd w:val="clear" w:color="auto" w:fill="auto"/>
            <w:noWrap/>
            <w:vAlign w:val="bottom"/>
            <w:hideMark/>
          </w:tcPr>
          <w:p w14:paraId="50BBD242" w14:textId="77777777" w:rsidR="001F76F2" w:rsidRPr="000A4369" w:rsidRDefault="001F76F2" w:rsidP="001F76F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 2018/19-2019/20</w:t>
            </w:r>
          </w:p>
        </w:tc>
        <w:tc>
          <w:tcPr>
            <w:tcW w:w="1515" w:type="pct"/>
            <w:gridSpan w:val="2"/>
            <w:shd w:val="clear" w:color="auto" w:fill="auto"/>
            <w:noWrap/>
            <w:vAlign w:val="bottom"/>
            <w:hideMark/>
          </w:tcPr>
          <w:p w14:paraId="507DFDD9" w14:textId="77777777" w:rsidR="001F76F2" w:rsidRPr="000A4369" w:rsidRDefault="001F76F2" w:rsidP="001F76F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 2018/19-2019/20</w:t>
            </w:r>
          </w:p>
        </w:tc>
      </w:tr>
      <w:tr w:rsidR="001F76F2" w:rsidRPr="000A4369" w14:paraId="2F2AA4BE" w14:textId="77777777" w:rsidTr="002D00EA">
        <w:trPr>
          <w:trHeight w:val="255"/>
        </w:trPr>
        <w:tc>
          <w:tcPr>
            <w:tcW w:w="942" w:type="pct"/>
            <w:shd w:val="clear" w:color="auto" w:fill="auto"/>
            <w:vAlign w:val="bottom"/>
            <w:hideMark/>
          </w:tcPr>
          <w:p w14:paraId="33E7F984" w14:textId="77777777" w:rsidR="001F76F2" w:rsidRPr="000A4369" w:rsidRDefault="001F76F2" w:rsidP="001F76F2">
            <w:pPr>
              <w:numPr>
                <w:ilvl w:val="0"/>
                <w:numId w:val="25"/>
              </w:numPr>
              <w:spacing w:after="0" w:line="240" w:lineRule="auto"/>
              <w:ind w:left="313" w:hanging="313"/>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Ministry</w:t>
            </w:r>
          </w:p>
        </w:tc>
        <w:tc>
          <w:tcPr>
            <w:tcW w:w="707" w:type="pct"/>
            <w:shd w:val="clear" w:color="auto" w:fill="auto"/>
            <w:noWrap/>
            <w:vAlign w:val="bottom"/>
            <w:hideMark/>
          </w:tcPr>
          <w:p w14:paraId="655BFFB6"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36 488,0</w:t>
            </w:r>
          </w:p>
        </w:tc>
        <w:tc>
          <w:tcPr>
            <w:tcW w:w="665" w:type="pct"/>
            <w:shd w:val="clear" w:color="auto" w:fill="auto"/>
            <w:noWrap/>
            <w:vAlign w:val="bottom"/>
            <w:hideMark/>
          </w:tcPr>
          <w:p w14:paraId="156DE341"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31 505,0</w:t>
            </w:r>
          </w:p>
        </w:tc>
        <w:tc>
          <w:tcPr>
            <w:tcW w:w="131" w:type="pct"/>
            <w:vMerge/>
            <w:shd w:val="clear" w:color="auto" w:fill="auto"/>
            <w:noWrap/>
            <w:vAlign w:val="bottom"/>
          </w:tcPr>
          <w:p w14:paraId="33B3EAF0"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p>
        </w:tc>
        <w:tc>
          <w:tcPr>
            <w:tcW w:w="494" w:type="pct"/>
            <w:shd w:val="clear" w:color="auto" w:fill="auto"/>
            <w:noWrap/>
            <w:vAlign w:val="bottom"/>
            <w:hideMark/>
          </w:tcPr>
          <w:p w14:paraId="1848C71E"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-4 983,0</w:t>
            </w:r>
          </w:p>
        </w:tc>
        <w:tc>
          <w:tcPr>
            <w:tcW w:w="546" w:type="pct"/>
            <w:shd w:val="clear" w:color="auto" w:fill="auto"/>
            <w:noWrap/>
            <w:vAlign w:val="bottom"/>
            <w:hideMark/>
          </w:tcPr>
          <w:p w14:paraId="3B0B79C7"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- 6 540,3</w:t>
            </w:r>
          </w:p>
        </w:tc>
        <w:tc>
          <w:tcPr>
            <w:tcW w:w="758" w:type="pct"/>
            <w:shd w:val="clear" w:color="auto" w:fill="auto"/>
            <w:noWrap/>
            <w:vAlign w:val="bottom"/>
            <w:hideMark/>
          </w:tcPr>
          <w:p w14:paraId="424BA3C1"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-13,66 per cent</w:t>
            </w:r>
          </w:p>
        </w:tc>
        <w:tc>
          <w:tcPr>
            <w:tcW w:w="757" w:type="pct"/>
            <w:shd w:val="clear" w:color="auto" w:fill="auto"/>
            <w:noWrap/>
            <w:vAlign w:val="bottom"/>
            <w:hideMark/>
          </w:tcPr>
          <w:p w14:paraId="6AD6027F"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-17,92 per cent</w:t>
            </w:r>
          </w:p>
        </w:tc>
      </w:tr>
      <w:tr w:rsidR="001F76F2" w:rsidRPr="000A4369" w14:paraId="07A1A448" w14:textId="77777777" w:rsidTr="002D00EA">
        <w:trPr>
          <w:trHeight w:val="255"/>
        </w:trPr>
        <w:tc>
          <w:tcPr>
            <w:tcW w:w="942" w:type="pct"/>
            <w:shd w:val="clear" w:color="auto" w:fill="auto"/>
            <w:vAlign w:val="bottom"/>
            <w:hideMark/>
          </w:tcPr>
          <w:p w14:paraId="11FEE85D" w14:textId="77777777" w:rsidR="001F76F2" w:rsidRPr="000A4369" w:rsidRDefault="001F76F2" w:rsidP="001F76F2">
            <w:pPr>
              <w:numPr>
                <w:ilvl w:val="0"/>
                <w:numId w:val="25"/>
              </w:numPr>
              <w:spacing w:after="0" w:line="240" w:lineRule="auto"/>
              <w:ind w:left="313" w:hanging="313"/>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Management</w:t>
            </w:r>
          </w:p>
        </w:tc>
        <w:tc>
          <w:tcPr>
            <w:tcW w:w="707" w:type="pct"/>
            <w:shd w:val="clear" w:color="auto" w:fill="auto"/>
            <w:noWrap/>
            <w:vAlign w:val="bottom"/>
            <w:hideMark/>
          </w:tcPr>
          <w:p w14:paraId="7B24FB5E"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18 447,0</w:t>
            </w:r>
          </w:p>
        </w:tc>
        <w:tc>
          <w:tcPr>
            <w:tcW w:w="665" w:type="pct"/>
            <w:shd w:val="clear" w:color="auto" w:fill="auto"/>
            <w:noWrap/>
            <w:vAlign w:val="bottom"/>
            <w:hideMark/>
          </w:tcPr>
          <w:p w14:paraId="54CC3F35"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19 775,0</w:t>
            </w:r>
          </w:p>
        </w:tc>
        <w:tc>
          <w:tcPr>
            <w:tcW w:w="131" w:type="pct"/>
            <w:vMerge/>
            <w:shd w:val="clear" w:color="auto" w:fill="auto"/>
            <w:noWrap/>
            <w:vAlign w:val="bottom"/>
          </w:tcPr>
          <w:p w14:paraId="3AA1AA0C"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p>
        </w:tc>
        <w:tc>
          <w:tcPr>
            <w:tcW w:w="494" w:type="pct"/>
            <w:shd w:val="clear" w:color="auto" w:fill="auto"/>
            <w:noWrap/>
            <w:vAlign w:val="bottom"/>
            <w:hideMark/>
          </w:tcPr>
          <w:p w14:paraId="6705675F"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1 328,0</w:t>
            </w:r>
          </w:p>
        </w:tc>
        <w:tc>
          <w:tcPr>
            <w:tcW w:w="546" w:type="pct"/>
            <w:shd w:val="clear" w:color="auto" w:fill="auto"/>
            <w:noWrap/>
            <w:vAlign w:val="bottom"/>
            <w:hideMark/>
          </w:tcPr>
          <w:p w14:paraId="555B9F9F"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350,5</w:t>
            </w:r>
          </w:p>
        </w:tc>
        <w:tc>
          <w:tcPr>
            <w:tcW w:w="758" w:type="pct"/>
            <w:shd w:val="clear" w:color="auto" w:fill="auto"/>
            <w:noWrap/>
            <w:vAlign w:val="bottom"/>
            <w:hideMark/>
          </w:tcPr>
          <w:p w14:paraId="3707771F"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7,20 per cent</w:t>
            </w:r>
          </w:p>
        </w:tc>
        <w:tc>
          <w:tcPr>
            <w:tcW w:w="757" w:type="pct"/>
            <w:shd w:val="clear" w:color="auto" w:fill="auto"/>
            <w:noWrap/>
            <w:vAlign w:val="bottom"/>
            <w:hideMark/>
          </w:tcPr>
          <w:p w14:paraId="3471AA5E"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1,90 per cent</w:t>
            </w:r>
          </w:p>
        </w:tc>
      </w:tr>
      <w:tr w:rsidR="001F76F2" w:rsidRPr="000A4369" w14:paraId="40404A36" w14:textId="77777777" w:rsidTr="002D00EA">
        <w:trPr>
          <w:trHeight w:val="255"/>
        </w:trPr>
        <w:tc>
          <w:tcPr>
            <w:tcW w:w="942" w:type="pct"/>
            <w:shd w:val="clear" w:color="auto" w:fill="auto"/>
            <w:vAlign w:val="bottom"/>
            <w:hideMark/>
          </w:tcPr>
          <w:p w14:paraId="5F28003F" w14:textId="77777777" w:rsidR="001F76F2" w:rsidRPr="000A4369" w:rsidRDefault="001F76F2" w:rsidP="001F76F2">
            <w:pPr>
              <w:numPr>
                <w:ilvl w:val="0"/>
                <w:numId w:val="25"/>
              </w:numPr>
              <w:spacing w:after="0" w:line="240" w:lineRule="auto"/>
              <w:ind w:left="313" w:hanging="313"/>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Corporate Services</w:t>
            </w:r>
          </w:p>
        </w:tc>
        <w:tc>
          <w:tcPr>
            <w:tcW w:w="707" w:type="pct"/>
            <w:shd w:val="clear" w:color="auto" w:fill="auto"/>
            <w:noWrap/>
            <w:vAlign w:val="bottom"/>
            <w:hideMark/>
          </w:tcPr>
          <w:p w14:paraId="1C9E6388"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126 606,0</w:t>
            </w:r>
          </w:p>
        </w:tc>
        <w:tc>
          <w:tcPr>
            <w:tcW w:w="665" w:type="pct"/>
            <w:shd w:val="clear" w:color="auto" w:fill="auto"/>
            <w:noWrap/>
            <w:vAlign w:val="bottom"/>
            <w:hideMark/>
          </w:tcPr>
          <w:p w14:paraId="035D0870"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121 095,0</w:t>
            </w:r>
          </w:p>
        </w:tc>
        <w:tc>
          <w:tcPr>
            <w:tcW w:w="131" w:type="pct"/>
            <w:vMerge/>
            <w:shd w:val="clear" w:color="auto" w:fill="auto"/>
            <w:noWrap/>
            <w:vAlign w:val="bottom"/>
          </w:tcPr>
          <w:p w14:paraId="231974B9"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p>
        </w:tc>
        <w:tc>
          <w:tcPr>
            <w:tcW w:w="494" w:type="pct"/>
            <w:shd w:val="clear" w:color="auto" w:fill="auto"/>
            <w:noWrap/>
            <w:vAlign w:val="bottom"/>
            <w:hideMark/>
          </w:tcPr>
          <w:p w14:paraId="229FB45A"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- 5 511,0</w:t>
            </w:r>
          </w:p>
        </w:tc>
        <w:tc>
          <w:tcPr>
            <w:tcW w:w="546" w:type="pct"/>
            <w:shd w:val="clear" w:color="auto" w:fill="auto"/>
            <w:noWrap/>
            <w:vAlign w:val="bottom"/>
            <w:hideMark/>
          </w:tcPr>
          <w:p w14:paraId="63D69DAF"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- 11 496,7</w:t>
            </w:r>
          </w:p>
        </w:tc>
        <w:tc>
          <w:tcPr>
            <w:tcW w:w="758" w:type="pct"/>
            <w:shd w:val="clear" w:color="auto" w:fill="auto"/>
            <w:noWrap/>
            <w:vAlign w:val="bottom"/>
            <w:hideMark/>
          </w:tcPr>
          <w:p w14:paraId="3B6C3D3C"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-4,35 per cent</w:t>
            </w:r>
          </w:p>
        </w:tc>
        <w:tc>
          <w:tcPr>
            <w:tcW w:w="757" w:type="pct"/>
            <w:shd w:val="clear" w:color="auto" w:fill="auto"/>
            <w:noWrap/>
            <w:vAlign w:val="bottom"/>
            <w:hideMark/>
          </w:tcPr>
          <w:p w14:paraId="4275E789"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-9,08 per cent</w:t>
            </w:r>
          </w:p>
        </w:tc>
      </w:tr>
      <w:tr w:rsidR="001F76F2" w:rsidRPr="000A4369" w14:paraId="36526DA9" w14:textId="77777777" w:rsidTr="002D00EA">
        <w:trPr>
          <w:trHeight w:val="255"/>
        </w:trPr>
        <w:tc>
          <w:tcPr>
            <w:tcW w:w="942" w:type="pct"/>
            <w:shd w:val="clear" w:color="auto" w:fill="auto"/>
            <w:vAlign w:val="bottom"/>
            <w:hideMark/>
          </w:tcPr>
          <w:p w14:paraId="7D6BD27B" w14:textId="77777777" w:rsidR="001F76F2" w:rsidRPr="000A4369" w:rsidRDefault="001F76F2" w:rsidP="001F76F2">
            <w:pPr>
              <w:numPr>
                <w:ilvl w:val="0"/>
                <w:numId w:val="25"/>
              </w:numPr>
              <w:spacing w:after="0" w:line="240" w:lineRule="auto"/>
              <w:ind w:left="313" w:hanging="313"/>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Financial Services</w:t>
            </w:r>
          </w:p>
        </w:tc>
        <w:tc>
          <w:tcPr>
            <w:tcW w:w="707" w:type="pct"/>
            <w:shd w:val="clear" w:color="auto" w:fill="auto"/>
            <w:noWrap/>
            <w:vAlign w:val="bottom"/>
            <w:hideMark/>
          </w:tcPr>
          <w:p w14:paraId="2C76A2DC"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35 421,0</w:t>
            </w:r>
          </w:p>
        </w:tc>
        <w:tc>
          <w:tcPr>
            <w:tcW w:w="665" w:type="pct"/>
            <w:shd w:val="clear" w:color="auto" w:fill="auto"/>
            <w:noWrap/>
            <w:vAlign w:val="bottom"/>
            <w:hideMark/>
          </w:tcPr>
          <w:p w14:paraId="5E52943B"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43 347,0</w:t>
            </w:r>
          </w:p>
        </w:tc>
        <w:tc>
          <w:tcPr>
            <w:tcW w:w="131" w:type="pct"/>
            <w:vMerge/>
            <w:shd w:val="clear" w:color="auto" w:fill="auto"/>
            <w:noWrap/>
            <w:vAlign w:val="bottom"/>
          </w:tcPr>
          <w:p w14:paraId="210D921F"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p>
        </w:tc>
        <w:tc>
          <w:tcPr>
            <w:tcW w:w="494" w:type="pct"/>
            <w:shd w:val="clear" w:color="auto" w:fill="auto"/>
            <w:noWrap/>
            <w:vAlign w:val="bottom"/>
            <w:hideMark/>
          </w:tcPr>
          <w:p w14:paraId="20AB7E50"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7 926,0</w:t>
            </w:r>
          </w:p>
        </w:tc>
        <w:tc>
          <w:tcPr>
            <w:tcW w:w="546" w:type="pct"/>
            <w:shd w:val="clear" w:color="auto" w:fill="auto"/>
            <w:noWrap/>
            <w:vAlign w:val="bottom"/>
            <w:hideMark/>
          </w:tcPr>
          <w:p w14:paraId="6E198EBD"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5 783,4</w:t>
            </w:r>
          </w:p>
        </w:tc>
        <w:tc>
          <w:tcPr>
            <w:tcW w:w="758" w:type="pct"/>
            <w:shd w:val="clear" w:color="auto" w:fill="auto"/>
            <w:noWrap/>
            <w:vAlign w:val="bottom"/>
            <w:hideMark/>
          </w:tcPr>
          <w:p w14:paraId="6585D408"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22,38 per cent</w:t>
            </w:r>
          </w:p>
        </w:tc>
        <w:tc>
          <w:tcPr>
            <w:tcW w:w="757" w:type="pct"/>
            <w:shd w:val="clear" w:color="auto" w:fill="auto"/>
            <w:noWrap/>
            <w:vAlign w:val="bottom"/>
            <w:hideMark/>
          </w:tcPr>
          <w:p w14:paraId="5A241BFC"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16,33 per cent</w:t>
            </w:r>
          </w:p>
        </w:tc>
      </w:tr>
      <w:tr w:rsidR="001F76F2" w:rsidRPr="000A4369" w14:paraId="52D8B75F" w14:textId="77777777" w:rsidTr="002D00EA">
        <w:trPr>
          <w:trHeight w:val="255"/>
        </w:trPr>
        <w:tc>
          <w:tcPr>
            <w:tcW w:w="942" w:type="pct"/>
            <w:shd w:val="clear" w:color="auto" w:fill="auto"/>
            <w:vAlign w:val="bottom"/>
            <w:hideMark/>
          </w:tcPr>
          <w:p w14:paraId="1345C171" w14:textId="77777777" w:rsidR="001F76F2" w:rsidRPr="000A4369" w:rsidRDefault="001F76F2" w:rsidP="001F76F2">
            <w:pPr>
              <w:numPr>
                <w:ilvl w:val="0"/>
                <w:numId w:val="25"/>
              </w:numPr>
              <w:spacing w:after="0" w:line="240" w:lineRule="auto"/>
              <w:ind w:left="313" w:hanging="313"/>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Internal Audit </w:t>
            </w:r>
            <w:r w:rsidRPr="000A4369">
              <w:rPr>
                <w:rFonts w:ascii="Times New Roman" w:eastAsia="Times New Roman" w:hAnsi="Times New Roman" w:cs="Times New Roman"/>
                <w:sz w:val="18"/>
                <w:szCs w:val="18"/>
                <w:lang w:eastAsia="en-ZA"/>
              </w:rPr>
              <w:lastRenderedPageBreak/>
              <w:t>and Risk Management</w:t>
            </w:r>
          </w:p>
        </w:tc>
        <w:tc>
          <w:tcPr>
            <w:tcW w:w="707" w:type="pct"/>
            <w:shd w:val="clear" w:color="auto" w:fill="auto"/>
            <w:noWrap/>
            <w:vAlign w:val="bottom"/>
            <w:hideMark/>
          </w:tcPr>
          <w:p w14:paraId="761AC5BE"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lastRenderedPageBreak/>
              <w:t xml:space="preserve"> 12 972,0</w:t>
            </w:r>
          </w:p>
        </w:tc>
        <w:tc>
          <w:tcPr>
            <w:tcW w:w="665" w:type="pct"/>
            <w:shd w:val="clear" w:color="auto" w:fill="auto"/>
            <w:noWrap/>
            <w:vAlign w:val="bottom"/>
            <w:hideMark/>
          </w:tcPr>
          <w:p w14:paraId="7C2104FA"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14 555,0</w:t>
            </w:r>
          </w:p>
        </w:tc>
        <w:tc>
          <w:tcPr>
            <w:tcW w:w="131" w:type="pct"/>
            <w:vMerge/>
            <w:shd w:val="clear" w:color="auto" w:fill="auto"/>
            <w:noWrap/>
            <w:vAlign w:val="bottom"/>
          </w:tcPr>
          <w:p w14:paraId="19C8EDDF"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p>
        </w:tc>
        <w:tc>
          <w:tcPr>
            <w:tcW w:w="494" w:type="pct"/>
            <w:shd w:val="clear" w:color="auto" w:fill="auto"/>
            <w:noWrap/>
            <w:vAlign w:val="bottom"/>
            <w:hideMark/>
          </w:tcPr>
          <w:p w14:paraId="4C5A5203"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1 583,0</w:t>
            </w:r>
          </w:p>
        </w:tc>
        <w:tc>
          <w:tcPr>
            <w:tcW w:w="546" w:type="pct"/>
            <w:shd w:val="clear" w:color="auto" w:fill="auto"/>
            <w:noWrap/>
            <w:vAlign w:val="bottom"/>
            <w:hideMark/>
          </w:tcPr>
          <w:p w14:paraId="40091A4D"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863,6</w:t>
            </w:r>
          </w:p>
        </w:tc>
        <w:tc>
          <w:tcPr>
            <w:tcW w:w="758" w:type="pct"/>
            <w:shd w:val="clear" w:color="auto" w:fill="auto"/>
            <w:noWrap/>
            <w:vAlign w:val="bottom"/>
            <w:hideMark/>
          </w:tcPr>
          <w:p w14:paraId="3842D450"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12,20 per cent</w:t>
            </w:r>
          </w:p>
        </w:tc>
        <w:tc>
          <w:tcPr>
            <w:tcW w:w="757" w:type="pct"/>
            <w:shd w:val="clear" w:color="auto" w:fill="auto"/>
            <w:noWrap/>
            <w:vAlign w:val="bottom"/>
            <w:hideMark/>
          </w:tcPr>
          <w:p w14:paraId="76D7E0D1"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6,66 per cent</w:t>
            </w:r>
          </w:p>
        </w:tc>
      </w:tr>
      <w:tr w:rsidR="001F76F2" w:rsidRPr="000A4369" w14:paraId="35213863" w14:textId="77777777" w:rsidTr="002D00EA">
        <w:trPr>
          <w:trHeight w:val="255"/>
        </w:trPr>
        <w:tc>
          <w:tcPr>
            <w:tcW w:w="942" w:type="pct"/>
            <w:shd w:val="clear" w:color="auto" w:fill="auto"/>
            <w:vAlign w:val="bottom"/>
            <w:hideMark/>
          </w:tcPr>
          <w:p w14:paraId="5EFFA4AE" w14:textId="77777777" w:rsidR="001F76F2" w:rsidRPr="000A4369" w:rsidRDefault="001F76F2" w:rsidP="001F76F2">
            <w:pPr>
              <w:numPr>
                <w:ilvl w:val="0"/>
                <w:numId w:val="25"/>
              </w:numPr>
              <w:spacing w:after="0" w:line="240" w:lineRule="auto"/>
              <w:ind w:left="313" w:hanging="313"/>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lastRenderedPageBreak/>
              <w:t>Office Accommodation</w:t>
            </w:r>
          </w:p>
        </w:tc>
        <w:tc>
          <w:tcPr>
            <w:tcW w:w="707" w:type="pct"/>
            <w:shd w:val="clear" w:color="auto" w:fill="auto"/>
            <w:noWrap/>
            <w:vAlign w:val="bottom"/>
            <w:hideMark/>
          </w:tcPr>
          <w:p w14:paraId="105D9A01"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48 522,0</w:t>
            </w:r>
          </w:p>
        </w:tc>
        <w:tc>
          <w:tcPr>
            <w:tcW w:w="665" w:type="pct"/>
            <w:shd w:val="clear" w:color="auto" w:fill="auto"/>
            <w:noWrap/>
            <w:vAlign w:val="bottom"/>
            <w:hideMark/>
          </w:tcPr>
          <w:p w14:paraId="71E9D654"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45 431,0</w:t>
            </w:r>
          </w:p>
        </w:tc>
        <w:tc>
          <w:tcPr>
            <w:tcW w:w="131" w:type="pct"/>
            <w:vMerge/>
            <w:shd w:val="clear" w:color="auto" w:fill="auto"/>
            <w:noWrap/>
            <w:vAlign w:val="bottom"/>
          </w:tcPr>
          <w:p w14:paraId="32D036AC"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p>
        </w:tc>
        <w:tc>
          <w:tcPr>
            <w:tcW w:w="494" w:type="pct"/>
            <w:shd w:val="clear" w:color="auto" w:fill="auto"/>
            <w:noWrap/>
            <w:vAlign w:val="bottom"/>
            <w:hideMark/>
          </w:tcPr>
          <w:p w14:paraId="78CE3C86"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- 3 091,0</w:t>
            </w:r>
          </w:p>
        </w:tc>
        <w:tc>
          <w:tcPr>
            <w:tcW w:w="546" w:type="pct"/>
            <w:shd w:val="clear" w:color="auto" w:fill="auto"/>
            <w:noWrap/>
            <w:vAlign w:val="bottom"/>
            <w:hideMark/>
          </w:tcPr>
          <w:p w14:paraId="1AF4CAEE"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- 5 336,6</w:t>
            </w:r>
          </w:p>
        </w:tc>
        <w:tc>
          <w:tcPr>
            <w:tcW w:w="758" w:type="pct"/>
            <w:shd w:val="clear" w:color="auto" w:fill="auto"/>
            <w:noWrap/>
            <w:vAlign w:val="bottom"/>
            <w:hideMark/>
          </w:tcPr>
          <w:p w14:paraId="3C19D5D1"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-6,37 per cent</w:t>
            </w:r>
          </w:p>
        </w:tc>
        <w:tc>
          <w:tcPr>
            <w:tcW w:w="757" w:type="pct"/>
            <w:shd w:val="clear" w:color="auto" w:fill="auto"/>
            <w:noWrap/>
            <w:vAlign w:val="bottom"/>
            <w:hideMark/>
          </w:tcPr>
          <w:p w14:paraId="462C8619"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-11,00 per cent</w:t>
            </w:r>
          </w:p>
        </w:tc>
      </w:tr>
      <w:tr w:rsidR="001F76F2" w:rsidRPr="000A4369" w14:paraId="7E0D21AD" w14:textId="77777777" w:rsidTr="002D00EA">
        <w:trPr>
          <w:trHeight w:val="255"/>
        </w:trPr>
        <w:tc>
          <w:tcPr>
            <w:tcW w:w="942" w:type="pct"/>
            <w:shd w:val="clear" w:color="auto" w:fill="auto"/>
            <w:noWrap/>
            <w:vAlign w:val="bottom"/>
            <w:hideMark/>
          </w:tcPr>
          <w:p w14:paraId="567CF67F" w14:textId="77777777" w:rsidR="001F76F2" w:rsidRPr="000A4369" w:rsidRDefault="001F76F2" w:rsidP="001F76F2">
            <w:pPr>
              <w:spacing w:after="0" w:line="240" w:lineRule="auto"/>
              <w:jc w:val="right"/>
              <w:rPr>
                <w:rFonts w:ascii="Times New Roman" w:eastAsia="Times New Roman" w:hAnsi="Times New Roman" w:cs="Times New Roman"/>
                <w:sz w:val="18"/>
                <w:szCs w:val="18"/>
                <w:lang w:eastAsia="en-ZA"/>
              </w:rPr>
            </w:pPr>
          </w:p>
        </w:tc>
        <w:tc>
          <w:tcPr>
            <w:tcW w:w="707" w:type="pct"/>
            <w:shd w:val="clear" w:color="auto" w:fill="auto"/>
            <w:noWrap/>
            <w:vAlign w:val="bottom"/>
            <w:hideMark/>
          </w:tcPr>
          <w:p w14:paraId="13093963" w14:textId="77777777" w:rsidR="001F76F2" w:rsidRPr="000A4369" w:rsidRDefault="001F76F2" w:rsidP="001F76F2">
            <w:pPr>
              <w:spacing w:after="0" w:line="240" w:lineRule="auto"/>
              <w:rPr>
                <w:rFonts w:ascii="Times New Roman" w:eastAsia="Times New Roman" w:hAnsi="Times New Roman" w:cs="Times New Roman"/>
                <w:sz w:val="20"/>
                <w:szCs w:val="20"/>
                <w:lang w:eastAsia="en-ZA"/>
              </w:rPr>
            </w:pPr>
          </w:p>
        </w:tc>
        <w:tc>
          <w:tcPr>
            <w:tcW w:w="665" w:type="pct"/>
            <w:shd w:val="clear" w:color="auto" w:fill="auto"/>
            <w:noWrap/>
            <w:vAlign w:val="bottom"/>
            <w:hideMark/>
          </w:tcPr>
          <w:p w14:paraId="63EB36DF" w14:textId="77777777" w:rsidR="001F76F2" w:rsidRPr="000A4369" w:rsidRDefault="001F76F2" w:rsidP="001F76F2">
            <w:pPr>
              <w:spacing w:after="0" w:line="240" w:lineRule="auto"/>
              <w:rPr>
                <w:rFonts w:ascii="Times New Roman" w:eastAsia="Times New Roman" w:hAnsi="Times New Roman" w:cs="Times New Roman"/>
                <w:sz w:val="20"/>
                <w:szCs w:val="20"/>
                <w:lang w:eastAsia="en-ZA"/>
              </w:rPr>
            </w:pPr>
          </w:p>
        </w:tc>
        <w:tc>
          <w:tcPr>
            <w:tcW w:w="131" w:type="pct"/>
            <w:vMerge/>
            <w:shd w:val="clear" w:color="auto" w:fill="auto"/>
            <w:noWrap/>
            <w:vAlign w:val="bottom"/>
          </w:tcPr>
          <w:p w14:paraId="51A4F3C9" w14:textId="77777777" w:rsidR="001F76F2" w:rsidRPr="000A4369" w:rsidRDefault="001F76F2" w:rsidP="001F76F2">
            <w:pPr>
              <w:spacing w:after="0" w:line="240" w:lineRule="auto"/>
              <w:rPr>
                <w:rFonts w:ascii="Times New Roman" w:eastAsia="Times New Roman" w:hAnsi="Times New Roman" w:cs="Times New Roman"/>
                <w:sz w:val="20"/>
                <w:szCs w:val="20"/>
                <w:lang w:eastAsia="en-ZA"/>
              </w:rPr>
            </w:pPr>
          </w:p>
        </w:tc>
        <w:tc>
          <w:tcPr>
            <w:tcW w:w="494" w:type="pct"/>
            <w:shd w:val="clear" w:color="auto" w:fill="auto"/>
            <w:noWrap/>
            <w:vAlign w:val="bottom"/>
            <w:hideMark/>
          </w:tcPr>
          <w:p w14:paraId="402939A4" w14:textId="77777777" w:rsidR="001F76F2" w:rsidRPr="000A4369" w:rsidRDefault="001F76F2" w:rsidP="001F76F2">
            <w:pPr>
              <w:spacing w:after="0" w:line="240" w:lineRule="auto"/>
              <w:rPr>
                <w:rFonts w:ascii="Times New Roman" w:eastAsia="Times New Roman" w:hAnsi="Times New Roman" w:cs="Times New Roman"/>
                <w:sz w:val="20"/>
                <w:szCs w:val="20"/>
                <w:lang w:eastAsia="en-ZA"/>
              </w:rPr>
            </w:pPr>
          </w:p>
        </w:tc>
        <w:tc>
          <w:tcPr>
            <w:tcW w:w="546" w:type="pct"/>
            <w:shd w:val="clear" w:color="auto" w:fill="auto"/>
            <w:noWrap/>
            <w:vAlign w:val="bottom"/>
            <w:hideMark/>
          </w:tcPr>
          <w:p w14:paraId="08951755" w14:textId="77777777" w:rsidR="001F76F2" w:rsidRPr="000A4369" w:rsidRDefault="001F76F2" w:rsidP="001F76F2">
            <w:pPr>
              <w:spacing w:after="0" w:line="240" w:lineRule="auto"/>
              <w:rPr>
                <w:rFonts w:ascii="Times New Roman" w:eastAsia="Times New Roman" w:hAnsi="Times New Roman" w:cs="Times New Roman"/>
                <w:sz w:val="20"/>
                <w:szCs w:val="20"/>
                <w:lang w:eastAsia="en-ZA"/>
              </w:rPr>
            </w:pPr>
          </w:p>
        </w:tc>
        <w:tc>
          <w:tcPr>
            <w:tcW w:w="758" w:type="pct"/>
            <w:shd w:val="clear" w:color="auto" w:fill="auto"/>
            <w:noWrap/>
            <w:vAlign w:val="bottom"/>
            <w:hideMark/>
          </w:tcPr>
          <w:p w14:paraId="5AACC7AF" w14:textId="77777777" w:rsidR="001F76F2" w:rsidRPr="000A4369" w:rsidRDefault="001F76F2" w:rsidP="001F76F2">
            <w:pPr>
              <w:spacing w:after="0" w:line="240" w:lineRule="auto"/>
              <w:rPr>
                <w:rFonts w:ascii="Times New Roman" w:eastAsia="Times New Roman" w:hAnsi="Times New Roman" w:cs="Times New Roman"/>
                <w:sz w:val="20"/>
                <w:szCs w:val="20"/>
                <w:lang w:eastAsia="en-ZA"/>
              </w:rPr>
            </w:pPr>
          </w:p>
        </w:tc>
        <w:tc>
          <w:tcPr>
            <w:tcW w:w="757" w:type="pct"/>
            <w:shd w:val="clear" w:color="auto" w:fill="auto"/>
            <w:noWrap/>
            <w:vAlign w:val="bottom"/>
            <w:hideMark/>
          </w:tcPr>
          <w:p w14:paraId="31755A12" w14:textId="77777777" w:rsidR="001F76F2" w:rsidRPr="000A4369" w:rsidRDefault="001F76F2" w:rsidP="001F76F2">
            <w:pPr>
              <w:spacing w:after="0" w:line="240" w:lineRule="auto"/>
              <w:rPr>
                <w:rFonts w:ascii="Times New Roman" w:eastAsia="Times New Roman" w:hAnsi="Times New Roman" w:cs="Times New Roman"/>
                <w:sz w:val="20"/>
                <w:szCs w:val="20"/>
                <w:lang w:eastAsia="en-ZA"/>
              </w:rPr>
            </w:pPr>
          </w:p>
        </w:tc>
      </w:tr>
      <w:tr w:rsidR="001F76F2" w:rsidRPr="000A4369" w14:paraId="50359D2D" w14:textId="77777777" w:rsidTr="002D00EA">
        <w:trPr>
          <w:trHeight w:val="270"/>
        </w:trPr>
        <w:tc>
          <w:tcPr>
            <w:tcW w:w="942" w:type="pct"/>
            <w:shd w:val="clear" w:color="auto" w:fill="auto"/>
            <w:noWrap/>
            <w:vAlign w:val="bottom"/>
            <w:hideMark/>
          </w:tcPr>
          <w:p w14:paraId="58D1F271" w14:textId="77777777" w:rsidR="001F76F2" w:rsidRPr="000A4369" w:rsidRDefault="001F76F2" w:rsidP="001F76F2">
            <w:pPr>
              <w:spacing w:after="0" w:line="240" w:lineRule="auto"/>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TOTAL</w:t>
            </w:r>
          </w:p>
        </w:tc>
        <w:tc>
          <w:tcPr>
            <w:tcW w:w="707" w:type="pct"/>
            <w:shd w:val="clear" w:color="auto" w:fill="auto"/>
            <w:noWrap/>
            <w:vAlign w:val="bottom"/>
            <w:hideMark/>
          </w:tcPr>
          <w:p w14:paraId="094EB7FD" w14:textId="77777777" w:rsidR="001F76F2" w:rsidRPr="000A4369" w:rsidRDefault="001F76F2" w:rsidP="001F76F2">
            <w:pPr>
              <w:spacing w:after="0" w:line="240" w:lineRule="auto"/>
              <w:jc w:val="right"/>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 278 456,0</w:t>
            </w:r>
          </w:p>
        </w:tc>
        <w:tc>
          <w:tcPr>
            <w:tcW w:w="665" w:type="pct"/>
            <w:shd w:val="clear" w:color="auto" w:fill="auto"/>
            <w:noWrap/>
            <w:vAlign w:val="bottom"/>
            <w:hideMark/>
          </w:tcPr>
          <w:p w14:paraId="2BF51DB5" w14:textId="77777777" w:rsidR="001F76F2" w:rsidRPr="000A4369" w:rsidRDefault="001F76F2" w:rsidP="001F76F2">
            <w:pPr>
              <w:spacing w:after="0" w:line="240" w:lineRule="auto"/>
              <w:jc w:val="right"/>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 275 708,0</w:t>
            </w:r>
          </w:p>
        </w:tc>
        <w:tc>
          <w:tcPr>
            <w:tcW w:w="131" w:type="pct"/>
            <w:vMerge/>
            <w:shd w:val="clear" w:color="auto" w:fill="auto"/>
            <w:noWrap/>
            <w:vAlign w:val="bottom"/>
          </w:tcPr>
          <w:p w14:paraId="75817674" w14:textId="77777777" w:rsidR="001F76F2" w:rsidRPr="000A4369" w:rsidRDefault="001F76F2" w:rsidP="001F76F2">
            <w:pPr>
              <w:spacing w:after="0" w:line="240" w:lineRule="auto"/>
              <w:jc w:val="right"/>
              <w:rPr>
                <w:rFonts w:ascii="Times New Roman" w:eastAsia="Times New Roman" w:hAnsi="Times New Roman" w:cs="Times New Roman"/>
                <w:b/>
                <w:bCs/>
                <w:sz w:val="18"/>
                <w:szCs w:val="18"/>
                <w:lang w:eastAsia="en-ZA"/>
              </w:rPr>
            </w:pPr>
          </w:p>
        </w:tc>
        <w:tc>
          <w:tcPr>
            <w:tcW w:w="494" w:type="pct"/>
            <w:shd w:val="clear" w:color="auto" w:fill="auto"/>
            <w:noWrap/>
            <w:vAlign w:val="bottom"/>
            <w:hideMark/>
          </w:tcPr>
          <w:p w14:paraId="02AA27D8" w14:textId="77777777" w:rsidR="001F76F2" w:rsidRPr="000A4369" w:rsidRDefault="001F76F2" w:rsidP="001F76F2">
            <w:pPr>
              <w:spacing w:after="0" w:line="240" w:lineRule="auto"/>
              <w:jc w:val="right"/>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-2 748,0</w:t>
            </w:r>
          </w:p>
        </w:tc>
        <w:tc>
          <w:tcPr>
            <w:tcW w:w="546" w:type="pct"/>
            <w:shd w:val="clear" w:color="auto" w:fill="auto"/>
            <w:noWrap/>
            <w:vAlign w:val="bottom"/>
            <w:hideMark/>
          </w:tcPr>
          <w:p w14:paraId="54C74BEE" w14:textId="77777777" w:rsidR="001F76F2" w:rsidRPr="000A4369" w:rsidRDefault="001F76F2" w:rsidP="001F76F2">
            <w:pPr>
              <w:spacing w:after="0" w:line="240" w:lineRule="auto"/>
              <w:jc w:val="right"/>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-16 376,2</w:t>
            </w:r>
          </w:p>
        </w:tc>
        <w:tc>
          <w:tcPr>
            <w:tcW w:w="758" w:type="pct"/>
            <w:shd w:val="clear" w:color="auto" w:fill="auto"/>
            <w:noWrap/>
            <w:vAlign w:val="bottom"/>
            <w:hideMark/>
          </w:tcPr>
          <w:p w14:paraId="7CB8C7B8" w14:textId="77777777" w:rsidR="001F76F2" w:rsidRPr="000A4369" w:rsidRDefault="001F76F2" w:rsidP="001F76F2">
            <w:pPr>
              <w:spacing w:after="0" w:line="240" w:lineRule="auto"/>
              <w:jc w:val="right"/>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-0,99 percent</w:t>
            </w:r>
          </w:p>
        </w:tc>
        <w:tc>
          <w:tcPr>
            <w:tcW w:w="757" w:type="pct"/>
            <w:shd w:val="clear" w:color="auto" w:fill="auto"/>
            <w:noWrap/>
            <w:vAlign w:val="bottom"/>
            <w:hideMark/>
          </w:tcPr>
          <w:p w14:paraId="57D2E204" w14:textId="77777777" w:rsidR="001F76F2" w:rsidRPr="000A4369" w:rsidRDefault="001F76F2" w:rsidP="001F76F2">
            <w:pPr>
              <w:spacing w:after="0" w:line="240" w:lineRule="auto"/>
              <w:jc w:val="right"/>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-5,88per cent</w:t>
            </w:r>
          </w:p>
        </w:tc>
      </w:tr>
    </w:tbl>
    <w:p w14:paraId="33DBAC80" w14:textId="77777777" w:rsidR="001F76F2" w:rsidRPr="000A4369" w:rsidRDefault="001F76F2" w:rsidP="001F76F2">
      <w:pPr>
        <w:spacing w:after="0" w:line="280" w:lineRule="exact"/>
        <w:jc w:val="both"/>
        <w:rPr>
          <w:rFonts w:ascii="Times New Roman" w:eastAsia="Times New Roman" w:hAnsi="Times New Roman" w:cs="Times New Roman"/>
          <w:b/>
          <w:lang w:val="en-GB"/>
        </w:rPr>
      </w:pPr>
    </w:p>
    <w:p w14:paraId="0D758C96" w14:textId="77777777" w:rsidR="00DD65F1" w:rsidRPr="000A4369" w:rsidRDefault="00DD65F1" w:rsidP="00DD65F1">
      <w:pPr>
        <w:spacing w:after="0" w:line="280" w:lineRule="exact"/>
        <w:jc w:val="both"/>
        <w:rPr>
          <w:rFonts w:ascii="Times New Roman" w:hAnsi="Times New Roman" w:cs="Times New Roman"/>
          <w:sz w:val="24"/>
          <w:szCs w:val="24"/>
        </w:rPr>
      </w:pPr>
      <w:r w:rsidRPr="000A4369">
        <w:rPr>
          <w:rFonts w:ascii="Times New Roman" w:hAnsi="Times New Roman" w:cs="Times New Roman"/>
          <w:sz w:val="24"/>
          <w:szCs w:val="24"/>
        </w:rPr>
        <w:t>Programme 1 provides strategic leadership, management and support services to the Department. As seen in Table 3, the overall allocation to the Programme decreases by 5.8 percent in real terms. Figure 2 below indicates that the main cost driver is the Corporate Services Sub-programme.</w:t>
      </w:r>
    </w:p>
    <w:p w14:paraId="719F010C"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7BF83027" w14:textId="77777777" w:rsidR="00BB3C95" w:rsidRPr="000A4369" w:rsidRDefault="00BB3C95" w:rsidP="001F76F2">
      <w:pPr>
        <w:spacing w:after="0" w:line="280" w:lineRule="exact"/>
        <w:jc w:val="both"/>
        <w:rPr>
          <w:rFonts w:ascii="Times New Roman" w:eastAsia="Times New Roman" w:hAnsi="Times New Roman" w:cs="Times New Roman"/>
          <w:b/>
          <w:lang w:val="en-GB"/>
        </w:rPr>
      </w:pPr>
      <w:r w:rsidRPr="000A4369">
        <w:rPr>
          <w:rFonts w:ascii="Times New Roman" w:hAnsi="Times New Roman" w:cs="Times New Roman"/>
          <w:noProof/>
          <w:lang w:eastAsia="en-ZA"/>
        </w:rPr>
        <mc:AlternateContent>
          <mc:Choice Requires="wps">
            <w:drawing>
              <wp:anchor distT="0" distB="0" distL="114300" distR="114300" simplePos="0" relativeHeight="251670528" behindDoc="0" locked="0" layoutInCell="1" allowOverlap="1" wp14:anchorId="1C0BCFF0" wp14:editId="0C34F651">
                <wp:simplePos x="0" y="0"/>
                <wp:positionH relativeFrom="margin">
                  <wp:align>right</wp:align>
                </wp:positionH>
                <wp:positionV relativeFrom="paragraph">
                  <wp:posOffset>8890</wp:posOffset>
                </wp:positionV>
                <wp:extent cx="5731510" cy="170953"/>
                <wp:effectExtent l="0" t="0" r="2540" b="635"/>
                <wp:wrapNone/>
                <wp:docPr id="15" name="Text Box 15"/>
                <wp:cNvGraphicFramePr/>
                <a:graphic xmlns:a="http://schemas.openxmlformats.org/drawingml/2006/main">
                  <a:graphicData uri="http://schemas.microsoft.com/office/word/2010/wordprocessingShape">
                    <wps:wsp>
                      <wps:cNvSpPr txBox="1"/>
                      <wps:spPr>
                        <a:xfrm>
                          <a:off x="0" y="0"/>
                          <a:ext cx="5731510" cy="170953"/>
                        </a:xfrm>
                        <a:prstGeom prst="rect">
                          <a:avLst/>
                        </a:prstGeom>
                        <a:solidFill>
                          <a:prstClr val="white"/>
                        </a:solidFill>
                        <a:ln>
                          <a:noFill/>
                        </a:ln>
                      </wps:spPr>
                      <wps:txbx>
                        <w:txbxContent>
                          <w:p w14:paraId="1692631F" w14:textId="77777777" w:rsidR="002D00EA" w:rsidRPr="00B07A34" w:rsidRDefault="002D00EA" w:rsidP="00BB3C95">
                            <w:pPr>
                              <w:pStyle w:val="Caption"/>
                              <w:rPr>
                                <w:noProof/>
                              </w:rPr>
                            </w:pPr>
                            <w:r>
                              <w:t xml:space="preserve">Figure </w:t>
                            </w:r>
                            <w:fldSimple w:instr=" SEQ Figure \* ARABIC ">
                              <w:r w:rsidR="007F1C6D">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3911BF3" id="Text Box 15" o:spid="_x0000_s1027" type="#_x0000_t202" style="position:absolute;left:0;text-align:left;margin-left:400.1pt;margin-top:.7pt;width:451.3pt;height:13.45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" stroked="f">
                <v:textbox inset="0,0,0,0">
                  <w:txbxContent>
                    <w:p w:rsidR="002D00EA" w:rsidRPr="00B07A34" w:rsidRDefault="002D00EA" w:rsidP="00BB3C95">
                      <w:pPr>
                        <w:pStyle w:val="Caption"/>
                        <w:rPr>
                          <w:noProof/>
                        </w:rPr>
                      </w:pPr>
                      <w:r>
                        <w:t xml:space="preserve">Figure </w:t>
                      </w:r>
                      <w:fldSimple w:instr=" SEQ Figure \* ARABIC ">
                        <w:r w:rsidR="007F1C6D">
                          <w:rPr>
                            <w:noProof/>
                          </w:rPr>
                          <w:t>2</w:t>
                        </w:r>
                      </w:fldSimple>
                    </w:p>
                  </w:txbxContent>
                </v:textbox>
                <w10:wrap anchorx="margin"/>
              </v:shape>
            </w:pict>
          </mc:Fallback>
        </mc:AlternateContent>
      </w:r>
    </w:p>
    <w:p w14:paraId="7B5C3FAD" w14:textId="77777777" w:rsidR="00BB3C95" w:rsidRPr="000A4369" w:rsidRDefault="00BB3C95" w:rsidP="001F76F2">
      <w:pPr>
        <w:spacing w:after="0" w:line="280" w:lineRule="exact"/>
        <w:jc w:val="both"/>
        <w:rPr>
          <w:rFonts w:ascii="Times New Roman" w:eastAsia="Times New Roman" w:hAnsi="Times New Roman" w:cs="Times New Roman"/>
          <w:b/>
          <w:lang w:val="en-GB"/>
        </w:rPr>
      </w:pPr>
      <w:r w:rsidRPr="000A4369">
        <w:rPr>
          <w:rFonts w:ascii="Times New Roman" w:hAnsi="Times New Roman" w:cs="Times New Roman"/>
          <w:noProof/>
          <w:lang w:eastAsia="en-ZA"/>
        </w:rPr>
        <w:drawing>
          <wp:anchor distT="0" distB="0" distL="114300" distR="114300" simplePos="0" relativeHeight="251668480" behindDoc="0" locked="0" layoutInCell="1" allowOverlap="1" wp14:anchorId="66DA49E1" wp14:editId="5F512F61">
            <wp:simplePos x="0" y="0"/>
            <wp:positionH relativeFrom="margin">
              <wp:posOffset>0</wp:posOffset>
            </wp:positionH>
            <wp:positionV relativeFrom="paragraph">
              <wp:posOffset>-635</wp:posOffset>
            </wp:positionV>
            <wp:extent cx="5731510" cy="3213100"/>
            <wp:effectExtent l="0" t="0" r="2540" b="635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p>
    <w:p w14:paraId="1D03C543"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34B36718"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6186CFB2"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0BDAC08D"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62198F60"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099E51E3"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19B8162F"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4637BCB3"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634EFEA2"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688B845C"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4B61B2C2"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7E13A78C"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530F955A"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17E18254"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415181D2"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6EEE1CB1"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3FCFB67A"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1E9829AF"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4E83DD5D"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33D01ADE" w14:textId="77777777" w:rsidR="00BB3C95" w:rsidRPr="000A4369" w:rsidRDefault="00BB3C95" w:rsidP="00E90F5D">
      <w:pPr>
        <w:pStyle w:val="ListParagraph"/>
        <w:numPr>
          <w:ilvl w:val="1"/>
          <w:numId w:val="17"/>
        </w:numPr>
        <w:spacing w:after="0" w:line="280" w:lineRule="exact"/>
        <w:jc w:val="both"/>
        <w:rPr>
          <w:rFonts w:ascii="Times New Roman" w:eastAsia="Times New Roman" w:hAnsi="Times New Roman" w:cs="Times New Roman"/>
          <w:b/>
          <w:lang w:val="en-GB"/>
        </w:rPr>
      </w:pPr>
      <w:r w:rsidRPr="000A4369">
        <w:rPr>
          <w:rFonts w:ascii="Times New Roman" w:eastAsia="Times New Roman" w:hAnsi="Times New Roman" w:cs="Times New Roman"/>
          <w:b/>
          <w:lang w:val="en-GB"/>
        </w:rPr>
        <w:t>Programme 2: Regional and Urban Development and Legislative Support</w:t>
      </w:r>
    </w:p>
    <w:p w14:paraId="51A38792" w14:textId="77777777" w:rsidR="00E90F5D" w:rsidRPr="000A4369" w:rsidRDefault="00E90F5D" w:rsidP="00E90F5D">
      <w:pPr>
        <w:pStyle w:val="Caption"/>
        <w:keepNext/>
        <w:rPr>
          <w:rFonts w:ascii="Times New Roman" w:hAnsi="Times New Roman" w:cs="Times New Roman"/>
        </w:rPr>
      </w:pPr>
    </w:p>
    <w:p w14:paraId="0994CC7A" w14:textId="77777777" w:rsidR="00E90F5D" w:rsidRPr="000A4369" w:rsidRDefault="00E90F5D" w:rsidP="00E90F5D">
      <w:pPr>
        <w:pStyle w:val="Caption"/>
        <w:keepNext/>
        <w:rPr>
          <w:rFonts w:ascii="Times New Roman" w:hAnsi="Times New Roman" w:cs="Times New Roman"/>
        </w:rPr>
      </w:pPr>
    </w:p>
    <w:p w14:paraId="2C750F08" w14:textId="77777777" w:rsidR="00BB3C95" w:rsidRPr="000A4369" w:rsidRDefault="00E90F5D" w:rsidP="00E90F5D">
      <w:pPr>
        <w:pStyle w:val="Caption"/>
        <w:keepNext/>
        <w:rPr>
          <w:rFonts w:ascii="Times New Roman" w:hAnsi="Times New Roman" w:cs="Times New Roman"/>
        </w:rPr>
      </w:pPr>
      <w:r w:rsidRPr="000A4369">
        <w:rPr>
          <w:rFonts w:ascii="Times New Roman" w:hAnsi="Times New Roman" w:cs="Times New Roman"/>
        </w:rPr>
        <w:t xml:space="preserve">Table </w:t>
      </w:r>
      <w:r w:rsidR="000A4369" w:rsidRPr="000A4369">
        <w:rPr>
          <w:rFonts w:ascii="Times New Roman" w:hAnsi="Times New Roman" w:cs="Times New Roman"/>
        </w:rPr>
        <w:fldChar w:fldCharType="begin"/>
      </w:r>
      <w:r w:rsidR="000A4369" w:rsidRPr="000A4369">
        <w:rPr>
          <w:rFonts w:ascii="Times New Roman" w:hAnsi="Times New Roman" w:cs="Times New Roman"/>
        </w:rPr>
        <w:instrText xml:space="preserve"> SEQ Table \* ARABIC </w:instrText>
      </w:r>
      <w:r w:rsidR="000A4369" w:rsidRPr="000A4369">
        <w:rPr>
          <w:rFonts w:ascii="Times New Roman" w:hAnsi="Times New Roman" w:cs="Times New Roman"/>
        </w:rPr>
        <w:fldChar w:fldCharType="separate"/>
      </w:r>
      <w:r w:rsidR="007F1C6D" w:rsidRPr="000A4369">
        <w:rPr>
          <w:rFonts w:ascii="Times New Roman" w:hAnsi="Times New Roman" w:cs="Times New Roman"/>
          <w:noProof/>
        </w:rPr>
        <w:t>3</w:t>
      </w:r>
      <w:r w:rsidR="000A4369" w:rsidRPr="000A4369">
        <w:rPr>
          <w:rFonts w:ascii="Times New Roman" w:hAnsi="Times New Roman" w:cs="Times New Roman"/>
          <w:noProof/>
        </w:rPr>
        <w:fldChar w:fldCharType="end"/>
      </w:r>
      <w:r w:rsidRPr="000A4369">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971"/>
        <w:gridCol w:w="971"/>
        <w:gridCol w:w="236"/>
        <w:gridCol w:w="971"/>
        <w:gridCol w:w="971"/>
        <w:gridCol w:w="1496"/>
        <w:gridCol w:w="1493"/>
      </w:tblGrid>
      <w:tr w:rsidR="00E90F5D" w:rsidRPr="000A4369" w14:paraId="65B91899" w14:textId="77777777" w:rsidTr="002D00EA">
        <w:trPr>
          <w:trHeight w:val="780"/>
          <w:tblHeader/>
        </w:trPr>
        <w:tc>
          <w:tcPr>
            <w:tcW w:w="1155" w:type="pct"/>
            <w:shd w:val="clear" w:color="auto" w:fill="auto"/>
            <w:noWrap/>
            <w:vAlign w:val="bottom"/>
            <w:hideMark/>
          </w:tcPr>
          <w:p w14:paraId="21CE6DEA" w14:textId="77777777" w:rsidR="00E90F5D" w:rsidRPr="000A4369" w:rsidRDefault="00E90F5D" w:rsidP="00E90F5D">
            <w:pPr>
              <w:spacing w:after="0" w:line="240" w:lineRule="auto"/>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Sub-Programme</w:t>
            </w:r>
          </w:p>
        </w:tc>
        <w:tc>
          <w:tcPr>
            <w:tcW w:w="1174" w:type="pct"/>
            <w:gridSpan w:val="3"/>
            <w:shd w:val="clear" w:color="auto" w:fill="auto"/>
            <w:vAlign w:val="center"/>
            <w:hideMark/>
          </w:tcPr>
          <w:p w14:paraId="075B72D8" w14:textId="77777777" w:rsidR="00E90F5D" w:rsidRPr="000A4369" w:rsidRDefault="00E90F5D" w:rsidP="00E90F5D">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Budget</w:t>
            </w:r>
          </w:p>
        </w:tc>
        <w:tc>
          <w:tcPr>
            <w:tcW w:w="526" w:type="pct"/>
            <w:shd w:val="clear" w:color="auto" w:fill="auto"/>
            <w:vAlign w:val="center"/>
            <w:hideMark/>
          </w:tcPr>
          <w:p w14:paraId="5A516ADC" w14:textId="77777777" w:rsidR="00E90F5D" w:rsidRPr="000A4369" w:rsidRDefault="00E90F5D" w:rsidP="00E90F5D">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Nominal Rand change</w:t>
            </w:r>
          </w:p>
        </w:tc>
        <w:tc>
          <w:tcPr>
            <w:tcW w:w="526" w:type="pct"/>
            <w:shd w:val="clear" w:color="auto" w:fill="auto"/>
            <w:vAlign w:val="center"/>
            <w:hideMark/>
          </w:tcPr>
          <w:p w14:paraId="007D6214" w14:textId="77777777" w:rsidR="00E90F5D" w:rsidRPr="000A4369" w:rsidRDefault="00E90F5D" w:rsidP="00E90F5D">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Real Rand change</w:t>
            </w:r>
          </w:p>
        </w:tc>
        <w:tc>
          <w:tcPr>
            <w:tcW w:w="810" w:type="pct"/>
            <w:shd w:val="clear" w:color="auto" w:fill="auto"/>
            <w:vAlign w:val="center"/>
            <w:hideMark/>
          </w:tcPr>
          <w:p w14:paraId="652838CF" w14:textId="77777777" w:rsidR="00E90F5D" w:rsidRPr="000A4369" w:rsidRDefault="00E90F5D" w:rsidP="00E90F5D">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Nominal % change</w:t>
            </w:r>
          </w:p>
        </w:tc>
        <w:tc>
          <w:tcPr>
            <w:tcW w:w="810" w:type="pct"/>
            <w:shd w:val="clear" w:color="auto" w:fill="auto"/>
            <w:vAlign w:val="center"/>
            <w:hideMark/>
          </w:tcPr>
          <w:p w14:paraId="53184919" w14:textId="77777777" w:rsidR="00E90F5D" w:rsidRPr="000A4369" w:rsidRDefault="00E90F5D" w:rsidP="00E90F5D">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Real % change</w:t>
            </w:r>
          </w:p>
        </w:tc>
      </w:tr>
      <w:tr w:rsidR="00E90F5D" w:rsidRPr="000A4369" w14:paraId="4302803A" w14:textId="77777777" w:rsidTr="002D00EA">
        <w:trPr>
          <w:trHeight w:val="255"/>
        </w:trPr>
        <w:tc>
          <w:tcPr>
            <w:tcW w:w="1155" w:type="pct"/>
            <w:shd w:val="clear" w:color="auto" w:fill="auto"/>
            <w:noWrap/>
            <w:vAlign w:val="bottom"/>
            <w:hideMark/>
          </w:tcPr>
          <w:p w14:paraId="08F1A198" w14:textId="77777777" w:rsidR="00E90F5D" w:rsidRPr="000A4369" w:rsidRDefault="00E90F5D" w:rsidP="00E90F5D">
            <w:pPr>
              <w:spacing w:after="0" w:line="240" w:lineRule="auto"/>
              <w:jc w:val="center"/>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R million</w:t>
            </w:r>
          </w:p>
        </w:tc>
        <w:tc>
          <w:tcPr>
            <w:tcW w:w="526" w:type="pct"/>
            <w:shd w:val="clear" w:color="auto" w:fill="auto"/>
            <w:noWrap/>
            <w:vAlign w:val="bottom"/>
            <w:hideMark/>
          </w:tcPr>
          <w:p w14:paraId="38D0E8EF" w14:textId="77777777" w:rsidR="00E90F5D" w:rsidRPr="000A4369" w:rsidRDefault="00E90F5D" w:rsidP="00E90F5D">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2018/19</w:t>
            </w:r>
          </w:p>
        </w:tc>
        <w:tc>
          <w:tcPr>
            <w:tcW w:w="526" w:type="pct"/>
            <w:shd w:val="clear" w:color="auto" w:fill="auto"/>
            <w:noWrap/>
            <w:vAlign w:val="bottom"/>
            <w:hideMark/>
          </w:tcPr>
          <w:p w14:paraId="4184F2D0" w14:textId="77777777" w:rsidR="00E90F5D" w:rsidRPr="000A4369" w:rsidRDefault="00E90F5D" w:rsidP="00E90F5D">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2019/20</w:t>
            </w:r>
          </w:p>
        </w:tc>
        <w:tc>
          <w:tcPr>
            <w:tcW w:w="123" w:type="pct"/>
            <w:vMerge w:val="restart"/>
            <w:shd w:val="clear" w:color="auto" w:fill="auto"/>
            <w:noWrap/>
            <w:vAlign w:val="bottom"/>
          </w:tcPr>
          <w:p w14:paraId="2463F52C" w14:textId="77777777" w:rsidR="00E90F5D" w:rsidRPr="000A4369" w:rsidRDefault="00E90F5D" w:rsidP="00E90F5D">
            <w:pPr>
              <w:spacing w:after="0" w:line="240" w:lineRule="auto"/>
              <w:jc w:val="center"/>
              <w:rPr>
                <w:rFonts w:ascii="Times New Roman" w:eastAsia="Times New Roman" w:hAnsi="Times New Roman" w:cs="Times New Roman"/>
                <w:b/>
                <w:bCs/>
                <w:sz w:val="18"/>
                <w:szCs w:val="18"/>
                <w:lang w:eastAsia="en-ZA"/>
              </w:rPr>
            </w:pPr>
          </w:p>
        </w:tc>
        <w:tc>
          <w:tcPr>
            <w:tcW w:w="1051" w:type="pct"/>
            <w:gridSpan w:val="2"/>
            <w:shd w:val="clear" w:color="auto" w:fill="auto"/>
            <w:noWrap/>
            <w:vAlign w:val="bottom"/>
            <w:hideMark/>
          </w:tcPr>
          <w:p w14:paraId="29C16A22" w14:textId="77777777" w:rsidR="00E90F5D" w:rsidRPr="000A4369" w:rsidRDefault="00E90F5D" w:rsidP="00E90F5D">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 2018/19-2019/20</w:t>
            </w:r>
          </w:p>
        </w:tc>
        <w:tc>
          <w:tcPr>
            <w:tcW w:w="1619" w:type="pct"/>
            <w:gridSpan w:val="2"/>
            <w:shd w:val="clear" w:color="auto" w:fill="auto"/>
            <w:noWrap/>
            <w:vAlign w:val="bottom"/>
            <w:hideMark/>
          </w:tcPr>
          <w:p w14:paraId="7C116953" w14:textId="77777777" w:rsidR="00E90F5D" w:rsidRPr="000A4369" w:rsidRDefault="00E90F5D" w:rsidP="00E90F5D">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 2018/19-2019/20</w:t>
            </w:r>
          </w:p>
        </w:tc>
      </w:tr>
      <w:tr w:rsidR="00E90F5D" w:rsidRPr="000A4369" w14:paraId="3CC2420B" w14:textId="77777777" w:rsidTr="002D00EA">
        <w:trPr>
          <w:trHeight w:val="255"/>
        </w:trPr>
        <w:tc>
          <w:tcPr>
            <w:tcW w:w="1155" w:type="pct"/>
            <w:shd w:val="clear" w:color="auto" w:fill="auto"/>
            <w:vAlign w:val="bottom"/>
            <w:hideMark/>
          </w:tcPr>
          <w:p w14:paraId="51FDFA46" w14:textId="77777777" w:rsidR="00E90F5D" w:rsidRPr="000A4369" w:rsidRDefault="00E90F5D" w:rsidP="00E90F5D">
            <w:pPr>
              <w:numPr>
                <w:ilvl w:val="0"/>
                <w:numId w:val="26"/>
              </w:numPr>
              <w:spacing w:after="0" w:line="240" w:lineRule="auto"/>
              <w:ind w:left="313" w:hanging="313"/>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Management: Regional and Urban Development and Legislative Support</w:t>
            </w:r>
          </w:p>
        </w:tc>
        <w:tc>
          <w:tcPr>
            <w:tcW w:w="526" w:type="pct"/>
            <w:shd w:val="clear" w:color="auto" w:fill="auto"/>
            <w:noWrap/>
            <w:vAlign w:val="bottom"/>
            <w:hideMark/>
          </w:tcPr>
          <w:p w14:paraId="17773B08"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1 414,0</w:t>
            </w:r>
          </w:p>
        </w:tc>
        <w:tc>
          <w:tcPr>
            <w:tcW w:w="526" w:type="pct"/>
            <w:shd w:val="clear" w:color="auto" w:fill="auto"/>
            <w:noWrap/>
            <w:vAlign w:val="bottom"/>
            <w:hideMark/>
          </w:tcPr>
          <w:p w14:paraId="54204F16"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3 653,0</w:t>
            </w:r>
          </w:p>
        </w:tc>
        <w:tc>
          <w:tcPr>
            <w:tcW w:w="123" w:type="pct"/>
            <w:vMerge/>
            <w:shd w:val="clear" w:color="auto" w:fill="auto"/>
            <w:noWrap/>
            <w:vAlign w:val="bottom"/>
          </w:tcPr>
          <w:p w14:paraId="7686ED22"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p>
        </w:tc>
        <w:tc>
          <w:tcPr>
            <w:tcW w:w="526" w:type="pct"/>
            <w:shd w:val="clear" w:color="auto" w:fill="auto"/>
            <w:noWrap/>
            <w:vAlign w:val="bottom"/>
            <w:hideMark/>
          </w:tcPr>
          <w:p w14:paraId="31443201"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2 239,0</w:t>
            </w:r>
          </w:p>
        </w:tc>
        <w:tc>
          <w:tcPr>
            <w:tcW w:w="526" w:type="pct"/>
            <w:shd w:val="clear" w:color="auto" w:fill="auto"/>
            <w:noWrap/>
            <w:vAlign w:val="bottom"/>
            <w:hideMark/>
          </w:tcPr>
          <w:p w14:paraId="203F258F"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2 058,4</w:t>
            </w:r>
          </w:p>
        </w:tc>
        <w:tc>
          <w:tcPr>
            <w:tcW w:w="810" w:type="pct"/>
            <w:shd w:val="clear" w:color="auto" w:fill="auto"/>
            <w:noWrap/>
            <w:vAlign w:val="bottom"/>
            <w:hideMark/>
          </w:tcPr>
          <w:p w14:paraId="3190A695"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158,35 per cent</w:t>
            </w:r>
          </w:p>
        </w:tc>
        <w:tc>
          <w:tcPr>
            <w:tcW w:w="810" w:type="pct"/>
            <w:shd w:val="clear" w:color="auto" w:fill="auto"/>
            <w:noWrap/>
            <w:vAlign w:val="bottom"/>
            <w:hideMark/>
          </w:tcPr>
          <w:p w14:paraId="15536E7C"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56,35 per cent</w:t>
            </w:r>
          </w:p>
        </w:tc>
      </w:tr>
      <w:tr w:rsidR="00E90F5D" w:rsidRPr="000A4369" w14:paraId="7619395A" w14:textId="77777777" w:rsidTr="002D00EA">
        <w:trPr>
          <w:trHeight w:val="255"/>
        </w:trPr>
        <w:tc>
          <w:tcPr>
            <w:tcW w:w="1155" w:type="pct"/>
            <w:shd w:val="clear" w:color="auto" w:fill="auto"/>
            <w:vAlign w:val="bottom"/>
            <w:hideMark/>
          </w:tcPr>
          <w:p w14:paraId="036C8647" w14:textId="77777777" w:rsidR="00E90F5D" w:rsidRPr="000A4369" w:rsidRDefault="00E90F5D" w:rsidP="00E90F5D">
            <w:pPr>
              <w:numPr>
                <w:ilvl w:val="0"/>
                <w:numId w:val="26"/>
              </w:numPr>
              <w:spacing w:after="0" w:line="240" w:lineRule="auto"/>
              <w:ind w:left="313" w:hanging="313"/>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Local Government Legislative Support and Institutional </w:t>
            </w:r>
            <w:r w:rsidRPr="000A4369">
              <w:rPr>
                <w:rFonts w:ascii="Times New Roman" w:eastAsia="Times New Roman" w:hAnsi="Times New Roman" w:cs="Times New Roman"/>
                <w:sz w:val="18"/>
                <w:szCs w:val="18"/>
                <w:lang w:eastAsia="en-ZA"/>
              </w:rPr>
              <w:lastRenderedPageBreak/>
              <w:t>Establishment</w:t>
            </w:r>
          </w:p>
        </w:tc>
        <w:tc>
          <w:tcPr>
            <w:tcW w:w="526" w:type="pct"/>
            <w:shd w:val="clear" w:color="auto" w:fill="auto"/>
            <w:noWrap/>
            <w:vAlign w:val="bottom"/>
            <w:hideMark/>
          </w:tcPr>
          <w:p w14:paraId="756802F1"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lastRenderedPageBreak/>
              <w:t xml:space="preserve"> 6 329,0</w:t>
            </w:r>
          </w:p>
        </w:tc>
        <w:tc>
          <w:tcPr>
            <w:tcW w:w="526" w:type="pct"/>
            <w:shd w:val="clear" w:color="auto" w:fill="auto"/>
            <w:noWrap/>
            <w:vAlign w:val="bottom"/>
            <w:hideMark/>
          </w:tcPr>
          <w:p w14:paraId="3245DDC0"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6 742,0</w:t>
            </w:r>
          </w:p>
        </w:tc>
        <w:tc>
          <w:tcPr>
            <w:tcW w:w="123" w:type="pct"/>
            <w:vMerge/>
            <w:shd w:val="clear" w:color="auto" w:fill="auto"/>
            <w:noWrap/>
            <w:vAlign w:val="bottom"/>
          </w:tcPr>
          <w:p w14:paraId="3D58CE84"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p>
        </w:tc>
        <w:tc>
          <w:tcPr>
            <w:tcW w:w="526" w:type="pct"/>
            <w:shd w:val="clear" w:color="auto" w:fill="auto"/>
            <w:noWrap/>
            <w:vAlign w:val="bottom"/>
            <w:hideMark/>
          </w:tcPr>
          <w:p w14:paraId="12F76789"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413,0</w:t>
            </w:r>
          </w:p>
        </w:tc>
        <w:tc>
          <w:tcPr>
            <w:tcW w:w="526" w:type="pct"/>
            <w:shd w:val="clear" w:color="auto" w:fill="auto"/>
            <w:noWrap/>
            <w:vAlign w:val="bottom"/>
            <w:hideMark/>
          </w:tcPr>
          <w:p w14:paraId="384BB47C"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79,7</w:t>
            </w:r>
          </w:p>
        </w:tc>
        <w:tc>
          <w:tcPr>
            <w:tcW w:w="810" w:type="pct"/>
            <w:shd w:val="clear" w:color="auto" w:fill="auto"/>
            <w:noWrap/>
            <w:vAlign w:val="bottom"/>
            <w:hideMark/>
          </w:tcPr>
          <w:p w14:paraId="4B57B7FC"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6,53 per cent</w:t>
            </w:r>
          </w:p>
        </w:tc>
        <w:tc>
          <w:tcPr>
            <w:tcW w:w="810" w:type="pct"/>
            <w:shd w:val="clear" w:color="auto" w:fill="auto"/>
            <w:noWrap/>
            <w:vAlign w:val="bottom"/>
            <w:hideMark/>
          </w:tcPr>
          <w:p w14:paraId="7F3A2E90"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1,18 per cent</w:t>
            </w:r>
          </w:p>
        </w:tc>
      </w:tr>
      <w:tr w:rsidR="00E90F5D" w:rsidRPr="000A4369" w14:paraId="462E7E26" w14:textId="77777777" w:rsidTr="002D00EA">
        <w:trPr>
          <w:trHeight w:val="255"/>
        </w:trPr>
        <w:tc>
          <w:tcPr>
            <w:tcW w:w="1155" w:type="pct"/>
            <w:shd w:val="clear" w:color="auto" w:fill="auto"/>
            <w:vAlign w:val="bottom"/>
            <w:hideMark/>
          </w:tcPr>
          <w:p w14:paraId="40BA3964" w14:textId="77777777" w:rsidR="00E90F5D" w:rsidRPr="000A4369" w:rsidRDefault="00E90F5D" w:rsidP="00E90F5D">
            <w:pPr>
              <w:numPr>
                <w:ilvl w:val="0"/>
                <w:numId w:val="26"/>
              </w:numPr>
              <w:spacing w:after="0" w:line="240" w:lineRule="auto"/>
              <w:ind w:left="313" w:hanging="313"/>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lastRenderedPageBreak/>
              <w:t>Urban Development Planning</w:t>
            </w:r>
          </w:p>
        </w:tc>
        <w:tc>
          <w:tcPr>
            <w:tcW w:w="526" w:type="pct"/>
            <w:shd w:val="clear" w:color="auto" w:fill="auto"/>
            <w:noWrap/>
            <w:vAlign w:val="bottom"/>
            <w:hideMark/>
          </w:tcPr>
          <w:p w14:paraId="4338895E"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13 098,0</w:t>
            </w:r>
          </w:p>
        </w:tc>
        <w:tc>
          <w:tcPr>
            <w:tcW w:w="526" w:type="pct"/>
            <w:shd w:val="clear" w:color="auto" w:fill="auto"/>
            <w:noWrap/>
            <w:vAlign w:val="bottom"/>
            <w:hideMark/>
          </w:tcPr>
          <w:p w14:paraId="6AFAC565"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11 255,0</w:t>
            </w:r>
          </w:p>
        </w:tc>
        <w:tc>
          <w:tcPr>
            <w:tcW w:w="123" w:type="pct"/>
            <w:vMerge/>
            <w:shd w:val="clear" w:color="auto" w:fill="auto"/>
            <w:noWrap/>
            <w:vAlign w:val="bottom"/>
          </w:tcPr>
          <w:p w14:paraId="3173A343"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p>
        </w:tc>
        <w:tc>
          <w:tcPr>
            <w:tcW w:w="526" w:type="pct"/>
            <w:shd w:val="clear" w:color="auto" w:fill="auto"/>
            <w:noWrap/>
            <w:vAlign w:val="bottom"/>
            <w:hideMark/>
          </w:tcPr>
          <w:p w14:paraId="3C4B06A6"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- 1 843,0</w:t>
            </w:r>
          </w:p>
        </w:tc>
        <w:tc>
          <w:tcPr>
            <w:tcW w:w="526" w:type="pct"/>
            <w:shd w:val="clear" w:color="auto" w:fill="auto"/>
            <w:noWrap/>
            <w:vAlign w:val="bottom"/>
            <w:hideMark/>
          </w:tcPr>
          <w:p w14:paraId="254AE8D2"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- 2 399,3</w:t>
            </w:r>
          </w:p>
        </w:tc>
        <w:tc>
          <w:tcPr>
            <w:tcW w:w="810" w:type="pct"/>
            <w:shd w:val="clear" w:color="auto" w:fill="auto"/>
            <w:noWrap/>
            <w:vAlign w:val="bottom"/>
            <w:hideMark/>
          </w:tcPr>
          <w:p w14:paraId="45D283F3"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-14,07 per cent</w:t>
            </w:r>
          </w:p>
        </w:tc>
        <w:tc>
          <w:tcPr>
            <w:tcW w:w="810" w:type="pct"/>
            <w:shd w:val="clear" w:color="auto" w:fill="auto"/>
            <w:noWrap/>
            <w:vAlign w:val="bottom"/>
            <w:hideMark/>
          </w:tcPr>
          <w:p w14:paraId="381CDBF1"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-21,32 per cent</w:t>
            </w:r>
          </w:p>
        </w:tc>
      </w:tr>
      <w:tr w:rsidR="00E90F5D" w:rsidRPr="000A4369" w14:paraId="68CC9558" w14:textId="77777777" w:rsidTr="002D00EA">
        <w:trPr>
          <w:trHeight w:val="255"/>
        </w:trPr>
        <w:tc>
          <w:tcPr>
            <w:tcW w:w="1155" w:type="pct"/>
            <w:shd w:val="clear" w:color="auto" w:fill="auto"/>
            <w:vAlign w:val="bottom"/>
            <w:hideMark/>
          </w:tcPr>
          <w:p w14:paraId="00AA4A3B" w14:textId="77777777" w:rsidR="00E90F5D" w:rsidRPr="000A4369" w:rsidRDefault="00E90F5D" w:rsidP="00E90F5D">
            <w:pPr>
              <w:numPr>
                <w:ilvl w:val="0"/>
                <w:numId w:val="26"/>
              </w:numPr>
              <w:spacing w:after="0" w:line="240" w:lineRule="auto"/>
              <w:ind w:left="313" w:hanging="313"/>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Spatial Planning Districts and Regions</w:t>
            </w:r>
          </w:p>
        </w:tc>
        <w:tc>
          <w:tcPr>
            <w:tcW w:w="526" w:type="pct"/>
            <w:shd w:val="clear" w:color="auto" w:fill="auto"/>
            <w:noWrap/>
            <w:vAlign w:val="bottom"/>
            <w:hideMark/>
          </w:tcPr>
          <w:p w14:paraId="1FEE656B"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11 527,0</w:t>
            </w:r>
          </w:p>
        </w:tc>
        <w:tc>
          <w:tcPr>
            <w:tcW w:w="526" w:type="pct"/>
            <w:shd w:val="clear" w:color="auto" w:fill="auto"/>
            <w:noWrap/>
            <w:vAlign w:val="bottom"/>
            <w:hideMark/>
          </w:tcPr>
          <w:p w14:paraId="17B58541"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12 268,0</w:t>
            </w:r>
          </w:p>
        </w:tc>
        <w:tc>
          <w:tcPr>
            <w:tcW w:w="123" w:type="pct"/>
            <w:vMerge/>
            <w:shd w:val="clear" w:color="auto" w:fill="auto"/>
            <w:noWrap/>
            <w:vAlign w:val="bottom"/>
          </w:tcPr>
          <w:p w14:paraId="29C5C341"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p>
        </w:tc>
        <w:tc>
          <w:tcPr>
            <w:tcW w:w="526" w:type="pct"/>
            <w:shd w:val="clear" w:color="auto" w:fill="auto"/>
            <w:noWrap/>
            <w:vAlign w:val="bottom"/>
            <w:hideMark/>
          </w:tcPr>
          <w:p w14:paraId="22E04C06"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741,0</w:t>
            </w:r>
          </w:p>
        </w:tc>
        <w:tc>
          <w:tcPr>
            <w:tcW w:w="526" w:type="pct"/>
            <w:shd w:val="clear" w:color="auto" w:fill="auto"/>
            <w:noWrap/>
            <w:vAlign w:val="bottom"/>
            <w:hideMark/>
          </w:tcPr>
          <w:p w14:paraId="11D1553E"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134,6</w:t>
            </w:r>
          </w:p>
        </w:tc>
        <w:tc>
          <w:tcPr>
            <w:tcW w:w="810" w:type="pct"/>
            <w:shd w:val="clear" w:color="auto" w:fill="auto"/>
            <w:noWrap/>
            <w:vAlign w:val="bottom"/>
            <w:hideMark/>
          </w:tcPr>
          <w:p w14:paraId="26BFD932"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6,43 per cent</w:t>
            </w:r>
          </w:p>
        </w:tc>
        <w:tc>
          <w:tcPr>
            <w:tcW w:w="810" w:type="pct"/>
            <w:shd w:val="clear" w:color="auto" w:fill="auto"/>
            <w:noWrap/>
            <w:vAlign w:val="bottom"/>
            <w:hideMark/>
          </w:tcPr>
          <w:p w14:paraId="28FC0EB2"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1,10 per cent</w:t>
            </w:r>
          </w:p>
        </w:tc>
      </w:tr>
      <w:tr w:rsidR="00E90F5D" w:rsidRPr="000A4369" w14:paraId="6F4766B9" w14:textId="77777777" w:rsidTr="002D00EA">
        <w:trPr>
          <w:trHeight w:val="255"/>
        </w:trPr>
        <w:tc>
          <w:tcPr>
            <w:tcW w:w="1155" w:type="pct"/>
            <w:shd w:val="clear" w:color="auto" w:fill="auto"/>
            <w:vAlign w:val="bottom"/>
            <w:hideMark/>
          </w:tcPr>
          <w:p w14:paraId="0B8A4EE4" w14:textId="77777777" w:rsidR="00E90F5D" w:rsidRPr="000A4369" w:rsidRDefault="00E90F5D" w:rsidP="00E90F5D">
            <w:pPr>
              <w:numPr>
                <w:ilvl w:val="0"/>
                <w:numId w:val="26"/>
              </w:numPr>
              <w:spacing w:after="0" w:line="240" w:lineRule="auto"/>
              <w:ind w:left="313" w:hanging="313"/>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Intergovernmental Policy and Practice</w:t>
            </w:r>
          </w:p>
        </w:tc>
        <w:tc>
          <w:tcPr>
            <w:tcW w:w="526" w:type="pct"/>
            <w:shd w:val="clear" w:color="auto" w:fill="auto"/>
            <w:noWrap/>
            <w:vAlign w:val="bottom"/>
            <w:hideMark/>
          </w:tcPr>
          <w:p w14:paraId="54012AA3"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7 086,0</w:t>
            </w:r>
          </w:p>
        </w:tc>
        <w:tc>
          <w:tcPr>
            <w:tcW w:w="526" w:type="pct"/>
            <w:shd w:val="clear" w:color="auto" w:fill="auto"/>
            <w:noWrap/>
            <w:vAlign w:val="bottom"/>
            <w:hideMark/>
          </w:tcPr>
          <w:p w14:paraId="4BCD96B1"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11 453,0</w:t>
            </w:r>
          </w:p>
        </w:tc>
        <w:tc>
          <w:tcPr>
            <w:tcW w:w="123" w:type="pct"/>
            <w:vMerge/>
            <w:shd w:val="clear" w:color="auto" w:fill="auto"/>
            <w:noWrap/>
            <w:vAlign w:val="bottom"/>
          </w:tcPr>
          <w:p w14:paraId="291AD839"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p>
        </w:tc>
        <w:tc>
          <w:tcPr>
            <w:tcW w:w="526" w:type="pct"/>
            <w:shd w:val="clear" w:color="auto" w:fill="auto"/>
            <w:noWrap/>
            <w:vAlign w:val="bottom"/>
            <w:hideMark/>
          </w:tcPr>
          <w:p w14:paraId="05E5C6F8"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4 367,0</w:t>
            </w:r>
          </w:p>
        </w:tc>
        <w:tc>
          <w:tcPr>
            <w:tcW w:w="526" w:type="pct"/>
            <w:shd w:val="clear" w:color="auto" w:fill="auto"/>
            <w:noWrap/>
            <w:vAlign w:val="bottom"/>
            <w:hideMark/>
          </w:tcPr>
          <w:p w14:paraId="5B0EDDC7"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3 800,9</w:t>
            </w:r>
          </w:p>
        </w:tc>
        <w:tc>
          <w:tcPr>
            <w:tcW w:w="810" w:type="pct"/>
            <w:shd w:val="clear" w:color="auto" w:fill="auto"/>
            <w:noWrap/>
            <w:vAlign w:val="bottom"/>
            <w:hideMark/>
          </w:tcPr>
          <w:p w14:paraId="645EF248"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61,63 per cent</w:t>
            </w:r>
          </w:p>
        </w:tc>
        <w:tc>
          <w:tcPr>
            <w:tcW w:w="810" w:type="pct"/>
            <w:shd w:val="clear" w:color="auto" w:fill="auto"/>
            <w:noWrap/>
            <w:vAlign w:val="bottom"/>
            <w:hideMark/>
          </w:tcPr>
          <w:p w14:paraId="2981AFF1"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33,19 per cent</w:t>
            </w:r>
          </w:p>
        </w:tc>
      </w:tr>
      <w:tr w:rsidR="00E90F5D" w:rsidRPr="000A4369" w14:paraId="68F92ECB" w14:textId="77777777" w:rsidTr="002D00EA">
        <w:trPr>
          <w:trHeight w:val="255"/>
        </w:trPr>
        <w:tc>
          <w:tcPr>
            <w:tcW w:w="1155" w:type="pct"/>
            <w:shd w:val="clear" w:color="auto" w:fill="auto"/>
            <w:vAlign w:val="bottom"/>
            <w:hideMark/>
          </w:tcPr>
          <w:p w14:paraId="213CAD90" w14:textId="77777777" w:rsidR="00E90F5D" w:rsidRPr="000A4369" w:rsidRDefault="00E90F5D" w:rsidP="00E90F5D">
            <w:pPr>
              <w:numPr>
                <w:ilvl w:val="0"/>
                <w:numId w:val="26"/>
              </w:numPr>
              <w:spacing w:after="0" w:line="240" w:lineRule="auto"/>
              <w:ind w:left="313" w:hanging="313"/>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Municipal Demarcation Board</w:t>
            </w:r>
          </w:p>
        </w:tc>
        <w:tc>
          <w:tcPr>
            <w:tcW w:w="526" w:type="pct"/>
            <w:shd w:val="clear" w:color="auto" w:fill="auto"/>
            <w:noWrap/>
            <w:vAlign w:val="bottom"/>
            <w:hideMark/>
          </w:tcPr>
          <w:p w14:paraId="2FDB2596"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55 568,0</w:t>
            </w:r>
          </w:p>
        </w:tc>
        <w:tc>
          <w:tcPr>
            <w:tcW w:w="526" w:type="pct"/>
            <w:shd w:val="clear" w:color="auto" w:fill="auto"/>
            <w:noWrap/>
            <w:vAlign w:val="bottom"/>
            <w:hideMark/>
          </w:tcPr>
          <w:p w14:paraId="053DAEC8"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56 568,0</w:t>
            </w:r>
          </w:p>
        </w:tc>
        <w:tc>
          <w:tcPr>
            <w:tcW w:w="123" w:type="pct"/>
            <w:vMerge/>
            <w:shd w:val="clear" w:color="auto" w:fill="auto"/>
            <w:noWrap/>
            <w:vAlign w:val="bottom"/>
          </w:tcPr>
          <w:p w14:paraId="2A66E67B"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p>
        </w:tc>
        <w:tc>
          <w:tcPr>
            <w:tcW w:w="526" w:type="pct"/>
            <w:shd w:val="clear" w:color="auto" w:fill="auto"/>
            <w:noWrap/>
            <w:vAlign w:val="bottom"/>
            <w:hideMark/>
          </w:tcPr>
          <w:p w14:paraId="48A4BC86"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1 000,0</w:t>
            </w:r>
          </w:p>
        </w:tc>
        <w:tc>
          <w:tcPr>
            <w:tcW w:w="526" w:type="pct"/>
            <w:shd w:val="clear" w:color="auto" w:fill="auto"/>
            <w:noWrap/>
            <w:vAlign w:val="bottom"/>
            <w:hideMark/>
          </w:tcPr>
          <w:p w14:paraId="72E1313A"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- 1 796,1</w:t>
            </w:r>
          </w:p>
        </w:tc>
        <w:tc>
          <w:tcPr>
            <w:tcW w:w="810" w:type="pct"/>
            <w:shd w:val="clear" w:color="auto" w:fill="auto"/>
            <w:noWrap/>
            <w:vAlign w:val="bottom"/>
            <w:hideMark/>
          </w:tcPr>
          <w:p w14:paraId="442A6206"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1,80 per cent</w:t>
            </w:r>
          </w:p>
        </w:tc>
        <w:tc>
          <w:tcPr>
            <w:tcW w:w="810" w:type="pct"/>
            <w:shd w:val="clear" w:color="auto" w:fill="auto"/>
            <w:noWrap/>
            <w:vAlign w:val="bottom"/>
            <w:hideMark/>
          </w:tcPr>
          <w:p w14:paraId="28FF6602"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-3,18 per cent</w:t>
            </w:r>
          </w:p>
        </w:tc>
      </w:tr>
      <w:tr w:rsidR="00E90F5D" w:rsidRPr="000A4369" w14:paraId="15E196DF" w14:textId="77777777" w:rsidTr="002D00EA">
        <w:trPr>
          <w:trHeight w:val="255"/>
        </w:trPr>
        <w:tc>
          <w:tcPr>
            <w:tcW w:w="1155" w:type="pct"/>
            <w:shd w:val="clear" w:color="auto" w:fill="auto"/>
            <w:vAlign w:val="bottom"/>
            <w:hideMark/>
          </w:tcPr>
          <w:p w14:paraId="3A851A4E" w14:textId="77777777" w:rsidR="00E90F5D" w:rsidRPr="000A4369" w:rsidRDefault="00E90F5D" w:rsidP="00E90F5D">
            <w:pPr>
              <w:numPr>
                <w:ilvl w:val="0"/>
                <w:numId w:val="26"/>
              </w:numPr>
              <w:spacing w:after="0" w:line="240" w:lineRule="auto"/>
              <w:ind w:left="313" w:hanging="313"/>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South African Cities Network</w:t>
            </w:r>
          </w:p>
        </w:tc>
        <w:tc>
          <w:tcPr>
            <w:tcW w:w="526" w:type="pct"/>
            <w:shd w:val="clear" w:color="auto" w:fill="auto"/>
            <w:noWrap/>
            <w:vAlign w:val="bottom"/>
            <w:hideMark/>
          </w:tcPr>
          <w:p w14:paraId="1F4F0625"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9 353,0</w:t>
            </w:r>
          </w:p>
        </w:tc>
        <w:tc>
          <w:tcPr>
            <w:tcW w:w="526" w:type="pct"/>
            <w:shd w:val="clear" w:color="auto" w:fill="auto"/>
            <w:noWrap/>
            <w:vAlign w:val="bottom"/>
            <w:hideMark/>
          </w:tcPr>
          <w:p w14:paraId="35AB6AD2"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7 765,0</w:t>
            </w:r>
          </w:p>
        </w:tc>
        <w:tc>
          <w:tcPr>
            <w:tcW w:w="123" w:type="pct"/>
            <w:vMerge/>
            <w:shd w:val="clear" w:color="auto" w:fill="auto"/>
            <w:noWrap/>
            <w:vAlign w:val="bottom"/>
          </w:tcPr>
          <w:p w14:paraId="0C2DC8AB"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p>
        </w:tc>
        <w:tc>
          <w:tcPr>
            <w:tcW w:w="526" w:type="pct"/>
            <w:shd w:val="clear" w:color="auto" w:fill="auto"/>
            <w:noWrap/>
            <w:vAlign w:val="bottom"/>
            <w:hideMark/>
          </w:tcPr>
          <w:p w14:paraId="5377FB72"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- 1 588,0</w:t>
            </w:r>
          </w:p>
        </w:tc>
        <w:tc>
          <w:tcPr>
            <w:tcW w:w="526" w:type="pct"/>
            <w:shd w:val="clear" w:color="auto" w:fill="auto"/>
            <w:noWrap/>
            <w:vAlign w:val="bottom"/>
            <w:hideMark/>
          </w:tcPr>
          <w:p w14:paraId="3CF62E83"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- 1 971,8</w:t>
            </w:r>
          </w:p>
        </w:tc>
        <w:tc>
          <w:tcPr>
            <w:tcW w:w="810" w:type="pct"/>
            <w:shd w:val="clear" w:color="auto" w:fill="auto"/>
            <w:noWrap/>
            <w:vAlign w:val="bottom"/>
            <w:hideMark/>
          </w:tcPr>
          <w:p w14:paraId="4B633939"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-16,98 per cent</w:t>
            </w:r>
          </w:p>
        </w:tc>
        <w:tc>
          <w:tcPr>
            <w:tcW w:w="810" w:type="pct"/>
            <w:shd w:val="clear" w:color="auto" w:fill="auto"/>
            <w:noWrap/>
            <w:vAlign w:val="bottom"/>
            <w:hideMark/>
          </w:tcPr>
          <w:p w14:paraId="38970D2F"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-25,39 per cent</w:t>
            </w:r>
          </w:p>
        </w:tc>
      </w:tr>
      <w:tr w:rsidR="00E90F5D" w:rsidRPr="000A4369" w14:paraId="03E46286" w14:textId="77777777" w:rsidTr="002D00EA">
        <w:trPr>
          <w:trHeight w:val="255"/>
        </w:trPr>
        <w:tc>
          <w:tcPr>
            <w:tcW w:w="1155" w:type="pct"/>
            <w:shd w:val="clear" w:color="auto" w:fill="auto"/>
            <w:vAlign w:val="bottom"/>
            <w:hideMark/>
          </w:tcPr>
          <w:p w14:paraId="0A65B7D7" w14:textId="77777777" w:rsidR="00E90F5D" w:rsidRPr="000A4369" w:rsidRDefault="00E90F5D" w:rsidP="00E90F5D">
            <w:pPr>
              <w:numPr>
                <w:ilvl w:val="0"/>
                <w:numId w:val="26"/>
              </w:numPr>
              <w:spacing w:after="0" w:line="240" w:lineRule="auto"/>
              <w:ind w:left="313" w:hanging="313"/>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Integrated Urban Development Grant</w:t>
            </w:r>
          </w:p>
        </w:tc>
        <w:tc>
          <w:tcPr>
            <w:tcW w:w="526" w:type="pct"/>
            <w:shd w:val="clear" w:color="auto" w:fill="auto"/>
            <w:noWrap/>
            <w:vAlign w:val="bottom"/>
            <w:hideMark/>
          </w:tcPr>
          <w:p w14:paraId="7B4A69E0" w14:textId="77777777" w:rsidR="00E90F5D" w:rsidRPr="000A4369" w:rsidRDefault="00E90F5D" w:rsidP="00E90F5D">
            <w:pPr>
              <w:spacing w:after="0" w:line="240" w:lineRule="auto"/>
              <w:rPr>
                <w:rFonts w:ascii="Times New Roman" w:eastAsia="Times New Roman" w:hAnsi="Times New Roman" w:cs="Times New Roman"/>
                <w:sz w:val="18"/>
                <w:szCs w:val="18"/>
                <w:lang w:eastAsia="en-ZA"/>
              </w:rPr>
            </w:pPr>
          </w:p>
        </w:tc>
        <w:tc>
          <w:tcPr>
            <w:tcW w:w="526" w:type="pct"/>
            <w:shd w:val="clear" w:color="auto" w:fill="auto"/>
            <w:noWrap/>
            <w:vAlign w:val="bottom"/>
            <w:hideMark/>
          </w:tcPr>
          <w:p w14:paraId="70CCAE1C"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856 895,0</w:t>
            </w:r>
          </w:p>
        </w:tc>
        <w:tc>
          <w:tcPr>
            <w:tcW w:w="123" w:type="pct"/>
            <w:vMerge/>
            <w:shd w:val="clear" w:color="auto" w:fill="auto"/>
            <w:noWrap/>
            <w:vAlign w:val="bottom"/>
          </w:tcPr>
          <w:p w14:paraId="77404C33"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p>
        </w:tc>
        <w:tc>
          <w:tcPr>
            <w:tcW w:w="526" w:type="pct"/>
            <w:shd w:val="clear" w:color="auto" w:fill="auto"/>
            <w:noWrap/>
            <w:vAlign w:val="bottom"/>
            <w:hideMark/>
          </w:tcPr>
          <w:p w14:paraId="78B82D3F"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856 895,0</w:t>
            </w:r>
          </w:p>
        </w:tc>
        <w:tc>
          <w:tcPr>
            <w:tcW w:w="526" w:type="pct"/>
            <w:shd w:val="clear" w:color="auto" w:fill="auto"/>
            <w:noWrap/>
            <w:vAlign w:val="bottom"/>
            <w:hideMark/>
          </w:tcPr>
          <w:p w14:paraId="4CACB94E"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814 539,0</w:t>
            </w:r>
          </w:p>
        </w:tc>
        <w:tc>
          <w:tcPr>
            <w:tcW w:w="810" w:type="pct"/>
            <w:shd w:val="clear" w:color="auto" w:fill="auto"/>
            <w:noWrap/>
            <w:vAlign w:val="bottom"/>
            <w:hideMark/>
          </w:tcPr>
          <w:p w14:paraId="194DC313" w14:textId="77777777" w:rsidR="00E90F5D" w:rsidRPr="000A4369" w:rsidRDefault="00E90F5D" w:rsidP="00E90F5D">
            <w:pPr>
              <w:spacing w:after="0" w:line="240" w:lineRule="auto"/>
              <w:jc w:val="right"/>
              <w:rPr>
                <w:rFonts w:ascii="Times New Roman" w:eastAsia="Times New Roman" w:hAnsi="Times New Roman" w:cs="Times New Roman"/>
                <w:sz w:val="18"/>
                <w:szCs w:val="18"/>
                <w:lang w:eastAsia="en-ZA"/>
              </w:rPr>
            </w:pPr>
          </w:p>
        </w:tc>
        <w:tc>
          <w:tcPr>
            <w:tcW w:w="810" w:type="pct"/>
            <w:shd w:val="clear" w:color="auto" w:fill="auto"/>
            <w:noWrap/>
            <w:vAlign w:val="bottom"/>
            <w:hideMark/>
          </w:tcPr>
          <w:p w14:paraId="57416C4B" w14:textId="77777777" w:rsidR="00E90F5D" w:rsidRPr="000A4369" w:rsidRDefault="00E90F5D" w:rsidP="00E90F5D">
            <w:pPr>
              <w:spacing w:after="0" w:line="240" w:lineRule="auto"/>
              <w:rPr>
                <w:rFonts w:ascii="Times New Roman" w:eastAsia="Times New Roman" w:hAnsi="Times New Roman" w:cs="Times New Roman"/>
                <w:sz w:val="20"/>
                <w:szCs w:val="20"/>
                <w:lang w:eastAsia="en-ZA"/>
              </w:rPr>
            </w:pPr>
          </w:p>
        </w:tc>
      </w:tr>
      <w:tr w:rsidR="00E90F5D" w:rsidRPr="000A4369" w14:paraId="54E33F86" w14:textId="77777777" w:rsidTr="002D00EA">
        <w:trPr>
          <w:trHeight w:val="255"/>
        </w:trPr>
        <w:tc>
          <w:tcPr>
            <w:tcW w:w="1155" w:type="pct"/>
            <w:shd w:val="clear" w:color="auto" w:fill="auto"/>
            <w:noWrap/>
            <w:vAlign w:val="bottom"/>
            <w:hideMark/>
          </w:tcPr>
          <w:p w14:paraId="6BA46A05" w14:textId="77777777" w:rsidR="00E90F5D" w:rsidRPr="000A4369" w:rsidRDefault="00E90F5D" w:rsidP="00E90F5D">
            <w:pPr>
              <w:spacing w:after="0" w:line="240" w:lineRule="auto"/>
              <w:rPr>
                <w:rFonts w:ascii="Times New Roman" w:eastAsia="Times New Roman" w:hAnsi="Times New Roman" w:cs="Times New Roman"/>
                <w:sz w:val="20"/>
                <w:szCs w:val="20"/>
                <w:lang w:eastAsia="en-ZA"/>
              </w:rPr>
            </w:pPr>
          </w:p>
        </w:tc>
        <w:tc>
          <w:tcPr>
            <w:tcW w:w="526" w:type="pct"/>
            <w:shd w:val="clear" w:color="auto" w:fill="auto"/>
            <w:noWrap/>
            <w:vAlign w:val="bottom"/>
            <w:hideMark/>
          </w:tcPr>
          <w:p w14:paraId="1D843CA0" w14:textId="77777777" w:rsidR="00E90F5D" w:rsidRPr="000A4369" w:rsidRDefault="00E90F5D" w:rsidP="00E90F5D">
            <w:pPr>
              <w:spacing w:after="0" w:line="240" w:lineRule="auto"/>
              <w:rPr>
                <w:rFonts w:ascii="Times New Roman" w:eastAsia="Times New Roman" w:hAnsi="Times New Roman" w:cs="Times New Roman"/>
                <w:sz w:val="20"/>
                <w:szCs w:val="20"/>
                <w:lang w:eastAsia="en-ZA"/>
              </w:rPr>
            </w:pPr>
          </w:p>
        </w:tc>
        <w:tc>
          <w:tcPr>
            <w:tcW w:w="526" w:type="pct"/>
            <w:shd w:val="clear" w:color="auto" w:fill="auto"/>
            <w:noWrap/>
            <w:vAlign w:val="bottom"/>
            <w:hideMark/>
          </w:tcPr>
          <w:p w14:paraId="751694DF" w14:textId="77777777" w:rsidR="00E90F5D" w:rsidRPr="000A4369" w:rsidRDefault="00E90F5D" w:rsidP="00E90F5D">
            <w:pPr>
              <w:spacing w:after="0" w:line="240" w:lineRule="auto"/>
              <w:rPr>
                <w:rFonts w:ascii="Times New Roman" w:eastAsia="Times New Roman" w:hAnsi="Times New Roman" w:cs="Times New Roman"/>
                <w:sz w:val="20"/>
                <w:szCs w:val="20"/>
                <w:lang w:eastAsia="en-ZA"/>
              </w:rPr>
            </w:pPr>
          </w:p>
        </w:tc>
        <w:tc>
          <w:tcPr>
            <w:tcW w:w="123" w:type="pct"/>
            <w:vMerge/>
            <w:shd w:val="clear" w:color="auto" w:fill="auto"/>
            <w:noWrap/>
            <w:vAlign w:val="bottom"/>
          </w:tcPr>
          <w:p w14:paraId="7E5A2B8A" w14:textId="77777777" w:rsidR="00E90F5D" w:rsidRPr="000A4369" w:rsidRDefault="00E90F5D" w:rsidP="00E90F5D">
            <w:pPr>
              <w:spacing w:after="0" w:line="240" w:lineRule="auto"/>
              <w:rPr>
                <w:rFonts w:ascii="Times New Roman" w:eastAsia="Times New Roman" w:hAnsi="Times New Roman" w:cs="Times New Roman"/>
                <w:sz w:val="20"/>
                <w:szCs w:val="20"/>
                <w:lang w:eastAsia="en-ZA"/>
              </w:rPr>
            </w:pPr>
          </w:p>
        </w:tc>
        <w:tc>
          <w:tcPr>
            <w:tcW w:w="526" w:type="pct"/>
            <w:shd w:val="clear" w:color="auto" w:fill="auto"/>
            <w:noWrap/>
            <w:vAlign w:val="bottom"/>
            <w:hideMark/>
          </w:tcPr>
          <w:p w14:paraId="64454923" w14:textId="77777777" w:rsidR="00E90F5D" w:rsidRPr="000A4369" w:rsidRDefault="00E90F5D" w:rsidP="00E90F5D">
            <w:pPr>
              <w:spacing w:after="0" w:line="240" w:lineRule="auto"/>
              <w:rPr>
                <w:rFonts w:ascii="Times New Roman" w:eastAsia="Times New Roman" w:hAnsi="Times New Roman" w:cs="Times New Roman"/>
                <w:sz w:val="20"/>
                <w:szCs w:val="20"/>
                <w:lang w:eastAsia="en-ZA"/>
              </w:rPr>
            </w:pPr>
          </w:p>
        </w:tc>
        <w:tc>
          <w:tcPr>
            <w:tcW w:w="526" w:type="pct"/>
            <w:shd w:val="clear" w:color="auto" w:fill="auto"/>
            <w:noWrap/>
            <w:vAlign w:val="bottom"/>
            <w:hideMark/>
          </w:tcPr>
          <w:p w14:paraId="5113B53B" w14:textId="77777777" w:rsidR="00E90F5D" w:rsidRPr="000A4369" w:rsidRDefault="00E90F5D" w:rsidP="00E90F5D">
            <w:pPr>
              <w:spacing w:after="0" w:line="240" w:lineRule="auto"/>
              <w:rPr>
                <w:rFonts w:ascii="Times New Roman" w:eastAsia="Times New Roman" w:hAnsi="Times New Roman" w:cs="Times New Roman"/>
                <w:sz w:val="20"/>
                <w:szCs w:val="20"/>
                <w:lang w:eastAsia="en-ZA"/>
              </w:rPr>
            </w:pPr>
          </w:p>
        </w:tc>
        <w:tc>
          <w:tcPr>
            <w:tcW w:w="810" w:type="pct"/>
            <w:shd w:val="clear" w:color="auto" w:fill="auto"/>
            <w:noWrap/>
            <w:vAlign w:val="bottom"/>
            <w:hideMark/>
          </w:tcPr>
          <w:p w14:paraId="7C1C7963" w14:textId="77777777" w:rsidR="00E90F5D" w:rsidRPr="000A4369" w:rsidRDefault="00E90F5D" w:rsidP="00E90F5D">
            <w:pPr>
              <w:spacing w:after="0" w:line="240" w:lineRule="auto"/>
              <w:rPr>
                <w:rFonts w:ascii="Times New Roman" w:eastAsia="Times New Roman" w:hAnsi="Times New Roman" w:cs="Times New Roman"/>
                <w:sz w:val="20"/>
                <w:szCs w:val="20"/>
                <w:lang w:eastAsia="en-ZA"/>
              </w:rPr>
            </w:pPr>
          </w:p>
        </w:tc>
        <w:tc>
          <w:tcPr>
            <w:tcW w:w="810" w:type="pct"/>
            <w:shd w:val="clear" w:color="auto" w:fill="auto"/>
            <w:noWrap/>
            <w:vAlign w:val="bottom"/>
            <w:hideMark/>
          </w:tcPr>
          <w:p w14:paraId="6B69CCD0" w14:textId="77777777" w:rsidR="00E90F5D" w:rsidRPr="000A4369" w:rsidRDefault="00E90F5D" w:rsidP="00E90F5D">
            <w:pPr>
              <w:spacing w:after="0" w:line="240" w:lineRule="auto"/>
              <w:rPr>
                <w:rFonts w:ascii="Times New Roman" w:eastAsia="Times New Roman" w:hAnsi="Times New Roman" w:cs="Times New Roman"/>
                <w:sz w:val="20"/>
                <w:szCs w:val="20"/>
                <w:lang w:eastAsia="en-ZA"/>
              </w:rPr>
            </w:pPr>
          </w:p>
        </w:tc>
      </w:tr>
      <w:tr w:rsidR="00E90F5D" w:rsidRPr="000A4369" w14:paraId="500EA8D4" w14:textId="77777777" w:rsidTr="002D00EA">
        <w:trPr>
          <w:trHeight w:val="270"/>
        </w:trPr>
        <w:tc>
          <w:tcPr>
            <w:tcW w:w="1155" w:type="pct"/>
            <w:shd w:val="clear" w:color="auto" w:fill="auto"/>
            <w:noWrap/>
            <w:vAlign w:val="bottom"/>
            <w:hideMark/>
          </w:tcPr>
          <w:p w14:paraId="2D08CA2D" w14:textId="77777777" w:rsidR="00E90F5D" w:rsidRPr="000A4369" w:rsidRDefault="00E90F5D" w:rsidP="00E90F5D">
            <w:pPr>
              <w:spacing w:after="0" w:line="240" w:lineRule="auto"/>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TOTAL</w:t>
            </w:r>
          </w:p>
        </w:tc>
        <w:tc>
          <w:tcPr>
            <w:tcW w:w="526" w:type="pct"/>
            <w:shd w:val="clear" w:color="auto" w:fill="auto"/>
            <w:noWrap/>
            <w:vAlign w:val="bottom"/>
            <w:hideMark/>
          </w:tcPr>
          <w:p w14:paraId="4540F9AA" w14:textId="77777777" w:rsidR="00E90F5D" w:rsidRPr="000A4369" w:rsidRDefault="00E90F5D" w:rsidP="00E90F5D">
            <w:pPr>
              <w:spacing w:after="0" w:line="240" w:lineRule="auto"/>
              <w:jc w:val="right"/>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 104 375,0</w:t>
            </w:r>
          </w:p>
        </w:tc>
        <w:tc>
          <w:tcPr>
            <w:tcW w:w="526" w:type="pct"/>
            <w:shd w:val="clear" w:color="auto" w:fill="auto"/>
            <w:noWrap/>
            <w:vAlign w:val="bottom"/>
            <w:hideMark/>
          </w:tcPr>
          <w:p w14:paraId="68B6B603" w14:textId="77777777" w:rsidR="00E90F5D" w:rsidRPr="000A4369" w:rsidRDefault="00E90F5D" w:rsidP="00E90F5D">
            <w:pPr>
              <w:spacing w:after="0" w:line="240" w:lineRule="auto"/>
              <w:jc w:val="right"/>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 966 599,0</w:t>
            </w:r>
          </w:p>
        </w:tc>
        <w:tc>
          <w:tcPr>
            <w:tcW w:w="123" w:type="pct"/>
            <w:vMerge/>
            <w:shd w:val="clear" w:color="auto" w:fill="auto"/>
            <w:noWrap/>
            <w:vAlign w:val="bottom"/>
          </w:tcPr>
          <w:p w14:paraId="44718754" w14:textId="77777777" w:rsidR="00E90F5D" w:rsidRPr="000A4369" w:rsidRDefault="00E90F5D" w:rsidP="00E90F5D">
            <w:pPr>
              <w:spacing w:after="0" w:line="240" w:lineRule="auto"/>
              <w:jc w:val="right"/>
              <w:rPr>
                <w:rFonts w:ascii="Times New Roman" w:eastAsia="Times New Roman" w:hAnsi="Times New Roman" w:cs="Times New Roman"/>
                <w:b/>
                <w:bCs/>
                <w:sz w:val="18"/>
                <w:szCs w:val="18"/>
                <w:lang w:eastAsia="en-ZA"/>
              </w:rPr>
            </w:pPr>
          </w:p>
        </w:tc>
        <w:tc>
          <w:tcPr>
            <w:tcW w:w="526" w:type="pct"/>
            <w:shd w:val="clear" w:color="auto" w:fill="auto"/>
            <w:noWrap/>
            <w:vAlign w:val="bottom"/>
            <w:hideMark/>
          </w:tcPr>
          <w:p w14:paraId="52616D1E" w14:textId="77777777" w:rsidR="00E90F5D" w:rsidRPr="000A4369" w:rsidRDefault="00E90F5D" w:rsidP="00E90F5D">
            <w:pPr>
              <w:spacing w:after="0" w:line="240" w:lineRule="auto"/>
              <w:jc w:val="right"/>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 862 224,0</w:t>
            </w:r>
          </w:p>
        </w:tc>
        <w:tc>
          <w:tcPr>
            <w:tcW w:w="526" w:type="pct"/>
            <w:shd w:val="clear" w:color="auto" w:fill="auto"/>
            <w:noWrap/>
            <w:vAlign w:val="bottom"/>
            <w:hideMark/>
          </w:tcPr>
          <w:p w14:paraId="7EA3FC4D" w14:textId="77777777" w:rsidR="00E90F5D" w:rsidRPr="000A4369" w:rsidRDefault="00E90F5D" w:rsidP="00E90F5D">
            <w:pPr>
              <w:spacing w:after="0" w:line="240" w:lineRule="auto"/>
              <w:jc w:val="right"/>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 814 445,3</w:t>
            </w:r>
          </w:p>
        </w:tc>
        <w:tc>
          <w:tcPr>
            <w:tcW w:w="810" w:type="pct"/>
            <w:shd w:val="clear" w:color="auto" w:fill="auto"/>
            <w:noWrap/>
            <w:vAlign w:val="bottom"/>
            <w:hideMark/>
          </w:tcPr>
          <w:p w14:paraId="7412FF18" w14:textId="77777777" w:rsidR="00E90F5D" w:rsidRPr="000A4369" w:rsidRDefault="00E90F5D" w:rsidP="00E90F5D">
            <w:pPr>
              <w:spacing w:after="0" w:line="240" w:lineRule="auto"/>
              <w:jc w:val="right"/>
              <w:rPr>
                <w:rFonts w:ascii="Times New Roman" w:eastAsia="Times New Roman" w:hAnsi="Times New Roman" w:cs="Times New Roman"/>
                <w:b/>
                <w:sz w:val="20"/>
                <w:szCs w:val="20"/>
                <w:lang w:eastAsia="en-ZA"/>
              </w:rPr>
            </w:pPr>
            <w:r w:rsidRPr="000A4369">
              <w:rPr>
                <w:rFonts w:ascii="Times New Roman" w:eastAsia="Times New Roman" w:hAnsi="Times New Roman" w:cs="Times New Roman"/>
                <w:b/>
                <w:sz w:val="20"/>
                <w:szCs w:val="20"/>
                <w:lang w:eastAsia="en-ZA"/>
              </w:rPr>
              <w:t>825,86 per cent</w:t>
            </w:r>
          </w:p>
        </w:tc>
        <w:tc>
          <w:tcPr>
            <w:tcW w:w="810" w:type="pct"/>
            <w:shd w:val="clear" w:color="auto" w:fill="auto"/>
            <w:noWrap/>
            <w:vAlign w:val="bottom"/>
            <w:hideMark/>
          </w:tcPr>
          <w:p w14:paraId="17D135EE" w14:textId="77777777" w:rsidR="00E90F5D" w:rsidRPr="000A4369" w:rsidRDefault="00E90F5D" w:rsidP="00E90F5D">
            <w:pPr>
              <w:spacing w:after="0" w:line="240" w:lineRule="auto"/>
              <w:jc w:val="right"/>
              <w:rPr>
                <w:rFonts w:ascii="Times New Roman" w:eastAsia="Times New Roman" w:hAnsi="Times New Roman" w:cs="Times New Roman"/>
                <w:b/>
                <w:sz w:val="20"/>
                <w:szCs w:val="20"/>
                <w:lang w:eastAsia="en-ZA"/>
              </w:rPr>
            </w:pPr>
            <w:r w:rsidRPr="000A4369">
              <w:rPr>
                <w:rFonts w:ascii="Times New Roman" w:eastAsia="Times New Roman" w:hAnsi="Times New Roman" w:cs="Times New Roman"/>
                <w:b/>
                <w:sz w:val="20"/>
                <w:szCs w:val="20"/>
                <w:lang w:eastAsia="en-ZA"/>
              </w:rPr>
              <w:t>780,10 per cent</w:t>
            </w:r>
          </w:p>
        </w:tc>
      </w:tr>
    </w:tbl>
    <w:p w14:paraId="5D6F9DC9"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1E0520E2"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45CB310E" w14:textId="77777777" w:rsidR="008E7993" w:rsidRPr="000A4369" w:rsidRDefault="008E7993" w:rsidP="008E7993">
      <w:pPr>
        <w:spacing w:after="0" w:line="280" w:lineRule="exact"/>
        <w:jc w:val="both"/>
        <w:rPr>
          <w:rFonts w:ascii="Times New Roman" w:hAnsi="Times New Roman" w:cs="Times New Roman"/>
          <w:sz w:val="24"/>
          <w:szCs w:val="24"/>
        </w:rPr>
      </w:pPr>
      <w:r w:rsidRPr="000A4369">
        <w:rPr>
          <w:rFonts w:ascii="Times New Roman" w:hAnsi="Times New Roman" w:cs="Times New Roman"/>
          <w:sz w:val="24"/>
          <w:szCs w:val="24"/>
        </w:rPr>
        <w:t>Programme 2 provides policy analysis towards improving local government and cooperative governance. As seen in Table 4, allocation to this Programme increases by 780 percent in real terms due the introduction of a new grant: the Integrated Urban Development Grant (IUDG). Figure 3 below depicts this information graphically. The IUDG allocation is a portion of the R2.9 billion shifted from the MIG as part of Government’s technical adjustments. As noted earlier, Government is encouraging qualifying non-metropolitan municipalities to shift towards greater leveraging of non-grant finance in line with the purposes of the IUDG.</w:t>
      </w:r>
    </w:p>
    <w:p w14:paraId="1F25AD58" w14:textId="77777777" w:rsidR="00BB3C95" w:rsidRPr="000A4369" w:rsidRDefault="00BB3C95" w:rsidP="001F76F2">
      <w:pPr>
        <w:spacing w:after="0" w:line="280" w:lineRule="exact"/>
        <w:jc w:val="both"/>
        <w:rPr>
          <w:rFonts w:ascii="Times New Roman" w:eastAsia="Times New Roman" w:hAnsi="Times New Roman" w:cs="Times New Roman"/>
          <w:b/>
          <w:sz w:val="24"/>
          <w:szCs w:val="24"/>
          <w:lang w:val="en-GB"/>
        </w:rPr>
      </w:pPr>
    </w:p>
    <w:p w14:paraId="0377D8D9"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27C6A213" w14:textId="77777777" w:rsidR="00771A8F" w:rsidRPr="000A4369" w:rsidRDefault="00771A8F" w:rsidP="001F76F2">
      <w:pPr>
        <w:spacing w:after="0" w:line="280" w:lineRule="exact"/>
        <w:jc w:val="both"/>
        <w:rPr>
          <w:rFonts w:ascii="Times New Roman" w:eastAsia="Times New Roman" w:hAnsi="Times New Roman" w:cs="Times New Roman"/>
          <w:b/>
          <w:lang w:val="en-GB"/>
        </w:rPr>
      </w:pPr>
      <w:r w:rsidRPr="000A4369">
        <w:rPr>
          <w:rFonts w:ascii="Times New Roman" w:hAnsi="Times New Roman" w:cs="Times New Roman"/>
          <w:noProof/>
          <w:lang w:eastAsia="en-ZA"/>
        </w:rPr>
        <w:drawing>
          <wp:anchor distT="0" distB="0" distL="114300" distR="114300" simplePos="0" relativeHeight="251672576" behindDoc="0" locked="0" layoutInCell="1" allowOverlap="1" wp14:anchorId="489372A1" wp14:editId="5BA174E3">
            <wp:simplePos x="0" y="0"/>
            <wp:positionH relativeFrom="column">
              <wp:posOffset>0</wp:posOffset>
            </wp:positionH>
            <wp:positionV relativeFrom="paragraph">
              <wp:posOffset>-635</wp:posOffset>
            </wp:positionV>
            <wp:extent cx="5731510" cy="3382645"/>
            <wp:effectExtent l="0" t="0" r="2540" b="8255"/>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0A4470F2"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7EADB6AC"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6945DE9E"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387A303C"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429949A9"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0DABA666"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0D1B4DE8"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6B886F42"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6C2116BC"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4C720988"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4DE47B26"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51554B5A"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5038A0C6"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277CA70B"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74212609"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36BD2DB1"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128EB40C"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079DF48C"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51BB5D93"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1C01AB85" w14:textId="77777777" w:rsidR="000A4369" w:rsidRDefault="000A4369">
      <w:pPr>
        <w:rPr>
          <w:rFonts w:ascii="Times New Roman" w:eastAsia="Times New Roman" w:hAnsi="Times New Roman" w:cs="Times New Roman"/>
          <w:b/>
          <w:lang w:val="en-GB"/>
        </w:rPr>
      </w:pPr>
      <w:r>
        <w:rPr>
          <w:rFonts w:ascii="Times New Roman" w:eastAsia="Times New Roman" w:hAnsi="Times New Roman" w:cs="Times New Roman"/>
          <w:b/>
          <w:lang w:val="en-GB"/>
        </w:rPr>
        <w:br w:type="page"/>
      </w:r>
    </w:p>
    <w:p w14:paraId="071DBC00" w14:textId="77777777" w:rsidR="00771A8F" w:rsidRPr="000A4369" w:rsidRDefault="00771A8F" w:rsidP="001F76F2">
      <w:pPr>
        <w:spacing w:after="0" w:line="280" w:lineRule="exact"/>
        <w:jc w:val="both"/>
        <w:rPr>
          <w:rFonts w:ascii="Times New Roman" w:eastAsia="Times New Roman" w:hAnsi="Times New Roman" w:cs="Times New Roman"/>
          <w:b/>
          <w:lang w:val="en-GB"/>
        </w:rPr>
      </w:pPr>
      <w:r w:rsidRPr="000A4369">
        <w:rPr>
          <w:rFonts w:ascii="Times New Roman" w:eastAsia="Times New Roman" w:hAnsi="Times New Roman" w:cs="Times New Roman"/>
          <w:b/>
          <w:lang w:val="en-GB"/>
        </w:rPr>
        <w:lastRenderedPageBreak/>
        <w:t>4.3 Programme 3: Institutional Development</w:t>
      </w:r>
    </w:p>
    <w:p w14:paraId="1AC205B3"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20615243" w14:textId="77777777" w:rsidR="006A17FE" w:rsidRPr="000A4369" w:rsidRDefault="006A17FE" w:rsidP="006A17FE">
      <w:pPr>
        <w:pStyle w:val="Caption"/>
        <w:keepNext/>
        <w:rPr>
          <w:rFonts w:ascii="Times New Roman" w:hAnsi="Times New Roman" w:cs="Times New Roman"/>
        </w:rPr>
      </w:pPr>
      <w:r w:rsidRPr="000A4369">
        <w:rPr>
          <w:rFonts w:ascii="Times New Roman" w:hAnsi="Times New Roman" w:cs="Times New Roman"/>
        </w:rPr>
        <w:t xml:space="preserve">Table </w:t>
      </w:r>
      <w:r w:rsidR="000A4369" w:rsidRPr="000A4369">
        <w:rPr>
          <w:rFonts w:ascii="Times New Roman" w:hAnsi="Times New Roman" w:cs="Times New Roman"/>
        </w:rPr>
        <w:fldChar w:fldCharType="begin"/>
      </w:r>
      <w:r w:rsidR="000A4369" w:rsidRPr="000A4369">
        <w:rPr>
          <w:rFonts w:ascii="Times New Roman" w:hAnsi="Times New Roman" w:cs="Times New Roman"/>
        </w:rPr>
        <w:instrText xml:space="preserve"> SEQ Table \* ARABIC </w:instrText>
      </w:r>
      <w:r w:rsidR="000A4369" w:rsidRPr="000A4369">
        <w:rPr>
          <w:rFonts w:ascii="Times New Roman" w:hAnsi="Times New Roman" w:cs="Times New Roman"/>
        </w:rPr>
        <w:fldChar w:fldCharType="separate"/>
      </w:r>
      <w:r w:rsidR="007F1C6D" w:rsidRPr="000A4369">
        <w:rPr>
          <w:rFonts w:ascii="Times New Roman" w:hAnsi="Times New Roman" w:cs="Times New Roman"/>
          <w:noProof/>
        </w:rPr>
        <w:t>4</w:t>
      </w:r>
      <w:r w:rsidR="000A4369" w:rsidRPr="000A4369">
        <w:rPr>
          <w:rFonts w:ascii="Times New Roman" w:hAnsi="Times New Roman" w:cs="Times New Roman"/>
          <w:noProof/>
        </w:rPr>
        <w:fldChar w:fldCharType="end"/>
      </w:r>
    </w:p>
    <w:tbl>
      <w:tblPr>
        <w:tblW w:w="50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223"/>
        <w:gridCol w:w="1225"/>
        <w:gridCol w:w="227"/>
        <w:gridCol w:w="1129"/>
        <w:gridCol w:w="1129"/>
        <w:gridCol w:w="1377"/>
        <w:gridCol w:w="1375"/>
      </w:tblGrid>
      <w:tr w:rsidR="006A17FE" w:rsidRPr="000A4369" w14:paraId="6F23E15E" w14:textId="77777777" w:rsidTr="002D00EA">
        <w:trPr>
          <w:trHeight w:val="780"/>
          <w:tblHeader/>
        </w:trPr>
        <w:tc>
          <w:tcPr>
            <w:tcW w:w="909" w:type="pct"/>
            <w:shd w:val="clear" w:color="auto" w:fill="auto"/>
            <w:noWrap/>
            <w:vAlign w:val="bottom"/>
            <w:hideMark/>
          </w:tcPr>
          <w:p w14:paraId="509D8A96" w14:textId="77777777" w:rsidR="006A17FE" w:rsidRPr="000A4369" w:rsidRDefault="006A17FE" w:rsidP="006A17FE">
            <w:pPr>
              <w:spacing w:after="0" w:line="240" w:lineRule="auto"/>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Sub-Programme</w:t>
            </w:r>
          </w:p>
        </w:tc>
        <w:tc>
          <w:tcPr>
            <w:tcW w:w="1424" w:type="pct"/>
            <w:gridSpan w:val="3"/>
            <w:shd w:val="clear" w:color="auto" w:fill="auto"/>
            <w:vAlign w:val="center"/>
            <w:hideMark/>
          </w:tcPr>
          <w:p w14:paraId="46DA89D0" w14:textId="77777777" w:rsidR="006A17FE" w:rsidRPr="000A4369" w:rsidRDefault="006A17FE" w:rsidP="006A17FE">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Budget</w:t>
            </w:r>
          </w:p>
        </w:tc>
        <w:tc>
          <w:tcPr>
            <w:tcW w:w="601" w:type="pct"/>
            <w:shd w:val="clear" w:color="auto" w:fill="auto"/>
            <w:vAlign w:val="center"/>
            <w:hideMark/>
          </w:tcPr>
          <w:p w14:paraId="48E5CAED" w14:textId="77777777" w:rsidR="006A17FE" w:rsidRPr="000A4369" w:rsidRDefault="006A17FE" w:rsidP="006A17FE">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Nominal Rand change</w:t>
            </w:r>
          </w:p>
        </w:tc>
        <w:tc>
          <w:tcPr>
            <w:tcW w:w="601" w:type="pct"/>
            <w:shd w:val="clear" w:color="auto" w:fill="auto"/>
            <w:vAlign w:val="center"/>
            <w:hideMark/>
          </w:tcPr>
          <w:p w14:paraId="32A6C230" w14:textId="77777777" w:rsidR="006A17FE" w:rsidRPr="000A4369" w:rsidRDefault="006A17FE" w:rsidP="006A17FE">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Real Rand change</w:t>
            </w:r>
          </w:p>
        </w:tc>
        <w:tc>
          <w:tcPr>
            <w:tcW w:w="733" w:type="pct"/>
            <w:shd w:val="clear" w:color="auto" w:fill="auto"/>
            <w:vAlign w:val="center"/>
            <w:hideMark/>
          </w:tcPr>
          <w:p w14:paraId="427467FB" w14:textId="77777777" w:rsidR="006A17FE" w:rsidRPr="000A4369" w:rsidRDefault="006A17FE" w:rsidP="006A17FE">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Nominal % change</w:t>
            </w:r>
          </w:p>
        </w:tc>
        <w:tc>
          <w:tcPr>
            <w:tcW w:w="733" w:type="pct"/>
            <w:shd w:val="clear" w:color="auto" w:fill="auto"/>
            <w:vAlign w:val="center"/>
            <w:hideMark/>
          </w:tcPr>
          <w:p w14:paraId="06C5D909" w14:textId="77777777" w:rsidR="006A17FE" w:rsidRPr="000A4369" w:rsidRDefault="006A17FE" w:rsidP="006A17FE">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Real % change</w:t>
            </w:r>
          </w:p>
        </w:tc>
      </w:tr>
      <w:tr w:rsidR="006A17FE" w:rsidRPr="000A4369" w14:paraId="4069EF41" w14:textId="77777777" w:rsidTr="002D00EA">
        <w:trPr>
          <w:trHeight w:val="255"/>
        </w:trPr>
        <w:tc>
          <w:tcPr>
            <w:tcW w:w="909" w:type="pct"/>
            <w:shd w:val="clear" w:color="auto" w:fill="auto"/>
            <w:noWrap/>
            <w:vAlign w:val="bottom"/>
            <w:hideMark/>
          </w:tcPr>
          <w:p w14:paraId="4E89CEB4" w14:textId="77777777" w:rsidR="006A17FE" w:rsidRPr="000A4369" w:rsidRDefault="006A17FE" w:rsidP="006A17FE">
            <w:pPr>
              <w:spacing w:after="0" w:line="240" w:lineRule="auto"/>
              <w:jc w:val="center"/>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R million</w:t>
            </w:r>
          </w:p>
        </w:tc>
        <w:tc>
          <w:tcPr>
            <w:tcW w:w="651" w:type="pct"/>
            <w:shd w:val="clear" w:color="auto" w:fill="auto"/>
            <w:noWrap/>
            <w:vAlign w:val="bottom"/>
            <w:hideMark/>
          </w:tcPr>
          <w:p w14:paraId="17CBBD77" w14:textId="77777777" w:rsidR="006A17FE" w:rsidRPr="000A4369" w:rsidRDefault="006A17FE" w:rsidP="006A17FE">
            <w:pPr>
              <w:spacing w:after="0" w:line="240" w:lineRule="auto"/>
              <w:jc w:val="center"/>
              <w:rPr>
                <w:rFonts w:ascii="Times New Roman" w:eastAsia="Times New Roman" w:hAnsi="Times New Roman" w:cs="Times New Roman"/>
                <w:b/>
                <w:bCs/>
                <w:sz w:val="18"/>
                <w:szCs w:val="20"/>
                <w:lang w:eastAsia="en-ZA"/>
              </w:rPr>
            </w:pPr>
            <w:r w:rsidRPr="000A4369">
              <w:rPr>
                <w:rFonts w:ascii="Times New Roman" w:eastAsia="Times New Roman" w:hAnsi="Times New Roman" w:cs="Times New Roman"/>
                <w:b/>
                <w:bCs/>
                <w:sz w:val="18"/>
                <w:szCs w:val="20"/>
                <w:lang w:eastAsia="en-ZA"/>
              </w:rPr>
              <w:t>2018/19</w:t>
            </w:r>
          </w:p>
        </w:tc>
        <w:tc>
          <w:tcPr>
            <w:tcW w:w="652" w:type="pct"/>
            <w:shd w:val="clear" w:color="auto" w:fill="auto"/>
            <w:noWrap/>
            <w:vAlign w:val="bottom"/>
            <w:hideMark/>
          </w:tcPr>
          <w:p w14:paraId="7E302B2F" w14:textId="77777777" w:rsidR="006A17FE" w:rsidRPr="000A4369" w:rsidRDefault="006A17FE" w:rsidP="006A17FE">
            <w:pPr>
              <w:spacing w:after="0" w:line="240" w:lineRule="auto"/>
              <w:jc w:val="center"/>
              <w:rPr>
                <w:rFonts w:ascii="Times New Roman" w:eastAsia="Times New Roman" w:hAnsi="Times New Roman" w:cs="Times New Roman"/>
                <w:b/>
                <w:bCs/>
                <w:sz w:val="18"/>
                <w:szCs w:val="20"/>
                <w:lang w:eastAsia="en-ZA"/>
              </w:rPr>
            </w:pPr>
            <w:r w:rsidRPr="000A4369">
              <w:rPr>
                <w:rFonts w:ascii="Times New Roman" w:eastAsia="Times New Roman" w:hAnsi="Times New Roman" w:cs="Times New Roman"/>
                <w:b/>
                <w:bCs/>
                <w:sz w:val="18"/>
                <w:szCs w:val="20"/>
                <w:lang w:eastAsia="en-ZA"/>
              </w:rPr>
              <w:t>2019/20</w:t>
            </w:r>
          </w:p>
        </w:tc>
        <w:tc>
          <w:tcPr>
            <w:tcW w:w="121" w:type="pct"/>
            <w:vMerge w:val="restart"/>
            <w:shd w:val="clear" w:color="auto" w:fill="auto"/>
            <w:noWrap/>
            <w:vAlign w:val="bottom"/>
          </w:tcPr>
          <w:p w14:paraId="18F5A9AE" w14:textId="77777777" w:rsidR="006A17FE" w:rsidRPr="000A4369" w:rsidRDefault="006A17FE" w:rsidP="006A17FE">
            <w:pPr>
              <w:spacing w:after="0" w:line="240" w:lineRule="auto"/>
              <w:jc w:val="right"/>
              <w:rPr>
                <w:rFonts w:ascii="Times New Roman" w:eastAsia="Times New Roman" w:hAnsi="Times New Roman" w:cs="Times New Roman"/>
                <w:b/>
                <w:bCs/>
                <w:sz w:val="18"/>
                <w:szCs w:val="20"/>
                <w:lang w:eastAsia="en-ZA"/>
              </w:rPr>
            </w:pPr>
          </w:p>
        </w:tc>
        <w:tc>
          <w:tcPr>
            <w:tcW w:w="1202" w:type="pct"/>
            <w:gridSpan w:val="2"/>
            <w:shd w:val="clear" w:color="auto" w:fill="auto"/>
            <w:noWrap/>
            <w:vAlign w:val="bottom"/>
            <w:hideMark/>
          </w:tcPr>
          <w:p w14:paraId="237B3894" w14:textId="77777777" w:rsidR="006A17FE" w:rsidRPr="000A4369" w:rsidRDefault="006A17FE" w:rsidP="006A17FE">
            <w:pPr>
              <w:spacing w:after="0" w:line="240" w:lineRule="auto"/>
              <w:jc w:val="center"/>
              <w:rPr>
                <w:rFonts w:ascii="Times New Roman" w:eastAsia="Times New Roman" w:hAnsi="Times New Roman" w:cs="Times New Roman"/>
                <w:b/>
                <w:bCs/>
                <w:sz w:val="18"/>
                <w:szCs w:val="20"/>
                <w:lang w:eastAsia="en-ZA"/>
              </w:rPr>
            </w:pPr>
            <w:r w:rsidRPr="000A4369">
              <w:rPr>
                <w:rFonts w:ascii="Times New Roman" w:eastAsia="Times New Roman" w:hAnsi="Times New Roman" w:cs="Times New Roman"/>
                <w:b/>
                <w:bCs/>
                <w:sz w:val="18"/>
                <w:szCs w:val="20"/>
                <w:lang w:eastAsia="en-ZA"/>
              </w:rPr>
              <w:t xml:space="preserve"> 2018/19-2019/20</w:t>
            </w:r>
          </w:p>
        </w:tc>
        <w:tc>
          <w:tcPr>
            <w:tcW w:w="1466" w:type="pct"/>
            <w:gridSpan w:val="2"/>
            <w:shd w:val="clear" w:color="auto" w:fill="auto"/>
            <w:noWrap/>
            <w:vAlign w:val="bottom"/>
            <w:hideMark/>
          </w:tcPr>
          <w:p w14:paraId="49363A5D" w14:textId="77777777" w:rsidR="006A17FE" w:rsidRPr="000A4369" w:rsidRDefault="006A17FE" w:rsidP="006A17FE">
            <w:pPr>
              <w:spacing w:after="0" w:line="240" w:lineRule="auto"/>
              <w:jc w:val="center"/>
              <w:rPr>
                <w:rFonts w:ascii="Times New Roman" w:eastAsia="Times New Roman" w:hAnsi="Times New Roman" w:cs="Times New Roman"/>
                <w:b/>
                <w:bCs/>
                <w:sz w:val="18"/>
                <w:szCs w:val="20"/>
                <w:lang w:eastAsia="en-ZA"/>
              </w:rPr>
            </w:pPr>
            <w:r w:rsidRPr="000A4369">
              <w:rPr>
                <w:rFonts w:ascii="Times New Roman" w:eastAsia="Times New Roman" w:hAnsi="Times New Roman" w:cs="Times New Roman"/>
                <w:b/>
                <w:bCs/>
                <w:sz w:val="18"/>
                <w:szCs w:val="20"/>
                <w:lang w:eastAsia="en-ZA"/>
              </w:rPr>
              <w:t xml:space="preserve"> 2018/19-2019/20</w:t>
            </w:r>
          </w:p>
        </w:tc>
      </w:tr>
      <w:tr w:rsidR="006A17FE" w:rsidRPr="000A4369" w14:paraId="7708D65B" w14:textId="77777777" w:rsidTr="002D00EA">
        <w:trPr>
          <w:trHeight w:val="480"/>
        </w:trPr>
        <w:tc>
          <w:tcPr>
            <w:tcW w:w="909" w:type="pct"/>
            <w:shd w:val="clear" w:color="auto" w:fill="auto"/>
            <w:vAlign w:val="bottom"/>
            <w:hideMark/>
          </w:tcPr>
          <w:p w14:paraId="3B0C78EA" w14:textId="77777777" w:rsidR="006A17FE" w:rsidRPr="000A4369" w:rsidRDefault="006A17FE" w:rsidP="006A17FE">
            <w:pPr>
              <w:numPr>
                <w:ilvl w:val="0"/>
                <w:numId w:val="28"/>
              </w:numPr>
              <w:spacing w:after="0" w:line="240" w:lineRule="auto"/>
              <w:ind w:left="313" w:hanging="313"/>
              <w:contextualSpacing/>
              <w:jc w:val="both"/>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Management Institutional Development</w:t>
            </w:r>
          </w:p>
        </w:tc>
        <w:tc>
          <w:tcPr>
            <w:tcW w:w="651" w:type="pct"/>
            <w:shd w:val="clear" w:color="auto" w:fill="auto"/>
            <w:noWrap/>
            <w:vAlign w:val="bottom"/>
            <w:hideMark/>
          </w:tcPr>
          <w:p w14:paraId="68877CDA"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2 493,0</w:t>
            </w:r>
          </w:p>
        </w:tc>
        <w:tc>
          <w:tcPr>
            <w:tcW w:w="652" w:type="pct"/>
            <w:shd w:val="clear" w:color="auto" w:fill="auto"/>
            <w:noWrap/>
            <w:vAlign w:val="bottom"/>
            <w:hideMark/>
          </w:tcPr>
          <w:p w14:paraId="30CD9ADA"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3 637,0</w:t>
            </w:r>
          </w:p>
        </w:tc>
        <w:tc>
          <w:tcPr>
            <w:tcW w:w="121" w:type="pct"/>
            <w:vMerge/>
            <w:shd w:val="clear" w:color="auto" w:fill="auto"/>
            <w:noWrap/>
            <w:vAlign w:val="bottom"/>
            <w:hideMark/>
          </w:tcPr>
          <w:p w14:paraId="5ABA6700"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p>
        </w:tc>
        <w:tc>
          <w:tcPr>
            <w:tcW w:w="601" w:type="pct"/>
            <w:shd w:val="clear" w:color="auto" w:fill="auto"/>
            <w:noWrap/>
            <w:vAlign w:val="bottom"/>
            <w:hideMark/>
          </w:tcPr>
          <w:p w14:paraId="3C0E419E"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1 144,0</w:t>
            </w:r>
          </w:p>
        </w:tc>
        <w:tc>
          <w:tcPr>
            <w:tcW w:w="601" w:type="pct"/>
            <w:shd w:val="clear" w:color="auto" w:fill="auto"/>
            <w:noWrap/>
            <w:vAlign w:val="bottom"/>
            <w:hideMark/>
          </w:tcPr>
          <w:p w14:paraId="09F82358"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964,2</w:t>
            </w:r>
          </w:p>
        </w:tc>
        <w:tc>
          <w:tcPr>
            <w:tcW w:w="733" w:type="pct"/>
            <w:shd w:val="clear" w:color="auto" w:fill="auto"/>
            <w:noWrap/>
            <w:vAlign w:val="bottom"/>
            <w:hideMark/>
          </w:tcPr>
          <w:p w14:paraId="0F708B63"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45,89 per cent</w:t>
            </w:r>
          </w:p>
        </w:tc>
        <w:tc>
          <w:tcPr>
            <w:tcW w:w="733" w:type="pct"/>
            <w:shd w:val="clear" w:color="auto" w:fill="auto"/>
            <w:noWrap/>
            <w:vAlign w:val="bottom"/>
            <w:hideMark/>
          </w:tcPr>
          <w:p w14:paraId="6BA01314"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38,68 per cent</w:t>
            </w:r>
          </w:p>
        </w:tc>
      </w:tr>
      <w:tr w:rsidR="006A17FE" w:rsidRPr="000A4369" w14:paraId="438DE780" w14:textId="77777777" w:rsidTr="002D00EA">
        <w:trPr>
          <w:trHeight w:val="720"/>
        </w:trPr>
        <w:tc>
          <w:tcPr>
            <w:tcW w:w="909" w:type="pct"/>
            <w:shd w:val="clear" w:color="auto" w:fill="auto"/>
            <w:vAlign w:val="bottom"/>
            <w:hideMark/>
          </w:tcPr>
          <w:p w14:paraId="29145713" w14:textId="77777777" w:rsidR="006A17FE" w:rsidRPr="000A4369" w:rsidRDefault="006A17FE" w:rsidP="006A17FE">
            <w:pPr>
              <w:numPr>
                <w:ilvl w:val="0"/>
                <w:numId w:val="28"/>
              </w:numPr>
              <w:spacing w:after="0" w:line="240" w:lineRule="auto"/>
              <w:ind w:left="313" w:hanging="313"/>
              <w:contextualSpacing/>
              <w:jc w:val="both"/>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Municipal Human Resource Management Systems</w:t>
            </w:r>
          </w:p>
        </w:tc>
        <w:tc>
          <w:tcPr>
            <w:tcW w:w="651" w:type="pct"/>
            <w:shd w:val="clear" w:color="auto" w:fill="auto"/>
            <w:noWrap/>
            <w:vAlign w:val="bottom"/>
            <w:hideMark/>
          </w:tcPr>
          <w:p w14:paraId="0C5D2AAE"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10 203,0</w:t>
            </w:r>
          </w:p>
        </w:tc>
        <w:tc>
          <w:tcPr>
            <w:tcW w:w="652" w:type="pct"/>
            <w:shd w:val="clear" w:color="auto" w:fill="auto"/>
            <w:noWrap/>
            <w:vAlign w:val="bottom"/>
            <w:hideMark/>
          </w:tcPr>
          <w:p w14:paraId="6D3B0038"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10 419,0</w:t>
            </w:r>
          </w:p>
        </w:tc>
        <w:tc>
          <w:tcPr>
            <w:tcW w:w="121" w:type="pct"/>
            <w:vMerge/>
            <w:shd w:val="clear" w:color="auto" w:fill="auto"/>
            <w:noWrap/>
            <w:vAlign w:val="bottom"/>
            <w:hideMark/>
          </w:tcPr>
          <w:p w14:paraId="0B84483A"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p>
        </w:tc>
        <w:tc>
          <w:tcPr>
            <w:tcW w:w="601" w:type="pct"/>
            <w:shd w:val="clear" w:color="auto" w:fill="auto"/>
            <w:noWrap/>
            <w:vAlign w:val="bottom"/>
            <w:hideMark/>
          </w:tcPr>
          <w:p w14:paraId="6CD3917D"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216,0</w:t>
            </w:r>
          </w:p>
        </w:tc>
        <w:tc>
          <w:tcPr>
            <w:tcW w:w="601" w:type="pct"/>
            <w:shd w:val="clear" w:color="auto" w:fill="auto"/>
            <w:noWrap/>
            <w:vAlign w:val="bottom"/>
            <w:hideMark/>
          </w:tcPr>
          <w:p w14:paraId="0B816000"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299,0</w:t>
            </w:r>
          </w:p>
        </w:tc>
        <w:tc>
          <w:tcPr>
            <w:tcW w:w="733" w:type="pct"/>
            <w:shd w:val="clear" w:color="auto" w:fill="auto"/>
            <w:noWrap/>
            <w:vAlign w:val="bottom"/>
            <w:hideMark/>
          </w:tcPr>
          <w:p w14:paraId="7D4C8F93"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2,12 per cent</w:t>
            </w:r>
          </w:p>
        </w:tc>
        <w:tc>
          <w:tcPr>
            <w:tcW w:w="733" w:type="pct"/>
            <w:shd w:val="clear" w:color="auto" w:fill="auto"/>
            <w:noWrap/>
            <w:vAlign w:val="bottom"/>
            <w:hideMark/>
          </w:tcPr>
          <w:p w14:paraId="7D2D07B7"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-2,93 per cent</w:t>
            </w:r>
          </w:p>
        </w:tc>
      </w:tr>
      <w:tr w:rsidR="006A17FE" w:rsidRPr="000A4369" w14:paraId="2B2D8C3C" w14:textId="77777777" w:rsidTr="002D00EA">
        <w:trPr>
          <w:trHeight w:val="255"/>
        </w:trPr>
        <w:tc>
          <w:tcPr>
            <w:tcW w:w="909" w:type="pct"/>
            <w:shd w:val="clear" w:color="auto" w:fill="auto"/>
            <w:vAlign w:val="bottom"/>
            <w:hideMark/>
          </w:tcPr>
          <w:p w14:paraId="35F6E242" w14:textId="77777777" w:rsidR="006A17FE" w:rsidRPr="000A4369" w:rsidRDefault="006A17FE" w:rsidP="006A17FE">
            <w:pPr>
              <w:numPr>
                <w:ilvl w:val="0"/>
                <w:numId w:val="28"/>
              </w:numPr>
              <w:spacing w:after="0" w:line="240" w:lineRule="auto"/>
              <w:ind w:left="313" w:hanging="313"/>
              <w:contextualSpacing/>
              <w:jc w:val="both"/>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Municipal Finances</w:t>
            </w:r>
          </w:p>
        </w:tc>
        <w:tc>
          <w:tcPr>
            <w:tcW w:w="651" w:type="pct"/>
            <w:shd w:val="clear" w:color="auto" w:fill="auto"/>
            <w:noWrap/>
            <w:vAlign w:val="bottom"/>
            <w:hideMark/>
          </w:tcPr>
          <w:p w14:paraId="5B52BFC3"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25 955,0</w:t>
            </w:r>
          </w:p>
        </w:tc>
        <w:tc>
          <w:tcPr>
            <w:tcW w:w="652" w:type="pct"/>
            <w:shd w:val="clear" w:color="auto" w:fill="auto"/>
            <w:noWrap/>
            <w:vAlign w:val="bottom"/>
            <w:hideMark/>
          </w:tcPr>
          <w:p w14:paraId="1093881D"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31 154,0</w:t>
            </w:r>
          </w:p>
        </w:tc>
        <w:tc>
          <w:tcPr>
            <w:tcW w:w="121" w:type="pct"/>
            <w:vMerge/>
            <w:shd w:val="clear" w:color="auto" w:fill="auto"/>
            <w:noWrap/>
            <w:vAlign w:val="bottom"/>
            <w:hideMark/>
          </w:tcPr>
          <w:p w14:paraId="06D98613"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p>
        </w:tc>
        <w:tc>
          <w:tcPr>
            <w:tcW w:w="601" w:type="pct"/>
            <w:shd w:val="clear" w:color="auto" w:fill="auto"/>
            <w:noWrap/>
            <w:vAlign w:val="bottom"/>
            <w:hideMark/>
          </w:tcPr>
          <w:p w14:paraId="61F92998"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5 199,0</w:t>
            </w:r>
          </w:p>
        </w:tc>
        <w:tc>
          <w:tcPr>
            <w:tcW w:w="601" w:type="pct"/>
            <w:shd w:val="clear" w:color="auto" w:fill="auto"/>
            <w:noWrap/>
            <w:vAlign w:val="bottom"/>
            <w:hideMark/>
          </w:tcPr>
          <w:p w14:paraId="2EBD89E1"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3 659,1</w:t>
            </w:r>
          </w:p>
        </w:tc>
        <w:tc>
          <w:tcPr>
            <w:tcW w:w="733" w:type="pct"/>
            <w:shd w:val="clear" w:color="auto" w:fill="auto"/>
            <w:noWrap/>
            <w:vAlign w:val="bottom"/>
            <w:hideMark/>
          </w:tcPr>
          <w:p w14:paraId="385F5887"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20,03 per cent</w:t>
            </w:r>
          </w:p>
        </w:tc>
        <w:tc>
          <w:tcPr>
            <w:tcW w:w="733" w:type="pct"/>
            <w:shd w:val="clear" w:color="auto" w:fill="auto"/>
            <w:noWrap/>
            <w:vAlign w:val="bottom"/>
            <w:hideMark/>
          </w:tcPr>
          <w:p w14:paraId="3CD3FA13"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14,10 per cent</w:t>
            </w:r>
          </w:p>
        </w:tc>
      </w:tr>
      <w:tr w:rsidR="006A17FE" w:rsidRPr="000A4369" w14:paraId="60214D49" w14:textId="77777777" w:rsidTr="002D00EA">
        <w:trPr>
          <w:trHeight w:val="255"/>
        </w:trPr>
        <w:tc>
          <w:tcPr>
            <w:tcW w:w="909" w:type="pct"/>
            <w:shd w:val="clear" w:color="auto" w:fill="auto"/>
            <w:vAlign w:val="bottom"/>
            <w:hideMark/>
          </w:tcPr>
          <w:p w14:paraId="0D69B1C4" w14:textId="77777777" w:rsidR="006A17FE" w:rsidRPr="000A4369" w:rsidRDefault="006A17FE" w:rsidP="006A17FE">
            <w:pPr>
              <w:numPr>
                <w:ilvl w:val="0"/>
                <w:numId w:val="28"/>
              </w:numPr>
              <w:spacing w:after="0" w:line="240" w:lineRule="auto"/>
              <w:ind w:left="313" w:hanging="313"/>
              <w:contextualSpacing/>
              <w:jc w:val="both"/>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Citizen Engagement</w:t>
            </w:r>
          </w:p>
        </w:tc>
        <w:tc>
          <w:tcPr>
            <w:tcW w:w="651" w:type="pct"/>
            <w:shd w:val="clear" w:color="auto" w:fill="auto"/>
            <w:noWrap/>
            <w:vAlign w:val="bottom"/>
            <w:hideMark/>
          </w:tcPr>
          <w:p w14:paraId="2AD5691F"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7 304,0</w:t>
            </w:r>
          </w:p>
        </w:tc>
        <w:tc>
          <w:tcPr>
            <w:tcW w:w="652" w:type="pct"/>
            <w:shd w:val="clear" w:color="auto" w:fill="auto"/>
            <w:noWrap/>
            <w:vAlign w:val="bottom"/>
            <w:hideMark/>
          </w:tcPr>
          <w:p w14:paraId="582E9796"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7 526,0</w:t>
            </w:r>
          </w:p>
        </w:tc>
        <w:tc>
          <w:tcPr>
            <w:tcW w:w="121" w:type="pct"/>
            <w:vMerge/>
            <w:shd w:val="clear" w:color="auto" w:fill="auto"/>
            <w:noWrap/>
            <w:vAlign w:val="bottom"/>
            <w:hideMark/>
          </w:tcPr>
          <w:p w14:paraId="0E7A40B8"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p>
        </w:tc>
        <w:tc>
          <w:tcPr>
            <w:tcW w:w="601" w:type="pct"/>
            <w:shd w:val="clear" w:color="auto" w:fill="auto"/>
            <w:noWrap/>
            <w:vAlign w:val="bottom"/>
            <w:hideMark/>
          </w:tcPr>
          <w:p w14:paraId="0311838D"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222,0</w:t>
            </w:r>
          </w:p>
        </w:tc>
        <w:tc>
          <w:tcPr>
            <w:tcW w:w="601" w:type="pct"/>
            <w:shd w:val="clear" w:color="auto" w:fill="auto"/>
            <w:noWrap/>
            <w:vAlign w:val="bottom"/>
            <w:hideMark/>
          </w:tcPr>
          <w:p w14:paraId="51F06E3F"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150,0</w:t>
            </w:r>
          </w:p>
        </w:tc>
        <w:tc>
          <w:tcPr>
            <w:tcW w:w="733" w:type="pct"/>
            <w:shd w:val="clear" w:color="auto" w:fill="auto"/>
            <w:noWrap/>
            <w:vAlign w:val="bottom"/>
            <w:hideMark/>
          </w:tcPr>
          <w:p w14:paraId="0FC23F4F"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3,04 per cent</w:t>
            </w:r>
          </w:p>
        </w:tc>
        <w:tc>
          <w:tcPr>
            <w:tcW w:w="733" w:type="pct"/>
            <w:shd w:val="clear" w:color="auto" w:fill="auto"/>
            <w:noWrap/>
            <w:vAlign w:val="bottom"/>
            <w:hideMark/>
          </w:tcPr>
          <w:p w14:paraId="2A036AB4"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-2,05 per cent</w:t>
            </w:r>
          </w:p>
        </w:tc>
      </w:tr>
      <w:tr w:rsidR="006A17FE" w:rsidRPr="000A4369" w14:paraId="39FBC7C7" w14:textId="77777777" w:rsidTr="002D00EA">
        <w:trPr>
          <w:trHeight w:val="480"/>
        </w:trPr>
        <w:tc>
          <w:tcPr>
            <w:tcW w:w="909" w:type="pct"/>
            <w:shd w:val="clear" w:color="auto" w:fill="auto"/>
            <w:vAlign w:val="bottom"/>
            <w:hideMark/>
          </w:tcPr>
          <w:p w14:paraId="789ED7D0" w14:textId="77777777" w:rsidR="006A17FE" w:rsidRPr="000A4369" w:rsidRDefault="006A17FE" w:rsidP="006A17FE">
            <w:pPr>
              <w:numPr>
                <w:ilvl w:val="0"/>
                <w:numId w:val="28"/>
              </w:numPr>
              <w:spacing w:after="0" w:line="240" w:lineRule="auto"/>
              <w:ind w:left="313" w:hanging="313"/>
              <w:contextualSpacing/>
              <w:jc w:val="both"/>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Anti-Corruption and Good Governance</w:t>
            </w:r>
          </w:p>
        </w:tc>
        <w:tc>
          <w:tcPr>
            <w:tcW w:w="651" w:type="pct"/>
            <w:shd w:val="clear" w:color="auto" w:fill="auto"/>
            <w:noWrap/>
            <w:vAlign w:val="bottom"/>
            <w:hideMark/>
          </w:tcPr>
          <w:p w14:paraId="00CA2ECB"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6 674,0</w:t>
            </w:r>
          </w:p>
        </w:tc>
        <w:tc>
          <w:tcPr>
            <w:tcW w:w="652" w:type="pct"/>
            <w:shd w:val="clear" w:color="auto" w:fill="auto"/>
            <w:noWrap/>
            <w:vAlign w:val="bottom"/>
            <w:hideMark/>
          </w:tcPr>
          <w:p w14:paraId="6771C855"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5 678,0</w:t>
            </w:r>
          </w:p>
        </w:tc>
        <w:tc>
          <w:tcPr>
            <w:tcW w:w="121" w:type="pct"/>
            <w:vMerge/>
            <w:shd w:val="clear" w:color="auto" w:fill="auto"/>
            <w:noWrap/>
            <w:vAlign w:val="bottom"/>
            <w:hideMark/>
          </w:tcPr>
          <w:p w14:paraId="131F53A1"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p>
        </w:tc>
        <w:tc>
          <w:tcPr>
            <w:tcW w:w="601" w:type="pct"/>
            <w:shd w:val="clear" w:color="auto" w:fill="auto"/>
            <w:noWrap/>
            <w:vAlign w:val="bottom"/>
            <w:hideMark/>
          </w:tcPr>
          <w:p w14:paraId="33D7F1E6"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996,0</w:t>
            </w:r>
          </w:p>
        </w:tc>
        <w:tc>
          <w:tcPr>
            <w:tcW w:w="601" w:type="pct"/>
            <w:shd w:val="clear" w:color="auto" w:fill="auto"/>
            <w:noWrap/>
            <w:vAlign w:val="bottom"/>
            <w:hideMark/>
          </w:tcPr>
          <w:p w14:paraId="7E67D70C"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- 1 276,7</w:t>
            </w:r>
          </w:p>
        </w:tc>
        <w:tc>
          <w:tcPr>
            <w:tcW w:w="733" w:type="pct"/>
            <w:shd w:val="clear" w:color="auto" w:fill="auto"/>
            <w:noWrap/>
            <w:vAlign w:val="bottom"/>
            <w:hideMark/>
          </w:tcPr>
          <w:p w14:paraId="70B1E709"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-14,92 per cent</w:t>
            </w:r>
          </w:p>
        </w:tc>
        <w:tc>
          <w:tcPr>
            <w:tcW w:w="733" w:type="pct"/>
            <w:shd w:val="clear" w:color="auto" w:fill="auto"/>
            <w:noWrap/>
            <w:vAlign w:val="bottom"/>
            <w:hideMark/>
          </w:tcPr>
          <w:p w14:paraId="73F931E3"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-19,13 per cent</w:t>
            </w:r>
          </w:p>
        </w:tc>
      </w:tr>
      <w:tr w:rsidR="006A17FE" w:rsidRPr="000A4369" w14:paraId="7683C428" w14:textId="77777777" w:rsidTr="002D00EA">
        <w:trPr>
          <w:trHeight w:val="255"/>
        </w:trPr>
        <w:tc>
          <w:tcPr>
            <w:tcW w:w="909" w:type="pct"/>
            <w:shd w:val="clear" w:color="auto" w:fill="auto"/>
            <w:vAlign w:val="bottom"/>
            <w:hideMark/>
          </w:tcPr>
          <w:p w14:paraId="0B2BEFF1" w14:textId="77777777" w:rsidR="006A17FE" w:rsidRPr="000A4369" w:rsidRDefault="006A17FE" w:rsidP="006A17FE">
            <w:pPr>
              <w:numPr>
                <w:ilvl w:val="0"/>
                <w:numId w:val="28"/>
              </w:numPr>
              <w:spacing w:after="0" w:line="240" w:lineRule="auto"/>
              <w:ind w:left="313" w:hanging="313"/>
              <w:contextualSpacing/>
              <w:jc w:val="both"/>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Municipal Property Rates</w:t>
            </w:r>
          </w:p>
        </w:tc>
        <w:tc>
          <w:tcPr>
            <w:tcW w:w="651" w:type="pct"/>
            <w:shd w:val="clear" w:color="auto" w:fill="auto"/>
            <w:noWrap/>
            <w:vAlign w:val="bottom"/>
            <w:hideMark/>
          </w:tcPr>
          <w:p w14:paraId="2FA0B171"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11 958,0</w:t>
            </w:r>
          </w:p>
        </w:tc>
        <w:tc>
          <w:tcPr>
            <w:tcW w:w="652" w:type="pct"/>
            <w:shd w:val="clear" w:color="auto" w:fill="auto"/>
            <w:noWrap/>
            <w:vAlign w:val="bottom"/>
            <w:hideMark/>
          </w:tcPr>
          <w:p w14:paraId="42C3FB11"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12 494,0</w:t>
            </w:r>
          </w:p>
        </w:tc>
        <w:tc>
          <w:tcPr>
            <w:tcW w:w="121" w:type="pct"/>
            <w:vMerge/>
            <w:shd w:val="clear" w:color="auto" w:fill="auto"/>
            <w:noWrap/>
            <w:vAlign w:val="bottom"/>
            <w:hideMark/>
          </w:tcPr>
          <w:p w14:paraId="73838BCC"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p>
        </w:tc>
        <w:tc>
          <w:tcPr>
            <w:tcW w:w="601" w:type="pct"/>
            <w:shd w:val="clear" w:color="auto" w:fill="auto"/>
            <w:noWrap/>
            <w:vAlign w:val="bottom"/>
            <w:hideMark/>
          </w:tcPr>
          <w:p w14:paraId="1896FC09"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536,0</w:t>
            </w:r>
          </w:p>
        </w:tc>
        <w:tc>
          <w:tcPr>
            <w:tcW w:w="601" w:type="pct"/>
            <w:shd w:val="clear" w:color="auto" w:fill="auto"/>
            <w:noWrap/>
            <w:vAlign w:val="bottom"/>
            <w:hideMark/>
          </w:tcPr>
          <w:p w14:paraId="734FA089"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81,6</w:t>
            </w:r>
          </w:p>
        </w:tc>
        <w:tc>
          <w:tcPr>
            <w:tcW w:w="733" w:type="pct"/>
            <w:shd w:val="clear" w:color="auto" w:fill="auto"/>
            <w:noWrap/>
            <w:vAlign w:val="bottom"/>
            <w:hideMark/>
          </w:tcPr>
          <w:p w14:paraId="50CE9B9C"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4,48 per cent</w:t>
            </w:r>
          </w:p>
        </w:tc>
        <w:tc>
          <w:tcPr>
            <w:tcW w:w="733" w:type="pct"/>
            <w:shd w:val="clear" w:color="auto" w:fill="auto"/>
            <w:noWrap/>
            <w:vAlign w:val="bottom"/>
            <w:hideMark/>
          </w:tcPr>
          <w:p w14:paraId="2134829F"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-0,68 per cent</w:t>
            </w:r>
          </w:p>
        </w:tc>
      </w:tr>
      <w:tr w:rsidR="006A17FE" w:rsidRPr="000A4369" w14:paraId="591ABAED" w14:textId="77777777" w:rsidTr="002D00EA">
        <w:trPr>
          <w:trHeight w:val="450"/>
        </w:trPr>
        <w:tc>
          <w:tcPr>
            <w:tcW w:w="909" w:type="pct"/>
            <w:shd w:val="clear" w:color="auto" w:fill="auto"/>
            <w:vAlign w:val="bottom"/>
            <w:hideMark/>
          </w:tcPr>
          <w:p w14:paraId="38092DCA" w14:textId="77777777" w:rsidR="006A17FE" w:rsidRPr="000A4369" w:rsidRDefault="006A17FE" w:rsidP="006A17FE">
            <w:pPr>
              <w:numPr>
                <w:ilvl w:val="0"/>
                <w:numId w:val="28"/>
              </w:numPr>
              <w:spacing w:after="0" w:line="240" w:lineRule="auto"/>
              <w:ind w:left="313" w:hanging="313"/>
              <w:contextualSpacing/>
              <w:jc w:val="both"/>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Local Government Equitable Share</w:t>
            </w:r>
          </w:p>
        </w:tc>
        <w:tc>
          <w:tcPr>
            <w:tcW w:w="651" w:type="pct"/>
            <w:shd w:val="clear" w:color="auto" w:fill="auto"/>
            <w:noWrap/>
            <w:vAlign w:val="bottom"/>
            <w:hideMark/>
          </w:tcPr>
          <w:p w14:paraId="532E7094"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62 731 845,0</w:t>
            </w:r>
          </w:p>
        </w:tc>
        <w:tc>
          <w:tcPr>
            <w:tcW w:w="652" w:type="pct"/>
            <w:shd w:val="clear" w:color="auto" w:fill="auto"/>
            <w:noWrap/>
            <w:vAlign w:val="bottom"/>
            <w:hideMark/>
          </w:tcPr>
          <w:p w14:paraId="37A1C192"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68 973 465,0</w:t>
            </w:r>
          </w:p>
        </w:tc>
        <w:tc>
          <w:tcPr>
            <w:tcW w:w="121" w:type="pct"/>
            <w:vMerge/>
            <w:shd w:val="clear" w:color="auto" w:fill="auto"/>
            <w:noWrap/>
            <w:vAlign w:val="bottom"/>
            <w:hideMark/>
          </w:tcPr>
          <w:p w14:paraId="538BD5C7"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p>
        </w:tc>
        <w:tc>
          <w:tcPr>
            <w:tcW w:w="601" w:type="pct"/>
            <w:shd w:val="clear" w:color="auto" w:fill="auto"/>
            <w:noWrap/>
            <w:vAlign w:val="bottom"/>
            <w:hideMark/>
          </w:tcPr>
          <w:p w14:paraId="36952808"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6 241 620,0</w:t>
            </w:r>
          </w:p>
        </w:tc>
        <w:tc>
          <w:tcPr>
            <w:tcW w:w="601" w:type="pct"/>
            <w:shd w:val="clear" w:color="auto" w:fill="auto"/>
            <w:noWrap/>
            <w:vAlign w:val="bottom"/>
            <w:hideMark/>
          </w:tcPr>
          <w:p w14:paraId="132D9499"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2 832 285,2</w:t>
            </w:r>
          </w:p>
        </w:tc>
        <w:tc>
          <w:tcPr>
            <w:tcW w:w="733" w:type="pct"/>
            <w:shd w:val="clear" w:color="auto" w:fill="auto"/>
            <w:noWrap/>
            <w:vAlign w:val="bottom"/>
            <w:hideMark/>
          </w:tcPr>
          <w:p w14:paraId="56AA7551"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9,95 per cent</w:t>
            </w:r>
          </w:p>
        </w:tc>
        <w:tc>
          <w:tcPr>
            <w:tcW w:w="733" w:type="pct"/>
            <w:shd w:val="clear" w:color="auto" w:fill="auto"/>
            <w:noWrap/>
            <w:vAlign w:val="bottom"/>
            <w:hideMark/>
          </w:tcPr>
          <w:p w14:paraId="6463860E"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4,51 per cent</w:t>
            </w:r>
          </w:p>
        </w:tc>
      </w:tr>
      <w:tr w:rsidR="006A17FE" w:rsidRPr="000A4369" w14:paraId="7B88C95D" w14:textId="77777777" w:rsidTr="002D00EA">
        <w:trPr>
          <w:trHeight w:val="480"/>
        </w:trPr>
        <w:tc>
          <w:tcPr>
            <w:tcW w:w="909" w:type="pct"/>
            <w:shd w:val="clear" w:color="auto" w:fill="auto"/>
            <w:vAlign w:val="bottom"/>
            <w:hideMark/>
          </w:tcPr>
          <w:p w14:paraId="7181E8E4" w14:textId="77777777" w:rsidR="006A17FE" w:rsidRPr="000A4369" w:rsidRDefault="006A17FE" w:rsidP="006A17FE">
            <w:pPr>
              <w:numPr>
                <w:ilvl w:val="0"/>
                <w:numId w:val="28"/>
              </w:numPr>
              <w:spacing w:after="0" w:line="240" w:lineRule="auto"/>
              <w:ind w:left="313" w:hanging="313"/>
              <w:contextualSpacing/>
              <w:jc w:val="both"/>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South African Local Government Association</w:t>
            </w:r>
          </w:p>
        </w:tc>
        <w:tc>
          <w:tcPr>
            <w:tcW w:w="651" w:type="pct"/>
            <w:shd w:val="clear" w:color="auto" w:fill="auto"/>
            <w:noWrap/>
            <w:vAlign w:val="bottom"/>
            <w:hideMark/>
          </w:tcPr>
          <w:p w14:paraId="1FD06805"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33 100,0</w:t>
            </w:r>
          </w:p>
        </w:tc>
        <w:tc>
          <w:tcPr>
            <w:tcW w:w="652" w:type="pct"/>
            <w:shd w:val="clear" w:color="auto" w:fill="auto"/>
            <w:noWrap/>
            <w:vAlign w:val="bottom"/>
            <w:hideMark/>
          </w:tcPr>
          <w:p w14:paraId="19333E97"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33 879,0</w:t>
            </w:r>
          </w:p>
        </w:tc>
        <w:tc>
          <w:tcPr>
            <w:tcW w:w="121" w:type="pct"/>
            <w:vMerge/>
            <w:shd w:val="clear" w:color="auto" w:fill="auto"/>
            <w:noWrap/>
            <w:vAlign w:val="bottom"/>
            <w:hideMark/>
          </w:tcPr>
          <w:p w14:paraId="5DF4F83A"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p>
        </w:tc>
        <w:tc>
          <w:tcPr>
            <w:tcW w:w="601" w:type="pct"/>
            <w:shd w:val="clear" w:color="auto" w:fill="auto"/>
            <w:noWrap/>
            <w:vAlign w:val="bottom"/>
            <w:hideMark/>
          </w:tcPr>
          <w:p w14:paraId="19E3ACF4"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779,0</w:t>
            </w:r>
          </w:p>
        </w:tc>
        <w:tc>
          <w:tcPr>
            <w:tcW w:w="601" w:type="pct"/>
            <w:shd w:val="clear" w:color="auto" w:fill="auto"/>
            <w:noWrap/>
            <w:vAlign w:val="bottom"/>
            <w:hideMark/>
          </w:tcPr>
          <w:p w14:paraId="4E6EC4FC"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895,6</w:t>
            </w:r>
          </w:p>
        </w:tc>
        <w:tc>
          <w:tcPr>
            <w:tcW w:w="733" w:type="pct"/>
            <w:shd w:val="clear" w:color="auto" w:fill="auto"/>
            <w:noWrap/>
            <w:vAlign w:val="bottom"/>
            <w:hideMark/>
          </w:tcPr>
          <w:p w14:paraId="0A87E82B"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2,35 per cent</w:t>
            </w:r>
          </w:p>
        </w:tc>
        <w:tc>
          <w:tcPr>
            <w:tcW w:w="733" w:type="pct"/>
            <w:shd w:val="clear" w:color="auto" w:fill="auto"/>
            <w:noWrap/>
            <w:vAlign w:val="bottom"/>
            <w:hideMark/>
          </w:tcPr>
          <w:p w14:paraId="1AE26D53"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-2,71 per cent</w:t>
            </w:r>
          </w:p>
        </w:tc>
      </w:tr>
      <w:tr w:rsidR="006A17FE" w:rsidRPr="000A4369" w14:paraId="6C82D01B" w14:textId="77777777" w:rsidTr="002D00EA">
        <w:trPr>
          <w:trHeight w:val="480"/>
        </w:trPr>
        <w:tc>
          <w:tcPr>
            <w:tcW w:w="909" w:type="pct"/>
            <w:shd w:val="clear" w:color="auto" w:fill="auto"/>
            <w:vAlign w:val="bottom"/>
            <w:hideMark/>
          </w:tcPr>
          <w:p w14:paraId="49A1E82D" w14:textId="77777777" w:rsidR="006A17FE" w:rsidRPr="000A4369" w:rsidRDefault="006A17FE" w:rsidP="006A17FE">
            <w:pPr>
              <w:numPr>
                <w:ilvl w:val="0"/>
                <w:numId w:val="28"/>
              </w:numPr>
              <w:spacing w:after="0" w:line="240" w:lineRule="auto"/>
              <w:ind w:left="313" w:hanging="313"/>
              <w:contextualSpacing/>
              <w:jc w:val="both"/>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Municipal Systems Improvement Grant</w:t>
            </w:r>
          </w:p>
        </w:tc>
        <w:tc>
          <w:tcPr>
            <w:tcW w:w="651" w:type="pct"/>
            <w:shd w:val="clear" w:color="auto" w:fill="auto"/>
            <w:noWrap/>
            <w:vAlign w:val="bottom"/>
            <w:hideMark/>
          </w:tcPr>
          <w:p w14:paraId="6354D5B2"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115 116,0</w:t>
            </w:r>
          </w:p>
        </w:tc>
        <w:tc>
          <w:tcPr>
            <w:tcW w:w="652" w:type="pct"/>
            <w:shd w:val="clear" w:color="auto" w:fill="auto"/>
            <w:noWrap/>
            <w:vAlign w:val="bottom"/>
            <w:hideMark/>
          </w:tcPr>
          <w:p w14:paraId="4896F537"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121 562,0</w:t>
            </w:r>
          </w:p>
        </w:tc>
        <w:tc>
          <w:tcPr>
            <w:tcW w:w="121" w:type="pct"/>
            <w:vMerge/>
            <w:shd w:val="clear" w:color="auto" w:fill="auto"/>
            <w:noWrap/>
            <w:vAlign w:val="bottom"/>
            <w:hideMark/>
          </w:tcPr>
          <w:p w14:paraId="624A19DE"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p>
        </w:tc>
        <w:tc>
          <w:tcPr>
            <w:tcW w:w="601" w:type="pct"/>
            <w:shd w:val="clear" w:color="auto" w:fill="auto"/>
            <w:noWrap/>
            <w:vAlign w:val="bottom"/>
            <w:hideMark/>
          </w:tcPr>
          <w:p w14:paraId="4FCF4026"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6 446,0</w:t>
            </w:r>
          </w:p>
        </w:tc>
        <w:tc>
          <w:tcPr>
            <w:tcW w:w="601" w:type="pct"/>
            <w:shd w:val="clear" w:color="auto" w:fill="auto"/>
            <w:noWrap/>
            <w:vAlign w:val="bottom"/>
            <w:hideMark/>
          </w:tcPr>
          <w:p w14:paraId="5CDCDE39"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 xml:space="preserve">  437,2</w:t>
            </w:r>
          </w:p>
        </w:tc>
        <w:tc>
          <w:tcPr>
            <w:tcW w:w="733" w:type="pct"/>
            <w:shd w:val="clear" w:color="auto" w:fill="auto"/>
            <w:noWrap/>
            <w:vAlign w:val="bottom"/>
            <w:hideMark/>
          </w:tcPr>
          <w:p w14:paraId="20462A8B"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5,60 per cent</w:t>
            </w:r>
          </w:p>
        </w:tc>
        <w:tc>
          <w:tcPr>
            <w:tcW w:w="733" w:type="pct"/>
            <w:shd w:val="clear" w:color="auto" w:fill="auto"/>
            <w:noWrap/>
            <w:vAlign w:val="bottom"/>
            <w:hideMark/>
          </w:tcPr>
          <w:p w14:paraId="3EDAD74F" w14:textId="77777777" w:rsidR="006A17FE" w:rsidRPr="000A4369" w:rsidRDefault="006A17FE" w:rsidP="006A17FE">
            <w:pPr>
              <w:spacing w:after="0" w:line="240" w:lineRule="auto"/>
              <w:jc w:val="right"/>
              <w:rPr>
                <w:rFonts w:ascii="Times New Roman" w:eastAsia="Times New Roman" w:hAnsi="Times New Roman" w:cs="Times New Roman"/>
                <w:sz w:val="18"/>
                <w:szCs w:val="20"/>
                <w:lang w:eastAsia="en-ZA"/>
              </w:rPr>
            </w:pPr>
            <w:r w:rsidRPr="000A4369">
              <w:rPr>
                <w:rFonts w:ascii="Times New Roman" w:eastAsia="Times New Roman" w:hAnsi="Times New Roman" w:cs="Times New Roman"/>
                <w:sz w:val="18"/>
                <w:szCs w:val="20"/>
                <w:lang w:eastAsia="en-ZA"/>
              </w:rPr>
              <w:t>0,38 per cent</w:t>
            </w:r>
          </w:p>
        </w:tc>
      </w:tr>
      <w:tr w:rsidR="006A17FE" w:rsidRPr="000A4369" w14:paraId="020D1A58" w14:textId="77777777" w:rsidTr="002D00EA">
        <w:trPr>
          <w:trHeight w:val="480"/>
        </w:trPr>
        <w:tc>
          <w:tcPr>
            <w:tcW w:w="909" w:type="pct"/>
            <w:shd w:val="clear" w:color="auto" w:fill="auto"/>
            <w:vAlign w:val="bottom"/>
            <w:hideMark/>
          </w:tcPr>
          <w:p w14:paraId="717696EA" w14:textId="77777777" w:rsidR="006A17FE" w:rsidRPr="000A4369" w:rsidRDefault="006A17FE" w:rsidP="006A17FE">
            <w:pPr>
              <w:numPr>
                <w:ilvl w:val="0"/>
                <w:numId w:val="28"/>
              </w:numPr>
              <w:spacing w:after="0" w:line="240" w:lineRule="auto"/>
              <w:ind w:left="313" w:hanging="313"/>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Department of Traditional Affairs</w:t>
            </w:r>
          </w:p>
        </w:tc>
        <w:tc>
          <w:tcPr>
            <w:tcW w:w="651" w:type="pct"/>
            <w:shd w:val="clear" w:color="auto" w:fill="auto"/>
            <w:noWrap/>
            <w:vAlign w:val="bottom"/>
            <w:hideMark/>
          </w:tcPr>
          <w:p w14:paraId="6D8879A1" w14:textId="77777777" w:rsidR="006A17FE" w:rsidRPr="000A4369" w:rsidRDefault="006A17FE" w:rsidP="006A17FE">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163 306,0</w:t>
            </w:r>
          </w:p>
        </w:tc>
        <w:tc>
          <w:tcPr>
            <w:tcW w:w="652" w:type="pct"/>
            <w:shd w:val="clear" w:color="auto" w:fill="auto"/>
            <w:noWrap/>
            <w:vAlign w:val="bottom"/>
            <w:hideMark/>
          </w:tcPr>
          <w:p w14:paraId="27AF019D" w14:textId="77777777" w:rsidR="006A17FE" w:rsidRPr="000A4369" w:rsidRDefault="006A17FE" w:rsidP="006A17FE">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163 351,0</w:t>
            </w:r>
          </w:p>
        </w:tc>
        <w:tc>
          <w:tcPr>
            <w:tcW w:w="121" w:type="pct"/>
            <w:vMerge/>
            <w:shd w:val="clear" w:color="auto" w:fill="auto"/>
            <w:noWrap/>
            <w:vAlign w:val="bottom"/>
            <w:hideMark/>
          </w:tcPr>
          <w:p w14:paraId="7FDD9BB4" w14:textId="77777777" w:rsidR="006A17FE" w:rsidRPr="000A4369" w:rsidRDefault="006A17FE" w:rsidP="006A17FE">
            <w:pPr>
              <w:spacing w:after="0" w:line="240" w:lineRule="auto"/>
              <w:jc w:val="right"/>
              <w:rPr>
                <w:rFonts w:ascii="Times New Roman" w:eastAsia="Times New Roman" w:hAnsi="Times New Roman" w:cs="Times New Roman"/>
                <w:sz w:val="18"/>
                <w:szCs w:val="18"/>
                <w:lang w:eastAsia="en-ZA"/>
              </w:rPr>
            </w:pPr>
          </w:p>
        </w:tc>
        <w:tc>
          <w:tcPr>
            <w:tcW w:w="601" w:type="pct"/>
            <w:shd w:val="clear" w:color="auto" w:fill="auto"/>
            <w:noWrap/>
            <w:vAlign w:val="bottom"/>
            <w:hideMark/>
          </w:tcPr>
          <w:p w14:paraId="73AB4704" w14:textId="77777777" w:rsidR="006A17FE" w:rsidRPr="000A4369" w:rsidRDefault="006A17FE" w:rsidP="006A17FE">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45,0</w:t>
            </w:r>
          </w:p>
        </w:tc>
        <w:tc>
          <w:tcPr>
            <w:tcW w:w="601" w:type="pct"/>
            <w:shd w:val="clear" w:color="auto" w:fill="auto"/>
            <w:noWrap/>
            <w:vAlign w:val="bottom"/>
            <w:hideMark/>
          </w:tcPr>
          <w:p w14:paraId="0CD063C2" w14:textId="77777777" w:rsidR="006A17FE" w:rsidRPr="000A4369" w:rsidRDefault="006A17FE" w:rsidP="006A17FE">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- 8 029,4</w:t>
            </w:r>
          </w:p>
        </w:tc>
        <w:tc>
          <w:tcPr>
            <w:tcW w:w="733" w:type="pct"/>
            <w:shd w:val="clear" w:color="auto" w:fill="auto"/>
            <w:noWrap/>
            <w:vAlign w:val="bottom"/>
            <w:hideMark/>
          </w:tcPr>
          <w:p w14:paraId="318FD455" w14:textId="77777777" w:rsidR="006A17FE" w:rsidRPr="000A4369" w:rsidRDefault="006A17FE" w:rsidP="006A17FE">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0,03 per cent</w:t>
            </w:r>
          </w:p>
        </w:tc>
        <w:tc>
          <w:tcPr>
            <w:tcW w:w="733" w:type="pct"/>
            <w:shd w:val="clear" w:color="auto" w:fill="auto"/>
            <w:noWrap/>
            <w:vAlign w:val="bottom"/>
            <w:hideMark/>
          </w:tcPr>
          <w:p w14:paraId="75D185F6" w14:textId="77777777" w:rsidR="006A17FE" w:rsidRPr="000A4369" w:rsidRDefault="006A17FE" w:rsidP="006A17FE">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-4,92 per cent</w:t>
            </w:r>
          </w:p>
        </w:tc>
      </w:tr>
      <w:tr w:rsidR="006A17FE" w:rsidRPr="000A4369" w14:paraId="69CD9509" w14:textId="77777777" w:rsidTr="002D00EA">
        <w:trPr>
          <w:trHeight w:val="480"/>
        </w:trPr>
        <w:tc>
          <w:tcPr>
            <w:tcW w:w="909" w:type="pct"/>
            <w:shd w:val="clear" w:color="auto" w:fill="auto"/>
            <w:vAlign w:val="bottom"/>
            <w:hideMark/>
          </w:tcPr>
          <w:p w14:paraId="4BB84BB4" w14:textId="77777777" w:rsidR="006A17FE" w:rsidRPr="000A4369" w:rsidRDefault="006A17FE" w:rsidP="006A17FE">
            <w:pPr>
              <w:numPr>
                <w:ilvl w:val="0"/>
                <w:numId w:val="28"/>
              </w:numPr>
              <w:spacing w:after="0" w:line="240" w:lineRule="auto"/>
              <w:ind w:left="313" w:hanging="313"/>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United Cities and Local Government of Africa</w:t>
            </w:r>
          </w:p>
        </w:tc>
        <w:tc>
          <w:tcPr>
            <w:tcW w:w="651" w:type="pct"/>
            <w:shd w:val="clear" w:color="auto" w:fill="auto"/>
            <w:noWrap/>
            <w:vAlign w:val="bottom"/>
            <w:hideMark/>
          </w:tcPr>
          <w:p w14:paraId="783D18E6" w14:textId="77777777" w:rsidR="006A17FE" w:rsidRPr="000A4369" w:rsidRDefault="006A17FE" w:rsidP="006A17FE">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6 782,0</w:t>
            </w:r>
          </w:p>
        </w:tc>
        <w:tc>
          <w:tcPr>
            <w:tcW w:w="652" w:type="pct"/>
            <w:shd w:val="clear" w:color="auto" w:fill="auto"/>
            <w:noWrap/>
            <w:vAlign w:val="bottom"/>
            <w:hideMark/>
          </w:tcPr>
          <w:p w14:paraId="5AF11E99" w14:textId="77777777" w:rsidR="006A17FE" w:rsidRPr="000A4369" w:rsidRDefault="006A17FE" w:rsidP="006A17FE">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7 162,0</w:t>
            </w:r>
          </w:p>
        </w:tc>
        <w:tc>
          <w:tcPr>
            <w:tcW w:w="121" w:type="pct"/>
            <w:vMerge/>
            <w:shd w:val="clear" w:color="auto" w:fill="auto"/>
            <w:noWrap/>
            <w:vAlign w:val="bottom"/>
            <w:hideMark/>
          </w:tcPr>
          <w:p w14:paraId="6F2FB4E9" w14:textId="77777777" w:rsidR="006A17FE" w:rsidRPr="000A4369" w:rsidRDefault="006A17FE" w:rsidP="006A17FE">
            <w:pPr>
              <w:spacing w:after="0" w:line="240" w:lineRule="auto"/>
              <w:jc w:val="right"/>
              <w:rPr>
                <w:rFonts w:ascii="Times New Roman" w:eastAsia="Times New Roman" w:hAnsi="Times New Roman" w:cs="Times New Roman"/>
                <w:sz w:val="18"/>
                <w:szCs w:val="18"/>
                <w:lang w:eastAsia="en-ZA"/>
              </w:rPr>
            </w:pPr>
          </w:p>
        </w:tc>
        <w:tc>
          <w:tcPr>
            <w:tcW w:w="601" w:type="pct"/>
            <w:shd w:val="clear" w:color="auto" w:fill="auto"/>
            <w:noWrap/>
            <w:vAlign w:val="bottom"/>
            <w:hideMark/>
          </w:tcPr>
          <w:p w14:paraId="143C4CFA" w14:textId="77777777" w:rsidR="006A17FE" w:rsidRPr="000A4369" w:rsidRDefault="006A17FE" w:rsidP="006A17FE">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380,0</w:t>
            </w:r>
          </w:p>
        </w:tc>
        <w:tc>
          <w:tcPr>
            <w:tcW w:w="601" w:type="pct"/>
            <w:shd w:val="clear" w:color="auto" w:fill="auto"/>
            <w:noWrap/>
            <w:vAlign w:val="bottom"/>
            <w:hideMark/>
          </w:tcPr>
          <w:p w14:paraId="6861CFE2" w14:textId="77777777" w:rsidR="006A17FE" w:rsidRPr="000A4369" w:rsidRDefault="006A17FE" w:rsidP="006A17FE">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26,0</w:t>
            </w:r>
          </w:p>
        </w:tc>
        <w:tc>
          <w:tcPr>
            <w:tcW w:w="733" w:type="pct"/>
            <w:shd w:val="clear" w:color="auto" w:fill="auto"/>
            <w:noWrap/>
            <w:vAlign w:val="bottom"/>
            <w:hideMark/>
          </w:tcPr>
          <w:p w14:paraId="0B7112BB" w14:textId="77777777" w:rsidR="006A17FE" w:rsidRPr="000A4369" w:rsidRDefault="006A17FE" w:rsidP="006A17FE">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5,60 per cent</w:t>
            </w:r>
          </w:p>
        </w:tc>
        <w:tc>
          <w:tcPr>
            <w:tcW w:w="733" w:type="pct"/>
            <w:shd w:val="clear" w:color="auto" w:fill="auto"/>
            <w:noWrap/>
            <w:vAlign w:val="bottom"/>
            <w:hideMark/>
          </w:tcPr>
          <w:p w14:paraId="0BE84C8E" w14:textId="77777777" w:rsidR="006A17FE" w:rsidRPr="000A4369" w:rsidRDefault="006A17FE" w:rsidP="006A17FE">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0,38 per cent</w:t>
            </w:r>
          </w:p>
        </w:tc>
      </w:tr>
      <w:tr w:rsidR="006A17FE" w:rsidRPr="000A4369" w14:paraId="7E0056DA" w14:textId="77777777" w:rsidTr="002D00EA">
        <w:trPr>
          <w:trHeight w:val="255"/>
        </w:trPr>
        <w:tc>
          <w:tcPr>
            <w:tcW w:w="909" w:type="pct"/>
            <w:shd w:val="clear" w:color="auto" w:fill="auto"/>
            <w:noWrap/>
            <w:vAlign w:val="bottom"/>
            <w:hideMark/>
          </w:tcPr>
          <w:p w14:paraId="0EDB75FB" w14:textId="77777777" w:rsidR="006A17FE" w:rsidRPr="000A4369" w:rsidRDefault="006A17FE" w:rsidP="006A17FE">
            <w:pPr>
              <w:spacing w:after="0" w:line="240" w:lineRule="auto"/>
              <w:jc w:val="right"/>
              <w:rPr>
                <w:rFonts w:ascii="Times New Roman" w:eastAsia="Times New Roman" w:hAnsi="Times New Roman" w:cs="Times New Roman"/>
                <w:sz w:val="18"/>
                <w:szCs w:val="18"/>
                <w:lang w:eastAsia="en-ZA"/>
              </w:rPr>
            </w:pPr>
          </w:p>
        </w:tc>
        <w:tc>
          <w:tcPr>
            <w:tcW w:w="651" w:type="pct"/>
            <w:shd w:val="clear" w:color="auto" w:fill="auto"/>
            <w:noWrap/>
            <w:vAlign w:val="bottom"/>
            <w:hideMark/>
          </w:tcPr>
          <w:p w14:paraId="1449CD64" w14:textId="77777777" w:rsidR="006A17FE" w:rsidRPr="000A4369" w:rsidRDefault="006A17FE" w:rsidP="006A17FE">
            <w:pPr>
              <w:spacing w:after="0" w:line="240" w:lineRule="auto"/>
              <w:rPr>
                <w:rFonts w:ascii="Times New Roman" w:eastAsia="Times New Roman" w:hAnsi="Times New Roman" w:cs="Times New Roman"/>
                <w:sz w:val="20"/>
                <w:szCs w:val="20"/>
                <w:lang w:eastAsia="en-ZA"/>
              </w:rPr>
            </w:pPr>
          </w:p>
        </w:tc>
        <w:tc>
          <w:tcPr>
            <w:tcW w:w="652" w:type="pct"/>
            <w:shd w:val="clear" w:color="auto" w:fill="auto"/>
            <w:noWrap/>
            <w:vAlign w:val="bottom"/>
            <w:hideMark/>
          </w:tcPr>
          <w:p w14:paraId="6E59396F" w14:textId="77777777" w:rsidR="006A17FE" w:rsidRPr="000A4369" w:rsidRDefault="006A17FE" w:rsidP="006A17FE">
            <w:pPr>
              <w:spacing w:after="0" w:line="240" w:lineRule="auto"/>
              <w:rPr>
                <w:rFonts w:ascii="Times New Roman" w:eastAsia="Times New Roman" w:hAnsi="Times New Roman" w:cs="Times New Roman"/>
                <w:sz w:val="20"/>
                <w:szCs w:val="20"/>
                <w:lang w:eastAsia="en-ZA"/>
              </w:rPr>
            </w:pPr>
          </w:p>
        </w:tc>
        <w:tc>
          <w:tcPr>
            <w:tcW w:w="121" w:type="pct"/>
            <w:vMerge/>
            <w:shd w:val="clear" w:color="auto" w:fill="auto"/>
            <w:noWrap/>
            <w:vAlign w:val="bottom"/>
            <w:hideMark/>
          </w:tcPr>
          <w:p w14:paraId="6FFD5BCB" w14:textId="77777777" w:rsidR="006A17FE" w:rsidRPr="000A4369" w:rsidRDefault="006A17FE" w:rsidP="006A17FE">
            <w:pPr>
              <w:spacing w:after="0" w:line="240" w:lineRule="auto"/>
              <w:jc w:val="right"/>
              <w:rPr>
                <w:rFonts w:ascii="Times New Roman" w:eastAsia="Times New Roman" w:hAnsi="Times New Roman" w:cs="Times New Roman"/>
                <w:sz w:val="20"/>
                <w:szCs w:val="20"/>
                <w:lang w:eastAsia="en-ZA"/>
              </w:rPr>
            </w:pPr>
          </w:p>
        </w:tc>
        <w:tc>
          <w:tcPr>
            <w:tcW w:w="601" w:type="pct"/>
            <w:shd w:val="clear" w:color="auto" w:fill="auto"/>
            <w:noWrap/>
            <w:vAlign w:val="bottom"/>
            <w:hideMark/>
          </w:tcPr>
          <w:p w14:paraId="65B78057" w14:textId="77777777" w:rsidR="006A17FE" w:rsidRPr="000A4369" w:rsidRDefault="006A17FE" w:rsidP="006A17FE">
            <w:pPr>
              <w:spacing w:after="0" w:line="240" w:lineRule="auto"/>
              <w:rPr>
                <w:rFonts w:ascii="Times New Roman" w:eastAsia="Times New Roman" w:hAnsi="Times New Roman" w:cs="Times New Roman"/>
                <w:sz w:val="20"/>
                <w:szCs w:val="20"/>
                <w:lang w:eastAsia="en-ZA"/>
              </w:rPr>
            </w:pPr>
          </w:p>
        </w:tc>
        <w:tc>
          <w:tcPr>
            <w:tcW w:w="601" w:type="pct"/>
            <w:shd w:val="clear" w:color="auto" w:fill="auto"/>
            <w:noWrap/>
            <w:vAlign w:val="bottom"/>
            <w:hideMark/>
          </w:tcPr>
          <w:p w14:paraId="4BC384B6" w14:textId="77777777" w:rsidR="006A17FE" w:rsidRPr="000A4369" w:rsidRDefault="006A17FE" w:rsidP="006A17FE">
            <w:pPr>
              <w:spacing w:after="0" w:line="240" w:lineRule="auto"/>
              <w:rPr>
                <w:rFonts w:ascii="Times New Roman" w:eastAsia="Times New Roman" w:hAnsi="Times New Roman" w:cs="Times New Roman"/>
                <w:sz w:val="20"/>
                <w:szCs w:val="20"/>
                <w:lang w:eastAsia="en-ZA"/>
              </w:rPr>
            </w:pPr>
          </w:p>
        </w:tc>
        <w:tc>
          <w:tcPr>
            <w:tcW w:w="733" w:type="pct"/>
            <w:shd w:val="clear" w:color="auto" w:fill="auto"/>
            <w:noWrap/>
            <w:vAlign w:val="bottom"/>
            <w:hideMark/>
          </w:tcPr>
          <w:p w14:paraId="26C724AB" w14:textId="77777777" w:rsidR="006A17FE" w:rsidRPr="000A4369" w:rsidRDefault="006A17FE" w:rsidP="006A17FE">
            <w:pPr>
              <w:spacing w:after="0" w:line="240" w:lineRule="auto"/>
              <w:rPr>
                <w:rFonts w:ascii="Times New Roman" w:eastAsia="Times New Roman" w:hAnsi="Times New Roman" w:cs="Times New Roman"/>
                <w:sz w:val="20"/>
                <w:szCs w:val="20"/>
                <w:lang w:eastAsia="en-ZA"/>
              </w:rPr>
            </w:pPr>
          </w:p>
        </w:tc>
        <w:tc>
          <w:tcPr>
            <w:tcW w:w="733" w:type="pct"/>
            <w:shd w:val="clear" w:color="auto" w:fill="auto"/>
            <w:noWrap/>
            <w:vAlign w:val="bottom"/>
            <w:hideMark/>
          </w:tcPr>
          <w:p w14:paraId="40D672D6" w14:textId="77777777" w:rsidR="006A17FE" w:rsidRPr="000A4369" w:rsidRDefault="006A17FE" w:rsidP="006A17FE">
            <w:pPr>
              <w:spacing w:after="0" w:line="240" w:lineRule="auto"/>
              <w:rPr>
                <w:rFonts w:ascii="Times New Roman" w:eastAsia="Times New Roman" w:hAnsi="Times New Roman" w:cs="Times New Roman"/>
                <w:sz w:val="20"/>
                <w:szCs w:val="20"/>
                <w:lang w:eastAsia="en-ZA"/>
              </w:rPr>
            </w:pPr>
          </w:p>
        </w:tc>
      </w:tr>
      <w:tr w:rsidR="006A17FE" w:rsidRPr="000A4369" w14:paraId="1FBB6017" w14:textId="77777777" w:rsidTr="002D00EA">
        <w:trPr>
          <w:trHeight w:val="270"/>
        </w:trPr>
        <w:tc>
          <w:tcPr>
            <w:tcW w:w="909" w:type="pct"/>
            <w:shd w:val="clear" w:color="auto" w:fill="auto"/>
            <w:noWrap/>
            <w:vAlign w:val="bottom"/>
            <w:hideMark/>
          </w:tcPr>
          <w:p w14:paraId="6E10E49A" w14:textId="77777777" w:rsidR="006A17FE" w:rsidRPr="000A4369" w:rsidRDefault="006A17FE" w:rsidP="006A17FE">
            <w:pPr>
              <w:spacing w:after="0" w:line="240" w:lineRule="auto"/>
              <w:rPr>
                <w:rFonts w:ascii="Times New Roman" w:eastAsia="Times New Roman" w:hAnsi="Times New Roman" w:cs="Times New Roman"/>
                <w:b/>
                <w:bCs/>
                <w:sz w:val="16"/>
                <w:szCs w:val="16"/>
                <w:lang w:eastAsia="en-ZA"/>
              </w:rPr>
            </w:pPr>
            <w:r w:rsidRPr="000A4369">
              <w:rPr>
                <w:rFonts w:ascii="Times New Roman" w:eastAsia="Times New Roman" w:hAnsi="Times New Roman" w:cs="Times New Roman"/>
                <w:b/>
                <w:bCs/>
                <w:sz w:val="16"/>
                <w:szCs w:val="16"/>
                <w:lang w:eastAsia="en-ZA"/>
              </w:rPr>
              <w:t>TOTAL</w:t>
            </w:r>
          </w:p>
        </w:tc>
        <w:tc>
          <w:tcPr>
            <w:tcW w:w="651" w:type="pct"/>
            <w:shd w:val="clear" w:color="auto" w:fill="auto"/>
            <w:noWrap/>
            <w:vAlign w:val="bottom"/>
            <w:hideMark/>
          </w:tcPr>
          <w:p w14:paraId="191EC815" w14:textId="77777777" w:rsidR="006A17FE" w:rsidRPr="000A4369" w:rsidRDefault="006A17FE" w:rsidP="006A17FE">
            <w:pPr>
              <w:spacing w:after="0" w:line="240" w:lineRule="auto"/>
              <w:jc w:val="right"/>
              <w:rPr>
                <w:rFonts w:ascii="Times New Roman" w:eastAsia="Times New Roman" w:hAnsi="Times New Roman" w:cs="Times New Roman"/>
                <w:b/>
                <w:bCs/>
                <w:sz w:val="16"/>
                <w:szCs w:val="16"/>
                <w:lang w:eastAsia="en-ZA"/>
              </w:rPr>
            </w:pPr>
            <w:r w:rsidRPr="000A4369">
              <w:rPr>
                <w:rFonts w:ascii="Times New Roman" w:eastAsia="Times New Roman" w:hAnsi="Times New Roman" w:cs="Times New Roman"/>
                <w:b/>
                <w:bCs/>
                <w:sz w:val="16"/>
                <w:szCs w:val="16"/>
                <w:lang w:eastAsia="en-ZA"/>
              </w:rPr>
              <w:t>63 114 736,0</w:t>
            </w:r>
          </w:p>
        </w:tc>
        <w:tc>
          <w:tcPr>
            <w:tcW w:w="652" w:type="pct"/>
            <w:shd w:val="clear" w:color="auto" w:fill="auto"/>
            <w:noWrap/>
            <w:vAlign w:val="bottom"/>
            <w:hideMark/>
          </w:tcPr>
          <w:p w14:paraId="4CEE82E7" w14:textId="77777777" w:rsidR="006A17FE" w:rsidRPr="000A4369" w:rsidRDefault="006A17FE" w:rsidP="006A17FE">
            <w:pPr>
              <w:spacing w:after="0" w:line="240" w:lineRule="auto"/>
              <w:jc w:val="right"/>
              <w:rPr>
                <w:rFonts w:ascii="Times New Roman" w:eastAsia="Times New Roman" w:hAnsi="Times New Roman" w:cs="Times New Roman"/>
                <w:b/>
                <w:bCs/>
                <w:sz w:val="16"/>
                <w:szCs w:val="16"/>
                <w:lang w:eastAsia="en-ZA"/>
              </w:rPr>
            </w:pPr>
            <w:r w:rsidRPr="000A4369">
              <w:rPr>
                <w:rFonts w:ascii="Times New Roman" w:eastAsia="Times New Roman" w:hAnsi="Times New Roman" w:cs="Times New Roman"/>
                <w:b/>
                <w:bCs/>
                <w:sz w:val="16"/>
                <w:szCs w:val="16"/>
                <w:lang w:eastAsia="en-ZA"/>
              </w:rPr>
              <w:t>69 370 327,0</w:t>
            </w:r>
          </w:p>
        </w:tc>
        <w:tc>
          <w:tcPr>
            <w:tcW w:w="121" w:type="pct"/>
            <w:vMerge/>
            <w:shd w:val="clear" w:color="auto" w:fill="auto"/>
            <w:noWrap/>
            <w:vAlign w:val="bottom"/>
            <w:hideMark/>
          </w:tcPr>
          <w:p w14:paraId="7520B760" w14:textId="77777777" w:rsidR="006A17FE" w:rsidRPr="000A4369" w:rsidRDefault="006A17FE" w:rsidP="006A17FE">
            <w:pPr>
              <w:spacing w:after="0" w:line="240" w:lineRule="auto"/>
              <w:jc w:val="right"/>
              <w:rPr>
                <w:rFonts w:ascii="Times New Roman" w:eastAsia="Times New Roman" w:hAnsi="Times New Roman" w:cs="Times New Roman"/>
                <w:b/>
                <w:bCs/>
                <w:sz w:val="16"/>
                <w:szCs w:val="16"/>
                <w:lang w:eastAsia="en-ZA"/>
              </w:rPr>
            </w:pPr>
          </w:p>
        </w:tc>
        <w:tc>
          <w:tcPr>
            <w:tcW w:w="601" w:type="pct"/>
            <w:shd w:val="clear" w:color="auto" w:fill="auto"/>
            <w:noWrap/>
            <w:vAlign w:val="bottom"/>
            <w:hideMark/>
          </w:tcPr>
          <w:p w14:paraId="0327C774" w14:textId="77777777" w:rsidR="006A17FE" w:rsidRPr="000A4369" w:rsidRDefault="006A17FE" w:rsidP="006A17FE">
            <w:pPr>
              <w:spacing w:after="0" w:line="240" w:lineRule="auto"/>
              <w:jc w:val="right"/>
              <w:rPr>
                <w:rFonts w:ascii="Times New Roman" w:eastAsia="Times New Roman" w:hAnsi="Times New Roman" w:cs="Times New Roman"/>
                <w:b/>
                <w:bCs/>
                <w:sz w:val="16"/>
                <w:szCs w:val="16"/>
                <w:lang w:eastAsia="en-ZA"/>
              </w:rPr>
            </w:pPr>
            <w:r w:rsidRPr="000A4369">
              <w:rPr>
                <w:rFonts w:ascii="Times New Roman" w:eastAsia="Times New Roman" w:hAnsi="Times New Roman" w:cs="Times New Roman"/>
                <w:b/>
                <w:bCs/>
                <w:sz w:val="16"/>
                <w:szCs w:val="16"/>
                <w:lang w:eastAsia="en-ZA"/>
              </w:rPr>
              <w:t>6 255 591,0</w:t>
            </w:r>
          </w:p>
        </w:tc>
        <w:tc>
          <w:tcPr>
            <w:tcW w:w="601" w:type="pct"/>
            <w:shd w:val="clear" w:color="auto" w:fill="auto"/>
            <w:noWrap/>
            <w:vAlign w:val="bottom"/>
            <w:hideMark/>
          </w:tcPr>
          <w:p w14:paraId="281B5E12" w14:textId="77777777" w:rsidR="006A17FE" w:rsidRPr="000A4369" w:rsidRDefault="006A17FE" w:rsidP="006A17FE">
            <w:pPr>
              <w:spacing w:after="0" w:line="240" w:lineRule="auto"/>
              <w:jc w:val="right"/>
              <w:rPr>
                <w:rFonts w:ascii="Times New Roman" w:eastAsia="Times New Roman" w:hAnsi="Times New Roman" w:cs="Times New Roman"/>
                <w:b/>
                <w:bCs/>
                <w:sz w:val="16"/>
                <w:szCs w:val="16"/>
                <w:lang w:eastAsia="en-ZA"/>
              </w:rPr>
            </w:pPr>
            <w:r w:rsidRPr="000A4369">
              <w:rPr>
                <w:rFonts w:ascii="Times New Roman" w:eastAsia="Times New Roman" w:hAnsi="Times New Roman" w:cs="Times New Roman"/>
                <w:b/>
                <w:bCs/>
                <w:sz w:val="16"/>
                <w:szCs w:val="16"/>
                <w:lang w:eastAsia="en-ZA"/>
              </w:rPr>
              <w:t>2 826 639,5</w:t>
            </w:r>
          </w:p>
        </w:tc>
        <w:tc>
          <w:tcPr>
            <w:tcW w:w="733" w:type="pct"/>
            <w:shd w:val="clear" w:color="auto" w:fill="auto"/>
            <w:noWrap/>
            <w:vAlign w:val="bottom"/>
            <w:hideMark/>
          </w:tcPr>
          <w:p w14:paraId="3CF4A378" w14:textId="77777777" w:rsidR="006A17FE" w:rsidRPr="000A4369" w:rsidRDefault="006A17FE" w:rsidP="006A17FE">
            <w:pPr>
              <w:spacing w:after="0" w:line="240" w:lineRule="auto"/>
              <w:jc w:val="right"/>
              <w:rPr>
                <w:rFonts w:ascii="Times New Roman" w:eastAsia="Times New Roman" w:hAnsi="Times New Roman" w:cs="Times New Roman"/>
                <w:b/>
                <w:bCs/>
                <w:sz w:val="16"/>
                <w:szCs w:val="16"/>
                <w:lang w:eastAsia="en-ZA"/>
              </w:rPr>
            </w:pPr>
            <w:r w:rsidRPr="000A4369">
              <w:rPr>
                <w:rFonts w:ascii="Times New Roman" w:eastAsia="Times New Roman" w:hAnsi="Times New Roman" w:cs="Times New Roman"/>
                <w:b/>
                <w:bCs/>
                <w:sz w:val="16"/>
                <w:szCs w:val="16"/>
                <w:lang w:eastAsia="en-ZA"/>
              </w:rPr>
              <w:t>9,91 per cent</w:t>
            </w:r>
          </w:p>
        </w:tc>
        <w:tc>
          <w:tcPr>
            <w:tcW w:w="733" w:type="pct"/>
            <w:shd w:val="clear" w:color="auto" w:fill="auto"/>
            <w:noWrap/>
            <w:vAlign w:val="bottom"/>
            <w:hideMark/>
          </w:tcPr>
          <w:p w14:paraId="103015A7" w14:textId="77777777" w:rsidR="006A17FE" w:rsidRPr="000A4369" w:rsidRDefault="006A17FE" w:rsidP="006A17FE">
            <w:pPr>
              <w:spacing w:after="0" w:line="240" w:lineRule="auto"/>
              <w:jc w:val="right"/>
              <w:rPr>
                <w:rFonts w:ascii="Times New Roman" w:eastAsia="Times New Roman" w:hAnsi="Times New Roman" w:cs="Times New Roman"/>
                <w:b/>
                <w:bCs/>
                <w:sz w:val="16"/>
                <w:szCs w:val="16"/>
                <w:lang w:eastAsia="en-ZA"/>
              </w:rPr>
            </w:pPr>
            <w:r w:rsidRPr="000A4369">
              <w:rPr>
                <w:rFonts w:ascii="Times New Roman" w:eastAsia="Times New Roman" w:hAnsi="Times New Roman" w:cs="Times New Roman"/>
                <w:b/>
                <w:bCs/>
                <w:sz w:val="16"/>
                <w:szCs w:val="16"/>
                <w:lang w:eastAsia="en-ZA"/>
              </w:rPr>
              <w:t>4,48 per cent</w:t>
            </w:r>
          </w:p>
        </w:tc>
      </w:tr>
    </w:tbl>
    <w:p w14:paraId="72622393"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39FBBAB6"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093698C9" w14:textId="77777777" w:rsidR="00AA4220" w:rsidRPr="000A4369" w:rsidRDefault="00AA4220" w:rsidP="00AA4220">
      <w:pPr>
        <w:spacing w:after="0" w:line="280" w:lineRule="exact"/>
        <w:jc w:val="both"/>
        <w:rPr>
          <w:rFonts w:ascii="Times New Roman" w:hAnsi="Times New Roman" w:cs="Times New Roman"/>
          <w:bCs/>
          <w:sz w:val="24"/>
          <w:szCs w:val="24"/>
        </w:rPr>
      </w:pPr>
      <w:r w:rsidRPr="000A4369">
        <w:rPr>
          <w:rFonts w:ascii="Times New Roman" w:hAnsi="Times New Roman" w:cs="Times New Roman"/>
          <w:sz w:val="24"/>
          <w:szCs w:val="24"/>
        </w:rPr>
        <w:t>Programme 3 seeks to build institutional resilience in the local government system. As seen in Table 5, the overall allocation to the Programme increases by 4.4 percent in real terms. As Figure 4 illustrates, this percentage increase mainly relates to Sub-programme 7, the LGES, which receives an additional R2.8 billion in real terms. The LGES is unconditional funding designed to fund the provision of free basic services to disadvantaged communities. Its increase covers ‘the anticipated increase in costs of providing free basic services to a growing number of households, and takes account of likely above-inflation increases in the costs of bulk water and electricity.’</w:t>
      </w:r>
      <w:r w:rsidRPr="000A4369">
        <w:rPr>
          <w:rFonts w:ascii="Times New Roman" w:hAnsi="Times New Roman" w:cs="Times New Roman"/>
          <w:sz w:val="24"/>
          <w:szCs w:val="24"/>
          <w:vertAlign w:val="superscript"/>
        </w:rPr>
        <w:footnoteReference w:id="11"/>
      </w:r>
      <w:r w:rsidRPr="000A4369">
        <w:rPr>
          <w:rFonts w:ascii="Times New Roman" w:hAnsi="Times New Roman" w:cs="Times New Roman"/>
          <w:sz w:val="24"/>
          <w:szCs w:val="24"/>
        </w:rPr>
        <w:t xml:space="preserve">This is in line with the Department’s priority of providing members of society with access to </w:t>
      </w:r>
      <w:r w:rsidRPr="000A4369">
        <w:rPr>
          <w:rFonts w:ascii="Times New Roman" w:hAnsi="Times New Roman" w:cs="Times New Roman"/>
          <w:bCs/>
          <w:sz w:val="24"/>
          <w:szCs w:val="24"/>
        </w:rPr>
        <w:t>sustainable and reliable access to basic services.</w:t>
      </w:r>
    </w:p>
    <w:p w14:paraId="0E900122" w14:textId="77777777" w:rsidR="00202C88" w:rsidRPr="000A4369" w:rsidRDefault="00202C88" w:rsidP="00AA4220">
      <w:pPr>
        <w:spacing w:after="0" w:line="280" w:lineRule="exact"/>
        <w:jc w:val="both"/>
        <w:rPr>
          <w:rFonts w:ascii="Times New Roman" w:hAnsi="Times New Roman" w:cs="Times New Roman"/>
          <w:bCs/>
          <w:sz w:val="24"/>
          <w:szCs w:val="24"/>
        </w:rPr>
      </w:pPr>
    </w:p>
    <w:p w14:paraId="45882BF9" w14:textId="77777777" w:rsidR="00202C88" w:rsidRPr="000A4369" w:rsidRDefault="00202C88" w:rsidP="00AA4220">
      <w:pPr>
        <w:spacing w:after="0" w:line="280" w:lineRule="exact"/>
        <w:jc w:val="both"/>
        <w:rPr>
          <w:rFonts w:ascii="Times New Roman" w:hAnsi="Times New Roman" w:cs="Times New Roman"/>
          <w:bCs/>
        </w:rPr>
      </w:pPr>
    </w:p>
    <w:p w14:paraId="140BD942" w14:textId="77777777" w:rsidR="00202C88" w:rsidRPr="000A4369" w:rsidRDefault="00202C88" w:rsidP="00AA4220">
      <w:pPr>
        <w:spacing w:after="0" w:line="280" w:lineRule="exact"/>
        <w:jc w:val="both"/>
        <w:rPr>
          <w:rFonts w:ascii="Times New Roman" w:hAnsi="Times New Roman" w:cs="Times New Roman"/>
        </w:rPr>
      </w:pPr>
      <w:r w:rsidRPr="000A4369">
        <w:rPr>
          <w:rFonts w:ascii="Times New Roman" w:hAnsi="Times New Roman" w:cs="Times New Roman"/>
          <w:noProof/>
          <w:lang w:eastAsia="en-ZA"/>
        </w:rPr>
        <w:drawing>
          <wp:anchor distT="0" distB="0" distL="114300" distR="114300" simplePos="0" relativeHeight="251674624" behindDoc="0" locked="0" layoutInCell="1" allowOverlap="1" wp14:anchorId="5C0DFF9B" wp14:editId="2013C0AA">
            <wp:simplePos x="0" y="0"/>
            <wp:positionH relativeFrom="column">
              <wp:posOffset>0</wp:posOffset>
            </wp:positionH>
            <wp:positionV relativeFrom="paragraph">
              <wp:posOffset>-635</wp:posOffset>
            </wp:positionV>
            <wp:extent cx="5731510" cy="3382645"/>
            <wp:effectExtent l="0" t="0" r="2540" b="8255"/>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259A7EBD" w14:textId="77777777" w:rsidR="00202C88" w:rsidRPr="000A4369" w:rsidRDefault="00202C88" w:rsidP="00AA4220">
      <w:pPr>
        <w:spacing w:after="0" w:line="280" w:lineRule="exact"/>
        <w:jc w:val="both"/>
        <w:rPr>
          <w:rFonts w:ascii="Times New Roman" w:hAnsi="Times New Roman" w:cs="Times New Roman"/>
        </w:rPr>
      </w:pPr>
    </w:p>
    <w:p w14:paraId="32FCD042" w14:textId="77777777" w:rsidR="00202C88" w:rsidRPr="000A4369" w:rsidRDefault="00202C88" w:rsidP="00AA4220">
      <w:pPr>
        <w:spacing w:after="0" w:line="280" w:lineRule="exact"/>
        <w:jc w:val="both"/>
        <w:rPr>
          <w:rFonts w:ascii="Times New Roman" w:hAnsi="Times New Roman" w:cs="Times New Roman"/>
        </w:rPr>
      </w:pPr>
    </w:p>
    <w:p w14:paraId="27CE4547" w14:textId="77777777" w:rsidR="00202C88" w:rsidRPr="000A4369" w:rsidRDefault="00202C88" w:rsidP="00AA4220">
      <w:pPr>
        <w:spacing w:after="0" w:line="280" w:lineRule="exact"/>
        <w:jc w:val="both"/>
        <w:rPr>
          <w:rFonts w:ascii="Times New Roman" w:hAnsi="Times New Roman" w:cs="Times New Roman"/>
        </w:rPr>
      </w:pPr>
    </w:p>
    <w:p w14:paraId="2F446B58" w14:textId="77777777" w:rsidR="00202C88" w:rsidRPr="000A4369" w:rsidRDefault="00202C88" w:rsidP="00AA4220">
      <w:pPr>
        <w:spacing w:after="0" w:line="280" w:lineRule="exact"/>
        <w:jc w:val="both"/>
        <w:rPr>
          <w:rFonts w:ascii="Times New Roman" w:hAnsi="Times New Roman" w:cs="Times New Roman"/>
        </w:rPr>
      </w:pPr>
    </w:p>
    <w:p w14:paraId="6ED6CB6F" w14:textId="77777777" w:rsidR="00202C88" w:rsidRPr="000A4369" w:rsidRDefault="00202C88" w:rsidP="00AA4220">
      <w:pPr>
        <w:spacing w:after="0" w:line="280" w:lineRule="exact"/>
        <w:jc w:val="both"/>
        <w:rPr>
          <w:rFonts w:ascii="Times New Roman" w:hAnsi="Times New Roman" w:cs="Times New Roman"/>
        </w:rPr>
      </w:pPr>
    </w:p>
    <w:p w14:paraId="41475191" w14:textId="77777777" w:rsidR="00202C88" w:rsidRPr="000A4369" w:rsidRDefault="00202C88" w:rsidP="00AA4220">
      <w:pPr>
        <w:spacing w:after="0" w:line="280" w:lineRule="exact"/>
        <w:jc w:val="both"/>
        <w:rPr>
          <w:rFonts w:ascii="Times New Roman" w:hAnsi="Times New Roman" w:cs="Times New Roman"/>
        </w:rPr>
      </w:pPr>
    </w:p>
    <w:p w14:paraId="68110569" w14:textId="77777777" w:rsidR="00202C88" w:rsidRPr="000A4369" w:rsidRDefault="00202C88" w:rsidP="00AA4220">
      <w:pPr>
        <w:spacing w:after="0" w:line="280" w:lineRule="exact"/>
        <w:jc w:val="both"/>
        <w:rPr>
          <w:rFonts w:ascii="Times New Roman" w:hAnsi="Times New Roman" w:cs="Times New Roman"/>
        </w:rPr>
      </w:pPr>
    </w:p>
    <w:p w14:paraId="70096FE6" w14:textId="77777777" w:rsidR="00202C88" w:rsidRPr="000A4369" w:rsidRDefault="00202C88" w:rsidP="00AA4220">
      <w:pPr>
        <w:spacing w:after="0" w:line="280" w:lineRule="exact"/>
        <w:jc w:val="both"/>
        <w:rPr>
          <w:rFonts w:ascii="Times New Roman" w:hAnsi="Times New Roman" w:cs="Times New Roman"/>
        </w:rPr>
      </w:pPr>
    </w:p>
    <w:p w14:paraId="3516B3D4" w14:textId="77777777" w:rsidR="00202C88" w:rsidRPr="000A4369" w:rsidRDefault="00202C88" w:rsidP="00AA4220">
      <w:pPr>
        <w:spacing w:after="0" w:line="280" w:lineRule="exact"/>
        <w:jc w:val="both"/>
        <w:rPr>
          <w:rFonts w:ascii="Times New Roman" w:hAnsi="Times New Roman" w:cs="Times New Roman"/>
        </w:rPr>
      </w:pPr>
    </w:p>
    <w:p w14:paraId="42FDADCC" w14:textId="77777777" w:rsidR="00202C88" w:rsidRPr="000A4369" w:rsidRDefault="00202C88" w:rsidP="00AA4220">
      <w:pPr>
        <w:spacing w:after="0" w:line="280" w:lineRule="exact"/>
        <w:jc w:val="both"/>
        <w:rPr>
          <w:rFonts w:ascii="Times New Roman" w:hAnsi="Times New Roman" w:cs="Times New Roman"/>
        </w:rPr>
      </w:pPr>
    </w:p>
    <w:p w14:paraId="19014686" w14:textId="77777777" w:rsidR="00202C88" w:rsidRPr="000A4369" w:rsidRDefault="00202C88" w:rsidP="00AA4220">
      <w:pPr>
        <w:spacing w:after="0" w:line="280" w:lineRule="exact"/>
        <w:jc w:val="both"/>
        <w:rPr>
          <w:rFonts w:ascii="Times New Roman" w:hAnsi="Times New Roman" w:cs="Times New Roman"/>
        </w:rPr>
      </w:pPr>
    </w:p>
    <w:p w14:paraId="60FB4D3B" w14:textId="77777777" w:rsidR="00202C88" w:rsidRPr="000A4369" w:rsidRDefault="00202C88" w:rsidP="00AA4220">
      <w:pPr>
        <w:spacing w:after="0" w:line="280" w:lineRule="exact"/>
        <w:jc w:val="both"/>
        <w:rPr>
          <w:rFonts w:ascii="Times New Roman" w:hAnsi="Times New Roman" w:cs="Times New Roman"/>
        </w:rPr>
      </w:pPr>
    </w:p>
    <w:p w14:paraId="23CEC65F" w14:textId="77777777" w:rsidR="00202C88" w:rsidRPr="000A4369" w:rsidRDefault="00202C88" w:rsidP="00AA4220">
      <w:pPr>
        <w:spacing w:after="0" w:line="280" w:lineRule="exact"/>
        <w:jc w:val="both"/>
        <w:rPr>
          <w:rFonts w:ascii="Times New Roman" w:hAnsi="Times New Roman" w:cs="Times New Roman"/>
        </w:rPr>
      </w:pPr>
    </w:p>
    <w:p w14:paraId="4E9D009B" w14:textId="77777777" w:rsidR="00202C88" w:rsidRPr="000A4369" w:rsidRDefault="00202C88" w:rsidP="00AA4220">
      <w:pPr>
        <w:spacing w:after="0" w:line="280" w:lineRule="exact"/>
        <w:jc w:val="both"/>
        <w:rPr>
          <w:rFonts w:ascii="Times New Roman" w:hAnsi="Times New Roman" w:cs="Times New Roman"/>
        </w:rPr>
      </w:pPr>
    </w:p>
    <w:p w14:paraId="782D08D5" w14:textId="77777777" w:rsidR="00202C88" w:rsidRPr="000A4369" w:rsidRDefault="00202C88" w:rsidP="00AA4220">
      <w:pPr>
        <w:spacing w:after="0" w:line="280" w:lineRule="exact"/>
        <w:jc w:val="both"/>
        <w:rPr>
          <w:rFonts w:ascii="Times New Roman" w:hAnsi="Times New Roman" w:cs="Times New Roman"/>
        </w:rPr>
      </w:pPr>
    </w:p>
    <w:p w14:paraId="72B8BB01" w14:textId="77777777" w:rsidR="00202C88" w:rsidRPr="000A4369" w:rsidRDefault="00202C88" w:rsidP="00AA4220">
      <w:pPr>
        <w:spacing w:after="0" w:line="280" w:lineRule="exact"/>
        <w:jc w:val="both"/>
        <w:rPr>
          <w:rFonts w:ascii="Times New Roman" w:hAnsi="Times New Roman" w:cs="Times New Roman"/>
        </w:rPr>
      </w:pPr>
    </w:p>
    <w:p w14:paraId="33EAF74C" w14:textId="77777777" w:rsidR="00202C88" w:rsidRPr="000A4369" w:rsidRDefault="00202C88" w:rsidP="00AA4220">
      <w:pPr>
        <w:spacing w:after="0" w:line="280" w:lineRule="exact"/>
        <w:jc w:val="both"/>
        <w:rPr>
          <w:rFonts w:ascii="Times New Roman" w:hAnsi="Times New Roman" w:cs="Times New Roman"/>
        </w:rPr>
      </w:pPr>
    </w:p>
    <w:p w14:paraId="581DE1AB"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0D674CC5"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4EF8C768" w14:textId="77777777" w:rsidR="00771A8F" w:rsidRPr="000A4369" w:rsidRDefault="00771A8F" w:rsidP="001F76F2">
      <w:pPr>
        <w:spacing w:after="0" w:line="280" w:lineRule="exact"/>
        <w:jc w:val="both"/>
        <w:rPr>
          <w:rFonts w:ascii="Times New Roman" w:eastAsia="Times New Roman" w:hAnsi="Times New Roman" w:cs="Times New Roman"/>
          <w:b/>
          <w:lang w:val="en-GB"/>
        </w:rPr>
      </w:pPr>
    </w:p>
    <w:p w14:paraId="3906B035" w14:textId="77777777" w:rsidR="00771A8F" w:rsidRPr="000A4369" w:rsidRDefault="00202C88" w:rsidP="00E53A4D">
      <w:pPr>
        <w:pStyle w:val="ListParagraph"/>
        <w:numPr>
          <w:ilvl w:val="1"/>
          <w:numId w:val="30"/>
        </w:numPr>
        <w:spacing w:after="0" w:line="280" w:lineRule="exact"/>
        <w:jc w:val="both"/>
        <w:rPr>
          <w:rFonts w:ascii="Times New Roman" w:eastAsia="Times New Roman" w:hAnsi="Times New Roman" w:cs="Times New Roman"/>
          <w:b/>
          <w:lang w:val="en-GB"/>
        </w:rPr>
      </w:pPr>
      <w:r w:rsidRPr="000A4369">
        <w:rPr>
          <w:rFonts w:ascii="Times New Roman" w:eastAsia="Times New Roman" w:hAnsi="Times New Roman" w:cs="Times New Roman"/>
          <w:b/>
          <w:lang w:val="en-GB"/>
        </w:rPr>
        <w:t>Programme 4: National Disaster Management Centre</w:t>
      </w:r>
    </w:p>
    <w:p w14:paraId="50A2A969" w14:textId="77777777" w:rsidR="00202C88" w:rsidRPr="000A4369" w:rsidRDefault="00202C88" w:rsidP="00202C88">
      <w:pPr>
        <w:spacing w:after="0" w:line="280" w:lineRule="exact"/>
        <w:jc w:val="both"/>
        <w:rPr>
          <w:rFonts w:ascii="Times New Roman" w:eastAsia="Times New Roman" w:hAnsi="Times New Roman" w:cs="Times New Roman"/>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085"/>
        <w:gridCol w:w="1085"/>
        <w:gridCol w:w="227"/>
        <w:gridCol w:w="1144"/>
        <w:gridCol w:w="1146"/>
        <w:gridCol w:w="1449"/>
        <w:gridCol w:w="1449"/>
      </w:tblGrid>
      <w:tr w:rsidR="00202C88" w:rsidRPr="000A4369" w14:paraId="60929006" w14:textId="77777777" w:rsidTr="002D00EA">
        <w:trPr>
          <w:trHeight w:val="780"/>
          <w:tblHeader/>
        </w:trPr>
        <w:tc>
          <w:tcPr>
            <w:tcW w:w="896" w:type="pct"/>
            <w:shd w:val="clear" w:color="auto" w:fill="auto"/>
            <w:noWrap/>
            <w:vAlign w:val="bottom"/>
            <w:hideMark/>
          </w:tcPr>
          <w:p w14:paraId="0B49F7EA" w14:textId="77777777" w:rsidR="00202C88" w:rsidRPr="000A4369" w:rsidRDefault="00202C88" w:rsidP="00202C88">
            <w:pPr>
              <w:spacing w:after="0" w:line="240" w:lineRule="auto"/>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Sub-Programme</w:t>
            </w:r>
          </w:p>
        </w:tc>
        <w:tc>
          <w:tcPr>
            <w:tcW w:w="1297" w:type="pct"/>
            <w:gridSpan w:val="3"/>
            <w:shd w:val="clear" w:color="auto" w:fill="auto"/>
            <w:vAlign w:val="center"/>
            <w:hideMark/>
          </w:tcPr>
          <w:p w14:paraId="2FB88C86" w14:textId="77777777" w:rsidR="00202C88" w:rsidRPr="000A4369" w:rsidRDefault="00202C88" w:rsidP="00202C88">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Budget</w:t>
            </w:r>
          </w:p>
        </w:tc>
        <w:tc>
          <w:tcPr>
            <w:tcW w:w="619" w:type="pct"/>
            <w:shd w:val="clear" w:color="auto" w:fill="auto"/>
            <w:vAlign w:val="center"/>
            <w:hideMark/>
          </w:tcPr>
          <w:p w14:paraId="55F3B337" w14:textId="77777777" w:rsidR="00202C88" w:rsidRPr="000A4369" w:rsidRDefault="00202C88" w:rsidP="00202C88">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Nominal Rand change</w:t>
            </w:r>
          </w:p>
        </w:tc>
        <w:tc>
          <w:tcPr>
            <w:tcW w:w="619" w:type="pct"/>
            <w:shd w:val="clear" w:color="auto" w:fill="auto"/>
            <w:vAlign w:val="center"/>
            <w:hideMark/>
          </w:tcPr>
          <w:p w14:paraId="012F2A36" w14:textId="77777777" w:rsidR="00202C88" w:rsidRPr="000A4369" w:rsidRDefault="00202C88" w:rsidP="00202C88">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Real Rand change</w:t>
            </w:r>
          </w:p>
        </w:tc>
        <w:tc>
          <w:tcPr>
            <w:tcW w:w="784" w:type="pct"/>
            <w:shd w:val="clear" w:color="auto" w:fill="auto"/>
            <w:vAlign w:val="center"/>
            <w:hideMark/>
          </w:tcPr>
          <w:p w14:paraId="09731C4F" w14:textId="77777777" w:rsidR="00202C88" w:rsidRPr="000A4369" w:rsidRDefault="00202C88" w:rsidP="00202C88">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Nominal % change</w:t>
            </w:r>
          </w:p>
        </w:tc>
        <w:tc>
          <w:tcPr>
            <w:tcW w:w="784" w:type="pct"/>
            <w:shd w:val="clear" w:color="auto" w:fill="auto"/>
            <w:vAlign w:val="center"/>
            <w:hideMark/>
          </w:tcPr>
          <w:p w14:paraId="2011A924" w14:textId="77777777" w:rsidR="00202C88" w:rsidRPr="000A4369" w:rsidRDefault="00202C88" w:rsidP="00202C88">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Real % change</w:t>
            </w:r>
          </w:p>
        </w:tc>
      </w:tr>
      <w:tr w:rsidR="00202C88" w:rsidRPr="000A4369" w14:paraId="2DCABF42" w14:textId="77777777" w:rsidTr="002D00EA">
        <w:trPr>
          <w:trHeight w:val="255"/>
        </w:trPr>
        <w:tc>
          <w:tcPr>
            <w:tcW w:w="896" w:type="pct"/>
            <w:shd w:val="clear" w:color="auto" w:fill="auto"/>
            <w:noWrap/>
            <w:vAlign w:val="bottom"/>
            <w:hideMark/>
          </w:tcPr>
          <w:p w14:paraId="71AC1260" w14:textId="77777777" w:rsidR="00202C88" w:rsidRPr="000A4369" w:rsidRDefault="00202C88" w:rsidP="00202C88">
            <w:pPr>
              <w:spacing w:after="0" w:line="240" w:lineRule="auto"/>
              <w:jc w:val="center"/>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R million</w:t>
            </w:r>
          </w:p>
        </w:tc>
        <w:tc>
          <w:tcPr>
            <w:tcW w:w="587" w:type="pct"/>
            <w:shd w:val="clear" w:color="auto" w:fill="auto"/>
            <w:noWrap/>
            <w:vAlign w:val="bottom"/>
            <w:hideMark/>
          </w:tcPr>
          <w:p w14:paraId="7149ED73" w14:textId="77777777" w:rsidR="00202C88" w:rsidRPr="000A4369" w:rsidRDefault="00202C88" w:rsidP="00202C88">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2018/19</w:t>
            </w:r>
          </w:p>
        </w:tc>
        <w:tc>
          <w:tcPr>
            <w:tcW w:w="587" w:type="pct"/>
            <w:shd w:val="clear" w:color="auto" w:fill="auto"/>
            <w:noWrap/>
            <w:vAlign w:val="bottom"/>
            <w:hideMark/>
          </w:tcPr>
          <w:p w14:paraId="3C27494B" w14:textId="77777777" w:rsidR="00202C88" w:rsidRPr="000A4369" w:rsidRDefault="00202C88" w:rsidP="00202C88">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2019/20</w:t>
            </w:r>
          </w:p>
        </w:tc>
        <w:tc>
          <w:tcPr>
            <w:tcW w:w="123" w:type="pct"/>
            <w:vMerge w:val="restart"/>
            <w:shd w:val="clear" w:color="auto" w:fill="auto"/>
            <w:noWrap/>
            <w:vAlign w:val="bottom"/>
          </w:tcPr>
          <w:p w14:paraId="4A33871B" w14:textId="77777777" w:rsidR="00202C88" w:rsidRPr="000A4369" w:rsidRDefault="00202C88" w:rsidP="00202C88">
            <w:pPr>
              <w:spacing w:after="0" w:line="240" w:lineRule="auto"/>
              <w:jc w:val="right"/>
              <w:rPr>
                <w:rFonts w:ascii="Times New Roman" w:eastAsia="Times New Roman" w:hAnsi="Times New Roman" w:cs="Times New Roman"/>
                <w:b/>
                <w:bCs/>
                <w:sz w:val="18"/>
                <w:szCs w:val="18"/>
                <w:lang w:eastAsia="en-ZA"/>
              </w:rPr>
            </w:pPr>
          </w:p>
        </w:tc>
        <w:tc>
          <w:tcPr>
            <w:tcW w:w="1239" w:type="pct"/>
            <w:gridSpan w:val="2"/>
            <w:shd w:val="clear" w:color="auto" w:fill="auto"/>
            <w:noWrap/>
            <w:vAlign w:val="bottom"/>
            <w:hideMark/>
          </w:tcPr>
          <w:p w14:paraId="35D2EDE0" w14:textId="77777777" w:rsidR="00202C88" w:rsidRPr="000A4369" w:rsidRDefault="00202C88" w:rsidP="00202C88">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 2018/19-2019/20</w:t>
            </w:r>
          </w:p>
        </w:tc>
        <w:tc>
          <w:tcPr>
            <w:tcW w:w="1568" w:type="pct"/>
            <w:gridSpan w:val="2"/>
            <w:shd w:val="clear" w:color="auto" w:fill="auto"/>
            <w:noWrap/>
            <w:vAlign w:val="bottom"/>
            <w:hideMark/>
          </w:tcPr>
          <w:p w14:paraId="77FC86C2" w14:textId="77777777" w:rsidR="00202C88" w:rsidRPr="000A4369" w:rsidRDefault="00202C88" w:rsidP="00202C88">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 2018/19-2019/20</w:t>
            </w:r>
          </w:p>
        </w:tc>
      </w:tr>
      <w:tr w:rsidR="00202C88" w:rsidRPr="000A4369" w14:paraId="01DF1947" w14:textId="77777777" w:rsidTr="002D00EA">
        <w:trPr>
          <w:trHeight w:val="720"/>
        </w:trPr>
        <w:tc>
          <w:tcPr>
            <w:tcW w:w="896" w:type="pct"/>
            <w:shd w:val="clear" w:color="auto" w:fill="auto"/>
            <w:vAlign w:val="bottom"/>
            <w:hideMark/>
          </w:tcPr>
          <w:p w14:paraId="56180757" w14:textId="77777777" w:rsidR="00202C88" w:rsidRPr="000A4369" w:rsidRDefault="00202C88" w:rsidP="00202C88">
            <w:pPr>
              <w:numPr>
                <w:ilvl w:val="0"/>
                <w:numId w:val="29"/>
              </w:numPr>
              <w:spacing w:after="0" w:line="240" w:lineRule="auto"/>
              <w:ind w:left="313" w:hanging="284"/>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Management: Head of the National Disaster Management Centre </w:t>
            </w:r>
          </w:p>
        </w:tc>
        <w:tc>
          <w:tcPr>
            <w:tcW w:w="587" w:type="pct"/>
            <w:shd w:val="clear" w:color="auto" w:fill="auto"/>
            <w:noWrap/>
            <w:vAlign w:val="bottom"/>
            <w:hideMark/>
          </w:tcPr>
          <w:p w14:paraId="72DE6F91"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4 101,0</w:t>
            </w:r>
          </w:p>
        </w:tc>
        <w:tc>
          <w:tcPr>
            <w:tcW w:w="587" w:type="pct"/>
            <w:shd w:val="clear" w:color="auto" w:fill="auto"/>
            <w:noWrap/>
            <w:vAlign w:val="bottom"/>
            <w:hideMark/>
          </w:tcPr>
          <w:p w14:paraId="5A6AFB25"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4 070,0</w:t>
            </w:r>
          </w:p>
        </w:tc>
        <w:tc>
          <w:tcPr>
            <w:tcW w:w="123" w:type="pct"/>
            <w:vMerge/>
            <w:shd w:val="clear" w:color="auto" w:fill="auto"/>
            <w:noWrap/>
            <w:vAlign w:val="bottom"/>
            <w:hideMark/>
          </w:tcPr>
          <w:p w14:paraId="5531A2D1"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p>
        </w:tc>
        <w:tc>
          <w:tcPr>
            <w:tcW w:w="619" w:type="pct"/>
            <w:shd w:val="clear" w:color="auto" w:fill="auto"/>
            <w:noWrap/>
            <w:vAlign w:val="bottom"/>
            <w:hideMark/>
          </w:tcPr>
          <w:p w14:paraId="6C4006BD"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31,0</w:t>
            </w:r>
          </w:p>
        </w:tc>
        <w:tc>
          <w:tcPr>
            <w:tcW w:w="619" w:type="pct"/>
            <w:shd w:val="clear" w:color="auto" w:fill="auto"/>
            <w:noWrap/>
            <w:vAlign w:val="bottom"/>
            <w:hideMark/>
          </w:tcPr>
          <w:p w14:paraId="6F4F6031"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232,2</w:t>
            </w:r>
          </w:p>
        </w:tc>
        <w:tc>
          <w:tcPr>
            <w:tcW w:w="784" w:type="pct"/>
            <w:shd w:val="clear" w:color="auto" w:fill="auto"/>
            <w:noWrap/>
            <w:vAlign w:val="bottom"/>
            <w:hideMark/>
          </w:tcPr>
          <w:p w14:paraId="532A286B"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-0,76 per cent</w:t>
            </w:r>
          </w:p>
        </w:tc>
        <w:tc>
          <w:tcPr>
            <w:tcW w:w="784" w:type="pct"/>
            <w:shd w:val="clear" w:color="auto" w:fill="auto"/>
            <w:noWrap/>
            <w:vAlign w:val="bottom"/>
            <w:hideMark/>
          </w:tcPr>
          <w:p w14:paraId="135D6B03"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-5,66 per cent</w:t>
            </w:r>
          </w:p>
        </w:tc>
      </w:tr>
      <w:tr w:rsidR="00202C88" w:rsidRPr="000A4369" w14:paraId="26FEA4EE" w14:textId="77777777" w:rsidTr="002D00EA">
        <w:trPr>
          <w:trHeight w:val="720"/>
        </w:trPr>
        <w:tc>
          <w:tcPr>
            <w:tcW w:w="896" w:type="pct"/>
            <w:shd w:val="clear" w:color="auto" w:fill="auto"/>
            <w:vAlign w:val="bottom"/>
            <w:hideMark/>
          </w:tcPr>
          <w:p w14:paraId="66D95B55" w14:textId="77777777" w:rsidR="00202C88" w:rsidRPr="000A4369" w:rsidRDefault="00202C88" w:rsidP="00202C88">
            <w:pPr>
              <w:numPr>
                <w:ilvl w:val="0"/>
                <w:numId w:val="29"/>
              </w:numPr>
              <w:spacing w:after="0" w:line="240" w:lineRule="auto"/>
              <w:ind w:left="313" w:hanging="284"/>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Disaster Risk Reduction, Capacity Building and Intervention</w:t>
            </w:r>
          </w:p>
        </w:tc>
        <w:tc>
          <w:tcPr>
            <w:tcW w:w="587" w:type="pct"/>
            <w:shd w:val="clear" w:color="auto" w:fill="auto"/>
            <w:noWrap/>
            <w:vAlign w:val="bottom"/>
            <w:hideMark/>
          </w:tcPr>
          <w:p w14:paraId="3B91C1F8"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51 592,0</w:t>
            </w:r>
          </w:p>
        </w:tc>
        <w:tc>
          <w:tcPr>
            <w:tcW w:w="587" w:type="pct"/>
            <w:shd w:val="clear" w:color="auto" w:fill="auto"/>
            <w:noWrap/>
            <w:vAlign w:val="bottom"/>
            <w:hideMark/>
          </w:tcPr>
          <w:p w14:paraId="61CB1BC3"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51 785,0</w:t>
            </w:r>
          </w:p>
        </w:tc>
        <w:tc>
          <w:tcPr>
            <w:tcW w:w="123" w:type="pct"/>
            <w:vMerge/>
            <w:shd w:val="clear" w:color="auto" w:fill="auto"/>
            <w:noWrap/>
            <w:vAlign w:val="bottom"/>
            <w:hideMark/>
          </w:tcPr>
          <w:p w14:paraId="47F4EB6B"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p>
        </w:tc>
        <w:tc>
          <w:tcPr>
            <w:tcW w:w="619" w:type="pct"/>
            <w:shd w:val="clear" w:color="auto" w:fill="auto"/>
            <w:noWrap/>
            <w:vAlign w:val="bottom"/>
            <w:hideMark/>
          </w:tcPr>
          <w:p w14:paraId="19F85113"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193,0</w:t>
            </w:r>
          </w:p>
        </w:tc>
        <w:tc>
          <w:tcPr>
            <w:tcW w:w="619" w:type="pct"/>
            <w:shd w:val="clear" w:color="auto" w:fill="auto"/>
            <w:noWrap/>
            <w:vAlign w:val="bottom"/>
            <w:hideMark/>
          </w:tcPr>
          <w:p w14:paraId="664AFA46"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- 2 366,7</w:t>
            </w:r>
          </w:p>
        </w:tc>
        <w:tc>
          <w:tcPr>
            <w:tcW w:w="784" w:type="pct"/>
            <w:shd w:val="clear" w:color="auto" w:fill="auto"/>
            <w:noWrap/>
            <w:vAlign w:val="bottom"/>
            <w:hideMark/>
          </w:tcPr>
          <w:p w14:paraId="65704E5B"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0,37 per cent</w:t>
            </w:r>
          </w:p>
        </w:tc>
        <w:tc>
          <w:tcPr>
            <w:tcW w:w="784" w:type="pct"/>
            <w:shd w:val="clear" w:color="auto" w:fill="auto"/>
            <w:noWrap/>
            <w:vAlign w:val="bottom"/>
            <w:hideMark/>
          </w:tcPr>
          <w:p w14:paraId="207AEDB9"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-4,59 per cent</w:t>
            </w:r>
          </w:p>
        </w:tc>
      </w:tr>
      <w:tr w:rsidR="00202C88" w:rsidRPr="000A4369" w14:paraId="3992955F" w14:textId="77777777" w:rsidTr="002D00EA">
        <w:trPr>
          <w:trHeight w:val="480"/>
        </w:trPr>
        <w:tc>
          <w:tcPr>
            <w:tcW w:w="896" w:type="pct"/>
            <w:shd w:val="clear" w:color="auto" w:fill="auto"/>
            <w:vAlign w:val="bottom"/>
            <w:hideMark/>
          </w:tcPr>
          <w:p w14:paraId="120A0652" w14:textId="77777777" w:rsidR="00202C88" w:rsidRPr="000A4369" w:rsidRDefault="00202C88" w:rsidP="00202C88">
            <w:pPr>
              <w:numPr>
                <w:ilvl w:val="0"/>
                <w:numId w:val="29"/>
              </w:numPr>
              <w:spacing w:after="0" w:line="240" w:lineRule="auto"/>
              <w:ind w:left="313" w:hanging="284"/>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Legislation and Policy Management</w:t>
            </w:r>
          </w:p>
        </w:tc>
        <w:tc>
          <w:tcPr>
            <w:tcW w:w="587" w:type="pct"/>
            <w:shd w:val="clear" w:color="auto" w:fill="auto"/>
            <w:noWrap/>
            <w:vAlign w:val="bottom"/>
            <w:hideMark/>
          </w:tcPr>
          <w:p w14:paraId="25A132AF"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6 352,0</w:t>
            </w:r>
          </w:p>
        </w:tc>
        <w:tc>
          <w:tcPr>
            <w:tcW w:w="587" w:type="pct"/>
            <w:shd w:val="clear" w:color="auto" w:fill="auto"/>
            <w:noWrap/>
            <w:vAlign w:val="bottom"/>
            <w:hideMark/>
          </w:tcPr>
          <w:p w14:paraId="34223493"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6 785,0</w:t>
            </w:r>
          </w:p>
        </w:tc>
        <w:tc>
          <w:tcPr>
            <w:tcW w:w="123" w:type="pct"/>
            <w:vMerge/>
            <w:shd w:val="clear" w:color="auto" w:fill="auto"/>
            <w:noWrap/>
            <w:vAlign w:val="bottom"/>
            <w:hideMark/>
          </w:tcPr>
          <w:p w14:paraId="1F47AC71"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p>
        </w:tc>
        <w:tc>
          <w:tcPr>
            <w:tcW w:w="619" w:type="pct"/>
            <w:shd w:val="clear" w:color="auto" w:fill="auto"/>
            <w:noWrap/>
            <w:vAlign w:val="bottom"/>
            <w:hideMark/>
          </w:tcPr>
          <w:p w14:paraId="1BAF3801"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433,0</w:t>
            </w:r>
          </w:p>
        </w:tc>
        <w:tc>
          <w:tcPr>
            <w:tcW w:w="619" w:type="pct"/>
            <w:shd w:val="clear" w:color="auto" w:fill="auto"/>
            <w:noWrap/>
            <w:vAlign w:val="bottom"/>
            <w:hideMark/>
          </w:tcPr>
          <w:p w14:paraId="2C0446BF"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97,6</w:t>
            </w:r>
          </w:p>
        </w:tc>
        <w:tc>
          <w:tcPr>
            <w:tcW w:w="784" w:type="pct"/>
            <w:shd w:val="clear" w:color="auto" w:fill="auto"/>
            <w:noWrap/>
            <w:vAlign w:val="bottom"/>
            <w:hideMark/>
          </w:tcPr>
          <w:p w14:paraId="3B1AD2B2"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6,82 per cent</w:t>
            </w:r>
          </w:p>
        </w:tc>
        <w:tc>
          <w:tcPr>
            <w:tcW w:w="784" w:type="pct"/>
            <w:shd w:val="clear" w:color="auto" w:fill="auto"/>
            <w:noWrap/>
            <w:vAlign w:val="bottom"/>
            <w:hideMark/>
          </w:tcPr>
          <w:p w14:paraId="0F11D12E"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1,54 per cent</w:t>
            </w:r>
          </w:p>
        </w:tc>
      </w:tr>
      <w:tr w:rsidR="00202C88" w:rsidRPr="000A4369" w14:paraId="584263CD" w14:textId="77777777" w:rsidTr="002D00EA">
        <w:trPr>
          <w:trHeight w:val="960"/>
        </w:trPr>
        <w:tc>
          <w:tcPr>
            <w:tcW w:w="896" w:type="pct"/>
            <w:shd w:val="clear" w:color="auto" w:fill="auto"/>
            <w:vAlign w:val="bottom"/>
            <w:hideMark/>
          </w:tcPr>
          <w:p w14:paraId="4779382D" w14:textId="77777777" w:rsidR="00202C88" w:rsidRPr="000A4369" w:rsidRDefault="00202C88" w:rsidP="00202C88">
            <w:pPr>
              <w:numPr>
                <w:ilvl w:val="0"/>
                <w:numId w:val="29"/>
              </w:numPr>
              <w:spacing w:after="0" w:line="240" w:lineRule="auto"/>
              <w:ind w:left="313" w:hanging="284"/>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Integrated Provincial Disaster Management Support, Monitoring and Evaluation Systems</w:t>
            </w:r>
          </w:p>
        </w:tc>
        <w:tc>
          <w:tcPr>
            <w:tcW w:w="587" w:type="pct"/>
            <w:shd w:val="clear" w:color="auto" w:fill="auto"/>
            <w:noWrap/>
            <w:vAlign w:val="bottom"/>
            <w:hideMark/>
          </w:tcPr>
          <w:p w14:paraId="106CE7F3"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3 405,0</w:t>
            </w:r>
          </w:p>
        </w:tc>
        <w:tc>
          <w:tcPr>
            <w:tcW w:w="587" w:type="pct"/>
            <w:shd w:val="clear" w:color="auto" w:fill="auto"/>
            <w:noWrap/>
            <w:vAlign w:val="bottom"/>
            <w:hideMark/>
          </w:tcPr>
          <w:p w14:paraId="3D0B0156"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4 834,0</w:t>
            </w:r>
          </w:p>
        </w:tc>
        <w:tc>
          <w:tcPr>
            <w:tcW w:w="123" w:type="pct"/>
            <w:vMerge/>
            <w:shd w:val="clear" w:color="auto" w:fill="auto"/>
            <w:noWrap/>
            <w:vAlign w:val="bottom"/>
            <w:hideMark/>
          </w:tcPr>
          <w:p w14:paraId="6A3F1296"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p>
        </w:tc>
        <w:tc>
          <w:tcPr>
            <w:tcW w:w="619" w:type="pct"/>
            <w:shd w:val="clear" w:color="auto" w:fill="auto"/>
            <w:noWrap/>
            <w:vAlign w:val="bottom"/>
            <w:hideMark/>
          </w:tcPr>
          <w:p w14:paraId="10B8F63D"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1 429,0</w:t>
            </w:r>
          </w:p>
        </w:tc>
        <w:tc>
          <w:tcPr>
            <w:tcW w:w="619" w:type="pct"/>
            <w:shd w:val="clear" w:color="auto" w:fill="auto"/>
            <w:noWrap/>
            <w:vAlign w:val="bottom"/>
            <w:hideMark/>
          </w:tcPr>
          <w:p w14:paraId="22CB2B4C"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1 190,1</w:t>
            </w:r>
          </w:p>
        </w:tc>
        <w:tc>
          <w:tcPr>
            <w:tcW w:w="784" w:type="pct"/>
            <w:shd w:val="clear" w:color="auto" w:fill="auto"/>
            <w:noWrap/>
            <w:vAlign w:val="bottom"/>
            <w:hideMark/>
          </w:tcPr>
          <w:p w14:paraId="6748D1BB"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41,97 per cent</w:t>
            </w:r>
          </w:p>
        </w:tc>
        <w:tc>
          <w:tcPr>
            <w:tcW w:w="784" w:type="pct"/>
            <w:shd w:val="clear" w:color="auto" w:fill="auto"/>
            <w:noWrap/>
            <w:vAlign w:val="bottom"/>
            <w:hideMark/>
          </w:tcPr>
          <w:p w14:paraId="6FA2EBF1"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34,95 per cent</w:t>
            </w:r>
          </w:p>
        </w:tc>
      </w:tr>
      <w:tr w:rsidR="00202C88" w:rsidRPr="000A4369" w14:paraId="3283A833" w14:textId="77777777" w:rsidTr="002D00EA">
        <w:trPr>
          <w:trHeight w:val="255"/>
        </w:trPr>
        <w:tc>
          <w:tcPr>
            <w:tcW w:w="896" w:type="pct"/>
            <w:shd w:val="clear" w:color="auto" w:fill="auto"/>
            <w:vAlign w:val="bottom"/>
            <w:hideMark/>
          </w:tcPr>
          <w:p w14:paraId="05FB9501" w14:textId="77777777" w:rsidR="00202C88" w:rsidRPr="000A4369" w:rsidRDefault="00202C88" w:rsidP="00202C88">
            <w:pPr>
              <w:numPr>
                <w:ilvl w:val="0"/>
                <w:numId w:val="29"/>
              </w:numPr>
              <w:spacing w:after="0" w:line="240" w:lineRule="auto"/>
              <w:ind w:left="313" w:hanging="284"/>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Fire Services</w:t>
            </w:r>
          </w:p>
        </w:tc>
        <w:tc>
          <w:tcPr>
            <w:tcW w:w="587" w:type="pct"/>
            <w:shd w:val="clear" w:color="auto" w:fill="auto"/>
            <w:noWrap/>
            <w:vAlign w:val="bottom"/>
            <w:hideMark/>
          </w:tcPr>
          <w:p w14:paraId="1F8FFF90"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3 259,0</w:t>
            </w:r>
          </w:p>
        </w:tc>
        <w:tc>
          <w:tcPr>
            <w:tcW w:w="587" w:type="pct"/>
            <w:shd w:val="clear" w:color="auto" w:fill="auto"/>
            <w:noWrap/>
            <w:vAlign w:val="bottom"/>
            <w:hideMark/>
          </w:tcPr>
          <w:p w14:paraId="724BF3A1"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4 712,0</w:t>
            </w:r>
          </w:p>
        </w:tc>
        <w:tc>
          <w:tcPr>
            <w:tcW w:w="123" w:type="pct"/>
            <w:vMerge/>
            <w:shd w:val="clear" w:color="auto" w:fill="auto"/>
            <w:noWrap/>
            <w:vAlign w:val="bottom"/>
            <w:hideMark/>
          </w:tcPr>
          <w:p w14:paraId="66CE49CB"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p>
        </w:tc>
        <w:tc>
          <w:tcPr>
            <w:tcW w:w="619" w:type="pct"/>
            <w:shd w:val="clear" w:color="auto" w:fill="auto"/>
            <w:noWrap/>
            <w:vAlign w:val="bottom"/>
            <w:hideMark/>
          </w:tcPr>
          <w:p w14:paraId="12F1D694"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1 453,0</w:t>
            </w:r>
          </w:p>
        </w:tc>
        <w:tc>
          <w:tcPr>
            <w:tcW w:w="619" w:type="pct"/>
            <w:shd w:val="clear" w:color="auto" w:fill="auto"/>
            <w:noWrap/>
            <w:vAlign w:val="bottom"/>
            <w:hideMark/>
          </w:tcPr>
          <w:p w14:paraId="62C19978"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1 220,1</w:t>
            </w:r>
          </w:p>
        </w:tc>
        <w:tc>
          <w:tcPr>
            <w:tcW w:w="784" w:type="pct"/>
            <w:shd w:val="clear" w:color="auto" w:fill="auto"/>
            <w:noWrap/>
            <w:vAlign w:val="bottom"/>
            <w:hideMark/>
          </w:tcPr>
          <w:p w14:paraId="38298927"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44,58 per cent</w:t>
            </w:r>
          </w:p>
        </w:tc>
        <w:tc>
          <w:tcPr>
            <w:tcW w:w="784" w:type="pct"/>
            <w:shd w:val="clear" w:color="auto" w:fill="auto"/>
            <w:noWrap/>
            <w:vAlign w:val="bottom"/>
            <w:hideMark/>
          </w:tcPr>
          <w:p w14:paraId="2C7F80F9"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37,44 per cent</w:t>
            </w:r>
          </w:p>
        </w:tc>
      </w:tr>
      <w:tr w:rsidR="00202C88" w:rsidRPr="000A4369" w14:paraId="0AD3FEA2" w14:textId="77777777" w:rsidTr="002D00EA">
        <w:trPr>
          <w:trHeight w:val="960"/>
        </w:trPr>
        <w:tc>
          <w:tcPr>
            <w:tcW w:w="896" w:type="pct"/>
            <w:shd w:val="clear" w:color="auto" w:fill="auto"/>
            <w:vAlign w:val="bottom"/>
            <w:hideMark/>
          </w:tcPr>
          <w:p w14:paraId="7FD87AE6" w14:textId="77777777" w:rsidR="00202C88" w:rsidRPr="000A4369" w:rsidRDefault="00202C88" w:rsidP="00202C88">
            <w:pPr>
              <w:numPr>
                <w:ilvl w:val="0"/>
                <w:numId w:val="29"/>
              </w:numPr>
              <w:spacing w:after="0" w:line="240" w:lineRule="auto"/>
              <w:ind w:left="313" w:hanging="284"/>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Information Technology, Intelligence and Information Management </w:t>
            </w:r>
            <w:r w:rsidRPr="000A4369">
              <w:rPr>
                <w:rFonts w:ascii="Times New Roman" w:eastAsia="Times New Roman" w:hAnsi="Times New Roman" w:cs="Times New Roman"/>
                <w:sz w:val="18"/>
                <w:szCs w:val="18"/>
                <w:lang w:eastAsia="en-ZA"/>
              </w:rPr>
              <w:lastRenderedPageBreak/>
              <w:t>Systems</w:t>
            </w:r>
          </w:p>
        </w:tc>
        <w:tc>
          <w:tcPr>
            <w:tcW w:w="587" w:type="pct"/>
            <w:shd w:val="clear" w:color="auto" w:fill="auto"/>
            <w:noWrap/>
            <w:vAlign w:val="bottom"/>
            <w:hideMark/>
          </w:tcPr>
          <w:p w14:paraId="2EEFC99C"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lastRenderedPageBreak/>
              <w:t xml:space="preserve"> 19 648,0</w:t>
            </w:r>
          </w:p>
        </w:tc>
        <w:tc>
          <w:tcPr>
            <w:tcW w:w="587" w:type="pct"/>
            <w:shd w:val="clear" w:color="auto" w:fill="auto"/>
            <w:noWrap/>
            <w:vAlign w:val="bottom"/>
            <w:hideMark/>
          </w:tcPr>
          <w:p w14:paraId="4016297B"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28 700,0</w:t>
            </w:r>
          </w:p>
        </w:tc>
        <w:tc>
          <w:tcPr>
            <w:tcW w:w="123" w:type="pct"/>
            <w:vMerge/>
            <w:shd w:val="clear" w:color="auto" w:fill="auto"/>
            <w:noWrap/>
            <w:vAlign w:val="bottom"/>
            <w:hideMark/>
          </w:tcPr>
          <w:p w14:paraId="2D423C49"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p>
        </w:tc>
        <w:tc>
          <w:tcPr>
            <w:tcW w:w="619" w:type="pct"/>
            <w:shd w:val="clear" w:color="auto" w:fill="auto"/>
            <w:noWrap/>
            <w:vAlign w:val="bottom"/>
            <w:hideMark/>
          </w:tcPr>
          <w:p w14:paraId="610F85DF"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9 052,0</w:t>
            </w:r>
          </w:p>
        </w:tc>
        <w:tc>
          <w:tcPr>
            <w:tcW w:w="619" w:type="pct"/>
            <w:shd w:val="clear" w:color="auto" w:fill="auto"/>
            <w:noWrap/>
            <w:vAlign w:val="bottom"/>
            <w:hideMark/>
          </w:tcPr>
          <w:p w14:paraId="2B8FB58C"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7 633,4</w:t>
            </w:r>
          </w:p>
        </w:tc>
        <w:tc>
          <w:tcPr>
            <w:tcW w:w="784" w:type="pct"/>
            <w:shd w:val="clear" w:color="auto" w:fill="auto"/>
            <w:noWrap/>
            <w:vAlign w:val="bottom"/>
            <w:hideMark/>
          </w:tcPr>
          <w:p w14:paraId="4334872A"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46,07 per cent</w:t>
            </w:r>
          </w:p>
        </w:tc>
        <w:tc>
          <w:tcPr>
            <w:tcW w:w="784" w:type="pct"/>
            <w:shd w:val="clear" w:color="auto" w:fill="auto"/>
            <w:noWrap/>
            <w:vAlign w:val="bottom"/>
            <w:hideMark/>
          </w:tcPr>
          <w:p w14:paraId="51321ECA"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38,85 per cent</w:t>
            </w:r>
          </w:p>
        </w:tc>
      </w:tr>
      <w:tr w:rsidR="00202C88" w:rsidRPr="000A4369" w14:paraId="776BEEDA" w14:textId="77777777" w:rsidTr="002D00EA">
        <w:trPr>
          <w:trHeight w:val="255"/>
        </w:trPr>
        <w:tc>
          <w:tcPr>
            <w:tcW w:w="896" w:type="pct"/>
            <w:shd w:val="clear" w:color="auto" w:fill="auto"/>
            <w:vAlign w:val="bottom"/>
            <w:hideMark/>
          </w:tcPr>
          <w:p w14:paraId="01DC38C3" w14:textId="77777777" w:rsidR="00202C88" w:rsidRPr="000A4369" w:rsidRDefault="00202C88" w:rsidP="00202C88">
            <w:pPr>
              <w:numPr>
                <w:ilvl w:val="0"/>
                <w:numId w:val="29"/>
              </w:numPr>
              <w:spacing w:after="0" w:line="240" w:lineRule="auto"/>
              <w:ind w:left="313" w:hanging="284"/>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lastRenderedPageBreak/>
              <w:t>Disaster Relief Grant</w:t>
            </w:r>
          </w:p>
        </w:tc>
        <w:tc>
          <w:tcPr>
            <w:tcW w:w="587" w:type="pct"/>
            <w:shd w:val="clear" w:color="auto" w:fill="auto"/>
            <w:noWrap/>
            <w:vAlign w:val="bottom"/>
            <w:hideMark/>
          </w:tcPr>
          <w:p w14:paraId="787A553F"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672 871,0</w:t>
            </w:r>
          </w:p>
        </w:tc>
        <w:tc>
          <w:tcPr>
            <w:tcW w:w="587" w:type="pct"/>
            <w:shd w:val="clear" w:color="auto" w:fill="auto"/>
            <w:noWrap/>
            <w:vAlign w:val="bottom"/>
            <w:hideMark/>
          </w:tcPr>
          <w:p w14:paraId="08254BE0"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466 392,0</w:t>
            </w:r>
          </w:p>
        </w:tc>
        <w:tc>
          <w:tcPr>
            <w:tcW w:w="123" w:type="pct"/>
            <w:vMerge/>
            <w:shd w:val="clear" w:color="auto" w:fill="auto"/>
            <w:noWrap/>
            <w:vAlign w:val="bottom"/>
            <w:hideMark/>
          </w:tcPr>
          <w:p w14:paraId="19DC8FD8"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p>
        </w:tc>
        <w:tc>
          <w:tcPr>
            <w:tcW w:w="619" w:type="pct"/>
            <w:shd w:val="clear" w:color="auto" w:fill="auto"/>
            <w:noWrap/>
            <w:vAlign w:val="bottom"/>
            <w:hideMark/>
          </w:tcPr>
          <w:p w14:paraId="3D86FF2D"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- 206 479,0</w:t>
            </w:r>
          </w:p>
        </w:tc>
        <w:tc>
          <w:tcPr>
            <w:tcW w:w="619" w:type="pct"/>
            <w:shd w:val="clear" w:color="auto" w:fill="auto"/>
            <w:noWrap/>
            <w:vAlign w:val="bottom"/>
            <w:hideMark/>
          </w:tcPr>
          <w:p w14:paraId="7EF8338A"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- 229 532,6</w:t>
            </w:r>
          </w:p>
        </w:tc>
        <w:tc>
          <w:tcPr>
            <w:tcW w:w="784" w:type="pct"/>
            <w:shd w:val="clear" w:color="auto" w:fill="auto"/>
            <w:noWrap/>
            <w:vAlign w:val="bottom"/>
            <w:hideMark/>
          </w:tcPr>
          <w:p w14:paraId="12DE3F4E"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-30,69 per cent</w:t>
            </w:r>
          </w:p>
        </w:tc>
        <w:tc>
          <w:tcPr>
            <w:tcW w:w="784" w:type="pct"/>
            <w:shd w:val="clear" w:color="auto" w:fill="auto"/>
            <w:noWrap/>
            <w:vAlign w:val="bottom"/>
            <w:hideMark/>
          </w:tcPr>
          <w:p w14:paraId="732F44B6"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-34,11 per cent</w:t>
            </w:r>
          </w:p>
        </w:tc>
      </w:tr>
      <w:tr w:rsidR="00202C88" w:rsidRPr="000A4369" w14:paraId="1819928F" w14:textId="77777777" w:rsidTr="002D00EA">
        <w:trPr>
          <w:trHeight w:val="450"/>
        </w:trPr>
        <w:tc>
          <w:tcPr>
            <w:tcW w:w="896" w:type="pct"/>
            <w:shd w:val="clear" w:color="auto" w:fill="auto"/>
            <w:vAlign w:val="bottom"/>
            <w:hideMark/>
          </w:tcPr>
          <w:p w14:paraId="02B72167" w14:textId="77777777" w:rsidR="00202C88" w:rsidRPr="000A4369" w:rsidRDefault="00202C88" w:rsidP="00202C88">
            <w:pPr>
              <w:numPr>
                <w:ilvl w:val="0"/>
                <w:numId w:val="29"/>
              </w:numPr>
              <w:spacing w:after="0" w:line="240" w:lineRule="auto"/>
              <w:ind w:left="313" w:hanging="284"/>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Municipal Disaster Recovery Grant</w:t>
            </w:r>
          </w:p>
        </w:tc>
        <w:tc>
          <w:tcPr>
            <w:tcW w:w="587" w:type="pct"/>
            <w:shd w:val="clear" w:color="auto" w:fill="auto"/>
            <w:noWrap/>
            <w:vAlign w:val="bottom"/>
            <w:hideMark/>
          </w:tcPr>
          <w:p w14:paraId="468917CD"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1 190 136,0</w:t>
            </w:r>
          </w:p>
        </w:tc>
        <w:tc>
          <w:tcPr>
            <w:tcW w:w="587" w:type="pct"/>
            <w:shd w:val="clear" w:color="auto" w:fill="auto"/>
            <w:noWrap/>
            <w:vAlign w:val="bottom"/>
            <w:hideMark/>
          </w:tcPr>
          <w:p w14:paraId="1462F3D6"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193 953,0</w:t>
            </w:r>
          </w:p>
        </w:tc>
        <w:tc>
          <w:tcPr>
            <w:tcW w:w="123" w:type="pct"/>
            <w:vMerge/>
            <w:shd w:val="clear" w:color="auto" w:fill="auto"/>
            <w:noWrap/>
            <w:vAlign w:val="bottom"/>
            <w:hideMark/>
          </w:tcPr>
          <w:p w14:paraId="3331137D"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p>
        </w:tc>
        <w:tc>
          <w:tcPr>
            <w:tcW w:w="619" w:type="pct"/>
            <w:shd w:val="clear" w:color="auto" w:fill="auto"/>
            <w:noWrap/>
            <w:vAlign w:val="bottom"/>
            <w:hideMark/>
          </w:tcPr>
          <w:p w14:paraId="7CC56578"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- 996 183,0</w:t>
            </w:r>
          </w:p>
        </w:tc>
        <w:tc>
          <w:tcPr>
            <w:tcW w:w="619" w:type="pct"/>
            <w:shd w:val="clear" w:color="auto" w:fill="auto"/>
            <w:noWrap/>
            <w:vAlign w:val="bottom"/>
            <w:hideMark/>
          </w:tcPr>
          <w:p w14:paraId="3BD29C3D"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-1 005 770,0</w:t>
            </w:r>
          </w:p>
        </w:tc>
        <w:tc>
          <w:tcPr>
            <w:tcW w:w="784" w:type="pct"/>
            <w:shd w:val="clear" w:color="auto" w:fill="auto"/>
            <w:noWrap/>
            <w:vAlign w:val="bottom"/>
            <w:hideMark/>
          </w:tcPr>
          <w:p w14:paraId="19C09C84"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-83,70 per cent</w:t>
            </w:r>
          </w:p>
        </w:tc>
        <w:tc>
          <w:tcPr>
            <w:tcW w:w="784" w:type="pct"/>
            <w:shd w:val="clear" w:color="auto" w:fill="auto"/>
            <w:noWrap/>
            <w:vAlign w:val="bottom"/>
            <w:hideMark/>
          </w:tcPr>
          <w:p w14:paraId="0D412AF4"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-84,51 per cent</w:t>
            </w:r>
          </w:p>
        </w:tc>
      </w:tr>
      <w:tr w:rsidR="00202C88" w:rsidRPr="000A4369" w14:paraId="01BFB680" w14:textId="77777777" w:rsidTr="002D00EA">
        <w:trPr>
          <w:trHeight w:val="450"/>
        </w:trPr>
        <w:tc>
          <w:tcPr>
            <w:tcW w:w="896" w:type="pct"/>
            <w:shd w:val="clear" w:color="auto" w:fill="auto"/>
            <w:vAlign w:val="bottom"/>
            <w:hideMark/>
          </w:tcPr>
          <w:p w14:paraId="2818291B" w14:textId="77777777" w:rsidR="00202C88" w:rsidRPr="000A4369" w:rsidRDefault="00202C88" w:rsidP="00202C88">
            <w:pPr>
              <w:numPr>
                <w:ilvl w:val="0"/>
                <w:numId w:val="29"/>
              </w:numPr>
              <w:spacing w:after="0" w:line="240" w:lineRule="auto"/>
              <w:ind w:left="313" w:hanging="313"/>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Provincial Disaster Recovery Grant</w:t>
            </w:r>
          </w:p>
        </w:tc>
        <w:tc>
          <w:tcPr>
            <w:tcW w:w="587" w:type="pct"/>
            <w:shd w:val="clear" w:color="auto" w:fill="auto"/>
            <w:noWrap/>
            <w:vAlign w:val="bottom"/>
            <w:hideMark/>
          </w:tcPr>
          <w:p w14:paraId="41EDAA47"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16 304,0</w:t>
            </w:r>
          </w:p>
        </w:tc>
        <w:tc>
          <w:tcPr>
            <w:tcW w:w="587" w:type="pct"/>
            <w:shd w:val="clear" w:color="auto" w:fill="auto"/>
            <w:noWrap/>
            <w:vAlign w:val="bottom"/>
            <w:hideMark/>
          </w:tcPr>
          <w:p w14:paraId="55AA4BD8"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0,0</w:t>
            </w:r>
          </w:p>
        </w:tc>
        <w:tc>
          <w:tcPr>
            <w:tcW w:w="123" w:type="pct"/>
            <w:vMerge/>
            <w:shd w:val="clear" w:color="auto" w:fill="auto"/>
            <w:noWrap/>
            <w:vAlign w:val="bottom"/>
            <w:hideMark/>
          </w:tcPr>
          <w:p w14:paraId="012C8673"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p>
        </w:tc>
        <w:tc>
          <w:tcPr>
            <w:tcW w:w="619" w:type="pct"/>
            <w:shd w:val="clear" w:color="auto" w:fill="auto"/>
            <w:noWrap/>
            <w:vAlign w:val="bottom"/>
            <w:hideMark/>
          </w:tcPr>
          <w:p w14:paraId="242E8940"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- 16 304,0</w:t>
            </w:r>
          </w:p>
        </w:tc>
        <w:tc>
          <w:tcPr>
            <w:tcW w:w="619" w:type="pct"/>
            <w:shd w:val="clear" w:color="auto" w:fill="auto"/>
            <w:noWrap/>
            <w:vAlign w:val="bottom"/>
            <w:hideMark/>
          </w:tcPr>
          <w:p w14:paraId="28541AD1"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- 16 304,0</w:t>
            </w:r>
          </w:p>
        </w:tc>
        <w:tc>
          <w:tcPr>
            <w:tcW w:w="784" w:type="pct"/>
            <w:shd w:val="clear" w:color="auto" w:fill="auto"/>
            <w:noWrap/>
            <w:vAlign w:val="bottom"/>
            <w:hideMark/>
          </w:tcPr>
          <w:p w14:paraId="3D959C9B"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-100,00 per cent</w:t>
            </w:r>
          </w:p>
        </w:tc>
        <w:tc>
          <w:tcPr>
            <w:tcW w:w="784" w:type="pct"/>
            <w:shd w:val="clear" w:color="auto" w:fill="auto"/>
            <w:noWrap/>
            <w:vAlign w:val="bottom"/>
            <w:hideMark/>
          </w:tcPr>
          <w:p w14:paraId="2FA5ABE1" w14:textId="77777777" w:rsidR="00202C88" w:rsidRPr="000A4369" w:rsidRDefault="00202C88" w:rsidP="00202C88">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-100,00 per cent</w:t>
            </w:r>
          </w:p>
        </w:tc>
      </w:tr>
      <w:tr w:rsidR="00202C88" w:rsidRPr="000A4369" w14:paraId="6BE85FCE" w14:textId="77777777" w:rsidTr="002D00EA">
        <w:trPr>
          <w:trHeight w:val="255"/>
        </w:trPr>
        <w:tc>
          <w:tcPr>
            <w:tcW w:w="896" w:type="pct"/>
            <w:shd w:val="clear" w:color="auto" w:fill="auto"/>
            <w:noWrap/>
            <w:vAlign w:val="bottom"/>
            <w:hideMark/>
          </w:tcPr>
          <w:p w14:paraId="32C90539" w14:textId="77777777" w:rsidR="00202C88" w:rsidRPr="000A4369" w:rsidRDefault="00202C88" w:rsidP="00202C88">
            <w:pPr>
              <w:spacing w:after="0" w:line="240" w:lineRule="auto"/>
              <w:jc w:val="right"/>
              <w:rPr>
                <w:rFonts w:ascii="Times New Roman" w:eastAsia="Times New Roman" w:hAnsi="Times New Roman" w:cs="Times New Roman"/>
                <w:sz w:val="16"/>
                <w:szCs w:val="16"/>
                <w:lang w:eastAsia="en-ZA"/>
              </w:rPr>
            </w:pPr>
          </w:p>
        </w:tc>
        <w:tc>
          <w:tcPr>
            <w:tcW w:w="587" w:type="pct"/>
            <w:shd w:val="clear" w:color="auto" w:fill="auto"/>
            <w:noWrap/>
            <w:vAlign w:val="bottom"/>
            <w:hideMark/>
          </w:tcPr>
          <w:p w14:paraId="64DA2271" w14:textId="77777777" w:rsidR="00202C88" w:rsidRPr="000A4369" w:rsidRDefault="00202C88" w:rsidP="00202C88">
            <w:pPr>
              <w:spacing w:after="0" w:line="240" w:lineRule="auto"/>
              <w:rPr>
                <w:rFonts w:ascii="Times New Roman" w:eastAsia="Times New Roman" w:hAnsi="Times New Roman" w:cs="Times New Roman"/>
                <w:sz w:val="20"/>
                <w:szCs w:val="20"/>
                <w:lang w:eastAsia="en-ZA"/>
              </w:rPr>
            </w:pPr>
          </w:p>
        </w:tc>
        <w:tc>
          <w:tcPr>
            <w:tcW w:w="587" w:type="pct"/>
            <w:shd w:val="clear" w:color="auto" w:fill="auto"/>
            <w:noWrap/>
            <w:vAlign w:val="bottom"/>
            <w:hideMark/>
          </w:tcPr>
          <w:p w14:paraId="1F682584" w14:textId="77777777" w:rsidR="00202C88" w:rsidRPr="000A4369" w:rsidRDefault="00202C88" w:rsidP="00202C88">
            <w:pPr>
              <w:spacing w:after="0" w:line="240" w:lineRule="auto"/>
              <w:rPr>
                <w:rFonts w:ascii="Times New Roman" w:eastAsia="Times New Roman" w:hAnsi="Times New Roman" w:cs="Times New Roman"/>
                <w:sz w:val="20"/>
                <w:szCs w:val="20"/>
                <w:lang w:eastAsia="en-ZA"/>
              </w:rPr>
            </w:pPr>
          </w:p>
        </w:tc>
        <w:tc>
          <w:tcPr>
            <w:tcW w:w="123" w:type="pct"/>
            <w:vMerge/>
            <w:shd w:val="clear" w:color="auto" w:fill="auto"/>
            <w:noWrap/>
            <w:vAlign w:val="bottom"/>
            <w:hideMark/>
          </w:tcPr>
          <w:p w14:paraId="7973F1F8" w14:textId="77777777" w:rsidR="00202C88" w:rsidRPr="000A4369" w:rsidRDefault="00202C88" w:rsidP="00202C88">
            <w:pPr>
              <w:spacing w:after="0" w:line="240" w:lineRule="auto"/>
              <w:jc w:val="right"/>
              <w:rPr>
                <w:rFonts w:ascii="Times New Roman" w:eastAsia="Times New Roman" w:hAnsi="Times New Roman" w:cs="Times New Roman"/>
                <w:sz w:val="20"/>
                <w:szCs w:val="20"/>
                <w:lang w:eastAsia="en-ZA"/>
              </w:rPr>
            </w:pPr>
          </w:p>
        </w:tc>
        <w:tc>
          <w:tcPr>
            <w:tcW w:w="619" w:type="pct"/>
            <w:shd w:val="clear" w:color="auto" w:fill="auto"/>
            <w:noWrap/>
            <w:vAlign w:val="bottom"/>
            <w:hideMark/>
          </w:tcPr>
          <w:p w14:paraId="7016C00F" w14:textId="77777777" w:rsidR="00202C88" w:rsidRPr="000A4369" w:rsidRDefault="00202C88" w:rsidP="00202C88">
            <w:pPr>
              <w:spacing w:after="0" w:line="240" w:lineRule="auto"/>
              <w:rPr>
                <w:rFonts w:ascii="Times New Roman" w:eastAsia="Times New Roman" w:hAnsi="Times New Roman" w:cs="Times New Roman"/>
                <w:sz w:val="20"/>
                <w:szCs w:val="20"/>
                <w:lang w:eastAsia="en-ZA"/>
              </w:rPr>
            </w:pPr>
          </w:p>
        </w:tc>
        <w:tc>
          <w:tcPr>
            <w:tcW w:w="619" w:type="pct"/>
            <w:shd w:val="clear" w:color="auto" w:fill="auto"/>
            <w:noWrap/>
            <w:vAlign w:val="bottom"/>
            <w:hideMark/>
          </w:tcPr>
          <w:p w14:paraId="33D30127" w14:textId="77777777" w:rsidR="00202C88" w:rsidRPr="000A4369" w:rsidRDefault="00202C88" w:rsidP="00202C88">
            <w:pPr>
              <w:spacing w:after="0" w:line="240" w:lineRule="auto"/>
              <w:rPr>
                <w:rFonts w:ascii="Times New Roman" w:eastAsia="Times New Roman" w:hAnsi="Times New Roman" w:cs="Times New Roman"/>
                <w:sz w:val="20"/>
                <w:szCs w:val="20"/>
                <w:lang w:eastAsia="en-ZA"/>
              </w:rPr>
            </w:pPr>
          </w:p>
        </w:tc>
        <w:tc>
          <w:tcPr>
            <w:tcW w:w="784" w:type="pct"/>
            <w:shd w:val="clear" w:color="auto" w:fill="auto"/>
            <w:noWrap/>
            <w:vAlign w:val="bottom"/>
            <w:hideMark/>
          </w:tcPr>
          <w:p w14:paraId="40DFF8D4" w14:textId="77777777" w:rsidR="00202C88" w:rsidRPr="000A4369" w:rsidRDefault="00202C88" w:rsidP="00202C88">
            <w:pPr>
              <w:spacing w:after="0" w:line="240" w:lineRule="auto"/>
              <w:rPr>
                <w:rFonts w:ascii="Times New Roman" w:eastAsia="Times New Roman" w:hAnsi="Times New Roman" w:cs="Times New Roman"/>
                <w:sz w:val="20"/>
                <w:szCs w:val="20"/>
                <w:lang w:eastAsia="en-ZA"/>
              </w:rPr>
            </w:pPr>
          </w:p>
        </w:tc>
        <w:tc>
          <w:tcPr>
            <w:tcW w:w="784" w:type="pct"/>
            <w:shd w:val="clear" w:color="auto" w:fill="auto"/>
            <w:noWrap/>
            <w:vAlign w:val="bottom"/>
            <w:hideMark/>
          </w:tcPr>
          <w:p w14:paraId="6B59B7AD" w14:textId="77777777" w:rsidR="00202C88" w:rsidRPr="000A4369" w:rsidRDefault="00202C88" w:rsidP="00202C88">
            <w:pPr>
              <w:spacing w:after="0" w:line="240" w:lineRule="auto"/>
              <w:rPr>
                <w:rFonts w:ascii="Times New Roman" w:eastAsia="Times New Roman" w:hAnsi="Times New Roman" w:cs="Times New Roman"/>
                <w:sz w:val="20"/>
                <w:szCs w:val="20"/>
                <w:lang w:eastAsia="en-ZA"/>
              </w:rPr>
            </w:pPr>
          </w:p>
        </w:tc>
      </w:tr>
      <w:tr w:rsidR="00202C88" w:rsidRPr="000A4369" w14:paraId="3EAA9173" w14:textId="77777777" w:rsidTr="002D00EA">
        <w:trPr>
          <w:trHeight w:val="240"/>
        </w:trPr>
        <w:tc>
          <w:tcPr>
            <w:tcW w:w="896" w:type="pct"/>
            <w:shd w:val="clear" w:color="auto" w:fill="auto"/>
            <w:noWrap/>
            <w:vAlign w:val="bottom"/>
            <w:hideMark/>
          </w:tcPr>
          <w:p w14:paraId="4CB05AB2" w14:textId="77777777" w:rsidR="00202C88" w:rsidRPr="000A4369" w:rsidRDefault="00202C88" w:rsidP="00202C88">
            <w:pPr>
              <w:spacing w:after="0" w:line="240" w:lineRule="auto"/>
              <w:rPr>
                <w:rFonts w:ascii="Times New Roman" w:eastAsia="Times New Roman" w:hAnsi="Times New Roman" w:cs="Times New Roman"/>
                <w:b/>
                <w:bCs/>
                <w:sz w:val="16"/>
                <w:szCs w:val="16"/>
                <w:lang w:eastAsia="en-ZA"/>
              </w:rPr>
            </w:pPr>
            <w:r w:rsidRPr="000A4369">
              <w:rPr>
                <w:rFonts w:ascii="Times New Roman" w:eastAsia="Times New Roman" w:hAnsi="Times New Roman" w:cs="Times New Roman"/>
                <w:b/>
                <w:bCs/>
                <w:sz w:val="16"/>
                <w:szCs w:val="16"/>
                <w:lang w:eastAsia="en-ZA"/>
              </w:rPr>
              <w:t>TOTAL</w:t>
            </w:r>
          </w:p>
        </w:tc>
        <w:tc>
          <w:tcPr>
            <w:tcW w:w="587" w:type="pct"/>
            <w:shd w:val="clear" w:color="auto" w:fill="auto"/>
            <w:noWrap/>
            <w:vAlign w:val="bottom"/>
            <w:hideMark/>
          </w:tcPr>
          <w:p w14:paraId="2494380E" w14:textId="77777777" w:rsidR="00202C88" w:rsidRPr="000A4369" w:rsidRDefault="00202C88" w:rsidP="00202C88">
            <w:pPr>
              <w:spacing w:after="0" w:line="240" w:lineRule="auto"/>
              <w:jc w:val="right"/>
              <w:rPr>
                <w:rFonts w:ascii="Times New Roman" w:eastAsia="Times New Roman" w:hAnsi="Times New Roman" w:cs="Times New Roman"/>
                <w:b/>
                <w:bCs/>
                <w:sz w:val="16"/>
                <w:szCs w:val="16"/>
                <w:lang w:eastAsia="en-ZA"/>
              </w:rPr>
            </w:pPr>
            <w:r w:rsidRPr="000A4369">
              <w:rPr>
                <w:rFonts w:ascii="Times New Roman" w:eastAsia="Times New Roman" w:hAnsi="Times New Roman" w:cs="Times New Roman"/>
                <w:b/>
                <w:bCs/>
                <w:sz w:val="16"/>
                <w:szCs w:val="16"/>
                <w:lang w:eastAsia="en-ZA"/>
              </w:rPr>
              <w:t>1 967 668,0</w:t>
            </w:r>
          </w:p>
        </w:tc>
        <w:tc>
          <w:tcPr>
            <w:tcW w:w="587" w:type="pct"/>
            <w:shd w:val="clear" w:color="auto" w:fill="auto"/>
            <w:noWrap/>
            <w:vAlign w:val="bottom"/>
            <w:hideMark/>
          </w:tcPr>
          <w:p w14:paraId="65373F4F" w14:textId="77777777" w:rsidR="00202C88" w:rsidRPr="000A4369" w:rsidRDefault="00202C88" w:rsidP="00202C88">
            <w:pPr>
              <w:spacing w:after="0" w:line="240" w:lineRule="auto"/>
              <w:jc w:val="right"/>
              <w:rPr>
                <w:rFonts w:ascii="Times New Roman" w:eastAsia="Times New Roman" w:hAnsi="Times New Roman" w:cs="Times New Roman"/>
                <w:b/>
                <w:bCs/>
                <w:sz w:val="16"/>
                <w:szCs w:val="16"/>
                <w:lang w:eastAsia="en-ZA"/>
              </w:rPr>
            </w:pPr>
            <w:r w:rsidRPr="000A4369">
              <w:rPr>
                <w:rFonts w:ascii="Times New Roman" w:eastAsia="Times New Roman" w:hAnsi="Times New Roman" w:cs="Times New Roman"/>
                <w:b/>
                <w:bCs/>
                <w:sz w:val="16"/>
                <w:szCs w:val="16"/>
                <w:lang w:eastAsia="en-ZA"/>
              </w:rPr>
              <w:t xml:space="preserve"> 761 231,0</w:t>
            </w:r>
          </w:p>
        </w:tc>
        <w:tc>
          <w:tcPr>
            <w:tcW w:w="123" w:type="pct"/>
            <w:vMerge/>
            <w:shd w:val="clear" w:color="auto" w:fill="auto"/>
            <w:noWrap/>
            <w:vAlign w:val="bottom"/>
            <w:hideMark/>
          </w:tcPr>
          <w:p w14:paraId="1384ABD1" w14:textId="77777777" w:rsidR="00202C88" w:rsidRPr="000A4369" w:rsidRDefault="00202C88" w:rsidP="00202C88">
            <w:pPr>
              <w:spacing w:after="0" w:line="240" w:lineRule="auto"/>
              <w:jc w:val="right"/>
              <w:rPr>
                <w:rFonts w:ascii="Times New Roman" w:eastAsia="Times New Roman" w:hAnsi="Times New Roman" w:cs="Times New Roman"/>
                <w:b/>
                <w:bCs/>
                <w:sz w:val="16"/>
                <w:szCs w:val="16"/>
                <w:lang w:eastAsia="en-ZA"/>
              </w:rPr>
            </w:pPr>
          </w:p>
        </w:tc>
        <w:tc>
          <w:tcPr>
            <w:tcW w:w="619" w:type="pct"/>
            <w:shd w:val="clear" w:color="auto" w:fill="auto"/>
            <w:noWrap/>
            <w:vAlign w:val="bottom"/>
            <w:hideMark/>
          </w:tcPr>
          <w:p w14:paraId="63C03CE7" w14:textId="77777777" w:rsidR="00202C88" w:rsidRPr="000A4369" w:rsidRDefault="00202C88" w:rsidP="00202C88">
            <w:pPr>
              <w:spacing w:after="0" w:line="240" w:lineRule="auto"/>
              <w:jc w:val="right"/>
              <w:rPr>
                <w:rFonts w:ascii="Times New Roman" w:eastAsia="Times New Roman" w:hAnsi="Times New Roman" w:cs="Times New Roman"/>
                <w:b/>
                <w:bCs/>
                <w:sz w:val="16"/>
                <w:szCs w:val="16"/>
                <w:lang w:eastAsia="en-ZA"/>
              </w:rPr>
            </w:pPr>
            <w:r w:rsidRPr="000A4369">
              <w:rPr>
                <w:rFonts w:ascii="Times New Roman" w:eastAsia="Times New Roman" w:hAnsi="Times New Roman" w:cs="Times New Roman"/>
                <w:b/>
                <w:bCs/>
                <w:sz w:val="16"/>
                <w:szCs w:val="16"/>
                <w:lang w:eastAsia="en-ZA"/>
              </w:rPr>
              <w:t>-1 206 437,0</w:t>
            </w:r>
          </w:p>
        </w:tc>
        <w:tc>
          <w:tcPr>
            <w:tcW w:w="619" w:type="pct"/>
            <w:shd w:val="clear" w:color="auto" w:fill="auto"/>
            <w:noWrap/>
            <w:vAlign w:val="bottom"/>
            <w:hideMark/>
          </w:tcPr>
          <w:p w14:paraId="60ED4ACC" w14:textId="77777777" w:rsidR="00202C88" w:rsidRPr="000A4369" w:rsidRDefault="00202C88" w:rsidP="00202C88">
            <w:pPr>
              <w:spacing w:after="0" w:line="240" w:lineRule="auto"/>
              <w:jc w:val="right"/>
              <w:rPr>
                <w:rFonts w:ascii="Times New Roman" w:eastAsia="Times New Roman" w:hAnsi="Times New Roman" w:cs="Times New Roman"/>
                <w:b/>
                <w:bCs/>
                <w:sz w:val="16"/>
                <w:szCs w:val="16"/>
                <w:lang w:eastAsia="en-ZA"/>
              </w:rPr>
            </w:pPr>
            <w:r w:rsidRPr="000A4369">
              <w:rPr>
                <w:rFonts w:ascii="Times New Roman" w:eastAsia="Times New Roman" w:hAnsi="Times New Roman" w:cs="Times New Roman"/>
                <w:b/>
                <w:bCs/>
                <w:sz w:val="16"/>
                <w:szCs w:val="16"/>
                <w:lang w:eastAsia="en-ZA"/>
              </w:rPr>
              <w:t>-1 244 064,4</w:t>
            </w:r>
          </w:p>
        </w:tc>
        <w:tc>
          <w:tcPr>
            <w:tcW w:w="784" w:type="pct"/>
            <w:shd w:val="clear" w:color="auto" w:fill="auto"/>
            <w:noWrap/>
            <w:vAlign w:val="bottom"/>
            <w:hideMark/>
          </w:tcPr>
          <w:p w14:paraId="0A5B6EFF" w14:textId="77777777" w:rsidR="00202C88" w:rsidRPr="000A4369" w:rsidRDefault="00202C88" w:rsidP="00202C88">
            <w:pPr>
              <w:spacing w:after="0" w:line="240" w:lineRule="auto"/>
              <w:jc w:val="right"/>
              <w:rPr>
                <w:rFonts w:ascii="Times New Roman" w:eastAsia="Times New Roman" w:hAnsi="Times New Roman" w:cs="Times New Roman"/>
                <w:b/>
                <w:bCs/>
                <w:sz w:val="16"/>
                <w:szCs w:val="16"/>
                <w:lang w:eastAsia="en-ZA"/>
              </w:rPr>
            </w:pPr>
            <w:r w:rsidRPr="000A4369">
              <w:rPr>
                <w:rFonts w:ascii="Times New Roman" w:eastAsia="Times New Roman" w:hAnsi="Times New Roman" w:cs="Times New Roman"/>
                <w:b/>
                <w:bCs/>
                <w:sz w:val="16"/>
                <w:szCs w:val="16"/>
                <w:lang w:eastAsia="en-ZA"/>
              </w:rPr>
              <w:t>-61,31 per cent</w:t>
            </w:r>
          </w:p>
        </w:tc>
        <w:tc>
          <w:tcPr>
            <w:tcW w:w="784" w:type="pct"/>
            <w:shd w:val="clear" w:color="auto" w:fill="auto"/>
            <w:noWrap/>
            <w:vAlign w:val="bottom"/>
            <w:hideMark/>
          </w:tcPr>
          <w:p w14:paraId="70BDDBEA" w14:textId="77777777" w:rsidR="00202C88" w:rsidRPr="000A4369" w:rsidRDefault="00202C88" w:rsidP="00202C88">
            <w:pPr>
              <w:spacing w:after="0" w:line="240" w:lineRule="auto"/>
              <w:jc w:val="right"/>
              <w:rPr>
                <w:rFonts w:ascii="Times New Roman" w:eastAsia="Times New Roman" w:hAnsi="Times New Roman" w:cs="Times New Roman"/>
                <w:b/>
                <w:bCs/>
                <w:sz w:val="16"/>
                <w:szCs w:val="16"/>
                <w:lang w:eastAsia="en-ZA"/>
              </w:rPr>
            </w:pPr>
            <w:r w:rsidRPr="000A4369">
              <w:rPr>
                <w:rFonts w:ascii="Times New Roman" w:eastAsia="Times New Roman" w:hAnsi="Times New Roman" w:cs="Times New Roman"/>
                <w:b/>
                <w:bCs/>
                <w:sz w:val="16"/>
                <w:szCs w:val="16"/>
                <w:lang w:eastAsia="en-ZA"/>
              </w:rPr>
              <w:t>-63,23 per cent</w:t>
            </w:r>
          </w:p>
        </w:tc>
      </w:tr>
    </w:tbl>
    <w:p w14:paraId="309AC2EB" w14:textId="77777777" w:rsidR="00202C88" w:rsidRPr="000A4369" w:rsidRDefault="00202C88" w:rsidP="00202C88">
      <w:pPr>
        <w:spacing w:after="0" w:line="280" w:lineRule="exact"/>
        <w:jc w:val="both"/>
        <w:rPr>
          <w:rFonts w:ascii="Times New Roman" w:eastAsia="Times New Roman" w:hAnsi="Times New Roman" w:cs="Times New Roman"/>
          <w:b/>
          <w:lang w:val="en-GB"/>
        </w:rPr>
      </w:pPr>
    </w:p>
    <w:p w14:paraId="3C34788E" w14:textId="77777777" w:rsidR="00202C88" w:rsidRPr="000A4369" w:rsidRDefault="00202C88" w:rsidP="00202C88">
      <w:pPr>
        <w:spacing w:after="0" w:line="280" w:lineRule="exact"/>
        <w:jc w:val="both"/>
        <w:rPr>
          <w:rFonts w:ascii="Times New Roman" w:hAnsi="Times New Roman" w:cs="Times New Roman"/>
          <w:sz w:val="24"/>
          <w:szCs w:val="24"/>
        </w:rPr>
      </w:pPr>
      <w:r w:rsidRPr="000A4369">
        <w:rPr>
          <w:rFonts w:ascii="Times New Roman" w:hAnsi="Times New Roman" w:cs="Times New Roman"/>
          <w:sz w:val="24"/>
          <w:szCs w:val="24"/>
        </w:rPr>
        <w:t>Programme 4 promotes an integrated and coordinated system of disaster prevention, mitigation and risk management. Table 6 indicates that the budget allocated to this Programme decreases by 63 percent in real terms. This is due to the additional once-off allocation of R1.2 billion the Programme received in 2018/19 to provide immediate drought relief and future mitigation funding to affected sectors such as water, agriculture and environmental affairs.</w:t>
      </w:r>
      <w:r w:rsidRPr="000A4369">
        <w:rPr>
          <w:rFonts w:ascii="Times New Roman" w:hAnsi="Times New Roman" w:cs="Times New Roman"/>
          <w:sz w:val="24"/>
          <w:szCs w:val="24"/>
          <w:vertAlign w:val="superscript"/>
        </w:rPr>
        <w:footnoteReference w:id="12"/>
      </w:r>
      <w:r w:rsidRPr="000A4369">
        <w:rPr>
          <w:rFonts w:ascii="Times New Roman" w:hAnsi="Times New Roman" w:cs="Times New Roman"/>
          <w:sz w:val="24"/>
          <w:szCs w:val="24"/>
        </w:rPr>
        <w:t xml:space="preserve"> As illustrated in Figure 5, the once-off allocation was in respect of sub-programme 8 – the Municipal Disaster Recovery Grant. Further contributing to the reduction in the Programme budget is the 34 percent decrease in the allocation to the Disaster Relief Grant, as well as the fact there is no allocation to the Provincial Disaster Recovery Grant in 2019/20.</w:t>
      </w:r>
    </w:p>
    <w:p w14:paraId="4401A87E" w14:textId="77777777" w:rsidR="00202C88" w:rsidRPr="000A4369" w:rsidRDefault="00202C88" w:rsidP="00202C88">
      <w:pPr>
        <w:spacing w:after="0" w:line="280" w:lineRule="exact"/>
        <w:jc w:val="both"/>
        <w:rPr>
          <w:rFonts w:ascii="Times New Roman" w:eastAsia="Times New Roman" w:hAnsi="Times New Roman" w:cs="Times New Roman"/>
          <w:b/>
          <w:lang w:val="en-GB"/>
        </w:rPr>
      </w:pPr>
    </w:p>
    <w:p w14:paraId="0EA9B980" w14:textId="77777777" w:rsidR="001E66BE" w:rsidRPr="000A4369" w:rsidRDefault="001E66BE" w:rsidP="001E66BE">
      <w:pPr>
        <w:pStyle w:val="Caption"/>
        <w:rPr>
          <w:rFonts w:ascii="Times New Roman" w:hAnsi="Times New Roman" w:cs="Times New Roman"/>
          <w:noProof/>
        </w:rPr>
      </w:pPr>
      <w:r w:rsidRPr="000A4369">
        <w:rPr>
          <w:rFonts w:ascii="Times New Roman" w:hAnsi="Times New Roman" w:cs="Times New Roman"/>
        </w:rPr>
        <w:t xml:space="preserve">Figure </w:t>
      </w:r>
      <w:r w:rsidR="000A4369" w:rsidRPr="000A4369">
        <w:rPr>
          <w:rFonts w:ascii="Times New Roman" w:hAnsi="Times New Roman" w:cs="Times New Roman"/>
        </w:rPr>
        <w:fldChar w:fldCharType="begin"/>
      </w:r>
      <w:r w:rsidR="000A4369" w:rsidRPr="000A4369">
        <w:rPr>
          <w:rFonts w:ascii="Times New Roman" w:hAnsi="Times New Roman" w:cs="Times New Roman"/>
        </w:rPr>
        <w:instrText xml:space="preserve"> SEQ Figure \* ARABIC </w:instrText>
      </w:r>
      <w:r w:rsidR="000A4369" w:rsidRPr="000A4369">
        <w:rPr>
          <w:rFonts w:ascii="Times New Roman" w:hAnsi="Times New Roman" w:cs="Times New Roman"/>
        </w:rPr>
        <w:fldChar w:fldCharType="separate"/>
      </w:r>
      <w:r w:rsidR="007F1C6D" w:rsidRPr="000A4369">
        <w:rPr>
          <w:rFonts w:ascii="Times New Roman" w:hAnsi="Times New Roman" w:cs="Times New Roman"/>
          <w:noProof/>
        </w:rPr>
        <w:t>3</w:t>
      </w:r>
      <w:r w:rsidR="000A4369" w:rsidRPr="000A4369">
        <w:rPr>
          <w:rFonts w:ascii="Times New Roman" w:hAnsi="Times New Roman" w:cs="Times New Roman"/>
          <w:noProof/>
        </w:rPr>
        <w:fldChar w:fldCharType="end"/>
      </w:r>
    </w:p>
    <w:p w14:paraId="203E212B" w14:textId="77777777" w:rsidR="00202C88" w:rsidRPr="000A4369" w:rsidRDefault="001E66BE" w:rsidP="00202C88">
      <w:pPr>
        <w:spacing w:after="0" w:line="280" w:lineRule="exact"/>
        <w:jc w:val="both"/>
        <w:rPr>
          <w:rFonts w:ascii="Times New Roman" w:eastAsia="Times New Roman" w:hAnsi="Times New Roman" w:cs="Times New Roman"/>
          <w:b/>
          <w:lang w:val="en-GB"/>
        </w:rPr>
      </w:pPr>
      <w:r w:rsidRPr="000A4369">
        <w:rPr>
          <w:rFonts w:ascii="Times New Roman" w:hAnsi="Times New Roman" w:cs="Times New Roman"/>
          <w:noProof/>
          <w:lang w:eastAsia="en-ZA"/>
        </w:rPr>
        <w:drawing>
          <wp:anchor distT="0" distB="0" distL="114300" distR="114300" simplePos="0" relativeHeight="251676672" behindDoc="0" locked="0" layoutInCell="1" allowOverlap="1" wp14:anchorId="30D30E0E" wp14:editId="2BCEEFD3">
            <wp:simplePos x="0" y="0"/>
            <wp:positionH relativeFrom="column">
              <wp:posOffset>0</wp:posOffset>
            </wp:positionH>
            <wp:positionV relativeFrom="paragraph">
              <wp:posOffset>-635</wp:posOffset>
            </wp:positionV>
            <wp:extent cx="5691753" cy="2794248"/>
            <wp:effectExtent l="0" t="0" r="4445" b="635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0A8B34E8" w14:textId="77777777" w:rsidR="00202C88" w:rsidRPr="000A4369" w:rsidRDefault="00202C88" w:rsidP="00202C88">
      <w:pPr>
        <w:spacing w:after="0" w:line="280" w:lineRule="exact"/>
        <w:jc w:val="both"/>
        <w:rPr>
          <w:rFonts w:ascii="Times New Roman" w:eastAsia="Times New Roman" w:hAnsi="Times New Roman" w:cs="Times New Roman"/>
          <w:b/>
          <w:lang w:val="en-GB"/>
        </w:rPr>
      </w:pPr>
    </w:p>
    <w:p w14:paraId="19796A4C" w14:textId="77777777" w:rsidR="00202C88" w:rsidRPr="000A4369" w:rsidRDefault="00202C88" w:rsidP="00202C88">
      <w:pPr>
        <w:spacing w:after="0" w:line="280" w:lineRule="exact"/>
        <w:jc w:val="both"/>
        <w:rPr>
          <w:rFonts w:ascii="Times New Roman" w:eastAsia="Times New Roman" w:hAnsi="Times New Roman" w:cs="Times New Roman"/>
          <w:b/>
          <w:lang w:val="en-GB"/>
        </w:rPr>
      </w:pPr>
    </w:p>
    <w:p w14:paraId="61EF9A0F" w14:textId="77777777" w:rsidR="00202C88" w:rsidRPr="000A4369" w:rsidRDefault="00202C88" w:rsidP="00202C88">
      <w:pPr>
        <w:spacing w:after="0" w:line="280" w:lineRule="exact"/>
        <w:jc w:val="both"/>
        <w:rPr>
          <w:rFonts w:ascii="Times New Roman" w:eastAsia="Times New Roman" w:hAnsi="Times New Roman" w:cs="Times New Roman"/>
          <w:b/>
          <w:lang w:val="en-GB"/>
        </w:rPr>
      </w:pPr>
    </w:p>
    <w:p w14:paraId="3FF610FC" w14:textId="77777777" w:rsidR="00202C88" w:rsidRPr="000A4369" w:rsidRDefault="00202C88" w:rsidP="00202C88">
      <w:pPr>
        <w:spacing w:after="0" w:line="280" w:lineRule="exact"/>
        <w:jc w:val="both"/>
        <w:rPr>
          <w:rFonts w:ascii="Times New Roman" w:eastAsia="Times New Roman" w:hAnsi="Times New Roman" w:cs="Times New Roman"/>
          <w:b/>
          <w:lang w:val="en-GB"/>
        </w:rPr>
      </w:pPr>
    </w:p>
    <w:p w14:paraId="5DF65DB9" w14:textId="77777777" w:rsidR="00202C88" w:rsidRPr="000A4369" w:rsidRDefault="00202C88" w:rsidP="00202C88">
      <w:pPr>
        <w:spacing w:after="0" w:line="280" w:lineRule="exact"/>
        <w:jc w:val="both"/>
        <w:rPr>
          <w:rFonts w:ascii="Times New Roman" w:eastAsia="Times New Roman" w:hAnsi="Times New Roman" w:cs="Times New Roman"/>
          <w:b/>
          <w:lang w:val="en-GB"/>
        </w:rPr>
      </w:pPr>
    </w:p>
    <w:p w14:paraId="4F767BAA" w14:textId="77777777" w:rsidR="00202C88" w:rsidRPr="000A4369" w:rsidRDefault="00202C88" w:rsidP="00202C88">
      <w:pPr>
        <w:spacing w:after="0" w:line="280" w:lineRule="exact"/>
        <w:jc w:val="both"/>
        <w:rPr>
          <w:rFonts w:ascii="Times New Roman" w:eastAsia="Times New Roman" w:hAnsi="Times New Roman" w:cs="Times New Roman"/>
          <w:b/>
          <w:lang w:val="en-GB"/>
        </w:rPr>
      </w:pPr>
    </w:p>
    <w:p w14:paraId="0F731376" w14:textId="77777777" w:rsidR="00202C88" w:rsidRPr="000A4369" w:rsidRDefault="00202C88" w:rsidP="00202C88">
      <w:pPr>
        <w:spacing w:after="0" w:line="280" w:lineRule="exact"/>
        <w:jc w:val="both"/>
        <w:rPr>
          <w:rFonts w:ascii="Times New Roman" w:eastAsia="Times New Roman" w:hAnsi="Times New Roman" w:cs="Times New Roman"/>
          <w:b/>
          <w:lang w:val="en-GB"/>
        </w:rPr>
      </w:pPr>
    </w:p>
    <w:p w14:paraId="4CBE3C28" w14:textId="77777777" w:rsidR="00202C88" w:rsidRPr="000A4369" w:rsidRDefault="00202C88" w:rsidP="00202C88">
      <w:pPr>
        <w:spacing w:after="0" w:line="280" w:lineRule="exact"/>
        <w:jc w:val="both"/>
        <w:rPr>
          <w:rFonts w:ascii="Times New Roman" w:eastAsia="Times New Roman" w:hAnsi="Times New Roman" w:cs="Times New Roman"/>
          <w:b/>
          <w:lang w:val="en-GB"/>
        </w:rPr>
      </w:pPr>
    </w:p>
    <w:p w14:paraId="39169D67" w14:textId="77777777" w:rsidR="00202C88" w:rsidRPr="000A4369" w:rsidRDefault="00202C88" w:rsidP="00202C88">
      <w:pPr>
        <w:spacing w:after="0" w:line="280" w:lineRule="exact"/>
        <w:jc w:val="both"/>
        <w:rPr>
          <w:rFonts w:ascii="Times New Roman" w:eastAsia="Times New Roman" w:hAnsi="Times New Roman" w:cs="Times New Roman"/>
          <w:b/>
          <w:lang w:val="en-GB"/>
        </w:rPr>
      </w:pPr>
    </w:p>
    <w:p w14:paraId="33A14E36"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4E4246A2" w14:textId="77777777" w:rsidR="00BB3C95" w:rsidRPr="000A4369" w:rsidRDefault="00E53A4D" w:rsidP="00E53A4D">
      <w:pPr>
        <w:pStyle w:val="ListParagraph"/>
        <w:numPr>
          <w:ilvl w:val="1"/>
          <w:numId w:val="30"/>
        </w:numPr>
        <w:spacing w:after="0" w:line="280" w:lineRule="exact"/>
        <w:jc w:val="both"/>
        <w:rPr>
          <w:rFonts w:ascii="Times New Roman" w:eastAsia="Times New Roman" w:hAnsi="Times New Roman" w:cs="Times New Roman"/>
          <w:b/>
          <w:lang w:val="en-GB"/>
        </w:rPr>
      </w:pPr>
      <w:r w:rsidRPr="000A4369">
        <w:rPr>
          <w:rFonts w:ascii="Times New Roman" w:eastAsia="Times New Roman" w:hAnsi="Times New Roman" w:cs="Times New Roman"/>
          <w:b/>
          <w:lang w:val="en-GB"/>
        </w:rPr>
        <w:t>Local Government Support and Intervention Management</w:t>
      </w:r>
    </w:p>
    <w:p w14:paraId="5F9C8699" w14:textId="77777777" w:rsidR="00E53A4D" w:rsidRPr="000A4369" w:rsidRDefault="00E53A4D" w:rsidP="00E53A4D">
      <w:pPr>
        <w:spacing w:after="0" w:line="280" w:lineRule="exact"/>
        <w:jc w:val="both"/>
        <w:rPr>
          <w:rFonts w:ascii="Times New Roman" w:eastAsia="Times New Roman" w:hAnsi="Times New Roman" w:cs="Times New Roman"/>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1046"/>
        <w:gridCol w:w="1046"/>
        <w:gridCol w:w="734"/>
        <w:gridCol w:w="643"/>
        <w:gridCol w:w="1028"/>
        <w:gridCol w:w="1017"/>
        <w:gridCol w:w="1205"/>
        <w:gridCol w:w="1201"/>
      </w:tblGrid>
      <w:tr w:rsidR="001636D2" w:rsidRPr="000A4369" w14:paraId="08B38D3C" w14:textId="77777777" w:rsidTr="002D00EA">
        <w:trPr>
          <w:trHeight w:val="780"/>
          <w:tblHeader/>
        </w:trPr>
        <w:tc>
          <w:tcPr>
            <w:tcW w:w="715" w:type="pct"/>
            <w:shd w:val="clear" w:color="auto" w:fill="auto"/>
            <w:noWrap/>
            <w:vAlign w:val="bottom"/>
            <w:hideMark/>
          </w:tcPr>
          <w:p w14:paraId="12E47BF1" w14:textId="77777777" w:rsidR="001636D2" w:rsidRPr="000A4369" w:rsidRDefault="001636D2" w:rsidP="001636D2">
            <w:pPr>
              <w:spacing w:after="0" w:line="240" w:lineRule="auto"/>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Sub-Programme</w:t>
            </w:r>
          </w:p>
        </w:tc>
        <w:tc>
          <w:tcPr>
            <w:tcW w:w="1877" w:type="pct"/>
            <w:gridSpan w:val="4"/>
            <w:shd w:val="clear" w:color="auto" w:fill="auto"/>
            <w:vAlign w:val="center"/>
            <w:hideMark/>
          </w:tcPr>
          <w:p w14:paraId="627396A7" w14:textId="77777777" w:rsidR="001636D2" w:rsidRPr="000A4369" w:rsidRDefault="001636D2" w:rsidP="001636D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Budget</w:t>
            </w:r>
          </w:p>
        </w:tc>
        <w:tc>
          <w:tcPr>
            <w:tcW w:w="556" w:type="pct"/>
            <w:shd w:val="clear" w:color="auto" w:fill="auto"/>
            <w:vAlign w:val="center"/>
            <w:hideMark/>
          </w:tcPr>
          <w:p w14:paraId="0767772A" w14:textId="77777777" w:rsidR="001636D2" w:rsidRPr="000A4369" w:rsidRDefault="001636D2" w:rsidP="001636D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Nominal Rand change</w:t>
            </w:r>
          </w:p>
        </w:tc>
        <w:tc>
          <w:tcPr>
            <w:tcW w:w="550" w:type="pct"/>
            <w:shd w:val="clear" w:color="auto" w:fill="auto"/>
            <w:vAlign w:val="center"/>
            <w:hideMark/>
          </w:tcPr>
          <w:p w14:paraId="2753285A" w14:textId="77777777" w:rsidR="001636D2" w:rsidRPr="000A4369" w:rsidRDefault="001636D2" w:rsidP="001636D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Real Rand change</w:t>
            </w:r>
          </w:p>
        </w:tc>
        <w:tc>
          <w:tcPr>
            <w:tcW w:w="652" w:type="pct"/>
            <w:shd w:val="clear" w:color="auto" w:fill="auto"/>
            <w:vAlign w:val="center"/>
            <w:hideMark/>
          </w:tcPr>
          <w:p w14:paraId="3C3FD0F9" w14:textId="77777777" w:rsidR="001636D2" w:rsidRPr="000A4369" w:rsidRDefault="001636D2" w:rsidP="001636D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Nominal % change</w:t>
            </w:r>
          </w:p>
        </w:tc>
        <w:tc>
          <w:tcPr>
            <w:tcW w:w="652" w:type="pct"/>
            <w:shd w:val="clear" w:color="auto" w:fill="auto"/>
            <w:vAlign w:val="center"/>
            <w:hideMark/>
          </w:tcPr>
          <w:p w14:paraId="7740B6D9" w14:textId="77777777" w:rsidR="001636D2" w:rsidRPr="000A4369" w:rsidRDefault="001636D2" w:rsidP="001636D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Real % change</w:t>
            </w:r>
          </w:p>
        </w:tc>
      </w:tr>
      <w:tr w:rsidR="001636D2" w:rsidRPr="000A4369" w14:paraId="1CE83F58" w14:textId="77777777" w:rsidTr="002D00EA">
        <w:trPr>
          <w:trHeight w:val="255"/>
        </w:trPr>
        <w:tc>
          <w:tcPr>
            <w:tcW w:w="715" w:type="pct"/>
            <w:shd w:val="clear" w:color="auto" w:fill="auto"/>
            <w:noWrap/>
            <w:vAlign w:val="bottom"/>
            <w:hideMark/>
          </w:tcPr>
          <w:p w14:paraId="6B3DE793" w14:textId="77777777" w:rsidR="001636D2" w:rsidRPr="000A4369" w:rsidRDefault="001636D2" w:rsidP="001636D2">
            <w:pPr>
              <w:spacing w:after="0" w:line="240" w:lineRule="auto"/>
              <w:jc w:val="center"/>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R million</w:t>
            </w:r>
          </w:p>
        </w:tc>
        <w:tc>
          <w:tcPr>
            <w:tcW w:w="566" w:type="pct"/>
            <w:shd w:val="clear" w:color="auto" w:fill="auto"/>
            <w:noWrap/>
            <w:vAlign w:val="bottom"/>
            <w:hideMark/>
          </w:tcPr>
          <w:p w14:paraId="40E9D5C2" w14:textId="77777777" w:rsidR="001636D2" w:rsidRPr="000A4369" w:rsidRDefault="001636D2" w:rsidP="001636D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2018/19</w:t>
            </w:r>
          </w:p>
        </w:tc>
        <w:tc>
          <w:tcPr>
            <w:tcW w:w="566" w:type="pct"/>
            <w:shd w:val="clear" w:color="auto" w:fill="auto"/>
            <w:noWrap/>
            <w:vAlign w:val="bottom"/>
            <w:hideMark/>
          </w:tcPr>
          <w:p w14:paraId="65BA47EB" w14:textId="77777777" w:rsidR="001636D2" w:rsidRPr="000A4369" w:rsidRDefault="001636D2" w:rsidP="001636D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2019/20</w:t>
            </w:r>
          </w:p>
        </w:tc>
        <w:tc>
          <w:tcPr>
            <w:tcW w:w="397" w:type="pct"/>
            <w:shd w:val="clear" w:color="auto" w:fill="auto"/>
            <w:noWrap/>
            <w:vAlign w:val="bottom"/>
            <w:hideMark/>
          </w:tcPr>
          <w:p w14:paraId="3665F769" w14:textId="77777777" w:rsidR="001636D2" w:rsidRPr="000A4369" w:rsidRDefault="001636D2" w:rsidP="001636D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2020/21</w:t>
            </w:r>
          </w:p>
        </w:tc>
        <w:tc>
          <w:tcPr>
            <w:tcW w:w="348" w:type="pct"/>
            <w:shd w:val="clear" w:color="auto" w:fill="auto"/>
            <w:noWrap/>
            <w:vAlign w:val="bottom"/>
            <w:hideMark/>
          </w:tcPr>
          <w:p w14:paraId="00D14659" w14:textId="77777777" w:rsidR="001636D2" w:rsidRPr="000A4369" w:rsidRDefault="001636D2" w:rsidP="001636D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2021/22</w:t>
            </w:r>
          </w:p>
        </w:tc>
        <w:tc>
          <w:tcPr>
            <w:tcW w:w="1105" w:type="pct"/>
            <w:gridSpan w:val="2"/>
            <w:shd w:val="clear" w:color="auto" w:fill="auto"/>
            <w:noWrap/>
            <w:vAlign w:val="bottom"/>
            <w:hideMark/>
          </w:tcPr>
          <w:p w14:paraId="77847794" w14:textId="77777777" w:rsidR="001636D2" w:rsidRPr="000A4369" w:rsidRDefault="001636D2" w:rsidP="001636D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 2018/19-2019/20</w:t>
            </w:r>
          </w:p>
        </w:tc>
        <w:tc>
          <w:tcPr>
            <w:tcW w:w="1303" w:type="pct"/>
            <w:gridSpan w:val="2"/>
            <w:shd w:val="clear" w:color="auto" w:fill="auto"/>
            <w:noWrap/>
            <w:vAlign w:val="bottom"/>
            <w:hideMark/>
          </w:tcPr>
          <w:p w14:paraId="2FEC7243" w14:textId="77777777" w:rsidR="001636D2" w:rsidRPr="000A4369" w:rsidRDefault="001636D2" w:rsidP="001636D2">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 2018/19-2019/20</w:t>
            </w:r>
          </w:p>
        </w:tc>
      </w:tr>
      <w:tr w:rsidR="001636D2" w:rsidRPr="000A4369" w14:paraId="7449F1B3" w14:textId="77777777" w:rsidTr="002D00EA">
        <w:trPr>
          <w:trHeight w:val="720"/>
        </w:trPr>
        <w:tc>
          <w:tcPr>
            <w:tcW w:w="715" w:type="pct"/>
            <w:shd w:val="clear" w:color="auto" w:fill="auto"/>
            <w:vAlign w:val="bottom"/>
            <w:hideMark/>
          </w:tcPr>
          <w:p w14:paraId="14D2E5FE" w14:textId="77777777" w:rsidR="001636D2" w:rsidRPr="000A4369" w:rsidRDefault="001636D2" w:rsidP="001636D2">
            <w:pPr>
              <w:numPr>
                <w:ilvl w:val="0"/>
                <w:numId w:val="31"/>
              </w:numPr>
              <w:spacing w:after="0" w:line="240" w:lineRule="auto"/>
              <w:ind w:left="171" w:hanging="171"/>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Management: Local Government Support and Interventions</w:t>
            </w:r>
          </w:p>
        </w:tc>
        <w:tc>
          <w:tcPr>
            <w:tcW w:w="566" w:type="pct"/>
            <w:shd w:val="clear" w:color="auto" w:fill="auto"/>
            <w:noWrap/>
            <w:vAlign w:val="bottom"/>
            <w:hideMark/>
          </w:tcPr>
          <w:p w14:paraId="79CDFEA3"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3 501,0</w:t>
            </w:r>
          </w:p>
        </w:tc>
        <w:tc>
          <w:tcPr>
            <w:tcW w:w="566" w:type="pct"/>
            <w:shd w:val="clear" w:color="auto" w:fill="auto"/>
            <w:noWrap/>
            <w:vAlign w:val="bottom"/>
            <w:hideMark/>
          </w:tcPr>
          <w:p w14:paraId="6EAEAA59"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3 715,0</w:t>
            </w:r>
          </w:p>
        </w:tc>
        <w:tc>
          <w:tcPr>
            <w:tcW w:w="397" w:type="pct"/>
            <w:shd w:val="clear" w:color="auto" w:fill="auto"/>
            <w:noWrap/>
            <w:vAlign w:val="bottom"/>
            <w:hideMark/>
          </w:tcPr>
          <w:p w14:paraId="3DCA1157"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0,0</w:t>
            </w:r>
          </w:p>
        </w:tc>
        <w:tc>
          <w:tcPr>
            <w:tcW w:w="348" w:type="pct"/>
            <w:shd w:val="clear" w:color="auto" w:fill="auto"/>
            <w:noWrap/>
            <w:vAlign w:val="bottom"/>
            <w:hideMark/>
          </w:tcPr>
          <w:p w14:paraId="0C081DEF"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0,0</w:t>
            </w:r>
          </w:p>
        </w:tc>
        <w:tc>
          <w:tcPr>
            <w:tcW w:w="556" w:type="pct"/>
            <w:shd w:val="clear" w:color="auto" w:fill="auto"/>
            <w:noWrap/>
            <w:vAlign w:val="bottom"/>
            <w:hideMark/>
          </w:tcPr>
          <w:p w14:paraId="2E711FCF"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214,0</w:t>
            </w:r>
          </w:p>
        </w:tc>
        <w:tc>
          <w:tcPr>
            <w:tcW w:w="550" w:type="pct"/>
            <w:shd w:val="clear" w:color="auto" w:fill="auto"/>
            <w:noWrap/>
            <w:vAlign w:val="bottom"/>
            <w:hideMark/>
          </w:tcPr>
          <w:p w14:paraId="44DE14B3"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30,4</w:t>
            </w:r>
          </w:p>
        </w:tc>
        <w:tc>
          <w:tcPr>
            <w:tcW w:w="652" w:type="pct"/>
            <w:shd w:val="clear" w:color="auto" w:fill="auto"/>
            <w:noWrap/>
            <w:vAlign w:val="bottom"/>
            <w:hideMark/>
          </w:tcPr>
          <w:p w14:paraId="16CD0254"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6,11 per cent</w:t>
            </w:r>
          </w:p>
        </w:tc>
        <w:tc>
          <w:tcPr>
            <w:tcW w:w="652" w:type="pct"/>
            <w:shd w:val="clear" w:color="auto" w:fill="auto"/>
            <w:noWrap/>
            <w:vAlign w:val="bottom"/>
            <w:hideMark/>
          </w:tcPr>
          <w:p w14:paraId="51DF0830"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0,87 per cent</w:t>
            </w:r>
          </w:p>
        </w:tc>
      </w:tr>
      <w:tr w:rsidR="001636D2" w:rsidRPr="000A4369" w14:paraId="210BCBD5" w14:textId="77777777" w:rsidTr="002D00EA">
        <w:trPr>
          <w:trHeight w:val="480"/>
        </w:trPr>
        <w:tc>
          <w:tcPr>
            <w:tcW w:w="715" w:type="pct"/>
            <w:shd w:val="clear" w:color="auto" w:fill="auto"/>
            <w:vAlign w:val="bottom"/>
            <w:hideMark/>
          </w:tcPr>
          <w:p w14:paraId="53CA5F2E" w14:textId="77777777" w:rsidR="001636D2" w:rsidRPr="000A4369" w:rsidRDefault="001636D2" w:rsidP="001636D2">
            <w:pPr>
              <w:numPr>
                <w:ilvl w:val="0"/>
                <w:numId w:val="31"/>
              </w:numPr>
              <w:spacing w:after="0" w:line="240" w:lineRule="auto"/>
              <w:ind w:left="171" w:hanging="171"/>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Municipal Performance Monitoring</w:t>
            </w:r>
          </w:p>
        </w:tc>
        <w:tc>
          <w:tcPr>
            <w:tcW w:w="566" w:type="pct"/>
            <w:shd w:val="clear" w:color="auto" w:fill="auto"/>
            <w:noWrap/>
            <w:vAlign w:val="bottom"/>
            <w:hideMark/>
          </w:tcPr>
          <w:p w14:paraId="15B24AFE"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6 901,0</w:t>
            </w:r>
          </w:p>
        </w:tc>
        <w:tc>
          <w:tcPr>
            <w:tcW w:w="566" w:type="pct"/>
            <w:shd w:val="clear" w:color="auto" w:fill="auto"/>
            <w:noWrap/>
            <w:vAlign w:val="bottom"/>
            <w:hideMark/>
          </w:tcPr>
          <w:p w14:paraId="73F3BF99"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11 907,0</w:t>
            </w:r>
          </w:p>
        </w:tc>
        <w:tc>
          <w:tcPr>
            <w:tcW w:w="397" w:type="pct"/>
            <w:shd w:val="clear" w:color="auto" w:fill="auto"/>
            <w:noWrap/>
            <w:vAlign w:val="bottom"/>
            <w:hideMark/>
          </w:tcPr>
          <w:p w14:paraId="690A3BCD"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0,0</w:t>
            </w:r>
          </w:p>
        </w:tc>
        <w:tc>
          <w:tcPr>
            <w:tcW w:w="348" w:type="pct"/>
            <w:shd w:val="clear" w:color="auto" w:fill="auto"/>
            <w:noWrap/>
            <w:vAlign w:val="bottom"/>
            <w:hideMark/>
          </w:tcPr>
          <w:p w14:paraId="48A524FA"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0,0</w:t>
            </w:r>
          </w:p>
        </w:tc>
        <w:tc>
          <w:tcPr>
            <w:tcW w:w="556" w:type="pct"/>
            <w:shd w:val="clear" w:color="auto" w:fill="auto"/>
            <w:noWrap/>
            <w:vAlign w:val="bottom"/>
            <w:hideMark/>
          </w:tcPr>
          <w:p w14:paraId="02886E2E"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5 006,0</w:t>
            </w:r>
          </w:p>
        </w:tc>
        <w:tc>
          <w:tcPr>
            <w:tcW w:w="550" w:type="pct"/>
            <w:shd w:val="clear" w:color="auto" w:fill="auto"/>
            <w:noWrap/>
            <w:vAlign w:val="bottom"/>
            <w:hideMark/>
          </w:tcPr>
          <w:p w14:paraId="46F788A4"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4 417,4</w:t>
            </w:r>
          </w:p>
        </w:tc>
        <w:tc>
          <w:tcPr>
            <w:tcW w:w="652" w:type="pct"/>
            <w:shd w:val="clear" w:color="auto" w:fill="auto"/>
            <w:noWrap/>
            <w:vAlign w:val="bottom"/>
            <w:hideMark/>
          </w:tcPr>
          <w:p w14:paraId="2141E2AF"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72,54 per cent</w:t>
            </w:r>
          </w:p>
        </w:tc>
        <w:tc>
          <w:tcPr>
            <w:tcW w:w="652" w:type="pct"/>
            <w:shd w:val="clear" w:color="auto" w:fill="auto"/>
            <w:noWrap/>
            <w:vAlign w:val="bottom"/>
            <w:hideMark/>
          </w:tcPr>
          <w:p w14:paraId="77A21BA7"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64,01 per cent</w:t>
            </w:r>
          </w:p>
        </w:tc>
      </w:tr>
      <w:tr w:rsidR="001636D2" w:rsidRPr="000A4369" w14:paraId="3184BD53" w14:textId="77777777" w:rsidTr="002D00EA">
        <w:trPr>
          <w:trHeight w:val="480"/>
        </w:trPr>
        <w:tc>
          <w:tcPr>
            <w:tcW w:w="715" w:type="pct"/>
            <w:shd w:val="clear" w:color="auto" w:fill="auto"/>
            <w:vAlign w:val="bottom"/>
            <w:hideMark/>
          </w:tcPr>
          <w:p w14:paraId="5C976F16" w14:textId="77777777" w:rsidR="001636D2" w:rsidRPr="000A4369" w:rsidRDefault="001636D2" w:rsidP="001636D2">
            <w:pPr>
              <w:numPr>
                <w:ilvl w:val="0"/>
                <w:numId w:val="31"/>
              </w:numPr>
              <w:spacing w:after="0" w:line="240" w:lineRule="auto"/>
              <w:ind w:left="171" w:hanging="171"/>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Local Government Improvement Programme </w:t>
            </w:r>
          </w:p>
        </w:tc>
        <w:tc>
          <w:tcPr>
            <w:tcW w:w="566" w:type="pct"/>
            <w:shd w:val="clear" w:color="auto" w:fill="auto"/>
            <w:noWrap/>
            <w:vAlign w:val="bottom"/>
            <w:hideMark/>
          </w:tcPr>
          <w:p w14:paraId="388D8E7C"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29 477,0</w:t>
            </w:r>
          </w:p>
        </w:tc>
        <w:tc>
          <w:tcPr>
            <w:tcW w:w="566" w:type="pct"/>
            <w:shd w:val="clear" w:color="auto" w:fill="auto"/>
            <w:noWrap/>
            <w:vAlign w:val="bottom"/>
            <w:hideMark/>
          </w:tcPr>
          <w:p w14:paraId="29A00FAD"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35 866,0</w:t>
            </w:r>
          </w:p>
        </w:tc>
        <w:tc>
          <w:tcPr>
            <w:tcW w:w="397" w:type="pct"/>
            <w:shd w:val="clear" w:color="auto" w:fill="auto"/>
            <w:noWrap/>
            <w:vAlign w:val="bottom"/>
            <w:hideMark/>
          </w:tcPr>
          <w:p w14:paraId="7C863783"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0,0</w:t>
            </w:r>
          </w:p>
        </w:tc>
        <w:tc>
          <w:tcPr>
            <w:tcW w:w="348" w:type="pct"/>
            <w:shd w:val="clear" w:color="auto" w:fill="auto"/>
            <w:noWrap/>
            <w:vAlign w:val="bottom"/>
            <w:hideMark/>
          </w:tcPr>
          <w:p w14:paraId="440C8A5C"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0,0</w:t>
            </w:r>
          </w:p>
        </w:tc>
        <w:tc>
          <w:tcPr>
            <w:tcW w:w="556" w:type="pct"/>
            <w:shd w:val="clear" w:color="auto" w:fill="auto"/>
            <w:noWrap/>
            <w:vAlign w:val="bottom"/>
            <w:hideMark/>
          </w:tcPr>
          <w:p w14:paraId="3024C94F"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6 389,0</w:t>
            </w:r>
          </w:p>
        </w:tc>
        <w:tc>
          <w:tcPr>
            <w:tcW w:w="550" w:type="pct"/>
            <w:shd w:val="clear" w:color="auto" w:fill="auto"/>
            <w:noWrap/>
            <w:vAlign w:val="bottom"/>
            <w:hideMark/>
          </w:tcPr>
          <w:p w14:paraId="0E4BA608"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4 616,2</w:t>
            </w:r>
          </w:p>
        </w:tc>
        <w:tc>
          <w:tcPr>
            <w:tcW w:w="652" w:type="pct"/>
            <w:shd w:val="clear" w:color="auto" w:fill="auto"/>
            <w:noWrap/>
            <w:vAlign w:val="bottom"/>
            <w:hideMark/>
          </w:tcPr>
          <w:p w14:paraId="072D3B94"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21,67 per cent</w:t>
            </w:r>
          </w:p>
        </w:tc>
        <w:tc>
          <w:tcPr>
            <w:tcW w:w="652" w:type="pct"/>
            <w:shd w:val="clear" w:color="auto" w:fill="auto"/>
            <w:noWrap/>
            <w:vAlign w:val="bottom"/>
            <w:hideMark/>
          </w:tcPr>
          <w:p w14:paraId="6D5358DB"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15,66 per cent</w:t>
            </w:r>
          </w:p>
        </w:tc>
      </w:tr>
      <w:tr w:rsidR="001636D2" w:rsidRPr="000A4369" w14:paraId="20F63A46" w14:textId="77777777" w:rsidTr="002D00EA">
        <w:trPr>
          <w:trHeight w:val="255"/>
        </w:trPr>
        <w:tc>
          <w:tcPr>
            <w:tcW w:w="715" w:type="pct"/>
            <w:shd w:val="clear" w:color="auto" w:fill="auto"/>
            <w:vAlign w:val="bottom"/>
            <w:hideMark/>
          </w:tcPr>
          <w:p w14:paraId="4C5FE50E" w14:textId="77777777" w:rsidR="001636D2" w:rsidRPr="000A4369" w:rsidRDefault="001636D2" w:rsidP="001636D2">
            <w:pPr>
              <w:numPr>
                <w:ilvl w:val="0"/>
                <w:numId w:val="31"/>
              </w:numPr>
              <w:spacing w:after="0" w:line="240" w:lineRule="auto"/>
              <w:ind w:left="171" w:hanging="171"/>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Litigation and Interventions</w:t>
            </w:r>
          </w:p>
        </w:tc>
        <w:tc>
          <w:tcPr>
            <w:tcW w:w="566" w:type="pct"/>
            <w:shd w:val="clear" w:color="auto" w:fill="auto"/>
            <w:noWrap/>
            <w:vAlign w:val="bottom"/>
            <w:hideMark/>
          </w:tcPr>
          <w:p w14:paraId="15E32401"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3 455,0</w:t>
            </w:r>
          </w:p>
        </w:tc>
        <w:tc>
          <w:tcPr>
            <w:tcW w:w="566" w:type="pct"/>
            <w:shd w:val="clear" w:color="auto" w:fill="auto"/>
            <w:noWrap/>
            <w:vAlign w:val="bottom"/>
            <w:hideMark/>
          </w:tcPr>
          <w:p w14:paraId="45E8ECA4"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8 501,0</w:t>
            </w:r>
          </w:p>
        </w:tc>
        <w:tc>
          <w:tcPr>
            <w:tcW w:w="397" w:type="pct"/>
            <w:shd w:val="clear" w:color="auto" w:fill="auto"/>
            <w:noWrap/>
            <w:vAlign w:val="bottom"/>
            <w:hideMark/>
          </w:tcPr>
          <w:p w14:paraId="13CB24D9"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0,0</w:t>
            </w:r>
          </w:p>
        </w:tc>
        <w:tc>
          <w:tcPr>
            <w:tcW w:w="348" w:type="pct"/>
            <w:shd w:val="clear" w:color="auto" w:fill="auto"/>
            <w:noWrap/>
            <w:vAlign w:val="bottom"/>
            <w:hideMark/>
          </w:tcPr>
          <w:p w14:paraId="7351676E"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0,0</w:t>
            </w:r>
          </w:p>
        </w:tc>
        <w:tc>
          <w:tcPr>
            <w:tcW w:w="556" w:type="pct"/>
            <w:shd w:val="clear" w:color="auto" w:fill="auto"/>
            <w:noWrap/>
            <w:vAlign w:val="bottom"/>
            <w:hideMark/>
          </w:tcPr>
          <w:p w14:paraId="14F9D58F"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5 046,0</w:t>
            </w:r>
          </w:p>
        </w:tc>
        <w:tc>
          <w:tcPr>
            <w:tcW w:w="550" w:type="pct"/>
            <w:shd w:val="clear" w:color="auto" w:fill="auto"/>
            <w:noWrap/>
            <w:vAlign w:val="bottom"/>
            <w:hideMark/>
          </w:tcPr>
          <w:p w14:paraId="4F828652"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4 625,8</w:t>
            </w:r>
          </w:p>
        </w:tc>
        <w:tc>
          <w:tcPr>
            <w:tcW w:w="652" w:type="pct"/>
            <w:shd w:val="clear" w:color="auto" w:fill="auto"/>
            <w:noWrap/>
            <w:vAlign w:val="bottom"/>
            <w:hideMark/>
          </w:tcPr>
          <w:p w14:paraId="5D67DA8B"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146,05 per cent</w:t>
            </w:r>
          </w:p>
        </w:tc>
        <w:tc>
          <w:tcPr>
            <w:tcW w:w="652" w:type="pct"/>
            <w:shd w:val="clear" w:color="auto" w:fill="auto"/>
            <w:noWrap/>
            <w:vAlign w:val="bottom"/>
            <w:hideMark/>
          </w:tcPr>
          <w:p w14:paraId="7437EFC4"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133,89 per cent</w:t>
            </w:r>
          </w:p>
        </w:tc>
      </w:tr>
      <w:tr w:rsidR="001636D2" w:rsidRPr="000A4369" w14:paraId="5B8C9B07" w14:textId="77777777" w:rsidTr="002D00EA">
        <w:trPr>
          <w:trHeight w:val="480"/>
        </w:trPr>
        <w:tc>
          <w:tcPr>
            <w:tcW w:w="715" w:type="pct"/>
            <w:shd w:val="clear" w:color="auto" w:fill="auto"/>
            <w:vAlign w:val="bottom"/>
            <w:hideMark/>
          </w:tcPr>
          <w:p w14:paraId="212663E0" w14:textId="77777777" w:rsidR="001636D2" w:rsidRPr="000A4369" w:rsidRDefault="001636D2" w:rsidP="001636D2">
            <w:pPr>
              <w:numPr>
                <w:ilvl w:val="0"/>
                <w:numId w:val="31"/>
              </w:numPr>
              <w:spacing w:after="0" w:line="240" w:lineRule="auto"/>
              <w:ind w:left="171" w:hanging="171"/>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Municipal Infrastructure Administration</w:t>
            </w:r>
          </w:p>
        </w:tc>
        <w:tc>
          <w:tcPr>
            <w:tcW w:w="566" w:type="pct"/>
            <w:shd w:val="clear" w:color="auto" w:fill="auto"/>
            <w:noWrap/>
            <w:vAlign w:val="bottom"/>
            <w:hideMark/>
          </w:tcPr>
          <w:p w14:paraId="58D2570C"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34 598,0</w:t>
            </w:r>
          </w:p>
        </w:tc>
        <w:tc>
          <w:tcPr>
            <w:tcW w:w="566" w:type="pct"/>
            <w:shd w:val="clear" w:color="auto" w:fill="auto"/>
            <w:noWrap/>
            <w:vAlign w:val="bottom"/>
            <w:hideMark/>
          </w:tcPr>
          <w:p w14:paraId="18625CED"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39 735,0</w:t>
            </w:r>
          </w:p>
        </w:tc>
        <w:tc>
          <w:tcPr>
            <w:tcW w:w="397" w:type="pct"/>
            <w:shd w:val="clear" w:color="auto" w:fill="auto"/>
            <w:noWrap/>
            <w:vAlign w:val="bottom"/>
            <w:hideMark/>
          </w:tcPr>
          <w:p w14:paraId="1093A35A"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0,0</w:t>
            </w:r>
          </w:p>
        </w:tc>
        <w:tc>
          <w:tcPr>
            <w:tcW w:w="348" w:type="pct"/>
            <w:shd w:val="clear" w:color="auto" w:fill="auto"/>
            <w:noWrap/>
            <w:vAlign w:val="bottom"/>
            <w:hideMark/>
          </w:tcPr>
          <w:p w14:paraId="0AEE7077"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0,0</w:t>
            </w:r>
          </w:p>
        </w:tc>
        <w:tc>
          <w:tcPr>
            <w:tcW w:w="556" w:type="pct"/>
            <w:shd w:val="clear" w:color="auto" w:fill="auto"/>
            <w:noWrap/>
            <w:vAlign w:val="bottom"/>
            <w:hideMark/>
          </w:tcPr>
          <w:p w14:paraId="785D449E"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5 137,0</w:t>
            </w:r>
          </w:p>
        </w:tc>
        <w:tc>
          <w:tcPr>
            <w:tcW w:w="550" w:type="pct"/>
            <w:shd w:val="clear" w:color="auto" w:fill="auto"/>
            <w:noWrap/>
            <w:vAlign w:val="bottom"/>
            <w:hideMark/>
          </w:tcPr>
          <w:p w14:paraId="2D1E54DD"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3 172,9</w:t>
            </w:r>
          </w:p>
        </w:tc>
        <w:tc>
          <w:tcPr>
            <w:tcW w:w="652" w:type="pct"/>
            <w:shd w:val="clear" w:color="auto" w:fill="auto"/>
            <w:noWrap/>
            <w:vAlign w:val="bottom"/>
            <w:hideMark/>
          </w:tcPr>
          <w:p w14:paraId="7FAA78AD"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14,85 per cent</w:t>
            </w:r>
          </w:p>
        </w:tc>
        <w:tc>
          <w:tcPr>
            <w:tcW w:w="652" w:type="pct"/>
            <w:shd w:val="clear" w:color="auto" w:fill="auto"/>
            <w:noWrap/>
            <w:vAlign w:val="bottom"/>
            <w:hideMark/>
          </w:tcPr>
          <w:p w14:paraId="49E46F3F"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9,17 per cent</w:t>
            </w:r>
          </w:p>
        </w:tc>
      </w:tr>
      <w:tr w:rsidR="001636D2" w:rsidRPr="000A4369" w14:paraId="7C3F05E7" w14:textId="77777777" w:rsidTr="002D00EA">
        <w:trPr>
          <w:trHeight w:val="225"/>
        </w:trPr>
        <w:tc>
          <w:tcPr>
            <w:tcW w:w="715" w:type="pct"/>
            <w:shd w:val="clear" w:color="auto" w:fill="auto"/>
            <w:vAlign w:val="bottom"/>
            <w:hideMark/>
          </w:tcPr>
          <w:p w14:paraId="3C243EE6" w14:textId="77777777" w:rsidR="001636D2" w:rsidRPr="000A4369" w:rsidRDefault="001636D2" w:rsidP="001636D2">
            <w:pPr>
              <w:numPr>
                <w:ilvl w:val="0"/>
                <w:numId w:val="31"/>
              </w:numPr>
              <w:spacing w:after="0" w:line="240" w:lineRule="auto"/>
              <w:ind w:left="171" w:hanging="171"/>
              <w:contextualSpacing/>
              <w:jc w:val="both"/>
              <w:rPr>
                <w:rFonts w:ascii="Times New Roman" w:eastAsia="Times New Roman" w:hAnsi="Times New Roman" w:cs="Times New Roman"/>
                <w:sz w:val="18"/>
                <w:szCs w:val="16"/>
                <w:lang w:eastAsia="en-ZA"/>
              </w:rPr>
            </w:pPr>
            <w:r w:rsidRPr="000A4369">
              <w:rPr>
                <w:rFonts w:ascii="Times New Roman" w:eastAsia="Times New Roman" w:hAnsi="Times New Roman" w:cs="Times New Roman"/>
                <w:sz w:val="18"/>
                <w:szCs w:val="16"/>
                <w:lang w:eastAsia="en-ZA"/>
              </w:rPr>
              <w:t>Municipal Infrastructure Grant</w:t>
            </w:r>
          </w:p>
        </w:tc>
        <w:tc>
          <w:tcPr>
            <w:tcW w:w="566" w:type="pct"/>
            <w:shd w:val="clear" w:color="auto" w:fill="auto"/>
            <w:noWrap/>
            <w:vAlign w:val="bottom"/>
            <w:hideMark/>
          </w:tcPr>
          <w:p w14:paraId="558DD1D9" w14:textId="77777777" w:rsidR="001636D2" w:rsidRPr="000A4369" w:rsidRDefault="001636D2" w:rsidP="001636D2">
            <w:pPr>
              <w:spacing w:after="0" w:line="240" w:lineRule="auto"/>
              <w:jc w:val="right"/>
              <w:rPr>
                <w:rFonts w:ascii="Times New Roman" w:eastAsia="Times New Roman" w:hAnsi="Times New Roman" w:cs="Times New Roman"/>
                <w:sz w:val="18"/>
                <w:szCs w:val="16"/>
                <w:lang w:eastAsia="en-ZA"/>
              </w:rPr>
            </w:pPr>
            <w:r w:rsidRPr="000A4369">
              <w:rPr>
                <w:rFonts w:ascii="Times New Roman" w:eastAsia="Times New Roman" w:hAnsi="Times New Roman" w:cs="Times New Roman"/>
                <w:sz w:val="18"/>
                <w:szCs w:val="16"/>
                <w:lang w:eastAsia="en-ZA"/>
              </w:rPr>
              <w:t>15 287 685,0</w:t>
            </w:r>
          </w:p>
        </w:tc>
        <w:tc>
          <w:tcPr>
            <w:tcW w:w="566" w:type="pct"/>
            <w:shd w:val="clear" w:color="auto" w:fill="auto"/>
            <w:noWrap/>
            <w:vAlign w:val="bottom"/>
            <w:hideMark/>
          </w:tcPr>
          <w:p w14:paraId="3CB858EF" w14:textId="77777777" w:rsidR="001636D2" w:rsidRPr="000A4369" w:rsidRDefault="001636D2" w:rsidP="001636D2">
            <w:pPr>
              <w:spacing w:after="0" w:line="240" w:lineRule="auto"/>
              <w:jc w:val="right"/>
              <w:rPr>
                <w:rFonts w:ascii="Times New Roman" w:eastAsia="Times New Roman" w:hAnsi="Times New Roman" w:cs="Times New Roman"/>
                <w:sz w:val="18"/>
                <w:szCs w:val="16"/>
                <w:lang w:eastAsia="en-ZA"/>
              </w:rPr>
            </w:pPr>
            <w:r w:rsidRPr="000A4369">
              <w:rPr>
                <w:rFonts w:ascii="Times New Roman" w:eastAsia="Times New Roman" w:hAnsi="Times New Roman" w:cs="Times New Roman"/>
                <w:sz w:val="18"/>
                <w:szCs w:val="16"/>
                <w:lang w:eastAsia="en-ZA"/>
              </w:rPr>
              <w:t>14 816 103,0</w:t>
            </w:r>
          </w:p>
        </w:tc>
        <w:tc>
          <w:tcPr>
            <w:tcW w:w="397" w:type="pct"/>
            <w:shd w:val="clear" w:color="auto" w:fill="auto"/>
            <w:noWrap/>
            <w:vAlign w:val="bottom"/>
            <w:hideMark/>
          </w:tcPr>
          <w:p w14:paraId="0738A045" w14:textId="77777777" w:rsidR="001636D2" w:rsidRPr="000A4369" w:rsidRDefault="001636D2" w:rsidP="001636D2">
            <w:pPr>
              <w:spacing w:after="0" w:line="240" w:lineRule="auto"/>
              <w:jc w:val="right"/>
              <w:rPr>
                <w:rFonts w:ascii="Times New Roman" w:eastAsia="Times New Roman" w:hAnsi="Times New Roman" w:cs="Times New Roman"/>
                <w:sz w:val="18"/>
                <w:szCs w:val="16"/>
                <w:lang w:eastAsia="en-ZA"/>
              </w:rPr>
            </w:pPr>
            <w:r w:rsidRPr="000A4369">
              <w:rPr>
                <w:rFonts w:ascii="Times New Roman" w:eastAsia="Times New Roman" w:hAnsi="Times New Roman" w:cs="Times New Roman"/>
                <w:sz w:val="18"/>
                <w:szCs w:val="16"/>
                <w:lang w:eastAsia="en-ZA"/>
              </w:rPr>
              <w:t xml:space="preserve">  0,0</w:t>
            </w:r>
          </w:p>
        </w:tc>
        <w:tc>
          <w:tcPr>
            <w:tcW w:w="348" w:type="pct"/>
            <w:shd w:val="clear" w:color="auto" w:fill="auto"/>
            <w:noWrap/>
            <w:vAlign w:val="bottom"/>
            <w:hideMark/>
          </w:tcPr>
          <w:p w14:paraId="22692992" w14:textId="77777777" w:rsidR="001636D2" w:rsidRPr="000A4369" w:rsidRDefault="001636D2" w:rsidP="001636D2">
            <w:pPr>
              <w:spacing w:after="0" w:line="240" w:lineRule="auto"/>
              <w:jc w:val="right"/>
              <w:rPr>
                <w:rFonts w:ascii="Times New Roman" w:eastAsia="Times New Roman" w:hAnsi="Times New Roman" w:cs="Times New Roman"/>
                <w:sz w:val="18"/>
                <w:szCs w:val="16"/>
                <w:lang w:eastAsia="en-ZA"/>
              </w:rPr>
            </w:pPr>
            <w:r w:rsidRPr="000A4369">
              <w:rPr>
                <w:rFonts w:ascii="Times New Roman" w:eastAsia="Times New Roman" w:hAnsi="Times New Roman" w:cs="Times New Roman"/>
                <w:sz w:val="18"/>
                <w:szCs w:val="16"/>
                <w:lang w:eastAsia="en-ZA"/>
              </w:rPr>
              <w:t xml:space="preserve">  0,0</w:t>
            </w:r>
          </w:p>
        </w:tc>
        <w:tc>
          <w:tcPr>
            <w:tcW w:w="556" w:type="pct"/>
            <w:shd w:val="clear" w:color="auto" w:fill="auto"/>
            <w:noWrap/>
            <w:vAlign w:val="bottom"/>
            <w:hideMark/>
          </w:tcPr>
          <w:p w14:paraId="376C89DA" w14:textId="77777777" w:rsidR="001636D2" w:rsidRPr="000A4369" w:rsidRDefault="001636D2" w:rsidP="001636D2">
            <w:pPr>
              <w:spacing w:after="0" w:line="240" w:lineRule="auto"/>
              <w:jc w:val="right"/>
              <w:rPr>
                <w:rFonts w:ascii="Times New Roman" w:eastAsia="Times New Roman" w:hAnsi="Times New Roman" w:cs="Times New Roman"/>
                <w:sz w:val="18"/>
                <w:szCs w:val="16"/>
                <w:lang w:eastAsia="en-ZA"/>
              </w:rPr>
            </w:pPr>
            <w:r w:rsidRPr="000A4369">
              <w:rPr>
                <w:rFonts w:ascii="Times New Roman" w:eastAsia="Times New Roman" w:hAnsi="Times New Roman" w:cs="Times New Roman"/>
                <w:sz w:val="18"/>
                <w:szCs w:val="16"/>
                <w:lang w:eastAsia="en-ZA"/>
              </w:rPr>
              <w:t>- 471 582,0</w:t>
            </w:r>
          </w:p>
        </w:tc>
        <w:tc>
          <w:tcPr>
            <w:tcW w:w="550" w:type="pct"/>
            <w:shd w:val="clear" w:color="auto" w:fill="auto"/>
            <w:noWrap/>
            <w:vAlign w:val="bottom"/>
            <w:hideMark/>
          </w:tcPr>
          <w:p w14:paraId="59F1326E" w14:textId="77777777" w:rsidR="001636D2" w:rsidRPr="000A4369" w:rsidRDefault="001636D2" w:rsidP="001636D2">
            <w:pPr>
              <w:spacing w:after="0" w:line="240" w:lineRule="auto"/>
              <w:jc w:val="right"/>
              <w:rPr>
                <w:rFonts w:ascii="Times New Roman" w:eastAsia="Times New Roman" w:hAnsi="Times New Roman" w:cs="Times New Roman"/>
                <w:sz w:val="18"/>
                <w:szCs w:val="16"/>
                <w:lang w:eastAsia="en-ZA"/>
              </w:rPr>
            </w:pPr>
            <w:r w:rsidRPr="000A4369">
              <w:rPr>
                <w:rFonts w:ascii="Times New Roman" w:eastAsia="Times New Roman" w:hAnsi="Times New Roman" w:cs="Times New Roman"/>
                <w:sz w:val="18"/>
                <w:szCs w:val="16"/>
                <w:lang w:eastAsia="en-ZA"/>
              </w:rPr>
              <w:t>-1 203 936,9</w:t>
            </w:r>
          </w:p>
        </w:tc>
        <w:tc>
          <w:tcPr>
            <w:tcW w:w="652" w:type="pct"/>
            <w:shd w:val="clear" w:color="auto" w:fill="auto"/>
            <w:noWrap/>
            <w:vAlign w:val="bottom"/>
            <w:hideMark/>
          </w:tcPr>
          <w:p w14:paraId="152895AF" w14:textId="77777777" w:rsidR="001636D2" w:rsidRPr="000A4369" w:rsidRDefault="001636D2" w:rsidP="001636D2">
            <w:pPr>
              <w:spacing w:after="0" w:line="240" w:lineRule="auto"/>
              <w:jc w:val="right"/>
              <w:rPr>
                <w:rFonts w:ascii="Times New Roman" w:eastAsia="Times New Roman" w:hAnsi="Times New Roman" w:cs="Times New Roman"/>
                <w:sz w:val="18"/>
                <w:szCs w:val="16"/>
                <w:lang w:eastAsia="en-ZA"/>
              </w:rPr>
            </w:pPr>
            <w:r w:rsidRPr="000A4369">
              <w:rPr>
                <w:rFonts w:ascii="Times New Roman" w:eastAsia="Times New Roman" w:hAnsi="Times New Roman" w:cs="Times New Roman"/>
                <w:sz w:val="18"/>
                <w:szCs w:val="16"/>
                <w:lang w:eastAsia="en-ZA"/>
              </w:rPr>
              <w:t>-3,08 per cent</w:t>
            </w:r>
          </w:p>
        </w:tc>
        <w:tc>
          <w:tcPr>
            <w:tcW w:w="652" w:type="pct"/>
            <w:shd w:val="clear" w:color="auto" w:fill="auto"/>
            <w:noWrap/>
            <w:vAlign w:val="bottom"/>
            <w:hideMark/>
          </w:tcPr>
          <w:p w14:paraId="51030761" w14:textId="77777777" w:rsidR="001636D2" w:rsidRPr="000A4369" w:rsidRDefault="001636D2" w:rsidP="001636D2">
            <w:pPr>
              <w:spacing w:after="0" w:line="240" w:lineRule="auto"/>
              <w:jc w:val="right"/>
              <w:rPr>
                <w:rFonts w:ascii="Times New Roman" w:eastAsia="Times New Roman" w:hAnsi="Times New Roman" w:cs="Times New Roman"/>
                <w:sz w:val="18"/>
                <w:szCs w:val="16"/>
                <w:lang w:eastAsia="en-ZA"/>
              </w:rPr>
            </w:pPr>
            <w:r w:rsidRPr="000A4369">
              <w:rPr>
                <w:rFonts w:ascii="Times New Roman" w:eastAsia="Times New Roman" w:hAnsi="Times New Roman" w:cs="Times New Roman"/>
                <w:sz w:val="18"/>
                <w:szCs w:val="16"/>
                <w:lang w:eastAsia="en-ZA"/>
              </w:rPr>
              <w:t>-7,88 per cent</w:t>
            </w:r>
          </w:p>
        </w:tc>
      </w:tr>
      <w:tr w:rsidR="001636D2" w:rsidRPr="000A4369" w14:paraId="59AE16F5" w14:textId="77777777" w:rsidTr="002D00EA">
        <w:trPr>
          <w:trHeight w:val="480"/>
        </w:trPr>
        <w:tc>
          <w:tcPr>
            <w:tcW w:w="715" w:type="pct"/>
            <w:shd w:val="clear" w:color="auto" w:fill="auto"/>
            <w:vAlign w:val="bottom"/>
            <w:hideMark/>
          </w:tcPr>
          <w:p w14:paraId="18D25DD1" w14:textId="77777777" w:rsidR="001636D2" w:rsidRPr="000A4369" w:rsidRDefault="001636D2" w:rsidP="001636D2">
            <w:pPr>
              <w:numPr>
                <w:ilvl w:val="0"/>
                <w:numId w:val="31"/>
              </w:numPr>
              <w:spacing w:after="0" w:line="240" w:lineRule="auto"/>
              <w:ind w:left="171" w:hanging="171"/>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Municipal Infrastructure Support Agent</w:t>
            </w:r>
          </w:p>
        </w:tc>
        <w:tc>
          <w:tcPr>
            <w:tcW w:w="566" w:type="pct"/>
            <w:shd w:val="clear" w:color="auto" w:fill="auto"/>
            <w:noWrap/>
            <w:vAlign w:val="bottom"/>
            <w:hideMark/>
          </w:tcPr>
          <w:p w14:paraId="5965C7CE"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342 456,0</w:t>
            </w:r>
          </w:p>
        </w:tc>
        <w:tc>
          <w:tcPr>
            <w:tcW w:w="566" w:type="pct"/>
            <w:shd w:val="clear" w:color="auto" w:fill="auto"/>
            <w:noWrap/>
            <w:vAlign w:val="bottom"/>
            <w:hideMark/>
          </w:tcPr>
          <w:p w14:paraId="30AF2279"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343 976,0</w:t>
            </w:r>
          </w:p>
        </w:tc>
        <w:tc>
          <w:tcPr>
            <w:tcW w:w="397" w:type="pct"/>
            <w:shd w:val="clear" w:color="auto" w:fill="auto"/>
            <w:noWrap/>
            <w:vAlign w:val="bottom"/>
            <w:hideMark/>
          </w:tcPr>
          <w:p w14:paraId="49CA405E"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0,0</w:t>
            </w:r>
          </w:p>
        </w:tc>
        <w:tc>
          <w:tcPr>
            <w:tcW w:w="348" w:type="pct"/>
            <w:shd w:val="clear" w:color="auto" w:fill="auto"/>
            <w:noWrap/>
            <w:vAlign w:val="bottom"/>
            <w:hideMark/>
          </w:tcPr>
          <w:p w14:paraId="6F1429C4"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0,0</w:t>
            </w:r>
          </w:p>
        </w:tc>
        <w:tc>
          <w:tcPr>
            <w:tcW w:w="556" w:type="pct"/>
            <w:shd w:val="clear" w:color="auto" w:fill="auto"/>
            <w:noWrap/>
            <w:vAlign w:val="bottom"/>
            <w:hideMark/>
          </w:tcPr>
          <w:p w14:paraId="73933950"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1 520,0</w:t>
            </w:r>
          </w:p>
        </w:tc>
        <w:tc>
          <w:tcPr>
            <w:tcW w:w="550" w:type="pct"/>
            <w:shd w:val="clear" w:color="auto" w:fill="auto"/>
            <w:noWrap/>
            <w:vAlign w:val="bottom"/>
            <w:hideMark/>
          </w:tcPr>
          <w:p w14:paraId="720AAEAA"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- 15 482,6</w:t>
            </w:r>
          </w:p>
        </w:tc>
        <w:tc>
          <w:tcPr>
            <w:tcW w:w="652" w:type="pct"/>
            <w:shd w:val="clear" w:color="auto" w:fill="auto"/>
            <w:noWrap/>
            <w:vAlign w:val="bottom"/>
            <w:hideMark/>
          </w:tcPr>
          <w:p w14:paraId="1EDBB2A9"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0,44 per cent</w:t>
            </w:r>
          </w:p>
        </w:tc>
        <w:tc>
          <w:tcPr>
            <w:tcW w:w="652" w:type="pct"/>
            <w:shd w:val="clear" w:color="auto" w:fill="auto"/>
            <w:noWrap/>
            <w:vAlign w:val="bottom"/>
            <w:hideMark/>
          </w:tcPr>
          <w:p w14:paraId="6D61BD75"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-4,52 per cent</w:t>
            </w:r>
          </w:p>
        </w:tc>
      </w:tr>
      <w:tr w:rsidR="001636D2" w:rsidRPr="000A4369" w14:paraId="701F60B9" w14:textId="77777777" w:rsidTr="002D00EA">
        <w:trPr>
          <w:trHeight w:val="255"/>
        </w:trPr>
        <w:tc>
          <w:tcPr>
            <w:tcW w:w="715" w:type="pct"/>
            <w:shd w:val="clear" w:color="auto" w:fill="auto"/>
            <w:noWrap/>
            <w:vAlign w:val="bottom"/>
            <w:hideMark/>
          </w:tcPr>
          <w:p w14:paraId="06B38CC0" w14:textId="77777777" w:rsidR="001636D2" w:rsidRPr="000A4369" w:rsidRDefault="001636D2" w:rsidP="001636D2">
            <w:pPr>
              <w:spacing w:after="0" w:line="240" w:lineRule="auto"/>
              <w:jc w:val="right"/>
              <w:rPr>
                <w:rFonts w:ascii="Times New Roman" w:eastAsia="Times New Roman" w:hAnsi="Times New Roman" w:cs="Times New Roman"/>
                <w:sz w:val="18"/>
                <w:szCs w:val="18"/>
                <w:lang w:eastAsia="en-ZA"/>
              </w:rPr>
            </w:pPr>
          </w:p>
        </w:tc>
        <w:tc>
          <w:tcPr>
            <w:tcW w:w="566" w:type="pct"/>
            <w:shd w:val="clear" w:color="auto" w:fill="auto"/>
            <w:noWrap/>
            <w:vAlign w:val="bottom"/>
            <w:hideMark/>
          </w:tcPr>
          <w:p w14:paraId="312B49C3" w14:textId="77777777" w:rsidR="001636D2" w:rsidRPr="000A4369" w:rsidRDefault="001636D2" w:rsidP="001636D2">
            <w:pPr>
              <w:spacing w:after="0" w:line="240" w:lineRule="auto"/>
              <w:rPr>
                <w:rFonts w:ascii="Times New Roman" w:eastAsia="Times New Roman" w:hAnsi="Times New Roman" w:cs="Times New Roman"/>
                <w:sz w:val="20"/>
                <w:szCs w:val="20"/>
                <w:lang w:eastAsia="en-ZA"/>
              </w:rPr>
            </w:pPr>
          </w:p>
        </w:tc>
        <w:tc>
          <w:tcPr>
            <w:tcW w:w="566" w:type="pct"/>
            <w:shd w:val="clear" w:color="auto" w:fill="auto"/>
            <w:noWrap/>
            <w:vAlign w:val="bottom"/>
            <w:hideMark/>
          </w:tcPr>
          <w:p w14:paraId="64B99787" w14:textId="77777777" w:rsidR="001636D2" w:rsidRPr="000A4369" w:rsidRDefault="001636D2" w:rsidP="001636D2">
            <w:pPr>
              <w:spacing w:after="0" w:line="240" w:lineRule="auto"/>
              <w:rPr>
                <w:rFonts w:ascii="Times New Roman" w:eastAsia="Times New Roman" w:hAnsi="Times New Roman" w:cs="Times New Roman"/>
                <w:sz w:val="20"/>
                <w:szCs w:val="20"/>
                <w:lang w:eastAsia="en-ZA"/>
              </w:rPr>
            </w:pPr>
          </w:p>
        </w:tc>
        <w:tc>
          <w:tcPr>
            <w:tcW w:w="397" w:type="pct"/>
            <w:shd w:val="clear" w:color="auto" w:fill="auto"/>
            <w:noWrap/>
            <w:vAlign w:val="bottom"/>
            <w:hideMark/>
          </w:tcPr>
          <w:p w14:paraId="3EF70024" w14:textId="77777777" w:rsidR="001636D2" w:rsidRPr="000A4369" w:rsidRDefault="001636D2" w:rsidP="001636D2">
            <w:pPr>
              <w:spacing w:after="0" w:line="240" w:lineRule="auto"/>
              <w:rPr>
                <w:rFonts w:ascii="Times New Roman" w:eastAsia="Times New Roman" w:hAnsi="Times New Roman" w:cs="Times New Roman"/>
                <w:sz w:val="20"/>
                <w:szCs w:val="20"/>
                <w:lang w:eastAsia="en-ZA"/>
              </w:rPr>
            </w:pPr>
          </w:p>
        </w:tc>
        <w:tc>
          <w:tcPr>
            <w:tcW w:w="348" w:type="pct"/>
            <w:shd w:val="clear" w:color="auto" w:fill="auto"/>
            <w:noWrap/>
            <w:vAlign w:val="bottom"/>
            <w:hideMark/>
          </w:tcPr>
          <w:p w14:paraId="24CD46B6" w14:textId="77777777" w:rsidR="001636D2" w:rsidRPr="000A4369" w:rsidRDefault="001636D2" w:rsidP="001636D2">
            <w:pPr>
              <w:spacing w:after="0" w:line="240" w:lineRule="auto"/>
              <w:rPr>
                <w:rFonts w:ascii="Times New Roman" w:eastAsia="Times New Roman" w:hAnsi="Times New Roman" w:cs="Times New Roman"/>
                <w:sz w:val="20"/>
                <w:szCs w:val="20"/>
                <w:lang w:eastAsia="en-ZA"/>
              </w:rPr>
            </w:pPr>
          </w:p>
        </w:tc>
        <w:tc>
          <w:tcPr>
            <w:tcW w:w="556" w:type="pct"/>
            <w:shd w:val="clear" w:color="auto" w:fill="auto"/>
            <w:noWrap/>
            <w:vAlign w:val="bottom"/>
            <w:hideMark/>
          </w:tcPr>
          <w:p w14:paraId="721E8197" w14:textId="77777777" w:rsidR="001636D2" w:rsidRPr="000A4369" w:rsidRDefault="001636D2" w:rsidP="001636D2">
            <w:pPr>
              <w:spacing w:after="0" w:line="240" w:lineRule="auto"/>
              <w:rPr>
                <w:rFonts w:ascii="Times New Roman" w:eastAsia="Times New Roman" w:hAnsi="Times New Roman" w:cs="Times New Roman"/>
                <w:sz w:val="20"/>
                <w:szCs w:val="20"/>
                <w:lang w:eastAsia="en-ZA"/>
              </w:rPr>
            </w:pPr>
          </w:p>
        </w:tc>
        <w:tc>
          <w:tcPr>
            <w:tcW w:w="550" w:type="pct"/>
            <w:shd w:val="clear" w:color="auto" w:fill="auto"/>
            <w:noWrap/>
            <w:vAlign w:val="bottom"/>
            <w:hideMark/>
          </w:tcPr>
          <w:p w14:paraId="175E7704" w14:textId="77777777" w:rsidR="001636D2" w:rsidRPr="000A4369" w:rsidRDefault="001636D2" w:rsidP="001636D2">
            <w:pPr>
              <w:spacing w:after="0" w:line="240" w:lineRule="auto"/>
              <w:rPr>
                <w:rFonts w:ascii="Times New Roman" w:eastAsia="Times New Roman" w:hAnsi="Times New Roman" w:cs="Times New Roman"/>
                <w:sz w:val="20"/>
                <w:szCs w:val="20"/>
                <w:lang w:eastAsia="en-ZA"/>
              </w:rPr>
            </w:pPr>
          </w:p>
        </w:tc>
        <w:tc>
          <w:tcPr>
            <w:tcW w:w="652" w:type="pct"/>
            <w:shd w:val="clear" w:color="auto" w:fill="auto"/>
            <w:noWrap/>
            <w:vAlign w:val="bottom"/>
            <w:hideMark/>
          </w:tcPr>
          <w:p w14:paraId="1E08A35B" w14:textId="77777777" w:rsidR="001636D2" w:rsidRPr="000A4369" w:rsidRDefault="001636D2" w:rsidP="001636D2">
            <w:pPr>
              <w:spacing w:after="0" w:line="240" w:lineRule="auto"/>
              <w:rPr>
                <w:rFonts w:ascii="Times New Roman" w:eastAsia="Times New Roman" w:hAnsi="Times New Roman" w:cs="Times New Roman"/>
                <w:sz w:val="20"/>
                <w:szCs w:val="20"/>
                <w:lang w:eastAsia="en-ZA"/>
              </w:rPr>
            </w:pPr>
          </w:p>
        </w:tc>
        <w:tc>
          <w:tcPr>
            <w:tcW w:w="652" w:type="pct"/>
            <w:shd w:val="clear" w:color="auto" w:fill="auto"/>
            <w:noWrap/>
            <w:vAlign w:val="bottom"/>
            <w:hideMark/>
          </w:tcPr>
          <w:p w14:paraId="4C6F97CD" w14:textId="77777777" w:rsidR="001636D2" w:rsidRPr="000A4369" w:rsidRDefault="001636D2" w:rsidP="001636D2">
            <w:pPr>
              <w:spacing w:after="0" w:line="240" w:lineRule="auto"/>
              <w:rPr>
                <w:rFonts w:ascii="Times New Roman" w:eastAsia="Times New Roman" w:hAnsi="Times New Roman" w:cs="Times New Roman"/>
                <w:sz w:val="20"/>
                <w:szCs w:val="20"/>
                <w:lang w:eastAsia="en-ZA"/>
              </w:rPr>
            </w:pPr>
          </w:p>
        </w:tc>
      </w:tr>
      <w:tr w:rsidR="001636D2" w:rsidRPr="000A4369" w14:paraId="76278A06" w14:textId="77777777" w:rsidTr="002D00EA">
        <w:trPr>
          <w:trHeight w:val="270"/>
        </w:trPr>
        <w:tc>
          <w:tcPr>
            <w:tcW w:w="715" w:type="pct"/>
            <w:shd w:val="clear" w:color="auto" w:fill="auto"/>
            <w:noWrap/>
            <w:vAlign w:val="bottom"/>
            <w:hideMark/>
          </w:tcPr>
          <w:p w14:paraId="7ECE7D75" w14:textId="77777777" w:rsidR="001636D2" w:rsidRPr="000A4369" w:rsidRDefault="001636D2" w:rsidP="001636D2">
            <w:pPr>
              <w:spacing w:after="0" w:line="240" w:lineRule="auto"/>
              <w:rPr>
                <w:rFonts w:ascii="Times New Roman" w:eastAsia="Times New Roman" w:hAnsi="Times New Roman" w:cs="Times New Roman"/>
                <w:b/>
                <w:bCs/>
                <w:sz w:val="18"/>
                <w:szCs w:val="16"/>
                <w:lang w:eastAsia="en-ZA"/>
              </w:rPr>
            </w:pPr>
            <w:r w:rsidRPr="000A4369">
              <w:rPr>
                <w:rFonts w:ascii="Times New Roman" w:eastAsia="Times New Roman" w:hAnsi="Times New Roman" w:cs="Times New Roman"/>
                <w:b/>
                <w:bCs/>
                <w:sz w:val="18"/>
                <w:szCs w:val="16"/>
                <w:lang w:eastAsia="en-ZA"/>
              </w:rPr>
              <w:t>TOTAL</w:t>
            </w:r>
          </w:p>
        </w:tc>
        <w:tc>
          <w:tcPr>
            <w:tcW w:w="566" w:type="pct"/>
            <w:shd w:val="clear" w:color="auto" w:fill="auto"/>
            <w:noWrap/>
            <w:vAlign w:val="bottom"/>
            <w:hideMark/>
          </w:tcPr>
          <w:p w14:paraId="52AFF334" w14:textId="77777777" w:rsidR="001636D2" w:rsidRPr="000A4369" w:rsidRDefault="001636D2" w:rsidP="001636D2">
            <w:pPr>
              <w:spacing w:after="0" w:line="240" w:lineRule="auto"/>
              <w:jc w:val="right"/>
              <w:rPr>
                <w:rFonts w:ascii="Times New Roman" w:eastAsia="Times New Roman" w:hAnsi="Times New Roman" w:cs="Times New Roman"/>
                <w:b/>
                <w:bCs/>
                <w:sz w:val="18"/>
                <w:szCs w:val="16"/>
                <w:lang w:eastAsia="en-ZA"/>
              </w:rPr>
            </w:pPr>
            <w:r w:rsidRPr="000A4369">
              <w:rPr>
                <w:rFonts w:ascii="Times New Roman" w:eastAsia="Times New Roman" w:hAnsi="Times New Roman" w:cs="Times New Roman"/>
                <w:b/>
                <w:bCs/>
                <w:sz w:val="18"/>
                <w:szCs w:val="16"/>
                <w:lang w:eastAsia="en-ZA"/>
              </w:rPr>
              <w:t>15 708 073,0</w:t>
            </w:r>
          </w:p>
        </w:tc>
        <w:tc>
          <w:tcPr>
            <w:tcW w:w="566" w:type="pct"/>
            <w:shd w:val="clear" w:color="auto" w:fill="auto"/>
            <w:noWrap/>
            <w:vAlign w:val="bottom"/>
            <w:hideMark/>
          </w:tcPr>
          <w:p w14:paraId="4311FBEA" w14:textId="77777777" w:rsidR="001636D2" w:rsidRPr="000A4369" w:rsidRDefault="001636D2" w:rsidP="001636D2">
            <w:pPr>
              <w:spacing w:after="0" w:line="240" w:lineRule="auto"/>
              <w:jc w:val="right"/>
              <w:rPr>
                <w:rFonts w:ascii="Times New Roman" w:eastAsia="Times New Roman" w:hAnsi="Times New Roman" w:cs="Times New Roman"/>
                <w:b/>
                <w:bCs/>
                <w:sz w:val="18"/>
                <w:szCs w:val="16"/>
                <w:lang w:eastAsia="en-ZA"/>
              </w:rPr>
            </w:pPr>
            <w:r w:rsidRPr="000A4369">
              <w:rPr>
                <w:rFonts w:ascii="Times New Roman" w:eastAsia="Times New Roman" w:hAnsi="Times New Roman" w:cs="Times New Roman"/>
                <w:b/>
                <w:bCs/>
                <w:sz w:val="18"/>
                <w:szCs w:val="16"/>
                <w:lang w:eastAsia="en-ZA"/>
              </w:rPr>
              <w:t>15 259 803,0</w:t>
            </w:r>
          </w:p>
        </w:tc>
        <w:tc>
          <w:tcPr>
            <w:tcW w:w="397" w:type="pct"/>
            <w:shd w:val="clear" w:color="auto" w:fill="auto"/>
            <w:noWrap/>
            <w:vAlign w:val="bottom"/>
            <w:hideMark/>
          </w:tcPr>
          <w:p w14:paraId="23FA1AAC" w14:textId="77777777" w:rsidR="001636D2" w:rsidRPr="000A4369" w:rsidRDefault="001636D2" w:rsidP="001636D2">
            <w:pPr>
              <w:spacing w:after="0" w:line="240" w:lineRule="auto"/>
              <w:jc w:val="right"/>
              <w:rPr>
                <w:rFonts w:ascii="Times New Roman" w:eastAsia="Times New Roman" w:hAnsi="Times New Roman" w:cs="Times New Roman"/>
                <w:b/>
                <w:bCs/>
                <w:sz w:val="18"/>
                <w:szCs w:val="16"/>
                <w:lang w:eastAsia="en-ZA"/>
              </w:rPr>
            </w:pPr>
            <w:r w:rsidRPr="000A4369">
              <w:rPr>
                <w:rFonts w:ascii="Times New Roman" w:eastAsia="Times New Roman" w:hAnsi="Times New Roman" w:cs="Times New Roman"/>
                <w:b/>
                <w:bCs/>
                <w:sz w:val="18"/>
                <w:szCs w:val="16"/>
                <w:lang w:eastAsia="en-ZA"/>
              </w:rPr>
              <w:t xml:space="preserve">  0,0</w:t>
            </w:r>
          </w:p>
        </w:tc>
        <w:tc>
          <w:tcPr>
            <w:tcW w:w="348" w:type="pct"/>
            <w:shd w:val="clear" w:color="auto" w:fill="auto"/>
            <w:noWrap/>
            <w:vAlign w:val="bottom"/>
            <w:hideMark/>
          </w:tcPr>
          <w:p w14:paraId="4CDE0A15" w14:textId="77777777" w:rsidR="001636D2" w:rsidRPr="000A4369" w:rsidRDefault="001636D2" w:rsidP="001636D2">
            <w:pPr>
              <w:spacing w:after="0" w:line="240" w:lineRule="auto"/>
              <w:jc w:val="right"/>
              <w:rPr>
                <w:rFonts w:ascii="Times New Roman" w:eastAsia="Times New Roman" w:hAnsi="Times New Roman" w:cs="Times New Roman"/>
                <w:b/>
                <w:bCs/>
                <w:sz w:val="18"/>
                <w:szCs w:val="16"/>
                <w:lang w:eastAsia="en-ZA"/>
              </w:rPr>
            </w:pPr>
            <w:r w:rsidRPr="000A4369">
              <w:rPr>
                <w:rFonts w:ascii="Times New Roman" w:eastAsia="Times New Roman" w:hAnsi="Times New Roman" w:cs="Times New Roman"/>
                <w:b/>
                <w:bCs/>
                <w:sz w:val="18"/>
                <w:szCs w:val="16"/>
                <w:lang w:eastAsia="en-ZA"/>
              </w:rPr>
              <w:t xml:space="preserve">  0,0</w:t>
            </w:r>
          </w:p>
        </w:tc>
        <w:tc>
          <w:tcPr>
            <w:tcW w:w="556" w:type="pct"/>
            <w:shd w:val="clear" w:color="auto" w:fill="auto"/>
            <w:noWrap/>
            <w:vAlign w:val="bottom"/>
            <w:hideMark/>
          </w:tcPr>
          <w:p w14:paraId="7D359A0C" w14:textId="77777777" w:rsidR="001636D2" w:rsidRPr="000A4369" w:rsidRDefault="001636D2" w:rsidP="001636D2">
            <w:pPr>
              <w:spacing w:after="0" w:line="240" w:lineRule="auto"/>
              <w:jc w:val="right"/>
              <w:rPr>
                <w:rFonts w:ascii="Times New Roman" w:eastAsia="Times New Roman" w:hAnsi="Times New Roman" w:cs="Times New Roman"/>
                <w:b/>
                <w:bCs/>
                <w:sz w:val="18"/>
                <w:szCs w:val="16"/>
                <w:lang w:eastAsia="en-ZA"/>
              </w:rPr>
            </w:pPr>
            <w:r w:rsidRPr="000A4369">
              <w:rPr>
                <w:rFonts w:ascii="Times New Roman" w:eastAsia="Times New Roman" w:hAnsi="Times New Roman" w:cs="Times New Roman"/>
                <w:b/>
                <w:bCs/>
                <w:sz w:val="18"/>
                <w:szCs w:val="16"/>
                <w:lang w:eastAsia="en-ZA"/>
              </w:rPr>
              <w:t>- 448 270,0</w:t>
            </w:r>
          </w:p>
        </w:tc>
        <w:tc>
          <w:tcPr>
            <w:tcW w:w="550" w:type="pct"/>
            <w:shd w:val="clear" w:color="auto" w:fill="auto"/>
            <w:noWrap/>
            <w:vAlign w:val="bottom"/>
            <w:hideMark/>
          </w:tcPr>
          <w:p w14:paraId="0C63B713" w14:textId="77777777" w:rsidR="001636D2" w:rsidRPr="000A4369" w:rsidRDefault="001636D2" w:rsidP="001636D2">
            <w:pPr>
              <w:spacing w:after="0" w:line="240" w:lineRule="auto"/>
              <w:jc w:val="right"/>
              <w:rPr>
                <w:rFonts w:ascii="Times New Roman" w:eastAsia="Times New Roman" w:hAnsi="Times New Roman" w:cs="Times New Roman"/>
                <w:b/>
                <w:bCs/>
                <w:sz w:val="18"/>
                <w:szCs w:val="16"/>
                <w:lang w:eastAsia="en-ZA"/>
              </w:rPr>
            </w:pPr>
            <w:r w:rsidRPr="000A4369">
              <w:rPr>
                <w:rFonts w:ascii="Times New Roman" w:eastAsia="Times New Roman" w:hAnsi="Times New Roman" w:cs="Times New Roman"/>
                <w:b/>
                <w:bCs/>
                <w:sz w:val="18"/>
                <w:szCs w:val="16"/>
                <w:lang w:eastAsia="en-ZA"/>
              </w:rPr>
              <w:t>-1 202 556,8</w:t>
            </w:r>
          </w:p>
        </w:tc>
        <w:tc>
          <w:tcPr>
            <w:tcW w:w="652" w:type="pct"/>
            <w:shd w:val="clear" w:color="auto" w:fill="auto"/>
            <w:noWrap/>
            <w:vAlign w:val="bottom"/>
            <w:hideMark/>
          </w:tcPr>
          <w:p w14:paraId="6872F8FD" w14:textId="77777777" w:rsidR="001636D2" w:rsidRPr="000A4369" w:rsidRDefault="001636D2" w:rsidP="001636D2">
            <w:pPr>
              <w:spacing w:after="0" w:line="240" w:lineRule="auto"/>
              <w:jc w:val="right"/>
              <w:rPr>
                <w:rFonts w:ascii="Times New Roman" w:eastAsia="Times New Roman" w:hAnsi="Times New Roman" w:cs="Times New Roman"/>
                <w:b/>
                <w:bCs/>
                <w:sz w:val="18"/>
                <w:szCs w:val="16"/>
                <w:lang w:eastAsia="en-ZA"/>
              </w:rPr>
            </w:pPr>
            <w:r w:rsidRPr="000A4369">
              <w:rPr>
                <w:rFonts w:ascii="Times New Roman" w:eastAsia="Times New Roman" w:hAnsi="Times New Roman" w:cs="Times New Roman"/>
                <w:b/>
                <w:bCs/>
                <w:sz w:val="18"/>
                <w:szCs w:val="16"/>
                <w:lang w:eastAsia="en-ZA"/>
              </w:rPr>
              <w:t>-2,85 per cent</w:t>
            </w:r>
          </w:p>
        </w:tc>
        <w:tc>
          <w:tcPr>
            <w:tcW w:w="652" w:type="pct"/>
            <w:shd w:val="clear" w:color="auto" w:fill="auto"/>
            <w:noWrap/>
            <w:vAlign w:val="bottom"/>
            <w:hideMark/>
          </w:tcPr>
          <w:p w14:paraId="1DC6FEBE" w14:textId="77777777" w:rsidR="001636D2" w:rsidRPr="000A4369" w:rsidRDefault="001636D2" w:rsidP="001636D2">
            <w:pPr>
              <w:spacing w:after="0" w:line="240" w:lineRule="auto"/>
              <w:jc w:val="right"/>
              <w:rPr>
                <w:rFonts w:ascii="Times New Roman" w:eastAsia="Times New Roman" w:hAnsi="Times New Roman" w:cs="Times New Roman"/>
                <w:b/>
                <w:bCs/>
                <w:sz w:val="18"/>
                <w:szCs w:val="16"/>
                <w:lang w:eastAsia="en-ZA"/>
              </w:rPr>
            </w:pPr>
            <w:r w:rsidRPr="000A4369">
              <w:rPr>
                <w:rFonts w:ascii="Times New Roman" w:eastAsia="Times New Roman" w:hAnsi="Times New Roman" w:cs="Times New Roman"/>
                <w:b/>
                <w:bCs/>
                <w:sz w:val="18"/>
                <w:szCs w:val="16"/>
                <w:lang w:eastAsia="en-ZA"/>
              </w:rPr>
              <w:t>-7,66 per cent</w:t>
            </w:r>
          </w:p>
        </w:tc>
      </w:tr>
    </w:tbl>
    <w:p w14:paraId="65E70190" w14:textId="77777777" w:rsidR="00E53A4D" w:rsidRPr="000A4369" w:rsidRDefault="00E53A4D" w:rsidP="00E53A4D">
      <w:pPr>
        <w:spacing w:after="0" w:line="280" w:lineRule="exact"/>
        <w:jc w:val="both"/>
        <w:rPr>
          <w:rFonts w:ascii="Times New Roman" w:eastAsia="Times New Roman" w:hAnsi="Times New Roman" w:cs="Times New Roman"/>
          <w:b/>
          <w:lang w:val="en-GB"/>
        </w:rPr>
      </w:pPr>
    </w:p>
    <w:p w14:paraId="6A33D50A" w14:textId="77777777" w:rsidR="00661393" w:rsidRPr="000A4369" w:rsidRDefault="00661393" w:rsidP="00E53A4D">
      <w:pPr>
        <w:spacing w:after="0" w:line="280" w:lineRule="exact"/>
        <w:jc w:val="both"/>
        <w:rPr>
          <w:rFonts w:ascii="Times New Roman" w:eastAsia="Times New Roman" w:hAnsi="Times New Roman" w:cs="Times New Roman"/>
          <w:b/>
          <w:sz w:val="24"/>
          <w:szCs w:val="24"/>
          <w:lang w:val="en-GB"/>
        </w:rPr>
      </w:pPr>
    </w:p>
    <w:p w14:paraId="6180D7C4" w14:textId="77777777" w:rsidR="00661393" w:rsidRPr="000A4369" w:rsidRDefault="00661393" w:rsidP="00661393">
      <w:pPr>
        <w:spacing w:after="0" w:line="280" w:lineRule="exact"/>
        <w:jc w:val="both"/>
        <w:rPr>
          <w:rFonts w:ascii="Times New Roman" w:hAnsi="Times New Roman" w:cs="Times New Roman"/>
          <w:sz w:val="24"/>
          <w:szCs w:val="24"/>
        </w:rPr>
      </w:pPr>
      <w:r w:rsidRPr="000A4369">
        <w:rPr>
          <w:rFonts w:ascii="Times New Roman" w:hAnsi="Times New Roman" w:cs="Times New Roman"/>
          <w:sz w:val="24"/>
          <w:szCs w:val="24"/>
        </w:rPr>
        <w:t xml:space="preserve">Programme 5 conducts performance monitoring, support and interventions in municipalities and provincial departments of cooperative governance that will drive Back to Basics activities. Overall allocation to the Programme decreases by 7.6 percent in real terms. This mainly relates to Sub-programme 6, where allocations to the MIG continue to decline in line with the significant reductions in conditional grants witnessed in the 2018 MTEF period. Over the 2019/20 MTEF, Government also transfers R2.9 billion from the MIG to the new IUDG. Figure 6 is a graphic representation of this trend. Government expects municipalities with significant revenue bases to invest more of their own resources, offsetting some of the impact of reductions to infrastructure grants, while building partnerships with the private sector for infrastructure delivery. </w:t>
      </w:r>
      <w:r w:rsidRPr="000A4369">
        <w:rPr>
          <w:rFonts w:ascii="Times New Roman" w:hAnsi="Times New Roman" w:cs="Times New Roman"/>
          <w:sz w:val="24"/>
          <w:szCs w:val="24"/>
          <w:vertAlign w:val="superscript"/>
        </w:rPr>
        <w:footnoteReference w:id="13"/>
      </w:r>
    </w:p>
    <w:p w14:paraId="26E27310" w14:textId="77777777" w:rsidR="00661393" w:rsidRPr="000A4369" w:rsidRDefault="00661393" w:rsidP="00E53A4D">
      <w:pPr>
        <w:spacing w:after="0" w:line="280" w:lineRule="exact"/>
        <w:jc w:val="both"/>
        <w:rPr>
          <w:rFonts w:ascii="Times New Roman" w:eastAsia="Times New Roman" w:hAnsi="Times New Roman" w:cs="Times New Roman"/>
          <w:b/>
          <w:lang w:val="en-GB"/>
        </w:rPr>
      </w:pPr>
    </w:p>
    <w:p w14:paraId="58650620" w14:textId="77777777" w:rsidR="000A4369" w:rsidRDefault="000A4369">
      <w:pPr>
        <w:rPr>
          <w:rFonts w:ascii="Times New Roman" w:eastAsia="Times New Roman" w:hAnsi="Times New Roman" w:cs="Times New Roman"/>
          <w:b/>
          <w:lang w:val="en-GB"/>
        </w:rPr>
      </w:pPr>
      <w:r>
        <w:rPr>
          <w:rFonts w:ascii="Times New Roman" w:eastAsia="Times New Roman" w:hAnsi="Times New Roman" w:cs="Times New Roman"/>
          <w:b/>
          <w:lang w:val="en-GB"/>
        </w:rPr>
        <w:br w:type="page"/>
      </w:r>
    </w:p>
    <w:p w14:paraId="36A8E73F" w14:textId="77777777" w:rsidR="00661393" w:rsidRPr="000A4369" w:rsidRDefault="00F54757" w:rsidP="00E53A4D">
      <w:pPr>
        <w:spacing w:after="0" w:line="280" w:lineRule="exact"/>
        <w:jc w:val="both"/>
        <w:rPr>
          <w:rFonts w:ascii="Times New Roman" w:eastAsia="Times New Roman" w:hAnsi="Times New Roman" w:cs="Times New Roman"/>
          <w:b/>
          <w:lang w:val="en-GB"/>
        </w:rPr>
      </w:pPr>
      <w:r w:rsidRPr="000A4369">
        <w:rPr>
          <w:rFonts w:ascii="Times New Roman" w:hAnsi="Times New Roman" w:cs="Times New Roman"/>
          <w:noProof/>
          <w:lang w:eastAsia="en-ZA"/>
        </w:rPr>
        <mc:AlternateContent>
          <mc:Choice Requires="wps">
            <w:drawing>
              <wp:anchor distT="0" distB="0" distL="114300" distR="114300" simplePos="0" relativeHeight="251678720" behindDoc="0" locked="0" layoutInCell="1" allowOverlap="1" wp14:anchorId="3CD34918" wp14:editId="10A7F696">
                <wp:simplePos x="0" y="0"/>
                <wp:positionH relativeFrom="margin">
                  <wp:posOffset>359410</wp:posOffset>
                </wp:positionH>
                <wp:positionV relativeFrom="paragraph">
                  <wp:posOffset>84455</wp:posOffset>
                </wp:positionV>
                <wp:extent cx="5731510" cy="210710"/>
                <wp:effectExtent l="0" t="0" r="2540" b="0"/>
                <wp:wrapNone/>
                <wp:docPr id="20" name="Text Box 20"/>
                <wp:cNvGraphicFramePr/>
                <a:graphic xmlns:a="http://schemas.openxmlformats.org/drawingml/2006/main">
                  <a:graphicData uri="http://schemas.microsoft.com/office/word/2010/wordprocessingShape">
                    <wps:wsp>
                      <wps:cNvSpPr txBox="1"/>
                      <wps:spPr>
                        <a:xfrm>
                          <a:off x="0" y="0"/>
                          <a:ext cx="5731510" cy="210710"/>
                        </a:xfrm>
                        <a:prstGeom prst="rect">
                          <a:avLst/>
                        </a:prstGeom>
                        <a:solidFill>
                          <a:prstClr val="white"/>
                        </a:solidFill>
                        <a:ln>
                          <a:noFill/>
                        </a:ln>
                      </wps:spPr>
                      <wps:txbx>
                        <w:txbxContent>
                          <w:p w14:paraId="2FC8B216" w14:textId="77777777" w:rsidR="002D00EA" w:rsidRPr="00A6278A" w:rsidRDefault="002D00EA" w:rsidP="00F54757">
                            <w:pPr>
                              <w:pStyle w:val="Caption"/>
                              <w:rPr>
                                <w:noProof/>
                              </w:rPr>
                            </w:pPr>
                            <w:r>
                              <w:t xml:space="preserve">Figure </w:t>
                            </w:r>
                            <w:fldSimple w:instr=" SEQ Figure \* ARABIC ">
                              <w:r w:rsidR="007F1C6D">
                                <w:rPr>
                                  <w:noProof/>
                                </w:rPr>
                                <w:t>4</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000E38A" id="Text Box 20" o:spid="_x0000_s1028" type="#_x0000_t202" style="position:absolute;left:0;text-align:left;margin-left:28.3pt;margin-top:6.65pt;width:451.3pt;height:16.6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" stroked="f">
                <v:textbox inset="0,0,0,0">
                  <w:txbxContent>
                    <w:p w:rsidR="002D00EA" w:rsidRPr="00A6278A" w:rsidRDefault="002D00EA" w:rsidP="00F54757">
                      <w:pPr>
                        <w:pStyle w:val="Caption"/>
                        <w:rPr>
                          <w:noProof/>
                        </w:rPr>
                      </w:pPr>
                      <w:r>
                        <w:t xml:space="preserve">Figure </w:t>
                      </w:r>
                      <w:fldSimple w:instr=" SEQ Figure \* ARABIC ">
                        <w:r w:rsidR="007F1C6D">
                          <w:rPr>
                            <w:noProof/>
                          </w:rPr>
                          <w:t>4</w:t>
                        </w:r>
                      </w:fldSimple>
                    </w:p>
                  </w:txbxContent>
                </v:textbox>
                <w10:wrap anchorx="margin"/>
              </v:shape>
            </w:pict>
          </mc:Fallback>
        </mc:AlternateContent>
      </w:r>
    </w:p>
    <w:p w14:paraId="08BC2BC4"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35E7A372" w14:textId="77777777" w:rsidR="00F54757" w:rsidRPr="000A4369" w:rsidRDefault="00F54757" w:rsidP="00E53A4D">
      <w:pPr>
        <w:spacing w:after="0" w:line="280" w:lineRule="exact"/>
        <w:jc w:val="both"/>
        <w:rPr>
          <w:rFonts w:ascii="Times New Roman" w:eastAsia="Times New Roman" w:hAnsi="Times New Roman" w:cs="Times New Roman"/>
          <w:b/>
          <w:lang w:val="en-GB"/>
        </w:rPr>
      </w:pPr>
      <w:r w:rsidRPr="000A4369">
        <w:rPr>
          <w:rFonts w:ascii="Times New Roman" w:hAnsi="Times New Roman" w:cs="Times New Roman"/>
          <w:noProof/>
          <w:lang w:eastAsia="en-ZA"/>
        </w:rPr>
        <w:drawing>
          <wp:anchor distT="0" distB="0" distL="114300" distR="114300" simplePos="0" relativeHeight="251680768" behindDoc="0" locked="0" layoutInCell="1" allowOverlap="1" wp14:anchorId="16AB9C4E" wp14:editId="50981E92">
            <wp:simplePos x="0" y="0"/>
            <wp:positionH relativeFrom="column">
              <wp:posOffset>0</wp:posOffset>
            </wp:positionH>
            <wp:positionV relativeFrom="paragraph">
              <wp:posOffset>-635</wp:posOffset>
            </wp:positionV>
            <wp:extent cx="5731510" cy="3382645"/>
            <wp:effectExtent l="0" t="0" r="2540" b="8255"/>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12760A75"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557BED44"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0E4A1D7A"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4C5987A5"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21B592DE"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4DD024E4"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45241B4A"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1537C545"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1797A450"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2F87460A"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7396B137"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77198509"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2911A66D"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252A7CB0"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69FE44A6"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5A9C96E7"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44560CC3"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34345D72"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57F1B8A0"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6F44C6A3"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3C85465D" w14:textId="77777777" w:rsidR="00F54757" w:rsidRPr="000A4369" w:rsidRDefault="00D3188A" w:rsidP="00E53A4D">
      <w:pPr>
        <w:pStyle w:val="ListParagraph"/>
        <w:numPr>
          <w:ilvl w:val="1"/>
          <w:numId w:val="30"/>
        </w:numPr>
        <w:spacing w:after="0" w:line="280" w:lineRule="exact"/>
        <w:jc w:val="both"/>
        <w:rPr>
          <w:rFonts w:ascii="Times New Roman" w:eastAsia="Times New Roman" w:hAnsi="Times New Roman" w:cs="Times New Roman"/>
          <w:b/>
          <w:lang w:val="en-GB"/>
        </w:rPr>
      </w:pPr>
      <w:r w:rsidRPr="000A4369">
        <w:rPr>
          <w:rFonts w:ascii="Times New Roman" w:eastAsia="Times New Roman" w:hAnsi="Times New Roman" w:cs="Times New Roman"/>
          <w:b/>
          <w:lang w:val="en-GB"/>
        </w:rPr>
        <w:t>Programme 6: Community Work Programme</w:t>
      </w:r>
    </w:p>
    <w:p w14:paraId="5FE92E08"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0F97D75B" w14:textId="77777777" w:rsidR="00F54757" w:rsidRPr="000A4369" w:rsidRDefault="00D3188A" w:rsidP="00D3188A">
      <w:pPr>
        <w:pStyle w:val="Caption"/>
        <w:keepNext/>
        <w:rPr>
          <w:rFonts w:ascii="Times New Roman" w:hAnsi="Times New Roman" w:cs="Times New Roman"/>
        </w:rPr>
      </w:pPr>
      <w:r w:rsidRPr="000A4369">
        <w:rPr>
          <w:rFonts w:ascii="Times New Roman" w:hAnsi="Times New Roman" w:cs="Times New Roman"/>
        </w:rPr>
        <w:t xml:space="preserve">Table </w:t>
      </w:r>
      <w:r w:rsidR="000A4369" w:rsidRPr="000A4369">
        <w:rPr>
          <w:rFonts w:ascii="Times New Roman" w:hAnsi="Times New Roman" w:cs="Times New Roman"/>
        </w:rPr>
        <w:fldChar w:fldCharType="begin"/>
      </w:r>
      <w:r w:rsidR="000A4369" w:rsidRPr="000A4369">
        <w:rPr>
          <w:rFonts w:ascii="Times New Roman" w:hAnsi="Times New Roman" w:cs="Times New Roman"/>
        </w:rPr>
        <w:instrText xml:space="preserve"> SEQ Table \* ARABIC </w:instrText>
      </w:r>
      <w:r w:rsidR="000A4369" w:rsidRPr="000A4369">
        <w:rPr>
          <w:rFonts w:ascii="Times New Roman" w:hAnsi="Times New Roman" w:cs="Times New Roman"/>
        </w:rPr>
        <w:fldChar w:fldCharType="separate"/>
      </w:r>
      <w:r w:rsidR="007F1C6D" w:rsidRPr="000A4369">
        <w:rPr>
          <w:rFonts w:ascii="Times New Roman" w:hAnsi="Times New Roman" w:cs="Times New Roman"/>
          <w:noProof/>
        </w:rPr>
        <w:t>5</w:t>
      </w:r>
      <w:r w:rsidR="000A4369" w:rsidRPr="000A4369">
        <w:rPr>
          <w:rFonts w:ascii="Times New Roman" w:hAnsi="Times New Roman" w:cs="Times New Roman"/>
          <w:noProof/>
        </w:rPr>
        <w:fldChar w:fldCharType="end"/>
      </w:r>
    </w:p>
    <w:tbl>
      <w:tblPr>
        <w:tblW w:w="50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071"/>
        <w:gridCol w:w="1071"/>
        <w:gridCol w:w="807"/>
        <w:gridCol w:w="807"/>
        <w:gridCol w:w="981"/>
        <w:gridCol w:w="891"/>
        <w:gridCol w:w="1241"/>
        <w:gridCol w:w="1241"/>
      </w:tblGrid>
      <w:tr w:rsidR="00D3188A" w:rsidRPr="000A4369" w14:paraId="0ED2D9EE" w14:textId="77777777" w:rsidTr="002D00EA">
        <w:trPr>
          <w:trHeight w:val="780"/>
        </w:trPr>
        <w:tc>
          <w:tcPr>
            <w:tcW w:w="839" w:type="pct"/>
            <w:shd w:val="clear" w:color="auto" w:fill="auto"/>
            <w:noWrap/>
            <w:vAlign w:val="bottom"/>
            <w:hideMark/>
          </w:tcPr>
          <w:p w14:paraId="4F2D677E" w14:textId="77777777" w:rsidR="00D3188A" w:rsidRPr="000A4369" w:rsidRDefault="00D3188A" w:rsidP="00D3188A">
            <w:pPr>
              <w:spacing w:after="0" w:line="240" w:lineRule="auto"/>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Sub-Programme</w:t>
            </w:r>
          </w:p>
        </w:tc>
        <w:tc>
          <w:tcPr>
            <w:tcW w:w="1922" w:type="pct"/>
            <w:gridSpan w:val="4"/>
            <w:shd w:val="clear" w:color="auto" w:fill="auto"/>
            <w:vAlign w:val="center"/>
            <w:hideMark/>
          </w:tcPr>
          <w:p w14:paraId="1BE837C6" w14:textId="77777777" w:rsidR="00D3188A" w:rsidRPr="000A4369" w:rsidRDefault="00D3188A" w:rsidP="00D3188A">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Budget</w:t>
            </w:r>
          </w:p>
        </w:tc>
        <w:tc>
          <w:tcPr>
            <w:tcW w:w="503" w:type="pct"/>
            <w:shd w:val="clear" w:color="auto" w:fill="auto"/>
            <w:vAlign w:val="center"/>
            <w:hideMark/>
          </w:tcPr>
          <w:p w14:paraId="36B06918" w14:textId="77777777" w:rsidR="00D3188A" w:rsidRPr="000A4369" w:rsidRDefault="00D3188A" w:rsidP="00D3188A">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Nominal Rand change</w:t>
            </w:r>
          </w:p>
        </w:tc>
        <w:tc>
          <w:tcPr>
            <w:tcW w:w="458" w:type="pct"/>
            <w:shd w:val="clear" w:color="auto" w:fill="auto"/>
            <w:vAlign w:val="center"/>
            <w:hideMark/>
          </w:tcPr>
          <w:p w14:paraId="28BC801B" w14:textId="77777777" w:rsidR="00D3188A" w:rsidRPr="000A4369" w:rsidRDefault="00D3188A" w:rsidP="00D3188A">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Real Rand change</w:t>
            </w:r>
          </w:p>
        </w:tc>
        <w:tc>
          <w:tcPr>
            <w:tcW w:w="639" w:type="pct"/>
            <w:shd w:val="clear" w:color="auto" w:fill="auto"/>
            <w:vAlign w:val="center"/>
            <w:hideMark/>
          </w:tcPr>
          <w:p w14:paraId="628B6319" w14:textId="77777777" w:rsidR="00D3188A" w:rsidRPr="000A4369" w:rsidRDefault="00D3188A" w:rsidP="00D3188A">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Nominal % change</w:t>
            </w:r>
          </w:p>
        </w:tc>
        <w:tc>
          <w:tcPr>
            <w:tcW w:w="639" w:type="pct"/>
            <w:shd w:val="clear" w:color="auto" w:fill="auto"/>
            <w:vAlign w:val="center"/>
            <w:hideMark/>
          </w:tcPr>
          <w:p w14:paraId="1865A760" w14:textId="77777777" w:rsidR="00D3188A" w:rsidRPr="000A4369" w:rsidRDefault="00D3188A" w:rsidP="00D3188A">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Real % change</w:t>
            </w:r>
          </w:p>
        </w:tc>
      </w:tr>
      <w:tr w:rsidR="00D3188A" w:rsidRPr="000A4369" w14:paraId="690ABBB6" w14:textId="77777777" w:rsidTr="002D00EA">
        <w:trPr>
          <w:trHeight w:val="255"/>
        </w:trPr>
        <w:tc>
          <w:tcPr>
            <w:tcW w:w="839" w:type="pct"/>
            <w:shd w:val="clear" w:color="auto" w:fill="auto"/>
            <w:noWrap/>
            <w:vAlign w:val="bottom"/>
            <w:hideMark/>
          </w:tcPr>
          <w:p w14:paraId="49FF40F3" w14:textId="77777777" w:rsidR="00D3188A" w:rsidRPr="000A4369" w:rsidRDefault="00D3188A" w:rsidP="00D3188A">
            <w:pPr>
              <w:spacing w:after="0" w:line="240" w:lineRule="auto"/>
              <w:jc w:val="center"/>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R million</w:t>
            </w:r>
          </w:p>
        </w:tc>
        <w:tc>
          <w:tcPr>
            <w:tcW w:w="549" w:type="pct"/>
            <w:shd w:val="clear" w:color="auto" w:fill="auto"/>
            <w:noWrap/>
            <w:vAlign w:val="bottom"/>
            <w:hideMark/>
          </w:tcPr>
          <w:p w14:paraId="606B7AAC" w14:textId="77777777" w:rsidR="00D3188A" w:rsidRPr="000A4369" w:rsidRDefault="00D3188A" w:rsidP="00D3188A">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2018/19</w:t>
            </w:r>
          </w:p>
        </w:tc>
        <w:tc>
          <w:tcPr>
            <w:tcW w:w="548" w:type="pct"/>
            <w:shd w:val="clear" w:color="auto" w:fill="auto"/>
            <w:noWrap/>
            <w:vAlign w:val="bottom"/>
            <w:hideMark/>
          </w:tcPr>
          <w:p w14:paraId="164E14DE" w14:textId="77777777" w:rsidR="00D3188A" w:rsidRPr="000A4369" w:rsidRDefault="00D3188A" w:rsidP="00D3188A">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2019/20</w:t>
            </w:r>
          </w:p>
        </w:tc>
        <w:tc>
          <w:tcPr>
            <w:tcW w:w="413" w:type="pct"/>
            <w:shd w:val="clear" w:color="auto" w:fill="auto"/>
            <w:noWrap/>
            <w:vAlign w:val="bottom"/>
            <w:hideMark/>
          </w:tcPr>
          <w:p w14:paraId="4C835034" w14:textId="77777777" w:rsidR="00D3188A" w:rsidRPr="000A4369" w:rsidRDefault="00D3188A" w:rsidP="00D3188A">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2020/21</w:t>
            </w:r>
          </w:p>
        </w:tc>
        <w:tc>
          <w:tcPr>
            <w:tcW w:w="413" w:type="pct"/>
            <w:shd w:val="clear" w:color="auto" w:fill="auto"/>
            <w:noWrap/>
            <w:vAlign w:val="bottom"/>
            <w:hideMark/>
          </w:tcPr>
          <w:p w14:paraId="64A8C6A3" w14:textId="77777777" w:rsidR="00D3188A" w:rsidRPr="000A4369" w:rsidRDefault="00D3188A" w:rsidP="00D3188A">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2021/22</w:t>
            </w:r>
          </w:p>
        </w:tc>
        <w:tc>
          <w:tcPr>
            <w:tcW w:w="961" w:type="pct"/>
            <w:gridSpan w:val="2"/>
            <w:shd w:val="clear" w:color="auto" w:fill="auto"/>
            <w:noWrap/>
            <w:vAlign w:val="bottom"/>
            <w:hideMark/>
          </w:tcPr>
          <w:p w14:paraId="39D93CB2" w14:textId="77777777" w:rsidR="00D3188A" w:rsidRPr="000A4369" w:rsidRDefault="00D3188A" w:rsidP="00D3188A">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 2018/19-2019/20</w:t>
            </w:r>
          </w:p>
        </w:tc>
        <w:tc>
          <w:tcPr>
            <w:tcW w:w="1278" w:type="pct"/>
            <w:gridSpan w:val="2"/>
            <w:shd w:val="clear" w:color="auto" w:fill="auto"/>
            <w:noWrap/>
            <w:vAlign w:val="bottom"/>
            <w:hideMark/>
          </w:tcPr>
          <w:p w14:paraId="5DFA5E91" w14:textId="77777777" w:rsidR="00D3188A" w:rsidRPr="000A4369" w:rsidRDefault="00D3188A" w:rsidP="00D3188A">
            <w:pPr>
              <w:spacing w:after="0" w:line="240" w:lineRule="auto"/>
              <w:jc w:val="center"/>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 2018/19-2019/20</w:t>
            </w:r>
          </w:p>
        </w:tc>
      </w:tr>
      <w:tr w:rsidR="00D3188A" w:rsidRPr="000A4369" w14:paraId="2EAAA714" w14:textId="77777777" w:rsidTr="002D00EA">
        <w:trPr>
          <w:trHeight w:val="480"/>
        </w:trPr>
        <w:tc>
          <w:tcPr>
            <w:tcW w:w="839" w:type="pct"/>
            <w:shd w:val="clear" w:color="auto" w:fill="auto"/>
            <w:vAlign w:val="bottom"/>
            <w:hideMark/>
          </w:tcPr>
          <w:p w14:paraId="5BD0298E" w14:textId="77777777" w:rsidR="00D3188A" w:rsidRPr="000A4369" w:rsidRDefault="00D3188A" w:rsidP="00D3188A">
            <w:pPr>
              <w:numPr>
                <w:ilvl w:val="0"/>
                <w:numId w:val="32"/>
              </w:numPr>
              <w:spacing w:after="0" w:line="240" w:lineRule="auto"/>
              <w:ind w:left="313" w:hanging="313"/>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Management: Community Work Programme</w:t>
            </w:r>
          </w:p>
        </w:tc>
        <w:tc>
          <w:tcPr>
            <w:tcW w:w="549" w:type="pct"/>
            <w:shd w:val="clear" w:color="auto" w:fill="auto"/>
            <w:noWrap/>
            <w:vAlign w:val="bottom"/>
            <w:hideMark/>
          </w:tcPr>
          <w:p w14:paraId="5BD710C4"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3 814 134,0</w:t>
            </w:r>
          </w:p>
        </w:tc>
        <w:tc>
          <w:tcPr>
            <w:tcW w:w="548" w:type="pct"/>
            <w:shd w:val="clear" w:color="auto" w:fill="auto"/>
            <w:noWrap/>
            <w:vAlign w:val="bottom"/>
            <w:hideMark/>
          </w:tcPr>
          <w:p w14:paraId="64AB036C"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4 024 890,0</w:t>
            </w:r>
          </w:p>
        </w:tc>
        <w:tc>
          <w:tcPr>
            <w:tcW w:w="413" w:type="pct"/>
            <w:shd w:val="clear" w:color="auto" w:fill="auto"/>
            <w:noWrap/>
            <w:vAlign w:val="bottom"/>
            <w:hideMark/>
          </w:tcPr>
          <w:p w14:paraId="0FAF265F"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0,0</w:t>
            </w:r>
          </w:p>
        </w:tc>
        <w:tc>
          <w:tcPr>
            <w:tcW w:w="413" w:type="pct"/>
            <w:shd w:val="clear" w:color="auto" w:fill="auto"/>
            <w:noWrap/>
            <w:vAlign w:val="bottom"/>
            <w:hideMark/>
          </w:tcPr>
          <w:p w14:paraId="4D5FBFB6"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0,0</w:t>
            </w:r>
          </w:p>
        </w:tc>
        <w:tc>
          <w:tcPr>
            <w:tcW w:w="503" w:type="pct"/>
            <w:shd w:val="clear" w:color="auto" w:fill="auto"/>
            <w:noWrap/>
            <w:vAlign w:val="bottom"/>
            <w:hideMark/>
          </w:tcPr>
          <w:p w14:paraId="6D4A819B"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210 756,0</w:t>
            </w:r>
          </w:p>
        </w:tc>
        <w:tc>
          <w:tcPr>
            <w:tcW w:w="458" w:type="pct"/>
            <w:shd w:val="clear" w:color="auto" w:fill="auto"/>
            <w:noWrap/>
            <w:vAlign w:val="bottom"/>
            <w:hideMark/>
          </w:tcPr>
          <w:p w14:paraId="5E5B0501"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11 807,1</w:t>
            </w:r>
          </w:p>
        </w:tc>
        <w:tc>
          <w:tcPr>
            <w:tcW w:w="639" w:type="pct"/>
            <w:shd w:val="clear" w:color="auto" w:fill="auto"/>
            <w:noWrap/>
            <w:vAlign w:val="bottom"/>
            <w:hideMark/>
          </w:tcPr>
          <w:p w14:paraId="64DBCE34"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5,53 per cent</w:t>
            </w:r>
          </w:p>
        </w:tc>
        <w:tc>
          <w:tcPr>
            <w:tcW w:w="639" w:type="pct"/>
            <w:shd w:val="clear" w:color="auto" w:fill="auto"/>
            <w:noWrap/>
            <w:vAlign w:val="bottom"/>
            <w:hideMark/>
          </w:tcPr>
          <w:p w14:paraId="5F828EBC"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0,31 per cent</w:t>
            </w:r>
          </w:p>
        </w:tc>
      </w:tr>
      <w:tr w:rsidR="00D3188A" w:rsidRPr="000A4369" w14:paraId="54957F20" w14:textId="77777777" w:rsidTr="002D00EA">
        <w:trPr>
          <w:trHeight w:val="255"/>
        </w:trPr>
        <w:tc>
          <w:tcPr>
            <w:tcW w:w="839" w:type="pct"/>
            <w:shd w:val="clear" w:color="auto" w:fill="auto"/>
            <w:vAlign w:val="bottom"/>
            <w:hideMark/>
          </w:tcPr>
          <w:p w14:paraId="63D86981" w14:textId="77777777" w:rsidR="00D3188A" w:rsidRPr="000A4369" w:rsidRDefault="00D3188A" w:rsidP="00D3188A">
            <w:pPr>
              <w:numPr>
                <w:ilvl w:val="0"/>
                <w:numId w:val="32"/>
              </w:numPr>
              <w:spacing w:after="0" w:line="240" w:lineRule="auto"/>
              <w:ind w:left="313" w:hanging="313"/>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Programme Coordination</w:t>
            </w:r>
          </w:p>
        </w:tc>
        <w:tc>
          <w:tcPr>
            <w:tcW w:w="549" w:type="pct"/>
            <w:shd w:val="clear" w:color="auto" w:fill="auto"/>
            <w:noWrap/>
            <w:vAlign w:val="bottom"/>
            <w:hideMark/>
          </w:tcPr>
          <w:p w14:paraId="00545F65"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36 413,0</w:t>
            </w:r>
          </w:p>
        </w:tc>
        <w:tc>
          <w:tcPr>
            <w:tcW w:w="548" w:type="pct"/>
            <w:shd w:val="clear" w:color="auto" w:fill="auto"/>
            <w:noWrap/>
            <w:vAlign w:val="bottom"/>
            <w:hideMark/>
          </w:tcPr>
          <w:p w14:paraId="3FDC5DE3"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45 260,0</w:t>
            </w:r>
          </w:p>
        </w:tc>
        <w:tc>
          <w:tcPr>
            <w:tcW w:w="413" w:type="pct"/>
            <w:shd w:val="clear" w:color="auto" w:fill="auto"/>
            <w:noWrap/>
            <w:vAlign w:val="bottom"/>
            <w:hideMark/>
          </w:tcPr>
          <w:p w14:paraId="040AB027"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0,0</w:t>
            </w:r>
          </w:p>
        </w:tc>
        <w:tc>
          <w:tcPr>
            <w:tcW w:w="413" w:type="pct"/>
            <w:shd w:val="clear" w:color="auto" w:fill="auto"/>
            <w:noWrap/>
            <w:vAlign w:val="bottom"/>
            <w:hideMark/>
          </w:tcPr>
          <w:p w14:paraId="29146C23"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0,0</w:t>
            </w:r>
          </w:p>
        </w:tc>
        <w:tc>
          <w:tcPr>
            <w:tcW w:w="503" w:type="pct"/>
            <w:shd w:val="clear" w:color="auto" w:fill="auto"/>
            <w:noWrap/>
            <w:vAlign w:val="bottom"/>
            <w:hideMark/>
          </w:tcPr>
          <w:p w14:paraId="0F853563"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8 847,0</w:t>
            </w:r>
          </w:p>
        </w:tc>
        <w:tc>
          <w:tcPr>
            <w:tcW w:w="458" w:type="pct"/>
            <w:shd w:val="clear" w:color="auto" w:fill="auto"/>
            <w:noWrap/>
            <w:vAlign w:val="bottom"/>
            <w:hideMark/>
          </w:tcPr>
          <w:p w14:paraId="045DD310"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6 609,8</w:t>
            </w:r>
          </w:p>
        </w:tc>
        <w:tc>
          <w:tcPr>
            <w:tcW w:w="639" w:type="pct"/>
            <w:shd w:val="clear" w:color="auto" w:fill="auto"/>
            <w:noWrap/>
            <w:vAlign w:val="bottom"/>
            <w:hideMark/>
          </w:tcPr>
          <w:p w14:paraId="1E76B3DA"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24,30 per cent</w:t>
            </w:r>
          </w:p>
        </w:tc>
        <w:tc>
          <w:tcPr>
            <w:tcW w:w="639" w:type="pct"/>
            <w:shd w:val="clear" w:color="auto" w:fill="auto"/>
            <w:noWrap/>
            <w:vAlign w:val="bottom"/>
            <w:hideMark/>
          </w:tcPr>
          <w:p w14:paraId="4ADE7E06"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18,15 per cent</w:t>
            </w:r>
          </w:p>
        </w:tc>
      </w:tr>
      <w:tr w:rsidR="00D3188A" w:rsidRPr="000A4369" w14:paraId="0BB20553" w14:textId="77777777" w:rsidTr="002D00EA">
        <w:trPr>
          <w:trHeight w:val="480"/>
        </w:trPr>
        <w:tc>
          <w:tcPr>
            <w:tcW w:w="839" w:type="pct"/>
            <w:shd w:val="clear" w:color="auto" w:fill="auto"/>
            <w:vAlign w:val="bottom"/>
            <w:hideMark/>
          </w:tcPr>
          <w:p w14:paraId="063ACB64" w14:textId="77777777" w:rsidR="00D3188A" w:rsidRPr="000A4369" w:rsidRDefault="00D3188A" w:rsidP="00D3188A">
            <w:pPr>
              <w:numPr>
                <w:ilvl w:val="0"/>
                <w:numId w:val="32"/>
              </w:numPr>
              <w:spacing w:after="0" w:line="240" w:lineRule="auto"/>
              <w:ind w:left="313" w:hanging="313"/>
              <w:contextualSpacing/>
              <w:jc w:val="both"/>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Partnerships, Norms, Standards and Innovation </w:t>
            </w:r>
          </w:p>
        </w:tc>
        <w:tc>
          <w:tcPr>
            <w:tcW w:w="549" w:type="pct"/>
            <w:shd w:val="clear" w:color="auto" w:fill="auto"/>
            <w:noWrap/>
            <w:vAlign w:val="bottom"/>
            <w:hideMark/>
          </w:tcPr>
          <w:p w14:paraId="189969DD"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13 156,0</w:t>
            </w:r>
          </w:p>
        </w:tc>
        <w:tc>
          <w:tcPr>
            <w:tcW w:w="548" w:type="pct"/>
            <w:shd w:val="clear" w:color="auto" w:fill="auto"/>
            <w:noWrap/>
            <w:vAlign w:val="bottom"/>
            <w:hideMark/>
          </w:tcPr>
          <w:p w14:paraId="507EEF0B"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13 969,0</w:t>
            </w:r>
          </w:p>
        </w:tc>
        <w:tc>
          <w:tcPr>
            <w:tcW w:w="413" w:type="pct"/>
            <w:shd w:val="clear" w:color="auto" w:fill="auto"/>
            <w:noWrap/>
            <w:vAlign w:val="bottom"/>
            <w:hideMark/>
          </w:tcPr>
          <w:p w14:paraId="30A555D5"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0,0</w:t>
            </w:r>
          </w:p>
        </w:tc>
        <w:tc>
          <w:tcPr>
            <w:tcW w:w="413" w:type="pct"/>
            <w:shd w:val="clear" w:color="auto" w:fill="auto"/>
            <w:noWrap/>
            <w:vAlign w:val="bottom"/>
            <w:hideMark/>
          </w:tcPr>
          <w:p w14:paraId="51DAA83D"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0,0</w:t>
            </w:r>
          </w:p>
        </w:tc>
        <w:tc>
          <w:tcPr>
            <w:tcW w:w="503" w:type="pct"/>
            <w:shd w:val="clear" w:color="auto" w:fill="auto"/>
            <w:noWrap/>
            <w:vAlign w:val="bottom"/>
            <w:hideMark/>
          </w:tcPr>
          <w:p w14:paraId="4C752086"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813,0</w:t>
            </w:r>
          </w:p>
        </w:tc>
        <w:tc>
          <w:tcPr>
            <w:tcW w:w="458" w:type="pct"/>
            <w:shd w:val="clear" w:color="auto" w:fill="auto"/>
            <w:noWrap/>
            <w:vAlign w:val="bottom"/>
            <w:hideMark/>
          </w:tcPr>
          <w:p w14:paraId="446D91E4"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 xml:space="preserve">  122,5</w:t>
            </w:r>
          </w:p>
        </w:tc>
        <w:tc>
          <w:tcPr>
            <w:tcW w:w="639" w:type="pct"/>
            <w:shd w:val="clear" w:color="auto" w:fill="auto"/>
            <w:noWrap/>
            <w:vAlign w:val="bottom"/>
            <w:hideMark/>
          </w:tcPr>
          <w:p w14:paraId="3A82B02B"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6,18 per cent</w:t>
            </w:r>
          </w:p>
        </w:tc>
        <w:tc>
          <w:tcPr>
            <w:tcW w:w="639" w:type="pct"/>
            <w:shd w:val="clear" w:color="auto" w:fill="auto"/>
            <w:noWrap/>
            <w:vAlign w:val="bottom"/>
            <w:hideMark/>
          </w:tcPr>
          <w:p w14:paraId="42AD4161"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r w:rsidRPr="000A4369">
              <w:rPr>
                <w:rFonts w:ascii="Times New Roman" w:eastAsia="Times New Roman" w:hAnsi="Times New Roman" w:cs="Times New Roman"/>
                <w:sz w:val="18"/>
                <w:szCs w:val="18"/>
                <w:lang w:eastAsia="en-ZA"/>
              </w:rPr>
              <w:t>0,93 per cent</w:t>
            </w:r>
          </w:p>
        </w:tc>
      </w:tr>
      <w:tr w:rsidR="00D3188A" w:rsidRPr="000A4369" w14:paraId="2EA2BC79" w14:textId="77777777" w:rsidTr="002D00EA">
        <w:trPr>
          <w:trHeight w:val="255"/>
        </w:trPr>
        <w:tc>
          <w:tcPr>
            <w:tcW w:w="839" w:type="pct"/>
            <w:shd w:val="clear" w:color="auto" w:fill="auto"/>
            <w:noWrap/>
            <w:vAlign w:val="bottom"/>
            <w:hideMark/>
          </w:tcPr>
          <w:p w14:paraId="478307E2" w14:textId="77777777" w:rsidR="00D3188A" w:rsidRPr="000A4369" w:rsidRDefault="00D3188A" w:rsidP="00D3188A">
            <w:pPr>
              <w:spacing w:after="0" w:line="240" w:lineRule="auto"/>
              <w:jc w:val="right"/>
              <w:rPr>
                <w:rFonts w:ascii="Times New Roman" w:eastAsia="Times New Roman" w:hAnsi="Times New Roman" w:cs="Times New Roman"/>
                <w:sz w:val="18"/>
                <w:szCs w:val="18"/>
                <w:lang w:eastAsia="en-ZA"/>
              </w:rPr>
            </w:pPr>
          </w:p>
        </w:tc>
        <w:tc>
          <w:tcPr>
            <w:tcW w:w="549" w:type="pct"/>
            <w:shd w:val="clear" w:color="auto" w:fill="auto"/>
            <w:noWrap/>
            <w:vAlign w:val="bottom"/>
            <w:hideMark/>
          </w:tcPr>
          <w:p w14:paraId="08D254ED" w14:textId="77777777" w:rsidR="00D3188A" w:rsidRPr="000A4369" w:rsidRDefault="00D3188A" w:rsidP="00D3188A">
            <w:pPr>
              <w:spacing w:after="0" w:line="240" w:lineRule="auto"/>
              <w:rPr>
                <w:rFonts w:ascii="Times New Roman" w:eastAsia="Times New Roman" w:hAnsi="Times New Roman" w:cs="Times New Roman"/>
                <w:sz w:val="20"/>
                <w:szCs w:val="20"/>
                <w:lang w:eastAsia="en-ZA"/>
              </w:rPr>
            </w:pPr>
          </w:p>
        </w:tc>
        <w:tc>
          <w:tcPr>
            <w:tcW w:w="548" w:type="pct"/>
            <w:shd w:val="clear" w:color="auto" w:fill="auto"/>
            <w:noWrap/>
            <w:vAlign w:val="bottom"/>
            <w:hideMark/>
          </w:tcPr>
          <w:p w14:paraId="0810CA30" w14:textId="77777777" w:rsidR="00D3188A" w:rsidRPr="000A4369" w:rsidRDefault="00D3188A" w:rsidP="00D3188A">
            <w:pPr>
              <w:spacing w:after="0" w:line="240" w:lineRule="auto"/>
              <w:rPr>
                <w:rFonts w:ascii="Times New Roman" w:eastAsia="Times New Roman" w:hAnsi="Times New Roman" w:cs="Times New Roman"/>
                <w:sz w:val="20"/>
                <w:szCs w:val="20"/>
                <w:lang w:eastAsia="en-ZA"/>
              </w:rPr>
            </w:pPr>
          </w:p>
        </w:tc>
        <w:tc>
          <w:tcPr>
            <w:tcW w:w="413" w:type="pct"/>
            <w:shd w:val="clear" w:color="auto" w:fill="auto"/>
            <w:noWrap/>
            <w:vAlign w:val="bottom"/>
            <w:hideMark/>
          </w:tcPr>
          <w:p w14:paraId="07294EDC" w14:textId="77777777" w:rsidR="00D3188A" w:rsidRPr="000A4369" w:rsidRDefault="00D3188A" w:rsidP="00D3188A">
            <w:pPr>
              <w:spacing w:after="0" w:line="240" w:lineRule="auto"/>
              <w:rPr>
                <w:rFonts w:ascii="Times New Roman" w:eastAsia="Times New Roman" w:hAnsi="Times New Roman" w:cs="Times New Roman"/>
                <w:sz w:val="20"/>
                <w:szCs w:val="20"/>
                <w:lang w:eastAsia="en-ZA"/>
              </w:rPr>
            </w:pPr>
          </w:p>
        </w:tc>
        <w:tc>
          <w:tcPr>
            <w:tcW w:w="413" w:type="pct"/>
            <w:shd w:val="clear" w:color="auto" w:fill="auto"/>
            <w:noWrap/>
            <w:vAlign w:val="bottom"/>
            <w:hideMark/>
          </w:tcPr>
          <w:p w14:paraId="56C302F8" w14:textId="77777777" w:rsidR="00D3188A" w:rsidRPr="000A4369" w:rsidRDefault="00D3188A" w:rsidP="00D3188A">
            <w:pPr>
              <w:spacing w:after="0" w:line="240" w:lineRule="auto"/>
              <w:rPr>
                <w:rFonts w:ascii="Times New Roman" w:eastAsia="Times New Roman" w:hAnsi="Times New Roman" w:cs="Times New Roman"/>
                <w:sz w:val="20"/>
                <w:szCs w:val="20"/>
                <w:lang w:eastAsia="en-ZA"/>
              </w:rPr>
            </w:pPr>
          </w:p>
        </w:tc>
        <w:tc>
          <w:tcPr>
            <w:tcW w:w="503" w:type="pct"/>
            <w:shd w:val="clear" w:color="auto" w:fill="auto"/>
            <w:noWrap/>
            <w:vAlign w:val="bottom"/>
            <w:hideMark/>
          </w:tcPr>
          <w:p w14:paraId="1255D504" w14:textId="77777777" w:rsidR="00D3188A" w:rsidRPr="000A4369" w:rsidRDefault="00D3188A" w:rsidP="00D3188A">
            <w:pPr>
              <w:spacing w:after="0" w:line="240" w:lineRule="auto"/>
              <w:rPr>
                <w:rFonts w:ascii="Times New Roman" w:eastAsia="Times New Roman" w:hAnsi="Times New Roman" w:cs="Times New Roman"/>
                <w:sz w:val="20"/>
                <w:szCs w:val="20"/>
                <w:lang w:eastAsia="en-ZA"/>
              </w:rPr>
            </w:pPr>
          </w:p>
        </w:tc>
        <w:tc>
          <w:tcPr>
            <w:tcW w:w="458" w:type="pct"/>
            <w:shd w:val="clear" w:color="auto" w:fill="auto"/>
            <w:noWrap/>
            <w:vAlign w:val="bottom"/>
            <w:hideMark/>
          </w:tcPr>
          <w:p w14:paraId="01D9A3AB" w14:textId="77777777" w:rsidR="00D3188A" w:rsidRPr="000A4369" w:rsidRDefault="00D3188A" w:rsidP="00D3188A">
            <w:pPr>
              <w:spacing w:after="0" w:line="240" w:lineRule="auto"/>
              <w:rPr>
                <w:rFonts w:ascii="Times New Roman" w:eastAsia="Times New Roman" w:hAnsi="Times New Roman" w:cs="Times New Roman"/>
                <w:sz w:val="20"/>
                <w:szCs w:val="20"/>
                <w:lang w:eastAsia="en-ZA"/>
              </w:rPr>
            </w:pPr>
          </w:p>
        </w:tc>
        <w:tc>
          <w:tcPr>
            <w:tcW w:w="639" w:type="pct"/>
            <w:shd w:val="clear" w:color="auto" w:fill="auto"/>
            <w:noWrap/>
            <w:vAlign w:val="bottom"/>
            <w:hideMark/>
          </w:tcPr>
          <w:p w14:paraId="156886DA" w14:textId="77777777" w:rsidR="00D3188A" w:rsidRPr="000A4369" w:rsidRDefault="00D3188A" w:rsidP="00D3188A">
            <w:pPr>
              <w:spacing w:after="0" w:line="240" w:lineRule="auto"/>
              <w:rPr>
                <w:rFonts w:ascii="Times New Roman" w:eastAsia="Times New Roman" w:hAnsi="Times New Roman" w:cs="Times New Roman"/>
                <w:sz w:val="20"/>
                <w:szCs w:val="20"/>
                <w:lang w:eastAsia="en-ZA"/>
              </w:rPr>
            </w:pPr>
          </w:p>
        </w:tc>
        <w:tc>
          <w:tcPr>
            <w:tcW w:w="639" w:type="pct"/>
            <w:shd w:val="clear" w:color="auto" w:fill="auto"/>
            <w:noWrap/>
            <w:vAlign w:val="bottom"/>
            <w:hideMark/>
          </w:tcPr>
          <w:p w14:paraId="660A27B8" w14:textId="77777777" w:rsidR="00D3188A" w:rsidRPr="000A4369" w:rsidRDefault="00D3188A" w:rsidP="00D3188A">
            <w:pPr>
              <w:spacing w:after="0" w:line="240" w:lineRule="auto"/>
              <w:rPr>
                <w:rFonts w:ascii="Times New Roman" w:eastAsia="Times New Roman" w:hAnsi="Times New Roman" w:cs="Times New Roman"/>
                <w:sz w:val="20"/>
                <w:szCs w:val="20"/>
                <w:lang w:eastAsia="en-ZA"/>
              </w:rPr>
            </w:pPr>
          </w:p>
        </w:tc>
      </w:tr>
      <w:tr w:rsidR="00D3188A" w:rsidRPr="000A4369" w14:paraId="2BB254A2" w14:textId="77777777" w:rsidTr="002D00EA">
        <w:trPr>
          <w:trHeight w:val="270"/>
        </w:trPr>
        <w:tc>
          <w:tcPr>
            <w:tcW w:w="839" w:type="pct"/>
            <w:shd w:val="clear" w:color="auto" w:fill="auto"/>
            <w:noWrap/>
            <w:vAlign w:val="bottom"/>
            <w:hideMark/>
          </w:tcPr>
          <w:p w14:paraId="342546C0" w14:textId="77777777" w:rsidR="00D3188A" w:rsidRPr="000A4369" w:rsidRDefault="00D3188A" w:rsidP="00D3188A">
            <w:pPr>
              <w:spacing w:after="0" w:line="240" w:lineRule="auto"/>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TOTAL</w:t>
            </w:r>
          </w:p>
        </w:tc>
        <w:tc>
          <w:tcPr>
            <w:tcW w:w="549" w:type="pct"/>
            <w:shd w:val="clear" w:color="auto" w:fill="auto"/>
            <w:noWrap/>
            <w:vAlign w:val="bottom"/>
            <w:hideMark/>
          </w:tcPr>
          <w:p w14:paraId="1517F098" w14:textId="77777777" w:rsidR="00D3188A" w:rsidRPr="000A4369" w:rsidRDefault="00D3188A" w:rsidP="00D3188A">
            <w:pPr>
              <w:spacing w:after="0" w:line="240" w:lineRule="auto"/>
              <w:jc w:val="right"/>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3 863 703,0</w:t>
            </w:r>
          </w:p>
        </w:tc>
        <w:tc>
          <w:tcPr>
            <w:tcW w:w="548" w:type="pct"/>
            <w:shd w:val="clear" w:color="auto" w:fill="auto"/>
            <w:noWrap/>
            <w:vAlign w:val="bottom"/>
            <w:hideMark/>
          </w:tcPr>
          <w:p w14:paraId="5275BD93" w14:textId="77777777" w:rsidR="00D3188A" w:rsidRPr="000A4369" w:rsidRDefault="00D3188A" w:rsidP="00D3188A">
            <w:pPr>
              <w:spacing w:after="0" w:line="240" w:lineRule="auto"/>
              <w:jc w:val="right"/>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4 084 119,0</w:t>
            </w:r>
          </w:p>
        </w:tc>
        <w:tc>
          <w:tcPr>
            <w:tcW w:w="413" w:type="pct"/>
            <w:shd w:val="clear" w:color="auto" w:fill="auto"/>
            <w:noWrap/>
            <w:vAlign w:val="bottom"/>
            <w:hideMark/>
          </w:tcPr>
          <w:p w14:paraId="09F69FC0" w14:textId="77777777" w:rsidR="00D3188A" w:rsidRPr="000A4369" w:rsidRDefault="00D3188A" w:rsidP="00D3188A">
            <w:pPr>
              <w:spacing w:after="0" w:line="240" w:lineRule="auto"/>
              <w:jc w:val="right"/>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  0,0</w:t>
            </w:r>
          </w:p>
        </w:tc>
        <w:tc>
          <w:tcPr>
            <w:tcW w:w="413" w:type="pct"/>
            <w:shd w:val="clear" w:color="auto" w:fill="auto"/>
            <w:noWrap/>
            <w:vAlign w:val="bottom"/>
            <w:hideMark/>
          </w:tcPr>
          <w:p w14:paraId="555B3914" w14:textId="77777777" w:rsidR="00D3188A" w:rsidRPr="000A4369" w:rsidRDefault="00D3188A" w:rsidP="00D3188A">
            <w:pPr>
              <w:spacing w:after="0" w:line="240" w:lineRule="auto"/>
              <w:jc w:val="right"/>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  0,0</w:t>
            </w:r>
          </w:p>
        </w:tc>
        <w:tc>
          <w:tcPr>
            <w:tcW w:w="503" w:type="pct"/>
            <w:shd w:val="clear" w:color="auto" w:fill="auto"/>
            <w:noWrap/>
            <w:vAlign w:val="bottom"/>
            <w:hideMark/>
          </w:tcPr>
          <w:p w14:paraId="27A9942D" w14:textId="77777777" w:rsidR="00D3188A" w:rsidRPr="000A4369" w:rsidRDefault="00D3188A" w:rsidP="00D3188A">
            <w:pPr>
              <w:spacing w:after="0" w:line="240" w:lineRule="auto"/>
              <w:jc w:val="right"/>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 220 416,0</w:t>
            </w:r>
          </w:p>
        </w:tc>
        <w:tc>
          <w:tcPr>
            <w:tcW w:w="458" w:type="pct"/>
            <w:shd w:val="clear" w:color="auto" w:fill="auto"/>
            <w:noWrap/>
            <w:vAlign w:val="bottom"/>
            <w:hideMark/>
          </w:tcPr>
          <w:p w14:paraId="2FA64902" w14:textId="77777777" w:rsidR="00D3188A" w:rsidRPr="000A4369" w:rsidRDefault="00D3188A" w:rsidP="00D3188A">
            <w:pPr>
              <w:spacing w:after="0" w:line="240" w:lineRule="auto"/>
              <w:jc w:val="right"/>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 xml:space="preserve"> 18 539,4</w:t>
            </w:r>
          </w:p>
        </w:tc>
        <w:tc>
          <w:tcPr>
            <w:tcW w:w="639" w:type="pct"/>
            <w:shd w:val="clear" w:color="auto" w:fill="auto"/>
            <w:noWrap/>
            <w:vAlign w:val="bottom"/>
            <w:hideMark/>
          </w:tcPr>
          <w:p w14:paraId="194B9038" w14:textId="77777777" w:rsidR="00D3188A" w:rsidRPr="000A4369" w:rsidRDefault="00D3188A" w:rsidP="00D3188A">
            <w:pPr>
              <w:spacing w:after="0" w:line="240" w:lineRule="auto"/>
              <w:jc w:val="right"/>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5,70 per cent</w:t>
            </w:r>
          </w:p>
        </w:tc>
        <w:tc>
          <w:tcPr>
            <w:tcW w:w="639" w:type="pct"/>
            <w:shd w:val="clear" w:color="auto" w:fill="auto"/>
            <w:noWrap/>
            <w:vAlign w:val="bottom"/>
            <w:hideMark/>
          </w:tcPr>
          <w:p w14:paraId="02E87A8E" w14:textId="77777777" w:rsidR="00D3188A" w:rsidRPr="000A4369" w:rsidRDefault="00D3188A" w:rsidP="00D3188A">
            <w:pPr>
              <w:spacing w:after="0" w:line="240" w:lineRule="auto"/>
              <w:jc w:val="right"/>
              <w:rPr>
                <w:rFonts w:ascii="Times New Roman" w:eastAsia="Times New Roman" w:hAnsi="Times New Roman" w:cs="Times New Roman"/>
                <w:b/>
                <w:bCs/>
                <w:sz w:val="18"/>
                <w:szCs w:val="18"/>
                <w:lang w:eastAsia="en-ZA"/>
              </w:rPr>
            </w:pPr>
            <w:r w:rsidRPr="000A4369">
              <w:rPr>
                <w:rFonts w:ascii="Times New Roman" w:eastAsia="Times New Roman" w:hAnsi="Times New Roman" w:cs="Times New Roman"/>
                <w:b/>
                <w:bCs/>
                <w:sz w:val="18"/>
                <w:szCs w:val="18"/>
                <w:lang w:eastAsia="en-ZA"/>
              </w:rPr>
              <w:t>0,48 per cent</w:t>
            </w:r>
          </w:p>
        </w:tc>
      </w:tr>
    </w:tbl>
    <w:p w14:paraId="7365836C" w14:textId="77777777" w:rsidR="00D3188A" w:rsidRPr="000A4369" w:rsidRDefault="00D3188A" w:rsidP="00E53A4D">
      <w:pPr>
        <w:spacing w:after="0" w:line="280" w:lineRule="exact"/>
        <w:jc w:val="both"/>
        <w:rPr>
          <w:rFonts w:ascii="Times New Roman" w:eastAsia="Times New Roman" w:hAnsi="Times New Roman" w:cs="Times New Roman"/>
          <w:b/>
          <w:lang w:val="en-GB"/>
        </w:rPr>
      </w:pPr>
    </w:p>
    <w:p w14:paraId="186FBC66" w14:textId="77777777" w:rsidR="00D3188A" w:rsidRPr="000A4369" w:rsidRDefault="00D3188A" w:rsidP="00E53A4D">
      <w:pPr>
        <w:spacing w:after="0" w:line="280" w:lineRule="exact"/>
        <w:jc w:val="both"/>
        <w:rPr>
          <w:rFonts w:ascii="Times New Roman" w:eastAsia="Times New Roman" w:hAnsi="Times New Roman" w:cs="Times New Roman"/>
          <w:b/>
          <w:lang w:val="en-GB"/>
        </w:rPr>
      </w:pPr>
    </w:p>
    <w:p w14:paraId="119B59C4" w14:textId="77777777" w:rsidR="00D10F05" w:rsidRPr="000A4369" w:rsidRDefault="00D10F05" w:rsidP="00D10F05">
      <w:pPr>
        <w:spacing w:after="0" w:line="280" w:lineRule="exact"/>
        <w:jc w:val="both"/>
        <w:rPr>
          <w:rFonts w:ascii="Times New Roman" w:hAnsi="Times New Roman" w:cs="Times New Roman"/>
          <w:sz w:val="24"/>
          <w:szCs w:val="24"/>
        </w:rPr>
      </w:pPr>
      <w:r w:rsidRPr="000A4369">
        <w:rPr>
          <w:rFonts w:ascii="Times New Roman" w:hAnsi="Times New Roman" w:cs="Times New Roman"/>
          <w:sz w:val="24"/>
          <w:szCs w:val="24"/>
        </w:rPr>
        <w:t>Programme 6 seeks to respond to the structural nature of unemployment in South Africa to help address the paradox of an economy unable to absorb the labour of people that are willing to and able to work. Allocation to this Programme increases by 0.5 percent in real terms, most of which relates to Sub-programme 1, as Figure 7 below illustrates. The management of this Programme has been the Department’s major source of weakness, which culminated in a disclaimed audit opinion in 2017/18 and late tabling of the 2017/18 Annual Report. This is the worst audit opinion since the Department’s establishment in 2009. It also flies in the face of the Department’s priority of expanding l</w:t>
      </w:r>
      <w:r w:rsidRPr="000A4369">
        <w:rPr>
          <w:rFonts w:ascii="Times New Roman" w:hAnsi="Times New Roman" w:cs="Times New Roman"/>
          <w:bCs/>
          <w:sz w:val="24"/>
          <w:szCs w:val="24"/>
        </w:rPr>
        <w:t xml:space="preserve">ocal public employment programmes. </w:t>
      </w:r>
      <w:r w:rsidRPr="000A4369">
        <w:rPr>
          <w:rFonts w:ascii="Times New Roman" w:hAnsi="Times New Roman" w:cs="Times New Roman"/>
          <w:sz w:val="24"/>
          <w:szCs w:val="24"/>
        </w:rPr>
        <w:t>The Programme thus demands stronger parliamentary oversight.</w:t>
      </w:r>
    </w:p>
    <w:p w14:paraId="0FCF7D56" w14:textId="77777777" w:rsidR="00D3188A" w:rsidRPr="000A4369" w:rsidRDefault="00D3188A" w:rsidP="00E53A4D">
      <w:pPr>
        <w:spacing w:after="0" w:line="280" w:lineRule="exact"/>
        <w:jc w:val="both"/>
        <w:rPr>
          <w:rFonts w:ascii="Times New Roman" w:eastAsia="Times New Roman" w:hAnsi="Times New Roman" w:cs="Times New Roman"/>
          <w:b/>
          <w:lang w:val="en-GB"/>
        </w:rPr>
      </w:pPr>
    </w:p>
    <w:p w14:paraId="26080A82" w14:textId="77777777" w:rsidR="00D3188A" w:rsidRPr="000A4369" w:rsidRDefault="00143178" w:rsidP="00E53A4D">
      <w:pPr>
        <w:spacing w:after="0" w:line="280" w:lineRule="exact"/>
        <w:jc w:val="both"/>
        <w:rPr>
          <w:rFonts w:ascii="Times New Roman" w:eastAsia="Times New Roman" w:hAnsi="Times New Roman" w:cs="Times New Roman"/>
          <w:b/>
          <w:lang w:val="en-GB"/>
        </w:rPr>
      </w:pPr>
      <w:r w:rsidRPr="000A4369">
        <w:rPr>
          <w:rFonts w:ascii="Times New Roman" w:hAnsi="Times New Roman" w:cs="Times New Roman"/>
          <w:noProof/>
          <w:lang w:eastAsia="en-ZA"/>
        </w:rPr>
        <mc:AlternateContent>
          <mc:Choice Requires="wps">
            <w:drawing>
              <wp:anchor distT="0" distB="0" distL="114300" distR="114300" simplePos="0" relativeHeight="251684864" behindDoc="0" locked="0" layoutInCell="1" allowOverlap="1" wp14:anchorId="76D9B6C1" wp14:editId="194503A6">
                <wp:simplePos x="0" y="0"/>
                <wp:positionH relativeFrom="margin">
                  <wp:posOffset>-78740</wp:posOffset>
                </wp:positionH>
                <wp:positionV relativeFrom="paragraph">
                  <wp:posOffset>108585</wp:posOffset>
                </wp:positionV>
                <wp:extent cx="5731510" cy="186856"/>
                <wp:effectExtent l="0" t="0" r="2540" b="3810"/>
                <wp:wrapNone/>
                <wp:docPr id="21" name="Text Box 21"/>
                <wp:cNvGraphicFramePr/>
                <a:graphic xmlns:a="http://schemas.openxmlformats.org/drawingml/2006/main">
                  <a:graphicData uri="http://schemas.microsoft.com/office/word/2010/wordprocessingShape">
                    <wps:wsp>
                      <wps:cNvSpPr txBox="1"/>
                      <wps:spPr>
                        <a:xfrm>
                          <a:off x="0" y="0"/>
                          <a:ext cx="5731510" cy="186856"/>
                        </a:xfrm>
                        <a:prstGeom prst="rect">
                          <a:avLst/>
                        </a:prstGeom>
                        <a:solidFill>
                          <a:prstClr val="white"/>
                        </a:solidFill>
                        <a:ln>
                          <a:noFill/>
                        </a:ln>
                      </wps:spPr>
                      <wps:txbx>
                        <w:txbxContent>
                          <w:p w14:paraId="53D0ACB0" w14:textId="77777777" w:rsidR="002D00EA" w:rsidRPr="000B2E51" w:rsidRDefault="002D00EA" w:rsidP="00143178">
                            <w:pPr>
                              <w:pStyle w:val="Caption"/>
                              <w:rPr>
                                <w:noProof/>
                              </w:rPr>
                            </w:pPr>
                            <w:r>
                              <w:t xml:space="preserve">Figure </w:t>
                            </w:r>
                            <w:fldSimple w:instr=" SEQ Figure \* ARABIC ">
                              <w:r w:rsidR="007F1C6D">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9D7FD93" id="Text Box 21" o:spid="_x0000_s1029" type="#_x0000_t202" style="position:absolute;left:0;text-align:left;margin-left:-6.2pt;margin-top:8.55pt;width:451.3pt;height:14.7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" stroked="f">
                <v:textbox inset="0,0,0,0">
                  <w:txbxContent>
                    <w:p w:rsidR="002D00EA" w:rsidRPr="000B2E51" w:rsidRDefault="002D00EA" w:rsidP="00143178">
                      <w:pPr>
                        <w:pStyle w:val="Caption"/>
                        <w:rPr>
                          <w:noProof/>
                        </w:rPr>
                      </w:pPr>
                      <w:r>
                        <w:t xml:space="preserve">Figure </w:t>
                      </w:r>
                      <w:fldSimple w:instr=" SEQ Figure \* ARABIC ">
                        <w:r w:rsidR="007F1C6D">
                          <w:rPr>
                            <w:noProof/>
                          </w:rPr>
                          <w:t>5</w:t>
                        </w:r>
                      </w:fldSimple>
                    </w:p>
                  </w:txbxContent>
                </v:textbox>
                <w10:wrap anchorx="margin"/>
              </v:shape>
            </w:pict>
          </mc:Fallback>
        </mc:AlternateContent>
      </w:r>
    </w:p>
    <w:p w14:paraId="1D87F4E5" w14:textId="77777777" w:rsidR="00D3188A" w:rsidRPr="000A4369" w:rsidRDefault="00D3188A" w:rsidP="00E53A4D">
      <w:pPr>
        <w:spacing w:after="0" w:line="280" w:lineRule="exact"/>
        <w:jc w:val="both"/>
        <w:rPr>
          <w:rFonts w:ascii="Times New Roman" w:eastAsia="Times New Roman" w:hAnsi="Times New Roman" w:cs="Times New Roman"/>
          <w:b/>
          <w:lang w:val="en-GB"/>
        </w:rPr>
      </w:pPr>
    </w:p>
    <w:p w14:paraId="03CABC9A" w14:textId="77777777" w:rsidR="00D3188A" w:rsidRPr="000A4369" w:rsidRDefault="00143178" w:rsidP="00E53A4D">
      <w:pPr>
        <w:spacing w:after="0" w:line="280" w:lineRule="exact"/>
        <w:jc w:val="both"/>
        <w:rPr>
          <w:rFonts w:ascii="Times New Roman" w:eastAsia="Times New Roman" w:hAnsi="Times New Roman" w:cs="Times New Roman"/>
          <w:b/>
          <w:lang w:val="en-GB"/>
        </w:rPr>
      </w:pPr>
      <w:r w:rsidRPr="000A4369">
        <w:rPr>
          <w:rFonts w:ascii="Times New Roman" w:hAnsi="Times New Roman" w:cs="Times New Roman"/>
          <w:noProof/>
          <w:lang w:eastAsia="en-ZA"/>
        </w:rPr>
        <w:drawing>
          <wp:anchor distT="0" distB="0" distL="114300" distR="114300" simplePos="0" relativeHeight="251682816" behindDoc="0" locked="0" layoutInCell="1" allowOverlap="1" wp14:anchorId="07A9C2C3" wp14:editId="16A162F2">
            <wp:simplePos x="0" y="0"/>
            <wp:positionH relativeFrom="margin">
              <wp:posOffset>0</wp:posOffset>
            </wp:positionH>
            <wp:positionV relativeFrom="paragraph">
              <wp:posOffset>-635</wp:posOffset>
            </wp:positionV>
            <wp:extent cx="5731510" cy="3382645"/>
            <wp:effectExtent l="0" t="0" r="2540" b="8255"/>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13B21765" w14:textId="77777777" w:rsidR="00D3188A" w:rsidRPr="000A4369" w:rsidRDefault="00D3188A" w:rsidP="00E53A4D">
      <w:pPr>
        <w:spacing w:after="0" w:line="280" w:lineRule="exact"/>
        <w:jc w:val="both"/>
        <w:rPr>
          <w:rFonts w:ascii="Times New Roman" w:eastAsia="Times New Roman" w:hAnsi="Times New Roman" w:cs="Times New Roman"/>
          <w:b/>
          <w:lang w:val="en-GB"/>
        </w:rPr>
      </w:pPr>
    </w:p>
    <w:p w14:paraId="3238410E" w14:textId="77777777" w:rsidR="00D3188A" w:rsidRPr="000A4369" w:rsidRDefault="00D3188A" w:rsidP="00E53A4D">
      <w:pPr>
        <w:spacing w:after="0" w:line="280" w:lineRule="exact"/>
        <w:jc w:val="both"/>
        <w:rPr>
          <w:rFonts w:ascii="Times New Roman" w:eastAsia="Times New Roman" w:hAnsi="Times New Roman" w:cs="Times New Roman"/>
          <w:b/>
          <w:lang w:val="en-GB"/>
        </w:rPr>
      </w:pPr>
    </w:p>
    <w:p w14:paraId="332474E1" w14:textId="77777777" w:rsidR="00D3188A" w:rsidRPr="000A4369" w:rsidRDefault="00D3188A" w:rsidP="00E53A4D">
      <w:pPr>
        <w:spacing w:after="0" w:line="280" w:lineRule="exact"/>
        <w:jc w:val="both"/>
        <w:rPr>
          <w:rFonts w:ascii="Times New Roman" w:eastAsia="Times New Roman" w:hAnsi="Times New Roman" w:cs="Times New Roman"/>
          <w:b/>
          <w:lang w:val="en-GB"/>
        </w:rPr>
      </w:pPr>
    </w:p>
    <w:p w14:paraId="18A49775" w14:textId="77777777" w:rsidR="00D3188A" w:rsidRPr="000A4369" w:rsidRDefault="00D3188A" w:rsidP="00E53A4D">
      <w:pPr>
        <w:spacing w:after="0" w:line="280" w:lineRule="exact"/>
        <w:jc w:val="both"/>
        <w:rPr>
          <w:rFonts w:ascii="Times New Roman" w:eastAsia="Times New Roman" w:hAnsi="Times New Roman" w:cs="Times New Roman"/>
          <w:b/>
          <w:lang w:val="en-GB"/>
        </w:rPr>
      </w:pPr>
    </w:p>
    <w:p w14:paraId="7D53346C" w14:textId="77777777" w:rsidR="00143178" w:rsidRPr="000A4369" w:rsidRDefault="00143178" w:rsidP="00E53A4D">
      <w:pPr>
        <w:spacing w:after="0" w:line="280" w:lineRule="exact"/>
        <w:jc w:val="both"/>
        <w:rPr>
          <w:rFonts w:ascii="Times New Roman" w:eastAsia="Times New Roman" w:hAnsi="Times New Roman" w:cs="Times New Roman"/>
          <w:b/>
          <w:lang w:val="en-GB"/>
        </w:rPr>
      </w:pPr>
    </w:p>
    <w:p w14:paraId="7C0F1A07" w14:textId="77777777" w:rsidR="00143178" w:rsidRPr="000A4369" w:rsidRDefault="00143178" w:rsidP="00E53A4D">
      <w:pPr>
        <w:spacing w:after="0" w:line="280" w:lineRule="exact"/>
        <w:jc w:val="both"/>
        <w:rPr>
          <w:rFonts w:ascii="Times New Roman" w:eastAsia="Times New Roman" w:hAnsi="Times New Roman" w:cs="Times New Roman"/>
          <w:b/>
          <w:lang w:val="en-GB"/>
        </w:rPr>
      </w:pPr>
    </w:p>
    <w:p w14:paraId="6A66760D" w14:textId="77777777" w:rsidR="00143178" w:rsidRPr="000A4369" w:rsidRDefault="00143178" w:rsidP="00E53A4D">
      <w:pPr>
        <w:spacing w:after="0" w:line="280" w:lineRule="exact"/>
        <w:jc w:val="both"/>
        <w:rPr>
          <w:rFonts w:ascii="Times New Roman" w:eastAsia="Times New Roman" w:hAnsi="Times New Roman" w:cs="Times New Roman"/>
          <w:b/>
          <w:lang w:val="en-GB"/>
        </w:rPr>
      </w:pPr>
    </w:p>
    <w:p w14:paraId="77CBC622" w14:textId="77777777" w:rsidR="00143178" w:rsidRPr="000A4369" w:rsidRDefault="00143178" w:rsidP="00E53A4D">
      <w:pPr>
        <w:spacing w:after="0" w:line="280" w:lineRule="exact"/>
        <w:jc w:val="both"/>
        <w:rPr>
          <w:rFonts w:ascii="Times New Roman" w:eastAsia="Times New Roman" w:hAnsi="Times New Roman" w:cs="Times New Roman"/>
          <w:b/>
          <w:lang w:val="en-GB"/>
        </w:rPr>
      </w:pPr>
    </w:p>
    <w:p w14:paraId="5F7CF864" w14:textId="77777777" w:rsidR="00143178" w:rsidRPr="000A4369" w:rsidRDefault="00143178" w:rsidP="00E53A4D">
      <w:pPr>
        <w:spacing w:after="0" w:line="280" w:lineRule="exact"/>
        <w:jc w:val="both"/>
        <w:rPr>
          <w:rFonts w:ascii="Times New Roman" w:eastAsia="Times New Roman" w:hAnsi="Times New Roman" w:cs="Times New Roman"/>
          <w:b/>
          <w:lang w:val="en-GB"/>
        </w:rPr>
      </w:pPr>
    </w:p>
    <w:p w14:paraId="5851FFD9" w14:textId="77777777" w:rsidR="00143178" w:rsidRPr="000A4369" w:rsidRDefault="00143178" w:rsidP="00E53A4D">
      <w:pPr>
        <w:spacing w:after="0" w:line="280" w:lineRule="exact"/>
        <w:jc w:val="both"/>
        <w:rPr>
          <w:rFonts w:ascii="Times New Roman" w:eastAsia="Times New Roman" w:hAnsi="Times New Roman" w:cs="Times New Roman"/>
          <w:b/>
          <w:lang w:val="en-GB"/>
        </w:rPr>
      </w:pPr>
    </w:p>
    <w:p w14:paraId="5CD11AC5" w14:textId="77777777" w:rsidR="00143178" w:rsidRPr="000A4369" w:rsidRDefault="00143178" w:rsidP="00E53A4D">
      <w:pPr>
        <w:spacing w:after="0" w:line="280" w:lineRule="exact"/>
        <w:jc w:val="both"/>
        <w:rPr>
          <w:rFonts w:ascii="Times New Roman" w:eastAsia="Times New Roman" w:hAnsi="Times New Roman" w:cs="Times New Roman"/>
          <w:b/>
          <w:lang w:val="en-GB"/>
        </w:rPr>
      </w:pPr>
    </w:p>
    <w:p w14:paraId="5CFCE9D5" w14:textId="77777777" w:rsidR="00143178" w:rsidRPr="000A4369" w:rsidRDefault="00143178" w:rsidP="00E53A4D">
      <w:pPr>
        <w:spacing w:after="0" w:line="280" w:lineRule="exact"/>
        <w:jc w:val="both"/>
        <w:rPr>
          <w:rFonts w:ascii="Times New Roman" w:eastAsia="Times New Roman" w:hAnsi="Times New Roman" w:cs="Times New Roman"/>
          <w:b/>
          <w:lang w:val="en-GB"/>
        </w:rPr>
      </w:pPr>
    </w:p>
    <w:p w14:paraId="6DA36A4A" w14:textId="77777777" w:rsidR="00143178" w:rsidRPr="000A4369" w:rsidRDefault="00143178" w:rsidP="00E53A4D">
      <w:pPr>
        <w:spacing w:after="0" w:line="280" w:lineRule="exact"/>
        <w:jc w:val="both"/>
        <w:rPr>
          <w:rFonts w:ascii="Times New Roman" w:eastAsia="Times New Roman" w:hAnsi="Times New Roman" w:cs="Times New Roman"/>
          <w:b/>
          <w:lang w:val="en-GB"/>
        </w:rPr>
      </w:pPr>
    </w:p>
    <w:p w14:paraId="313197E3" w14:textId="77777777" w:rsidR="00143178" w:rsidRPr="000A4369" w:rsidRDefault="00143178" w:rsidP="00E53A4D">
      <w:pPr>
        <w:spacing w:after="0" w:line="280" w:lineRule="exact"/>
        <w:jc w:val="both"/>
        <w:rPr>
          <w:rFonts w:ascii="Times New Roman" w:eastAsia="Times New Roman" w:hAnsi="Times New Roman" w:cs="Times New Roman"/>
          <w:b/>
          <w:lang w:val="en-GB"/>
        </w:rPr>
      </w:pPr>
    </w:p>
    <w:p w14:paraId="569CB4CF" w14:textId="77777777" w:rsidR="00143178" w:rsidRPr="000A4369" w:rsidRDefault="00143178" w:rsidP="00E53A4D">
      <w:pPr>
        <w:spacing w:after="0" w:line="280" w:lineRule="exact"/>
        <w:jc w:val="both"/>
        <w:rPr>
          <w:rFonts w:ascii="Times New Roman" w:eastAsia="Times New Roman" w:hAnsi="Times New Roman" w:cs="Times New Roman"/>
          <w:b/>
          <w:lang w:val="en-GB"/>
        </w:rPr>
      </w:pPr>
    </w:p>
    <w:p w14:paraId="54D13EC4" w14:textId="77777777" w:rsidR="00D3188A" w:rsidRPr="000A4369" w:rsidRDefault="00D3188A" w:rsidP="00E53A4D">
      <w:pPr>
        <w:spacing w:after="0" w:line="280" w:lineRule="exact"/>
        <w:jc w:val="both"/>
        <w:rPr>
          <w:rFonts w:ascii="Times New Roman" w:eastAsia="Times New Roman" w:hAnsi="Times New Roman" w:cs="Times New Roman"/>
          <w:b/>
          <w:lang w:val="en-GB"/>
        </w:rPr>
      </w:pPr>
    </w:p>
    <w:p w14:paraId="7A61CFAC" w14:textId="77777777" w:rsidR="00D3188A" w:rsidRPr="000A4369" w:rsidRDefault="00D3188A" w:rsidP="00E53A4D">
      <w:pPr>
        <w:spacing w:after="0" w:line="280" w:lineRule="exact"/>
        <w:jc w:val="both"/>
        <w:rPr>
          <w:rFonts w:ascii="Times New Roman" w:eastAsia="Times New Roman" w:hAnsi="Times New Roman" w:cs="Times New Roman"/>
          <w:b/>
          <w:lang w:val="en-GB"/>
        </w:rPr>
      </w:pPr>
    </w:p>
    <w:p w14:paraId="1568FDF6" w14:textId="77777777" w:rsidR="00F54757" w:rsidRPr="000A4369" w:rsidRDefault="00F54757" w:rsidP="00E53A4D">
      <w:pPr>
        <w:spacing w:after="0" w:line="280" w:lineRule="exact"/>
        <w:jc w:val="both"/>
        <w:rPr>
          <w:rFonts w:ascii="Times New Roman" w:eastAsia="Times New Roman" w:hAnsi="Times New Roman" w:cs="Times New Roman"/>
          <w:b/>
          <w:lang w:val="en-GB"/>
        </w:rPr>
      </w:pPr>
    </w:p>
    <w:p w14:paraId="77E37F3C" w14:textId="77777777" w:rsidR="00661393" w:rsidRPr="000A4369" w:rsidRDefault="00661393" w:rsidP="00E53A4D">
      <w:pPr>
        <w:spacing w:after="0" w:line="280" w:lineRule="exact"/>
        <w:jc w:val="both"/>
        <w:rPr>
          <w:rFonts w:ascii="Times New Roman" w:eastAsia="Times New Roman" w:hAnsi="Times New Roman" w:cs="Times New Roman"/>
          <w:b/>
          <w:lang w:val="en-GB"/>
        </w:rPr>
      </w:pPr>
    </w:p>
    <w:p w14:paraId="6D951BD4" w14:textId="77777777" w:rsidR="00BB3C95" w:rsidRPr="000A4369" w:rsidRDefault="00BB3C95" w:rsidP="001F76F2">
      <w:pPr>
        <w:spacing w:after="0" w:line="280" w:lineRule="exact"/>
        <w:jc w:val="both"/>
        <w:rPr>
          <w:rFonts w:ascii="Times New Roman" w:eastAsia="Times New Roman" w:hAnsi="Times New Roman" w:cs="Times New Roman"/>
          <w:b/>
          <w:lang w:val="en-GB"/>
        </w:rPr>
      </w:pPr>
    </w:p>
    <w:p w14:paraId="0C5977C0" w14:textId="77777777" w:rsidR="002D00EA" w:rsidRPr="000A4369" w:rsidRDefault="002D00EA" w:rsidP="002D00EA">
      <w:pPr>
        <w:pStyle w:val="ListParagraph"/>
        <w:numPr>
          <w:ilvl w:val="0"/>
          <w:numId w:val="30"/>
        </w:numPr>
        <w:spacing w:after="0" w:line="280" w:lineRule="exact"/>
        <w:jc w:val="both"/>
        <w:rPr>
          <w:rFonts w:ascii="Times New Roman" w:eastAsia="Times New Roman" w:hAnsi="Times New Roman" w:cs="Times New Roman"/>
          <w:b/>
          <w:lang w:val="en-GB"/>
        </w:rPr>
      </w:pPr>
      <w:r w:rsidRPr="000A4369">
        <w:rPr>
          <w:rFonts w:ascii="Times New Roman" w:eastAsia="Times New Roman" w:hAnsi="Times New Roman" w:cs="Times New Roman"/>
          <w:b/>
          <w:lang w:val="en-GB"/>
        </w:rPr>
        <w:t xml:space="preserve">Implementation of </w:t>
      </w:r>
      <w:r w:rsidR="00BB0C82" w:rsidRPr="000A4369">
        <w:rPr>
          <w:rFonts w:ascii="Times New Roman" w:eastAsia="Times New Roman" w:hAnsi="Times New Roman" w:cs="Times New Roman"/>
          <w:b/>
          <w:lang w:val="en-GB"/>
        </w:rPr>
        <w:t>2017/18 Budgetary Review Recommendations</w:t>
      </w:r>
    </w:p>
    <w:p w14:paraId="5F53AB3C" w14:textId="77777777" w:rsidR="00BB0C82" w:rsidRPr="000A4369" w:rsidRDefault="00BB0C82" w:rsidP="00BB0C82">
      <w:pPr>
        <w:spacing w:after="0" w:line="280" w:lineRule="exact"/>
        <w:jc w:val="both"/>
        <w:rPr>
          <w:rFonts w:ascii="Times New Roman" w:eastAsia="Times New Roman" w:hAnsi="Times New Roman" w:cs="Times New Roman"/>
          <w:b/>
          <w:lang w:val="en-GB"/>
        </w:rPr>
      </w:pPr>
    </w:p>
    <w:tbl>
      <w:tblPr>
        <w:tblStyle w:val="TableGrid"/>
        <w:tblW w:w="0" w:type="auto"/>
        <w:tblLook w:val="04A0" w:firstRow="1" w:lastRow="0" w:firstColumn="1" w:lastColumn="0" w:noHBand="0" w:noVBand="1"/>
      </w:tblPr>
      <w:tblGrid>
        <w:gridCol w:w="8207"/>
        <w:gridCol w:w="1035"/>
      </w:tblGrid>
      <w:tr w:rsidR="00BB0C82" w:rsidRPr="000A4369" w14:paraId="4FA57866" w14:textId="77777777" w:rsidTr="00E47EEC">
        <w:tc>
          <w:tcPr>
            <w:tcW w:w="0" w:type="auto"/>
          </w:tcPr>
          <w:p w14:paraId="27DCF643" w14:textId="77777777" w:rsidR="00BB0C82" w:rsidRPr="000A4369" w:rsidRDefault="00BB0C82" w:rsidP="00BB0C82">
            <w:pPr>
              <w:spacing w:line="280" w:lineRule="exact"/>
              <w:jc w:val="both"/>
              <w:rPr>
                <w:rFonts w:ascii="Times New Roman" w:eastAsia="Times New Roman" w:hAnsi="Times New Roman" w:cs="Times New Roman"/>
                <w:b/>
                <w:lang w:val="en-GB"/>
              </w:rPr>
            </w:pPr>
            <w:r w:rsidRPr="000A4369">
              <w:rPr>
                <w:rFonts w:ascii="Times New Roman" w:eastAsia="Times New Roman" w:hAnsi="Times New Roman" w:cs="Times New Roman"/>
                <w:b/>
                <w:lang w:val="en-GB"/>
              </w:rPr>
              <w:t>2017/18 Recommendations</w:t>
            </w:r>
          </w:p>
        </w:tc>
        <w:tc>
          <w:tcPr>
            <w:tcW w:w="0" w:type="auto"/>
          </w:tcPr>
          <w:p w14:paraId="62E03D88" w14:textId="77777777" w:rsidR="00BB0C82" w:rsidRPr="000A4369" w:rsidRDefault="00BB0C82" w:rsidP="00BB0C82">
            <w:pPr>
              <w:spacing w:line="280" w:lineRule="exact"/>
              <w:jc w:val="both"/>
              <w:rPr>
                <w:rFonts w:ascii="Times New Roman" w:eastAsia="Times New Roman" w:hAnsi="Times New Roman" w:cs="Times New Roman"/>
                <w:b/>
                <w:lang w:val="en-GB"/>
              </w:rPr>
            </w:pPr>
            <w:r w:rsidRPr="000A4369">
              <w:rPr>
                <w:rFonts w:ascii="Times New Roman" w:eastAsia="Times New Roman" w:hAnsi="Times New Roman" w:cs="Times New Roman"/>
                <w:b/>
                <w:lang w:val="en-GB"/>
              </w:rPr>
              <w:t>Progress</w:t>
            </w:r>
          </w:p>
        </w:tc>
      </w:tr>
      <w:tr w:rsidR="00BB0C82" w:rsidRPr="000A4369" w14:paraId="3812CD64" w14:textId="77777777" w:rsidTr="00E47EEC">
        <w:tc>
          <w:tcPr>
            <w:tcW w:w="0" w:type="auto"/>
          </w:tcPr>
          <w:p w14:paraId="1A08D3C6" w14:textId="77777777" w:rsidR="00BB0C82" w:rsidRPr="000A4369" w:rsidRDefault="00BB0C82" w:rsidP="00BB0C82">
            <w:pPr>
              <w:pStyle w:val="ListParagraph"/>
              <w:numPr>
                <w:ilvl w:val="1"/>
                <w:numId w:val="23"/>
              </w:numPr>
              <w:spacing w:line="280" w:lineRule="exact"/>
              <w:jc w:val="both"/>
              <w:rPr>
                <w:rFonts w:ascii="Times New Roman" w:hAnsi="Times New Roman" w:cs="Times New Roman"/>
              </w:rPr>
            </w:pPr>
            <w:r w:rsidRPr="000A4369">
              <w:rPr>
                <w:rFonts w:ascii="Times New Roman" w:hAnsi="Times New Roman" w:cs="Times New Roman"/>
              </w:rPr>
              <w:t xml:space="preserve">The Department of Cooperative Governance must address the weak levels of assurance, which the Auditor-General identified in respect of the Executive Authority, Accounting Officer and Senior Management. </w:t>
            </w:r>
          </w:p>
          <w:p w14:paraId="5FB109ED" w14:textId="77777777" w:rsidR="00BB0C82" w:rsidRPr="000A4369" w:rsidRDefault="00BB0C82" w:rsidP="00BB0C82">
            <w:pPr>
              <w:spacing w:line="280" w:lineRule="exact"/>
              <w:jc w:val="both"/>
              <w:rPr>
                <w:rFonts w:ascii="Times New Roman" w:eastAsia="Times New Roman" w:hAnsi="Times New Roman" w:cs="Times New Roman"/>
                <w:b/>
                <w:lang w:val="en-GB"/>
              </w:rPr>
            </w:pPr>
          </w:p>
        </w:tc>
        <w:tc>
          <w:tcPr>
            <w:tcW w:w="0" w:type="auto"/>
          </w:tcPr>
          <w:p w14:paraId="25D6AF60" w14:textId="77777777" w:rsidR="00BB0C82" w:rsidRPr="000A4369" w:rsidRDefault="00D630AE" w:rsidP="00BB0C82">
            <w:pPr>
              <w:spacing w:line="280" w:lineRule="exact"/>
              <w:jc w:val="both"/>
              <w:rPr>
                <w:rFonts w:ascii="Times New Roman" w:eastAsia="Times New Roman" w:hAnsi="Times New Roman" w:cs="Times New Roman"/>
                <w:b/>
                <w:lang w:val="en-GB"/>
              </w:rPr>
            </w:pPr>
            <w:r w:rsidRPr="000A4369">
              <w:rPr>
                <w:rFonts w:ascii="Times New Roman" w:eastAsia="Times New Roman" w:hAnsi="Times New Roman" w:cs="Times New Roman"/>
                <w:b/>
                <w:lang w:val="en-GB"/>
              </w:rPr>
              <w:t>Ongoing</w:t>
            </w:r>
          </w:p>
        </w:tc>
      </w:tr>
      <w:tr w:rsidR="00BB0C82" w:rsidRPr="000A4369" w14:paraId="02698BE5" w14:textId="77777777" w:rsidTr="00E47EEC">
        <w:tc>
          <w:tcPr>
            <w:tcW w:w="0" w:type="auto"/>
          </w:tcPr>
          <w:p w14:paraId="445E5529" w14:textId="77777777" w:rsidR="00BB0C82" w:rsidRPr="000A4369" w:rsidRDefault="00BB0C82" w:rsidP="00BB0C82">
            <w:pPr>
              <w:numPr>
                <w:ilvl w:val="1"/>
                <w:numId w:val="23"/>
              </w:numPr>
              <w:spacing w:line="280" w:lineRule="exact"/>
              <w:contextualSpacing/>
              <w:jc w:val="both"/>
              <w:rPr>
                <w:rFonts w:ascii="Times New Roman" w:hAnsi="Times New Roman" w:cs="Times New Roman"/>
              </w:rPr>
            </w:pPr>
            <w:r w:rsidRPr="000A4369">
              <w:rPr>
                <w:rFonts w:ascii="Times New Roman" w:hAnsi="Times New Roman" w:cs="Times New Roman"/>
              </w:rPr>
              <w:t>The Department of Cooperative Governance must consider undertaking a comprehensive review of the Community Work Programme, including identifying the key problem areas and devising mechanisms to deal effectively with the identified challenges.</w:t>
            </w:r>
          </w:p>
        </w:tc>
        <w:tc>
          <w:tcPr>
            <w:tcW w:w="0" w:type="auto"/>
          </w:tcPr>
          <w:p w14:paraId="71F5EBF2" w14:textId="77777777" w:rsidR="00BB0C82" w:rsidRPr="000A4369" w:rsidRDefault="00D630AE" w:rsidP="00BB0C82">
            <w:pPr>
              <w:spacing w:line="280" w:lineRule="exact"/>
              <w:jc w:val="both"/>
              <w:rPr>
                <w:rFonts w:ascii="Times New Roman" w:eastAsia="Times New Roman" w:hAnsi="Times New Roman" w:cs="Times New Roman"/>
                <w:b/>
                <w:lang w:val="en-GB"/>
              </w:rPr>
            </w:pPr>
            <w:r w:rsidRPr="000A4369">
              <w:rPr>
                <w:rFonts w:ascii="Times New Roman" w:eastAsia="Times New Roman" w:hAnsi="Times New Roman" w:cs="Times New Roman"/>
                <w:b/>
                <w:lang w:val="en-GB"/>
              </w:rPr>
              <w:t>Ongoing</w:t>
            </w:r>
          </w:p>
        </w:tc>
      </w:tr>
      <w:tr w:rsidR="00BB0C82" w:rsidRPr="000A4369" w14:paraId="33443D39" w14:textId="77777777" w:rsidTr="00E47EEC">
        <w:tc>
          <w:tcPr>
            <w:tcW w:w="0" w:type="auto"/>
          </w:tcPr>
          <w:p w14:paraId="26286FBD" w14:textId="77777777" w:rsidR="00BB0C82" w:rsidRPr="000A4369" w:rsidRDefault="00BB0C82" w:rsidP="00BB0C82">
            <w:pPr>
              <w:numPr>
                <w:ilvl w:val="1"/>
                <w:numId w:val="23"/>
              </w:numPr>
              <w:spacing w:line="280" w:lineRule="exact"/>
              <w:contextualSpacing/>
              <w:jc w:val="both"/>
              <w:rPr>
                <w:rFonts w:ascii="Times New Roman" w:hAnsi="Times New Roman" w:cs="Times New Roman"/>
              </w:rPr>
            </w:pPr>
            <w:r w:rsidRPr="000A4369">
              <w:rPr>
                <w:rFonts w:ascii="Times New Roman" w:hAnsi="Times New Roman" w:cs="Times New Roman"/>
              </w:rPr>
              <w:t xml:space="preserve">The Portfolio Committee must invite all the municipalities with deposits in the VBS Mutual Bank in order to understand better the impact of the Bank’s possible liquidation on the financial and service delivery performance of these municipalities. </w:t>
            </w:r>
          </w:p>
        </w:tc>
        <w:tc>
          <w:tcPr>
            <w:tcW w:w="0" w:type="auto"/>
          </w:tcPr>
          <w:p w14:paraId="78536B31" w14:textId="77777777" w:rsidR="00BB0C82" w:rsidRPr="000A4369" w:rsidRDefault="00D630AE" w:rsidP="00BB0C82">
            <w:pPr>
              <w:spacing w:line="280" w:lineRule="exact"/>
              <w:jc w:val="both"/>
              <w:rPr>
                <w:rFonts w:ascii="Times New Roman" w:eastAsia="Times New Roman" w:hAnsi="Times New Roman" w:cs="Times New Roman"/>
                <w:b/>
                <w:lang w:val="en-GB"/>
              </w:rPr>
            </w:pPr>
            <w:r w:rsidRPr="000A4369">
              <w:rPr>
                <w:rFonts w:ascii="Times New Roman" w:eastAsia="Times New Roman" w:hAnsi="Times New Roman" w:cs="Times New Roman"/>
                <w:b/>
                <w:lang w:val="en-GB"/>
              </w:rPr>
              <w:t>Ongoing</w:t>
            </w:r>
          </w:p>
        </w:tc>
      </w:tr>
      <w:tr w:rsidR="00BB0C82" w:rsidRPr="000A4369" w14:paraId="7198EB3A" w14:textId="77777777" w:rsidTr="00E47EEC">
        <w:tc>
          <w:tcPr>
            <w:tcW w:w="0" w:type="auto"/>
          </w:tcPr>
          <w:p w14:paraId="5BED8873" w14:textId="77777777" w:rsidR="00BB0C82" w:rsidRPr="000A4369" w:rsidRDefault="00BB0C82" w:rsidP="00BB0C82">
            <w:pPr>
              <w:numPr>
                <w:ilvl w:val="1"/>
                <w:numId w:val="23"/>
              </w:numPr>
              <w:spacing w:line="280" w:lineRule="exact"/>
              <w:contextualSpacing/>
              <w:jc w:val="both"/>
              <w:rPr>
                <w:rFonts w:ascii="Times New Roman" w:hAnsi="Times New Roman" w:cs="Times New Roman"/>
              </w:rPr>
            </w:pPr>
            <w:r w:rsidRPr="000A4369">
              <w:rPr>
                <w:rFonts w:ascii="Times New Roman" w:hAnsi="Times New Roman" w:cs="Times New Roman"/>
              </w:rPr>
              <w:t xml:space="preserve">The MDB should explore the possibility of submitting its proposed amendments to the Demarcation Act directly to the Portfolio Committee, which can deal with the amendments as a Committee Bill. </w:t>
            </w:r>
          </w:p>
        </w:tc>
        <w:tc>
          <w:tcPr>
            <w:tcW w:w="0" w:type="auto"/>
          </w:tcPr>
          <w:p w14:paraId="42988E53" w14:textId="77777777" w:rsidR="00BB0C82" w:rsidRPr="000A4369" w:rsidRDefault="00D630AE" w:rsidP="00BB0C82">
            <w:pPr>
              <w:spacing w:line="280" w:lineRule="exact"/>
              <w:jc w:val="both"/>
              <w:rPr>
                <w:rFonts w:ascii="Times New Roman" w:eastAsia="Times New Roman" w:hAnsi="Times New Roman" w:cs="Times New Roman"/>
                <w:b/>
                <w:lang w:val="en-GB"/>
              </w:rPr>
            </w:pPr>
            <w:r w:rsidRPr="000A4369">
              <w:rPr>
                <w:rFonts w:ascii="Times New Roman" w:eastAsia="Times New Roman" w:hAnsi="Times New Roman" w:cs="Times New Roman"/>
                <w:b/>
                <w:lang w:val="en-GB"/>
              </w:rPr>
              <w:t>Ongoing</w:t>
            </w:r>
          </w:p>
        </w:tc>
      </w:tr>
    </w:tbl>
    <w:p w14:paraId="1285118D" w14:textId="77777777" w:rsidR="00BB0C82" w:rsidRPr="000A4369" w:rsidRDefault="00BB0C82" w:rsidP="00BB0C82">
      <w:pPr>
        <w:spacing w:after="0" w:line="280" w:lineRule="exact"/>
        <w:jc w:val="both"/>
        <w:rPr>
          <w:rFonts w:ascii="Times New Roman" w:eastAsia="Times New Roman" w:hAnsi="Times New Roman" w:cs="Times New Roman"/>
          <w:b/>
          <w:lang w:val="en-GB"/>
        </w:rPr>
      </w:pPr>
    </w:p>
    <w:p w14:paraId="15FEFCE8" w14:textId="77777777" w:rsidR="002D00EA" w:rsidRPr="000A4369" w:rsidRDefault="002D00EA" w:rsidP="001F76F2">
      <w:pPr>
        <w:spacing w:after="0" w:line="280" w:lineRule="exact"/>
        <w:jc w:val="both"/>
        <w:rPr>
          <w:rFonts w:ascii="Times New Roman" w:eastAsia="Times New Roman" w:hAnsi="Times New Roman" w:cs="Times New Roman"/>
          <w:b/>
          <w:lang w:val="en-GB"/>
        </w:rPr>
      </w:pPr>
    </w:p>
    <w:p w14:paraId="723909F9" w14:textId="77777777" w:rsidR="00305282" w:rsidRPr="000A4369" w:rsidRDefault="00305282" w:rsidP="00BB0C82">
      <w:pPr>
        <w:pStyle w:val="ListParagraph"/>
        <w:numPr>
          <w:ilvl w:val="0"/>
          <w:numId w:val="23"/>
        </w:numPr>
        <w:spacing w:after="0" w:line="280" w:lineRule="exact"/>
        <w:jc w:val="both"/>
        <w:rPr>
          <w:rFonts w:ascii="Times New Roman" w:eastAsia="Times New Roman" w:hAnsi="Times New Roman" w:cs="Times New Roman"/>
          <w:b/>
          <w:sz w:val="24"/>
          <w:szCs w:val="24"/>
          <w:lang w:val="en-GB"/>
        </w:rPr>
      </w:pPr>
      <w:r w:rsidRPr="000A4369">
        <w:rPr>
          <w:rFonts w:ascii="Times New Roman" w:eastAsia="Times New Roman" w:hAnsi="Times New Roman" w:cs="Times New Roman"/>
          <w:b/>
          <w:sz w:val="24"/>
          <w:szCs w:val="24"/>
          <w:lang w:val="en-GB"/>
        </w:rPr>
        <w:t>Committee Observations</w:t>
      </w:r>
    </w:p>
    <w:p w14:paraId="1140906B" w14:textId="77777777" w:rsidR="00740E20" w:rsidRPr="000A4369" w:rsidRDefault="00740E20" w:rsidP="00305282">
      <w:pPr>
        <w:spacing w:after="0" w:line="280" w:lineRule="exact"/>
        <w:jc w:val="both"/>
        <w:rPr>
          <w:rFonts w:ascii="Times New Roman" w:eastAsia="Times New Roman" w:hAnsi="Times New Roman" w:cs="Times New Roman"/>
          <w:b/>
          <w:sz w:val="24"/>
          <w:szCs w:val="24"/>
          <w:lang w:val="en-GB"/>
        </w:rPr>
      </w:pPr>
    </w:p>
    <w:p w14:paraId="74F10F31" w14:textId="77777777" w:rsidR="00740E20" w:rsidRPr="000A4369" w:rsidRDefault="00740E20" w:rsidP="00305282">
      <w:pPr>
        <w:spacing w:after="0" w:line="280" w:lineRule="exact"/>
        <w:jc w:val="both"/>
        <w:rPr>
          <w:rFonts w:ascii="Times New Roman" w:eastAsia="Times New Roman" w:hAnsi="Times New Roman" w:cs="Times New Roman"/>
          <w:sz w:val="24"/>
          <w:szCs w:val="24"/>
          <w:lang w:val="en-GB"/>
        </w:rPr>
      </w:pPr>
      <w:r w:rsidRPr="000A4369">
        <w:rPr>
          <w:rFonts w:ascii="Times New Roman" w:eastAsia="Times New Roman" w:hAnsi="Times New Roman" w:cs="Times New Roman"/>
          <w:sz w:val="24"/>
          <w:szCs w:val="24"/>
          <w:lang w:val="en-GB"/>
        </w:rPr>
        <w:t>The Committee noted that:</w:t>
      </w:r>
    </w:p>
    <w:p w14:paraId="5EE0BF17" w14:textId="77777777" w:rsidR="00305282" w:rsidRPr="000A4369" w:rsidRDefault="00305282" w:rsidP="00305282">
      <w:pPr>
        <w:spacing w:after="0" w:line="280" w:lineRule="exact"/>
        <w:jc w:val="both"/>
        <w:rPr>
          <w:rFonts w:ascii="Times New Roman" w:eastAsia="Times New Roman" w:hAnsi="Times New Roman" w:cs="Times New Roman"/>
          <w:b/>
          <w:sz w:val="24"/>
          <w:szCs w:val="24"/>
          <w:lang w:val="en-GB"/>
        </w:rPr>
      </w:pPr>
    </w:p>
    <w:p w14:paraId="6F0FAB98" w14:textId="77777777" w:rsidR="0031715A" w:rsidRPr="000A4369" w:rsidRDefault="00D36C81" w:rsidP="00BE493B">
      <w:pPr>
        <w:pStyle w:val="ListParagraph"/>
        <w:numPr>
          <w:ilvl w:val="0"/>
          <w:numId w:val="15"/>
        </w:numPr>
        <w:spacing w:after="0" w:line="280" w:lineRule="exact"/>
        <w:jc w:val="both"/>
        <w:rPr>
          <w:rFonts w:ascii="Times New Roman" w:eastAsia="Times New Roman" w:hAnsi="Times New Roman" w:cs="Times New Roman"/>
          <w:sz w:val="24"/>
          <w:szCs w:val="24"/>
          <w:lang w:val="en-GB"/>
        </w:rPr>
      </w:pPr>
      <w:r w:rsidRPr="000A4369">
        <w:rPr>
          <w:rFonts w:ascii="Times New Roman" w:eastAsia="Times New Roman" w:hAnsi="Times New Roman" w:cs="Times New Roman"/>
          <w:sz w:val="24"/>
          <w:szCs w:val="24"/>
          <w:lang w:val="en-GB"/>
        </w:rPr>
        <w:t>While appreciating the progress local government has made in terms of service delivery</w:t>
      </w:r>
      <w:r w:rsidR="00EE413C" w:rsidRPr="000A4369">
        <w:rPr>
          <w:rFonts w:ascii="Times New Roman" w:eastAsia="Times New Roman" w:hAnsi="Times New Roman" w:cs="Times New Roman"/>
          <w:sz w:val="24"/>
          <w:szCs w:val="24"/>
          <w:lang w:val="en-GB"/>
        </w:rPr>
        <w:t xml:space="preserve"> since the dawn of democracy, and the institutional and financial support it is currently receiving, there seems to be no commensurate positive impact on local communities on the ground. </w:t>
      </w:r>
    </w:p>
    <w:p w14:paraId="4736E90B" w14:textId="77777777" w:rsidR="00BE493B" w:rsidRPr="000A4369" w:rsidRDefault="00BE493B" w:rsidP="00BE493B">
      <w:pPr>
        <w:pStyle w:val="ListParagraph"/>
        <w:spacing w:after="0" w:line="280" w:lineRule="exact"/>
        <w:jc w:val="both"/>
        <w:rPr>
          <w:rFonts w:ascii="Times New Roman" w:eastAsia="Times New Roman" w:hAnsi="Times New Roman" w:cs="Times New Roman"/>
          <w:sz w:val="24"/>
          <w:szCs w:val="24"/>
          <w:lang w:val="en-GB"/>
        </w:rPr>
      </w:pPr>
    </w:p>
    <w:p w14:paraId="20972A88" w14:textId="77777777" w:rsidR="0031715A" w:rsidRPr="000A4369" w:rsidRDefault="0031715A" w:rsidP="00237693">
      <w:pPr>
        <w:pStyle w:val="ListParagraph"/>
        <w:numPr>
          <w:ilvl w:val="0"/>
          <w:numId w:val="15"/>
        </w:numPr>
        <w:spacing w:after="0" w:line="280" w:lineRule="exact"/>
        <w:jc w:val="both"/>
        <w:rPr>
          <w:rFonts w:ascii="Times New Roman" w:eastAsia="Times New Roman" w:hAnsi="Times New Roman" w:cs="Times New Roman"/>
          <w:sz w:val="24"/>
          <w:szCs w:val="24"/>
          <w:lang w:val="en-GB"/>
        </w:rPr>
      </w:pPr>
      <w:r w:rsidRPr="000A4369">
        <w:rPr>
          <w:rFonts w:ascii="Times New Roman" w:eastAsia="Times New Roman" w:hAnsi="Times New Roman" w:cs="Times New Roman"/>
          <w:sz w:val="24"/>
          <w:szCs w:val="24"/>
          <w:lang w:val="en-GB"/>
        </w:rPr>
        <w:t>The bulk of SALGA</w:t>
      </w:r>
      <w:r w:rsidR="002A4C14" w:rsidRPr="000A4369">
        <w:rPr>
          <w:rFonts w:ascii="Times New Roman" w:eastAsia="Times New Roman" w:hAnsi="Times New Roman" w:cs="Times New Roman"/>
          <w:sz w:val="24"/>
          <w:szCs w:val="24"/>
          <w:lang w:val="en-GB"/>
        </w:rPr>
        <w:t>’s</w:t>
      </w:r>
      <w:r w:rsidRPr="000A4369">
        <w:rPr>
          <w:rFonts w:ascii="Times New Roman" w:eastAsia="Times New Roman" w:hAnsi="Times New Roman" w:cs="Times New Roman"/>
          <w:sz w:val="24"/>
          <w:szCs w:val="24"/>
          <w:lang w:val="en-GB"/>
        </w:rPr>
        <w:t xml:space="preserve"> budget seemed concentrated on personnel compensation, leaving ins</w:t>
      </w:r>
      <w:r w:rsidR="004630F3" w:rsidRPr="000A4369">
        <w:rPr>
          <w:rFonts w:ascii="Times New Roman" w:eastAsia="Times New Roman" w:hAnsi="Times New Roman" w:cs="Times New Roman"/>
          <w:sz w:val="24"/>
          <w:szCs w:val="24"/>
          <w:lang w:val="en-GB"/>
        </w:rPr>
        <w:t>ufficient budget allocation for the core mandate of the entity</w:t>
      </w:r>
      <w:r w:rsidR="002A4C14" w:rsidRPr="000A4369">
        <w:rPr>
          <w:rFonts w:ascii="Times New Roman" w:eastAsia="Times New Roman" w:hAnsi="Times New Roman" w:cs="Times New Roman"/>
          <w:sz w:val="24"/>
          <w:szCs w:val="24"/>
          <w:lang w:val="en-GB"/>
        </w:rPr>
        <w:t>.</w:t>
      </w:r>
    </w:p>
    <w:p w14:paraId="62476D95" w14:textId="77777777" w:rsidR="00D36C81" w:rsidRPr="000A4369" w:rsidRDefault="00D36C81" w:rsidP="00D36C81">
      <w:pPr>
        <w:pStyle w:val="ListParagraph"/>
        <w:spacing w:after="0" w:line="280" w:lineRule="exact"/>
        <w:jc w:val="both"/>
        <w:rPr>
          <w:rFonts w:ascii="Times New Roman" w:eastAsia="Times New Roman" w:hAnsi="Times New Roman" w:cs="Times New Roman"/>
          <w:sz w:val="24"/>
          <w:szCs w:val="24"/>
          <w:lang w:val="en-GB"/>
        </w:rPr>
      </w:pPr>
    </w:p>
    <w:p w14:paraId="6943E696" w14:textId="77777777" w:rsidR="00305282" w:rsidRPr="000A4369" w:rsidRDefault="004630F3" w:rsidP="00305282">
      <w:pPr>
        <w:pStyle w:val="ListParagraph"/>
        <w:numPr>
          <w:ilvl w:val="0"/>
          <w:numId w:val="15"/>
        </w:numPr>
        <w:spacing w:after="0" w:line="280" w:lineRule="exact"/>
        <w:jc w:val="both"/>
        <w:rPr>
          <w:rFonts w:ascii="Times New Roman" w:eastAsia="Times New Roman" w:hAnsi="Times New Roman" w:cs="Times New Roman"/>
          <w:sz w:val="24"/>
          <w:szCs w:val="24"/>
          <w:lang w:val="en-GB"/>
        </w:rPr>
      </w:pPr>
      <w:r w:rsidRPr="000A4369">
        <w:rPr>
          <w:rFonts w:ascii="Times New Roman" w:eastAsia="Times New Roman" w:hAnsi="Times New Roman" w:cs="Times New Roman"/>
          <w:sz w:val="24"/>
          <w:szCs w:val="24"/>
          <w:lang w:val="en-GB"/>
        </w:rPr>
        <w:t xml:space="preserve">It is </w:t>
      </w:r>
      <w:r w:rsidR="00740E20" w:rsidRPr="000A4369">
        <w:rPr>
          <w:rFonts w:ascii="Times New Roman" w:eastAsia="Times New Roman" w:hAnsi="Times New Roman" w:cs="Times New Roman"/>
          <w:sz w:val="24"/>
          <w:szCs w:val="24"/>
          <w:lang w:val="en-GB"/>
        </w:rPr>
        <w:t>n</w:t>
      </w:r>
      <w:r w:rsidR="00305282" w:rsidRPr="000A4369">
        <w:rPr>
          <w:rFonts w:ascii="Times New Roman" w:eastAsia="Times New Roman" w:hAnsi="Times New Roman" w:cs="Times New Roman"/>
          <w:sz w:val="24"/>
          <w:szCs w:val="24"/>
          <w:lang w:val="en-GB"/>
        </w:rPr>
        <w:t xml:space="preserve">ot acceptable that out </w:t>
      </w:r>
      <w:r w:rsidR="00936EAE" w:rsidRPr="000A4369">
        <w:rPr>
          <w:rFonts w:ascii="Times New Roman" w:eastAsia="Times New Roman" w:hAnsi="Times New Roman" w:cs="Times New Roman"/>
          <w:sz w:val="24"/>
          <w:szCs w:val="24"/>
          <w:lang w:val="en-GB"/>
        </w:rPr>
        <w:t xml:space="preserve">of </w:t>
      </w:r>
      <w:r w:rsidR="00305282" w:rsidRPr="000A4369">
        <w:rPr>
          <w:rFonts w:ascii="Times New Roman" w:eastAsia="Times New Roman" w:hAnsi="Times New Roman" w:cs="Times New Roman"/>
          <w:sz w:val="24"/>
          <w:szCs w:val="24"/>
          <w:lang w:val="en-GB"/>
        </w:rPr>
        <w:t>257 municipalities</w:t>
      </w:r>
      <w:r w:rsidR="00740E20" w:rsidRPr="000A4369">
        <w:rPr>
          <w:rFonts w:ascii="Times New Roman" w:eastAsia="Times New Roman" w:hAnsi="Times New Roman" w:cs="Times New Roman"/>
          <w:sz w:val="24"/>
          <w:szCs w:val="24"/>
          <w:lang w:val="en-GB"/>
        </w:rPr>
        <w:t>,</w:t>
      </w:r>
      <w:r w:rsidR="00305282" w:rsidRPr="000A4369">
        <w:rPr>
          <w:rFonts w:ascii="Times New Roman" w:eastAsia="Times New Roman" w:hAnsi="Times New Roman" w:cs="Times New Roman"/>
          <w:sz w:val="24"/>
          <w:szCs w:val="24"/>
          <w:lang w:val="en-GB"/>
        </w:rPr>
        <w:t xml:space="preserve"> only 18 attained a clean audit</w:t>
      </w:r>
      <w:r w:rsidR="00740E20" w:rsidRPr="000A4369">
        <w:rPr>
          <w:rFonts w:ascii="Times New Roman" w:eastAsia="Times New Roman" w:hAnsi="Times New Roman" w:cs="Times New Roman"/>
          <w:sz w:val="24"/>
          <w:szCs w:val="24"/>
          <w:lang w:val="en-GB"/>
        </w:rPr>
        <w:t xml:space="preserve">. The Department of Cooperative Governance’s Strategic and Annual Performance Plans </w:t>
      </w:r>
      <w:r w:rsidR="00826740" w:rsidRPr="000A4369">
        <w:rPr>
          <w:rFonts w:ascii="Times New Roman" w:eastAsia="Times New Roman" w:hAnsi="Times New Roman" w:cs="Times New Roman"/>
          <w:sz w:val="24"/>
          <w:szCs w:val="24"/>
          <w:lang w:val="en-GB"/>
        </w:rPr>
        <w:t>do</w:t>
      </w:r>
      <w:r w:rsidR="002622CE" w:rsidRPr="000A4369">
        <w:rPr>
          <w:rFonts w:ascii="Times New Roman" w:eastAsia="Times New Roman" w:hAnsi="Times New Roman" w:cs="Times New Roman"/>
          <w:sz w:val="24"/>
          <w:szCs w:val="24"/>
          <w:lang w:val="en-GB"/>
        </w:rPr>
        <w:t xml:space="preserve"> not seem to</w:t>
      </w:r>
      <w:r w:rsidR="00740E20" w:rsidRPr="000A4369">
        <w:rPr>
          <w:rFonts w:ascii="Times New Roman" w:eastAsia="Times New Roman" w:hAnsi="Times New Roman" w:cs="Times New Roman"/>
          <w:sz w:val="24"/>
          <w:szCs w:val="24"/>
          <w:lang w:val="en-GB"/>
        </w:rPr>
        <w:t xml:space="preserve"> give sufficient emphasis on how to address this matter</w:t>
      </w:r>
      <w:r w:rsidR="00CD2090" w:rsidRPr="000A4369">
        <w:rPr>
          <w:rFonts w:ascii="Times New Roman" w:eastAsia="Times New Roman" w:hAnsi="Times New Roman" w:cs="Times New Roman"/>
          <w:sz w:val="24"/>
          <w:szCs w:val="24"/>
          <w:lang w:val="en-GB"/>
        </w:rPr>
        <w:t xml:space="preserve"> decisively. </w:t>
      </w:r>
    </w:p>
    <w:p w14:paraId="6CF1F330" w14:textId="77777777" w:rsidR="00155402" w:rsidRPr="000A4369" w:rsidRDefault="00155402" w:rsidP="00155402">
      <w:pPr>
        <w:pStyle w:val="ListParagraph"/>
        <w:spacing w:after="0" w:line="280" w:lineRule="exact"/>
        <w:jc w:val="both"/>
        <w:rPr>
          <w:rFonts w:ascii="Times New Roman" w:eastAsia="Times New Roman" w:hAnsi="Times New Roman" w:cs="Times New Roman"/>
          <w:sz w:val="24"/>
          <w:szCs w:val="24"/>
          <w:lang w:val="en-GB"/>
        </w:rPr>
      </w:pPr>
    </w:p>
    <w:p w14:paraId="190B6B75" w14:textId="77777777" w:rsidR="00AF6F1B" w:rsidRPr="000A4369" w:rsidRDefault="00155402" w:rsidP="00AF6F1B">
      <w:pPr>
        <w:pStyle w:val="ListParagraph"/>
        <w:numPr>
          <w:ilvl w:val="0"/>
          <w:numId w:val="15"/>
        </w:numPr>
        <w:spacing w:after="0" w:line="280" w:lineRule="exact"/>
        <w:jc w:val="both"/>
        <w:rPr>
          <w:rFonts w:ascii="Times New Roman" w:eastAsia="Times New Roman" w:hAnsi="Times New Roman" w:cs="Times New Roman"/>
          <w:sz w:val="24"/>
          <w:szCs w:val="24"/>
          <w:lang w:val="en-GB"/>
        </w:rPr>
      </w:pPr>
      <w:r w:rsidRPr="000A4369">
        <w:rPr>
          <w:rFonts w:ascii="Times New Roman" w:eastAsia="Times New Roman" w:hAnsi="Times New Roman" w:cs="Times New Roman"/>
          <w:sz w:val="24"/>
          <w:szCs w:val="24"/>
          <w:lang w:val="en-GB"/>
        </w:rPr>
        <w:t>Having received a disclaimed audit opinion during the 2017/18 financial year, the Departme</w:t>
      </w:r>
      <w:r w:rsidR="00936EAE" w:rsidRPr="000A4369">
        <w:rPr>
          <w:rFonts w:ascii="Times New Roman" w:eastAsia="Times New Roman" w:hAnsi="Times New Roman" w:cs="Times New Roman"/>
          <w:sz w:val="24"/>
          <w:szCs w:val="24"/>
          <w:lang w:val="en-GB"/>
        </w:rPr>
        <w:t>nt of Cooperative Governance is</w:t>
      </w:r>
      <w:r w:rsidRPr="000A4369">
        <w:rPr>
          <w:rFonts w:ascii="Times New Roman" w:eastAsia="Times New Roman" w:hAnsi="Times New Roman" w:cs="Times New Roman"/>
          <w:sz w:val="24"/>
          <w:szCs w:val="24"/>
          <w:lang w:val="en-GB"/>
        </w:rPr>
        <w:t xml:space="preserve"> not setting a good example for municipalities to emulate. </w:t>
      </w:r>
      <w:r w:rsidR="00936EAE" w:rsidRPr="000A4369">
        <w:rPr>
          <w:rFonts w:ascii="Times New Roman" w:eastAsia="Times New Roman" w:hAnsi="Times New Roman" w:cs="Times New Roman"/>
          <w:sz w:val="24"/>
          <w:szCs w:val="24"/>
          <w:lang w:val="en-GB"/>
        </w:rPr>
        <w:t>This</w:t>
      </w:r>
      <w:r w:rsidR="000F0BAF" w:rsidRPr="000A4369">
        <w:rPr>
          <w:rFonts w:ascii="Times New Roman" w:eastAsia="Times New Roman" w:hAnsi="Times New Roman" w:cs="Times New Roman"/>
          <w:sz w:val="24"/>
          <w:szCs w:val="24"/>
          <w:lang w:val="en-GB"/>
        </w:rPr>
        <w:t xml:space="preserve"> has</w:t>
      </w:r>
      <w:r w:rsidR="00936EAE" w:rsidRPr="000A4369">
        <w:rPr>
          <w:rFonts w:ascii="Times New Roman" w:eastAsia="Times New Roman" w:hAnsi="Times New Roman" w:cs="Times New Roman"/>
          <w:sz w:val="24"/>
          <w:szCs w:val="24"/>
          <w:lang w:val="en-GB"/>
        </w:rPr>
        <w:t xml:space="preserve"> weakened</w:t>
      </w:r>
      <w:r w:rsidR="00826740" w:rsidRPr="000A4369">
        <w:rPr>
          <w:rFonts w:ascii="Times New Roman" w:eastAsia="Times New Roman" w:hAnsi="Times New Roman" w:cs="Times New Roman"/>
          <w:sz w:val="24"/>
          <w:szCs w:val="24"/>
          <w:lang w:val="en-GB"/>
        </w:rPr>
        <w:t xml:space="preserve"> the Department’s legitimacy to demand clean audits from municipalities. </w:t>
      </w:r>
    </w:p>
    <w:p w14:paraId="66261416" w14:textId="77777777" w:rsidR="00740E20" w:rsidRPr="000A4369" w:rsidRDefault="00740E20" w:rsidP="00237693">
      <w:pPr>
        <w:spacing w:after="0" w:line="280" w:lineRule="exact"/>
        <w:jc w:val="both"/>
        <w:rPr>
          <w:rFonts w:ascii="Times New Roman" w:eastAsia="Times New Roman" w:hAnsi="Times New Roman" w:cs="Times New Roman"/>
          <w:sz w:val="24"/>
          <w:szCs w:val="24"/>
          <w:lang w:val="en-GB"/>
        </w:rPr>
      </w:pPr>
    </w:p>
    <w:p w14:paraId="5DDD6CC0" w14:textId="77777777" w:rsidR="00834A88" w:rsidRPr="000A4369" w:rsidRDefault="0031715A" w:rsidP="00BD062A">
      <w:pPr>
        <w:pStyle w:val="ListParagraph"/>
        <w:numPr>
          <w:ilvl w:val="0"/>
          <w:numId w:val="15"/>
        </w:numPr>
        <w:jc w:val="both"/>
        <w:rPr>
          <w:rFonts w:ascii="Times New Roman" w:eastAsia="Times New Roman" w:hAnsi="Times New Roman" w:cs="Times New Roman"/>
          <w:sz w:val="24"/>
          <w:szCs w:val="24"/>
          <w:lang w:val="en-GB"/>
        </w:rPr>
      </w:pPr>
      <w:r w:rsidRPr="000A4369">
        <w:rPr>
          <w:rFonts w:ascii="Times New Roman" w:eastAsia="Times New Roman" w:hAnsi="Times New Roman" w:cs="Times New Roman"/>
          <w:sz w:val="24"/>
          <w:szCs w:val="24"/>
          <w:lang w:val="en-GB"/>
        </w:rPr>
        <w:t>S</w:t>
      </w:r>
      <w:r w:rsidR="00394F93" w:rsidRPr="000A4369">
        <w:rPr>
          <w:rFonts w:ascii="Times New Roman" w:eastAsia="Times New Roman" w:hAnsi="Times New Roman" w:cs="Times New Roman"/>
          <w:sz w:val="24"/>
          <w:szCs w:val="24"/>
          <w:lang w:val="en-GB"/>
        </w:rPr>
        <w:t>ome amalgamations</w:t>
      </w:r>
      <w:r w:rsidR="004C615B" w:rsidRPr="000A4369">
        <w:rPr>
          <w:rFonts w:ascii="Times New Roman" w:eastAsia="Times New Roman" w:hAnsi="Times New Roman" w:cs="Times New Roman"/>
          <w:sz w:val="24"/>
          <w:szCs w:val="24"/>
          <w:lang w:val="en-GB"/>
        </w:rPr>
        <w:t xml:space="preserve"> have</w:t>
      </w:r>
      <w:r w:rsidRPr="000A4369">
        <w:rPr>
          <w:rFonts w:ascii="Times New Roman" w:eastAsia="Times New Roman" w:hAnsi="Times New Roman" w:cs="Times New Roman"/>
          <w:sz w:val="24"/>
          <w:szCs w:val="24"/>
          <w:lang w:val="en-GB"/>
        </w:rPr>
        <w:t xml:space="preserve"> a negative impact </w:t>
      </w:r>
      <w:r w:rsidR="00394F93" w:rsidRPr="000A4369">
        <w:rPr>
          <w:rFonts w:ascii="Times New Roman" w:eastAsia="Times New Roman" w:hAnsi="Times New Roman" w:cs="Times New Roman"/>
          <w:sz w:val="24"/>
          <w:szCs w:val="24"/>
          <w:lang w:val="en-GB"/>
        </w:rPr>
        <w:t xml:space="preserve">on the financial viability of the </w:t>
      </w:r>
      <w:r w:rsidRPr="000A4369">
        <w:rPr>
          <w:rFonts w:ascii="Times New Roman" w:eastAsia="Times New Roman" w:hAnsi="Times New Roman" w:cs="Times New Roman"/>
          <w:sz w:val="24"/>
          <w:szCs w:val="24"/>
          <w:lang w:val="en-GB"/>
        </w:rPr>
        <w:t>merged municipalities, resulting in</w:t>
      </w:r>
      <w:r w:rsidR="00394F93" w:rsidRPr="000A4369">
        <w:rPr>
          <w:rFonts w:ascii="Times New Roman" w:eastAsia="Times New Roman" w:hAnsi="Times New Roman" w:cs="Times New Roman"/>
          <w:sz w:val="24"/>
          <w:szCs w:val="24"/>
          <w:lang w:val="en-GB"/>
        </w:rPr>
        <w:t xml:space="preserve"> instances where previously healthy municipalities become financially unsustainable due to amalgamation with distressed or dysfunctional municipalities. </w:t>
      </w:r>
      <w:r w:rsidRPr="000A4369">
        <w:rPr>
          <w:rFonts w:ascii="Times New Roman" w:eastAsia="Times New Roman" w:hAnsi="Times New Roman" w:cs="Times New Roman"/>
          <w:sz w:val="24"/>
          <w:szCs w:val="24"/>
          <w:lang w:val="en-GB"/>
        </w:rPr>
        <w:t>These</w:t>
      </w:r>
      <w:r w:rsidR="00B44D58" w:rsidRPr="000A4369">
        <w:rPr>
          <w:rFonts w:ascii="Times New Roman" w:eastAsia="Times New Roman" w:hAnsi="Times New Roman" w:cs="Times New Roman"/>
          <w:sz w:val="24"/>
          <w:szCs w:val="24"/>
          <w:lang w:val="en-GB"/>
        </w:rPr>
        <w:t xml:space="preserve"> indicate that the Municipal Demarcation Board is not undertaking sufficient</w:t>
      </w:r>
      <w:r w:rsidR="00573690" w:rsidRPr="000A4369">
        <w:rPr>
          <w:rFonts w:ascii="Times New Roman" w:eastAsia="Times New Roman" w:hAnsi="Times New Roman" w:cs="Times New Roman"/>
          <w:sz w:val="24"/>
          <w:szCs w:val="24"/>
          <w:lang w:val="en-GB"/>
        </w:rPr>
        <w:t xml:space="preserve"> field</w:t>
      </w:r>
      <w:r w:rsidR="00C2411D" w:rsidRPr="000A4369">
        <w:rPr>
          <w:rFonts w:ascii="Times New Roman" w:eastAsia="Times New Roman" w:hAnsi="Times New Roman" w:cs="Times New Roman"/>
          <w:sz w:val="24"/>
          <w:szCs w:val="24"/>
          <w:lang w:val="en-GB"/>
        </w:rPr>
        <w:t xml:space="preserve"> resear</w:t>
      </w:r>
      <w:r w:rsidR="00573690" w:rsidRPr="000A4369">
        <w:rPr>
          <w:rFonts w:ascii="Times New Roman" w:eastAsia="Times New Roman" w:hAnsi="Times New Roman" w:cs="Times New Roman"/>
          <w:sz w:val="24"/>
          <w:szCs w:val="24"/>
          <w:lang w:val="en-GB"/>
        </w:rPr>
        <w:t>ch and stakeholder engagement</w:t>
      </w:r>
      <w:r w:rsidR="00B44D58" w:rsidRPr="000A4369">
        <w:rPr>
          <w:rFonts w:ascii="Times New Roman" w:eastAsia="Times New Roman" w:hAnsi="Times New Roman" w:cs="Times New Roman"/>
          <w:sz w:val="24"/>
          <w:szCs w:val="24"/>
          <w:lang w:val="en-GB"/>
        </w:rPr>
        <w:t xml:space="preserve"> before </w:t>
      </w:r>
      <w:r w:rsidRPr="000A4369">
        <w:rPr>
          <w:rFonts w:ascii="Times New Roman" w:eastAsia="Times New Roman" w:hAnsi="Times New Roman" w:cs="Times New Roman"/>
          <w:sz w:val="24"/>
          <w:szCs w:val="24"/>
          <w:lang w:val="en-GB"/>
        </w:rPr>
        <w:t>embarking on</w:t>
      </w:r>
      <w:r w:rsidR="00B44D58" w:rsidRPr="000A4369">
        <w:rPr>
          <w:rFonts w:ascii="Times New Roman" w:eastAsia="Times New Roman" w:hAnsi="Times New Roman" w:cs="Times New Roman"/>
          <w:sz w:val="24"/>
          <w:szCs w:val="24"/>
          <w:lang w:val="en-GB"/>
        </w:rPr>
        <w:t xml:space="preserve"> demarcation</w:t>
      </w:r>
      <w:r w:rsidR="00C2411D" w:rsidRPr="000A4369">
        <w:rPr>
          <w:rFonts w:ascii="Times New Roman" w:eastAsia="Times New Roman" w:hAnsi="Times New Roman" w:cs="Times New Roman"/>
          <w:sz w:val="24"/>
          <w:szCs w:val="24"/>
          <w:lang w:val="en-GB"/>
        </w:rPr>
        <w:t xml:space="preserve"> and delimitation</w:t>
      </w:r>
      <w:r w:rsidR="00B44D58" w:rsidRPr="000A4369">
        <w:rPr>
          <w:rFonts w:ascii="Times New Roman" w:eastAsia="Times New Roman" w:hAnsi="Times New Roman" w:cs="Times New Roman"/>
          <w:sz w:val="24"/>
          <w:szCs w:val="24"/>
          <w:lang w:val="en-GB"/>
        </w:rPr>
        <w:t xml:space="preserve"> process</w:t>
      </w:r>
      <w:r w:rsidR="00C2411D" w:rsidRPr="000A4369">
        <w:rPr>
          <w:rFonts w:ascii="Times New Roman" w:eastAsia="Times New Roman" w:hAnsi="Times New Roman" w:cs="Times New Roman"/>
          <w:sz w:val="24"/>
          <w:szCs w:val="24"/>
          <w:lang w:val="en-GB"/>
        </w:rPr>
        <w:t>es</w:t>
      </w:r>
      <w:r w:rsidR="00B44D58" w:rsidRPr="000A4369">
        <w:rPr>
          <w:rFonts w:ascii="Times New Roman" w:eastAsia="Times New Roman" w:hAnsi="Times New Roman" w:cs="Times New Roman"/>
          <w:sz w:val="24"/>
          <w:szCs w:val="24"/>
          <w:lang w:val="en-GB"/>
        </w:rPr>
        <w:t xml:space="preserve">. </w:t>
      </w:r>
    </w:p>
    <w:p w14:paraId="12A1FD03" w14:textId="77777777" w:rsidR="002B7FC6" w:rsidRPr="000A4369" w:rsidRDefault="002B7FC6" w:rsidP="002B7FC6">
      <w:pPr>
        <w:spacing w:after="0" w:line="280" w:lineRule="exact"/>
        <w:jc w:val="both"/>
        <w:rPr>
          <w:rFonts w:ascii="Times New Roman" w:eastAsia="Times New Roman" w:hAnsi="Times New Roman" w:cs="Times New Roman"/>
          <w:sz w:val="24"/>
          <w:szCs w:val="24"/>
          <w:lang w:val="en-GB"/>
        </w:rPr>
      </w:pPr>
    </w:p>
    <w:p w14:paraId="6B7407D8" w14:textId="77777777" w:rsidR="00A32202" w:rsidRPr="000A4369" w:rsidRDefault="00BE493B" w:rsidP="00BE493B">
      <w:pPr>
        <w:pStyle w:val="ListParagraph"/>
        <w:numPr>
          <w:ilvl w:val="0"/>
          <w:numId w:val="23"/>
        </w:numPr>
        <w:spacing w:after="0" w:line="280" w:lineRule="exact"/>
        <w:jc w:val="both"/>
        <w:rPr>
          <w:rFonts w:ascii="Times New Roman" w:eastAsia="Times New Roman" w:hAnsi="Times New Roman" w:cs="Times New Roman"/>
          <w:b/>
          <w:sz w:val="24"/>
          <w:szCs w:val="24"/>
          <w:lang w:val="en-GB"/>
        </w:rPr>
      </w:pPr>
      <w:r w:rsidRPr="000A4369">
        <w:rPr>
          <w:rFonts w:ascii="Times New Roman" w:eastAsia="Times New Roman" w:hAnsi="Times New Roman" w:cs="Times New Roman"/>
          <w:b/>
          <w:sz w:val="24"/>
          <w:szCs w:val="24"/>
          <w:lang w:val="en-GB"/>
        </w:rPr>
        <w:t>Committee Recommendations</w:t>
      </w:r>
    </w:p>
    <w:p w14:paraId="5D5DECAB" w14:textId="77777777" w:rsidR="00BE493B" w:rsidRPr="000A4369" w:rsidRDefault="00BE493B" w:rsidP="00BE493B">
      <w:pPr>
        <w:spacing w:after="0" w:line="280" w:lineRule="exact"/>
        <w:jc w:val="both"/>
        <w:rPr>
          <w:rFonts w:ascii="Times New Roman" w:eastAsia="Times New Roman" w:hAnsi="Times New Roman" w:cs="Times New Roman"/>
          <w:b/>
          <w:sz w:val="24"/>
          <w:szCs w:val="24"/>
          <w:lang w:val="en-GB"/>
        </w:rPr>
      </w:pPr>
    </w:p>
    <w:p w14:paraId="774D380E" w14:textId="77777777" w:rsidR="00BE493B" w:rsidRPr="000A4369" w:rsidRDefault="00BE493B" w:rsidP="00BE493B">
      <w:pPr>
        <w:spacing w:after="0" w:line="280" w:lineRule="exact"/>
        <w:jc w:val="both"/>
        <w:rPr>
          <w:rFonts w:ascii="Times New Roman" w:eastAsia="Times New Roman" w:hAnsi="Times New Roman" w:cs="Times New Roman"/>
          <w:b/>
          <w:sz w:val="24"/>
          <w:szCs w:val="24"/>
          <w:lang w:val="en-GB"/>
        </w:rPr>
      </w:pPr>
    </w:p>
    <w:p w14:paraId="686C6C6A" w14:textId="77777777" w:rsidR="00BE493B" w:rsidRPr="000A4369" w:rsidRDefault="00BE493B" w:rsidP="00BE493B">
      <w:pPr>
        <w:pStyle w:val="ListParagraph"/>
        <w:numPr>
          <w:ilvl w:val="0"/>
          <w:numId w:val="15"/>
        </w:numPr>
        <w:spacing w:after="0" w:line="280" w:lineRule="exact"/>
        <w:jc w:val="both"/>
        <w:rPr>
          <w:rFonts w:ascii="Times New Roman" w:eastAsia="Times New Roman" w:hAnsi="Times New Roman" w:cs="Times New Roman"/>
          <w:sz w:val="24"/>
          <w:szCs w:val="24"/>
          <w:lang w:val="en-GB"/>
        </w:rPr>
      </w:pPr>
      <w:r w:rsidRPr="000A4369">
        <w:rPr>
          <w:rFonts w:ascii="Times New Roman" w:eastAsia="Times New Roman" w:hAnsi="Times New Roman" w:cs="Times New Roman"/>
          <w:sz w:val="24"/>
          <w:szCs w:val="24"/>
          <w:lang w:val="en-GB"/>
        </w:rPr>
        <w:t>MISA’s annual performance targets, as presented to the Committee did not seem to translate into tangible outputs on the ground. The entity should consider a more practical way of measuring the impact of its work.</w:t>
      </w:r>
    </w:p>
    <w:p w14:paraId="22881E1D" w14:textId="77777777" w:rsidR="00BE493B" w:rsidRPr="000A4369" w:rsidRDefault="00BE493B" w:rsidP="00BE493B">
      <w:pPr>
        <w:pStyle w:val="ListParagraph"/>
        <w:spacing w:after="0" w:line="280" w:lineRule="exact"/>
        <w:jc w:val="both"/>
        <w:rPr>
          <w:rFonts w:ascii="Times New Roman" w:eastAsia="Times New Roman" w:hAnsi="Times New Roman" w:cs="Times New Roman"/>
          <w:sz w:val="24"/>
          <w:szCs w:val="24"/>
          <w:lang w:val="en-GB"/>
        </w:rPr>
      </w:pPr>
    </w:p>
    <w:p w14:paraId="5AF7FED3" w14:textId="77777777" w:rsidR="00BE493B" w:rsidRPr="000A4369" w:rsidRDefault="00BE493B" w:rsidP="003D1A80">
      <w:pPr>
        <w:pStyle w:val="ListParagraph"/>
        <w:numPr>
          <w:ilvl w:val="0"/>
          <w:numId w:val="15"/>
        </w:numPr>
        <w:spacing w:after="0" w:line="280" w:lineRule="exact"/>
        <w:jc w:val="both"/>
        <w:rPr>
          <w:rFonts w:ascii="Times New Roman" w:eastAsia="Times New Roman" w:hAnsi="Times New Roman" w:cs="Times New Roman"/>
          <w:sz w:val="24"/>
          <w:szCs w:val="24"/>
          <w:lang w:val="en-GB"/>
        </w:rPr>
      </w:pPr>
      <w:r w:rsidRPr="000A4369">
        <w:rPr>
          <w:rFonts w:ascii="Times New Roman" w:eastAsia="Times New Roman" w:hAnsi="Times New Roman" w:cs="Times New Roman"/>
          <w:sz w:val="24"/>
          <w:szCs w:val="24"/>
          <w:lang w:val="en-GB"/>
        </w:rPr>
        <w:t>The Department of Cooperative Governance should submit to the Portfolio Committee an audit action plan to address the issues raised i</w:t>
      </w:r>
      <w:r w:rsidR="004C615B" w:rsidRPr="000A4369">
        <w:rPr>
          <w:rFonts w:ascii="Times New Roman" w:eastAsia="Times New Roman" w:hAnsi="Times New Roman" w:cs="Times New Roman"/>
          <w:sz w:val="24"/>
          <w:szCs w:val="24"/>
          <w:lang w:val="en-GB"/>
        </w:rPr>
        <w:t xml:space="preserve">n the disclaimed audit opinion, including the tangible progress made thus far. </w:t>
      </w:r>
    </w:p>
    <w:p w14:paraId="76F7B8A5" w14:textId="77777777" w:rsidR="00BE493B" w:rsidRPr="000A4369" w:rsidRDefault="00BE493B" w:rsidP="00BE493B">
      <w:pPr>
        <w:pStyle w:val="ListParagraph"/>
        <w:rPr>
          <w:rFonts w:ascii="Times New Roman" w:eastAsia="Times New Roman" w:hAnsi="Times New Roman" w:cs="Times New Roman"/>
          <w:sz w:val="24"/>
          <w:szCs w:val="24"/>
          <w:lang w:val="en-GB"/>
        </w:rPr>
      </w:pPr>
    </w:p>
    <w:p w14:paraId="18738389" w14:textId="77777777" w:rsidR="00BE493B" w:rsidRPr="000A4369" w:rsidRDefault="00BE493B" w:rsidP="00BE493B">
      <w:pPr>
        <w:pStyle w:val="ListParagraph"/>
        <w:numPr>
          <w:ilvl w:val="0"/>
          <w:numId w:val="15"/>
        </w:numPr>
        <w:spacing w:after="0" w:line="280" w:lineRule="exact"/>
        <w:jc w:val="both"/>
        <w:rPr>
          <w:rFonts w:ascii="Times New Roman" w:eastAsia="Times New Roman" w:hAnsi="Times New Roman" w:cs="Times New Roman"/>
          <w:sz w:val="24"/>
          <w:szCs w:val="24"/>
          <w:lang w:val="en-GB"/>
        </w:rPr>
      </w:pPr>
      <w:r w:rsidRPr="000A4369">
        <w:rPr>
          <w:rFonts w:ascii="Times New Roman" w:eastAsia="Times New Roman" w:hAnsi="Times New Roman" w:cs="Times New Roman"/>
          <w:sz w:val="24"/>
          <w:szCs w:val="24"/>
          <w:lang w:val="en-GB"/>
        </w:rPr>
        <w:t xml:space="preserve">There are reports that some individuals implicated in the unlawful deposit of municipal funds in the VBS Mutual Bank received golden handshakes, while the unrecovered funds negatively affected service delivery, especially in respect of water. The Department of Cooperative Governance should prepare a briefing on the consequences for those implicated, and the Portfolio Committee should consider conducting oversight to the affected municipalities. </w:t>
      </w:r>
    </w:p>
    <w:p w14:paraId="2289E055" w14:textId="77777777" w:rsidR="00BE493B" w:rsidRPr="000A4369" w:rsidRDefault="00BE493B" w:rsidP="00BE493B">
      <w:pPr>
        <w:pStyle w:val="ListParagraph"/>
        <w:rPr>
          <w:rFonts w:ascii="Times New Roman" w:eastAsia="Times New Roman" w:hAnsi="Times New Roman" w:cs="Times New Roman"/>
          <w:sz w:val="24"/>
          <w:szCs w:val="24"/>
          <w:lang w:val="en-GB"/>
        </w:rPr>
      </w:pPr>
    </w:p>
    <w:p w14:paraId="1E6FF43F" w14:textId="77777777" w:rsidR="00BE493B" w:rsidRPr="000A4369" w:rsidRDefault="00BE493B" w:rsidP="00BE493B">
      <w:pPr>
        <w:pStyle w:val="ListParagraph"/>
        <w:numPr>
          <w:ilvl w:val="0"/>
          <w:numId w:val="15"/>
        </w:numPr>
        <w:spacing w:after="0" w:line="280" w:lineRule="exact"/>
        <w:jc w:val="both"/>
        <w:rPr>
          <w:rFonts w:ascii="Times New Roman" w:eastAsia="Times New Roman" w:hAnsi="Times New Roman" w:cs="Times New Roman"/>
          <w:sz w:val="24"/>
          <w:szCs w:val="24"/>
          <w:lang w:val="en-GB"/>
        </w:rPr>
      </w:pPr>
      <w:r w:rsidRPr="000A4369">
        <w:rPr>
          <w:rFonts w:ascii="Times New Roman" w:eastAsia="Times New Roman" w:hAnsi="Times New Roman" w:cs="Times New Roman"/>
          <w:sz w:val="24"/>
          <w:szCs w:val="24"/>
          <w:lang w:val="en-GB"/>
        </w:rPr>
        <w:t>The Portfolio Committee should insist on perusing the quarterly reports of departments and entities on a regular basis in order to avoid reacting to issues only towards the end of the financial year when it is too late to correct problems.</w:t>
      </w:r>
    </w:p>
    <w:p w14:paraId="47F9E6C8" w14:textId="77777777" w:rsidR="003D7B34" w:rsidRPr="000A4369" w:rsidRDefault="003D7B34" w:rsidP="003D7B34">
      <w:pPr>
        <w:pStyle w:val="ListParagraph"/>
        <w:rPr>
          <w:rFonts w:ascii="Times New Roman" w:eastAsia="Times New Roman" w:hAnsi="Times New Roman" w:cs="Times New Roman"/>
          <w:sz w:val="24"/>
          <w:szCs w:val="24"/>
          <w:lang w:val="en-GB"/>
        </w:rPr>
      </w:pPr>
    </w:p>
    <w:p w14:paraId="591774F3" w14:textId="77777777" w:rsidR="003D7B34" w:rsidRPr="000A4369" w:rsidRDefault="00D20FBF" w:rsidP="003D7B34">
      <w:pPr>
        <w:pStyle w:val="ListParagraph"/>
        <w:numPr>
          <w:ilvl w:val="0"/>
          <w:numId w:val="15"/>
        </w:numPr>
        <w:spacing w:after="0" w:line="280" w:lineRule="exact"/>
        <w:jc w:val="both"/>
        <w:rPr>
          <w:rFonts w:ascii="Times New Roman" w:eastAsia="Times New Roman" w:hAnsi="Times New Roman" w:cs="Times New Roman"/>
          <w:sz w:val="24"/>
          <w:szCs w:val="24"/>
          <w:lang w:val="en-GB"/>
        </w:rPr>
      </w:pPr>
      <w:r w:rsidRPr="000A4369">
        <w:rPr>
          <w:rFonts w:ascii="Times New Roman" w:eastAsia="Times New Roman" w:hAnsi="Times New Roman" w:cs="Times New Roman"/>
          <w:sz w:val="24"/>
          <w:szCs w:val="24"/>
          <w:lang w:val="en-GB"/>
        </w:rPr>
        <w:t>To minimise disputes over</w:t>
      </w:r>
      <w:r w:rsidR="00837F29" w:rsidRPr="000A4369">
        <w:rPr>
          <w:rFonts w:ascii="Times New Roman" w:eastAsia="Times New Roman" w:hAnsi="Times New Roman" w:cs="Times New Roman"/>
          <w:sz w:val="24"/>
          <w:szCs w:val="24"/>
          <w:lang w:val="en-GB"/>
        </w:rPr>
        <w:t xml:space="preserve"> municipal</w:t>
      </w:r>
      <w:r w:rsidRPr="000A4369">
        <w:rPr>
          <w:rFonts w:ascii="Times New Roman" w:eastAsia="Times New Roman" w:hAnsi="Times New Roman" w:cs="Times New Roman"/>
          <w:sz w:val="24"/>
          <w:szCs w:val="24"/>
          <w:lang w:val="en-GB"/>
        </w:rPr>
        <w:t xml:space="preserve"> boundary changes, the MDB should improve its regional footprint, and its consultation processes including outreach and field research programmes. </w:t>
      </w:r>
    </w:p>
    <w:p w14:paraId="73EE7680" w14:textId="77777777" w:rsidR="00BD062A" w:rsidRPr="000A4369" w:rsidRDefault="00BD062A" w:rsidP="00EE1827">
      <w:pPr>
        <w:spacing w:after="0" w:line="280" w:lineRule="exact"/>
        <w:jc w:val="both"/>
        <w:rPr>
          <w:rFonts w:ascii="Times New Roman" w:eastAsia="Times New Roman" w:hAnsi="Times New Roman" w:cs="Times New Roman"/>
          <w:sz w:val="24"/>
          <w:szCs w:val="24"/>
          <w:lang w:val="en-GB"/>
        </w:rPr>
      </w:pPr>
    </w:p>
    <w:p w14:paraId="1E44FFBE" w14:textId="77777777" w:rsidR="00BD062A" w:rsidRPr="000A4369" w:rsidRDefault="00BD062A" w:rsidP="00BD062A">
      <w:pPr>
        <w:pStyle w:val="ListParagraph"/>
        <w:numPr>
          <w:ilvl w:val="0"/>
          <w:numId w:val="15"/>
        </w:numPr>
        <w:spacing w:after="0" w:line="280" w:lineRule="exact"/>
        <w:jc w:val="both"/>
        <w:rPr>
          <w:rFonts w:ascii="Times New Roman" w:eastAsia="Times New Roman" w:hAnsi="Times New Roman" w:cs="Times New Roman"/>
          <w:sz w:val="24"/>
          <w:szCs w:val="24"/>
          <w:lang w:val="en-GB"/>
        </w:rPr>
      </w:pPr>
      <w:r w:rsidRPr="000A4369">
        <w:rPr>
          <w:rFonts w:ascii="Times New Roman" w:eastAsia="Times New Roman" w:hAnsi="Times New Roman" w:cs="Times New Roman"/>
          <w:sz w:val="24"/>
          <w:szCs w:val="24"/>
          <w:lang w:val="en-GB"/>
        </w:rPr>
        <w:t>The CRL Rights</w:t>
      </w:r>
      <w:r w:rsidR="00D80D06" w:rsidRPr="000A4369">
        <w:rPr>
          <w:rFonts w:ascii="Times New Roman" w:eastAsia="Times New Roman" w:hAnsi="Times New Roman" w:cs="Times New Roman"/>
          <w:sz w:val="24"/>
          <w:szCs w:val="24"/>
          <w:lang w:val="en-GB"/>
        </w:rPr>
        <w:t xml:space="preserve"> Commission</w:t>
      </w:r>
      <w:r w:rsidRPr="000A4369">
        <w:rPr>
          <w:rFonts w:ascii="Times New Roman" w:eastAsia="Times New Roman" w:hAnsi="Times New Roman" w:cs="Times New Roman"/>
          <w:sz w:val="24"/>
          <w:szCs w:val="24"/>
          <w:lang w:val="en-GB"/>
        </w:rPr>
        <w:t xml:space="preserve"> should broaden its project on reviving diminishing languages to include more languages that are in danger of extinction. </w:t>
      </w:r>
    </w:p>
    <w:p w14:paraId="5813DD96" w14:textId="77777777" w:rsidR="00115DC0" w:rsidRPr="000A4369" w:rsidRDefault="00115DC0" w:rsidP="00115DC0">
      <w:pPr>
        <w:pStyle w:val="ListParagraph"/>
        <w:rPr>
          <w:rFonts w:ascii="Times New Roman" w:eastAsia="Times New Roman" w:hAnsi="Times New Roman" w:cs="Times New Roman"/>
          <w:sz w:val="24"/>
          <w:szCs w:val="24"/>
          <w:lang w:val="en-GB"/>
        </w:rPr>
      </w:pPr>
    </w:p>
    <w:p w14:paraId="0D289ADD" w14:textId="77777777" w:rsidR="00115DC0" w:rsidRPr="000A4369" w:rsidRDefault="00115DC0" w:rsidP="00BD062A">
      <w:pPr>
        <w:pStyle w:val="ListParagraph"/>
        <w:numPr>
          <w:ilvl w:val="0"/>
          <w:numId w:val="15"/>
        </w:numPr>
        <w:spacing w:after="0" w:line="280" w:lineRule="exact"/>
        <w:jc w:val="both"/>
        <w:rPr>
          <w:rFonts w:ascii="Times New Roman" w:eastAsia="Times New Roman" w:hAnsi="Times New Roman" w:cs="Times New Roman"/>
          <w:sz w:val="24"/>
          <w:szCs w:val="24"/>
          <w:lang w:val="en-GB"/>
        </w:rPr>
      </w:pPr>
      <w:r w:rsidRPr="000A4369">
        <w:rPr>
          <w:rFonts w:ascii="Times New Roman" w:eastAsia="Times New Roman" w:hAnsi="Times New Roman" w:cs="Times New Roman"/>
          <w:sz w:val="24"/>
          <w:szCs w:val="24"/>
          <w:lang w:val="en-GB"/>
        </w:rPr>
        <w:t xml:space="preserve">The Commission should accelerate its capacity building on alternative dispute resolutions for cultural, religious, and linguistic communities to ensure diffusion of cultural, religious and linguistic tensions and to build a cohesive society. </w:t>
      </w:r>
    </w:p>
    <w:p w14:paraId="69C9BBD1" w14:textId="77777777" w:rsidR="00C36BC0" w:rsidRPr="000A4369" w:rsidRDefault="00C36BC0" w:rsidP="00C36BC0">
      <w:pPr>
        <w:pStyle w:val="ListParagraph"/>
        <w:rPr>
          <w:rFonts w:ascii="Times New Roman" w:eastAsia="Times New Roman" w:hAnsi="Times New Roman" w:cs="Times New Roman"/>
          <w:sz w:val="24"/>
          <w:szCs w:val="24"/>
          <w:lang w:val="en-GB"/>
        </w:rPr>
      </w:pPr>
    </w:p>
    <w:p w14:paraId="7B372F38" w14:textId="77777777" w:rsidR="00C36BC0" w:rsidRPr="000A4369" w:rsidRDefault="00C36BC0" w:rsidP="00BD062A">
      <w:pPr>
        <w:pStyle w:val="ListParagraph"/>
        <w:numPr>
          <w:ilvl w:val="0"/>
          <w:numId w:val="15"/>
        </w:numPr>
        <w:spacing w:after="0" w:line="280" w:lineRule="exact"/>
        <w:jc w:val="both"/>
        <w:rPr>
          <w:rFonts w:ascii="Times New Roman" w:eastAsia="Times New Roman" w:hAnsi="Times New Roman" w:cs="Times New Roman"/>
          <w:sz w:val="24"/>
          <w:szCs w:val="24"/>
          <w:lang w:val="en-GB"/>
        </w:rPr>
      </w:pPr>
      <w:r w:rsidRPr="000A4369">
        <w:rPr>
          <w:rFonts w:ascii="Times New Roman" w:eastAsia="Times New Roman" w:hAnsi="Times New Roman" w:cs="Times New Roman"/>
          <w:sz w:val="24"/>
          <w:szCs w:val="24"/>
          <w:lang w:val="en-GB"/>
        </w:rPr>
        <w:t xml:space="preserve">SALGA should improve its support in the implementation of the SPLUMA to foster cooperation between traditional leaders and municipalities in respect of the implementation of the legislation. </w:t>
      </w:r>
    </w:p>
    <w:p w14:paraId="0F1B5F93" w14:textId="77777777" w:rsidR="00C36BC0" w:rsidRPr="000A4369" w:rsidRDefault="00C36BC0" w:rsidP="00C36BC0">
      <w:pPr>
        <w:pStyle w:val="ListParagraph"/>
        <w:rPr>
          <w:rFonts w:ascii="Times New Roman" w:eastAsia="Times New Roman" w:hAnsi="Times New Roman" w:cs="Times New Roman"/>
          <w:sz w:val="24"/>
          <w:szCs w:val="24"/>
          <w:lang w:val="en-GB"/>
        </w:rPr>
      </w:pPr>
    </w:p>
    <w:p w14:paraId="282E30FE" w14:textId="77777777" w:rsidR="00C36BC0" w:rsidRPr="000A4369" w:rsidRDefault="00C36BC0" w:rsidP="00BD062A">
      <w:pPr>
        <w:pStyle w:val="ListParagraph"/>
        <w:numPr>
          <w:ilvl w:val="0"/>
          <w:numId w:val="15"/>
        </w:numPr>
        <w:spacing w:after="0" w:line="280" w:lineRule="exact"/>
        <w:jc w:val="both"/>
        <w:rPr>
          <w:rFonts w:ascii="Times New Roman" w:eastAsia="Times New Roman" w:hAnsi="Times New Roman" w:cs="Times New Roman"/>
          <w:sz w:val="24"/>
          <w:szCs w:val="24"/>
          <w:lang w:val="en-GB"/>
        </w:rPr>
      </w:pPr>
      <w:r w:rsidRPr="000A4369">
        <w:rPr>
          <w:rFonts w:ascii="Times New Roman" w:eastAsia="Times New Roman" w:hAnsi="Times New Roman" w:cs="Times New Roman"/>
          <w:sz w:val="24"/>
          <w:szCs w:val="24"/>
          <w:lang w:val="en-GB"/>
        </w:rPr>
        <w:t>The Inter-ministerial Task Team appointed to resolve the municipal debt crisis should report to the Portfolio Committee on progress made thus far.</w:t>
      </w:r>
    </w:p>
    <w:p w14:paraId="0F1A48A8" w14:textId="77777777" w:rsidR="00FA2F00" w:rsidRPr="000A4369" w:rsidRDefault="00FA2F00" w:rsidP="00FA2F00">
      <w:pPr>
        <w:pStyle w:val="ListParagraph"/>
        <w:rPr>
          <w:rFonts w:ascii="Times New Roman" w:eastAsia="Times New Roman" w:hAnsi="Times New Roman" w:cs="Times New Roman"/>
          <w:sz w:val="24"/>
          <w:szCs w:val="24"/>
          <w:lang w:val="en-GB"/>
        </w:rPr>
      </w:pPr>
    </w:p>
    <w:p w14:paraId="7E621A56" w14:textId="77777777" w:rsidR="00FA2F00" w:rsidRPr="000A4369" w:rsidRDefault="00FA2F00" w:rsidP="00BD062A">
      <w:pPr>
        <w:pStyle w:val="ListParagraph"/>
        <w:numPr>
          <w:ilvl w:val="0"/>
          <w:numId w:val="15"/>
        </w:numPr>
        <w:spacing w:after="0" w:line="280" w:lineRule="exact"/>
        <w:jc w:val="both"/>
        <w:rPr>
          <w:rFonts w:ascii="Times New Roman" w:eastAsia="Times New Roman" w:hAnsi="Times New Roman" w:cs="Times New Roman"/>
          <w:sz w:val="24"/>
          <w:szCs w:val="24"/>
          <w:lang w:val="en-GB"/>
        </w:rPr>
      </w:pPr>
      <w:r w:rsidRPr="000A4369">
        <w:rPr>
          <w:rFonts w:ascii="Times New Roman" w:eastAsia="Times New Roman" w:hAnsi="Times New Roman" w:cs="Times New Roman"/>
          <w:sz w:val="24"/>
          <w:szCs w:val="24"/>
          <w:lang w:val="en-GB"/>
        </w:rPr>
        <w:t>The Department of Cooperative Governance should develop a</w:t>
      </w:r>
      <w:r w:rsidR="00362B0E" w:rsidRPr="000A4369">
        <w:rPr>
          <w:rFonts w:ascii="Times New Roman" w:eastAsia="Times New Roman" w:hAnsi="Times New Roman" w:cs="Times New Roman"/>
          <w:sz w:val="24"/>
          <w:szCs w:val="24"/>
          <w:lang w:val="en-GB"/>
        </w:rPr>
        <w:t>n action</w:t>
      </w:r>
      <w:r w:rsidRPr="000A4369">
        <w:rPr>
          <w:rFonts w:ascii="Times New Roman" w:eastAsia="Times New Roman" w:hAnsi="Times New Roman" w:cs="Times New Roman"/>
          <w:sz w:val="24"/>
          <w:szCs w:val="24"/>
          <w:lang w:val="en-GB"/>
        </w:rPr>
        <w:t xml:space="preserve"> plan to assist in dealing with the increasing number of municipalities with poor audit outcomes and report to the Committee </w:t>
      </w:r>
      <w:r w:rsidR="003C1F14" w:rsidRPr="000A4369">
        <w:rPr>
          <w:rFonts w:ascii="Times New Roman" w:eastAsia="Times New Roman" w:hAnsi="Times New Roman" w:cs="Times New Roman"/>
          <w:sz w:val="24"/>
          <w:szCs w:val="24"/>
          <w:lang w:val="en-GB"/>
        </w:rPr>
        <w:t xml:space="preserve">on progress </w:t>
      </w:r>
      <w:r w:rsidRPr="000A4369">
        <w:rPr>
          <w:rFonts w:ascii="Times New Roman" w:eastAsia="Times New Roman" w:hAnsi="Times New Roman" w:cs="Times New Roman"/>
          <w:sz w:val="24"/>
          <w:szCs w:val="24"/>
          <w:lang w:val="en-GB"/>
        </w:rPr>
        <w:t xml:space="preserve">in this regard. </w:t>
      </w:r>
    </w:p>
    <w:p w14:paraId="1499561F" w14:textId="77777777" w:rsidR="00BD062A" w:rsidRPr="000A4369" w:rsidRDefault="00BD062A" w:rsidP="00BD062A">
      <w:pPr>
        <w:pStyle w:val="ListParagraph"/>
        <w:spacing w:after="0" w:line="280" w:lineRule="exact"/>
        <w:jc w:val="both"/>
        <w:rPr>
          <w:rFonts w:ascii="Times New Roman" w:eastAsia="Times New Roman" w:hAnsi="Times New Roman" w:cs="Times New Roman"/>
          <w:sz w:val="24"/>
          <w:szCs w:val="24"/>
          <w:lang w:val="en-GB"/>
        </w:rPr>
      </w:pPr>
    </w:p>
    <w:p w14:paraId="5989A6EC" w14:textId="77777777" w:rsidR="00A32202" w:rsidRPr="000A4369" w:rsidRDefault="007F1C6D" w:rsidP="0095482B">
      <w:pPr>
        <w:spacing w:after="0" w:line="360" w:lineRule="auto"/>
        <w:jc w:val="both"/>
        <w:rPr>
          <w:rFonts w:ascii="Times New Roman" w:eastAsia="Times New Roman" w:hAnsi="Times New Roman" w:cs="Times New Roman"/>
          <w:b/>
          <w:sz w:val="24"/>
          <w:szCs w:val="24"/>
          <w:lang w:val="en-GB"/>
        </w:rPr>
      </w:pPr>
      <w:r w:rsidRPr="000A4369">
        <w:rPr>
          <w:rFonts w:ascii="Times New Roman" w:eastAsia="Times New Roman" w:hAnsi="Times New Roman" w:cs="Times New Roman"/>
          <w:b/>
          <w:sz w:val="24"/>
          <w:szCs w:val="24"/>
          <w:lang w:val="en-GB"/>
        </w:rPr>
        <w:br/>
        <w:t>Report to be considered.</w:t>
      </w:r>
    </w:p>
    <w:p w14:paraId="10D58667" w14:textId="77777777" w:rsidR="007F1C6D" w:rsidRPr="000A4369" w:rsidRDefault="007F1C6D" w:rsidP="0095482B">
      <w:pPr>
        <w:spacing w:after="0" w:line="360" w:lineRule="auto"/>
        <w:jc w:val="both"/>
        <w:rPr>
          <w:rFonts w:ascii="Times New Roman" w:eastAsia="Times New Roman" w:hAnsi="Times New Roman" w:cs="Times New Roman"/>
          <w:b/>
          <w:sz w:val="24"/>
          <w:szCs w:val="24"/>
          <w:lang w:val="en-GB"/>
        </w:rPr>
      </w:pPr>
    </w:p>
    <w:p w14:paraId="6A91C8A6" w14:textId="77777777" w:rsidR="007F1C6D" w:rsidRPr="000A4369" w:rsidRDefault="007F1C6D" w:rsidP="0095482B">
      <w:pPr>
        <w:spacing w:after="0" w:line="360" w:lineRule="auto"/>
        <w:jc w:val="both"/>
        <w:rPr>
          <w:rFonts w:ascii="Times New Roman" w:eastAsia="Times New Roman" w:hAnsi="Times New Roman" w:cs="Times New Roman"/>
          <w:b/>
          <w:sz w:val="24"/>
          <w:szCs w:val="24"/>
          <w:lang w:val="en-GB"/>
        </w:rPr>
      </w:pPr>
    </w:p>
    <w:sectPr w:rsidR="007F1C6D" w:rsidRPr="000A436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DB0DE" w14:textId="77777777" w:rsidR="00342CBB" w:rsidRDefault="00342CBB" w:rsidP="000C5A3A">
      <w:pPr>
        <w:spacing w:after="0" w:line="240" w:lineRule="auto"/>
      </w:pPr>
      <w:r>
        <w:separator/>
      </w:r>
    </w:p>
  </w:endnote>
  <w:endnote w:type="continuationSeparator" w:id="0">
    <w:p w14:paraId="2CD305AC" w14:textId="77777777" w:rsidR="00342CBB" w:rsidRDefault="00342CBB" w:rsidP="000C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910289"/>
      <w:docPartObj>
        <w:docPartGallery w:val="Page Numbers (Bottom of Page)"/>
        <w:docPartUnique/>
      </w:docPartObj>
    </w:sdtPr>
    <w:sdtEndPr>
      <w:rPr>
        <w:noProof/>
      </w:rPr>
    </w:sdtEndPr>
    <w:sdtContent>
      <w:p w14:paraId="6969E408" w14:textId="77777777" w:rsidR="002D00EA" w:rsidRDefault="002D00EA">
        <w:pPr>
          <w:pStyle w:val="Footer"/>
          <w:jc w:val="center"/>
        </w:pPr>
        <w:r>
          <w:fldChar w:fldCharType="begin"/>
        </w:r>
        <w:r>
          <w:instrText xml:space="preserve"> PAGE   \* MERGEFORMAT </w:instrText>
        </w:r>
        <w:r>
          <w:fldChar w:fldCharType="separate"/>
        </w:r>
        <w:r w:rsidR="00C3176F">
          <w:rPr>
            <w:noProof/>
          </w:rPr>
          <w:t>1</w:t>
        </w:r>
        <w:r>
          <w:rPr>
            <w:noProof/>
          </w:rPr>
          <w:fldChar w:fldCharType="end"/>
        </w:r>
      </w:p>
    </w:sdtContent>
  </w:sdt>
  <w:p w14:paraId="1E5DF7FA" w14:textId="77777777" w:rsidR="002D00EA" w:rsidRDefault="002D0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D9238" w14:textId="77777777" w:rsidR="00342CBB" w:rsidRDefault="00342CBB" w:rsidP="000C5A3A">
      <w:pPr>
        <w:spacing w:after="0" w:line="240" w:lineRule="auto"/>
      </w:pPr>
      <w:r>
        <w:separator/>
      </w:r>
    </w:p>
  </w:footnote>
  <w:footnote w:type="continuationSeparator" w:id="0">
    <w:p w14:paraId="162CCEF3" w14:textId="77777777" w:rsidR="00342CBB" w:rsidRDefault="00342CBB" w:rsidP="000C5A3A">
      <w:pPr>
        <w:spacing w:after="0" w:line="240" w:lineRule="auto"/>
      </w:pPr>
      <w:r>
        <w:continuationSeparator/>
      </w:r>
    </w:p>
  </w:footnote>
  <w:footnote w:id="1">
    <w:p w14:paraId="756DF62F" w14:textId="77777777" w:rsidR="002D00EA" w:rsidRDefault="002D00EA" w:rsidP="00741565">
      <w:pPr>
        <w:pStyle w:val="FootnoteText"/>
      </w:pPr>
      <w:r>
        <w:rPr>
          <w:rStyle w:val="FootnoteReference"/>
        </w:rPr>
        <w:footnoteRef/>
      </w:r>
      <w:r>
        <w:t xml:space="preserve"> CoGTA (2018).</w:t>
      </w:r>
    </w:p>
  </w:footnote>
  <w:footnote w:id="2">
    <w:p w14:paraId="168A702C" w14:textId="77777777" w:rsidR="002D00EA" w:rsidRDefault="002D00EA" w:rsidP="007E610B">
      <w:pPr>
        <w:pStyle w:val="FootnoteText"/>
      </w:pPr>
      <w:r>
        <w:rPr>
          <w:rStyle w:val="FootnoteReference"/>
        </w:rPr>
        <w:footnoteRef/>
      </w:r>
      <w:r>
        <w:t xml:space="preserve"> Ibid.</w:t>
      </w:r>
    </w:p>
  </w:footnote>
  <w:footnote w:id="3">
    <w:p w14:paraId="57FE0EA4" w14:textId="77777777" w:rsidR="002D00EA" w:rsidRDefault="002D00EA" w:rsidP="00153F3F">
      <w:pPr>
        <w:pStyle w:val="FootnoteText"/>
      </w:pPr>
      <w:r>
        <w:rPr>
          <w:rStyle w:val="FootnoteReference"/>
        </w:rPr>
        <w:footnoteRef/>
      </w:r>
      <w:r>
        <w:t xml:space="preserve"> SALGA (2018).</w:t>
      </w:r>
    </w:p>
  </w:footnote>
  <w:footnote w:id="4">
    <w:p w14:paraId="48848E6E" w14:textId="77777777" w:rsidR="002D00EA" w:rsidRDefault="002D00EA" w:rsidP="00153F3F">
      <w:pPr>
        <w:pStyle w:val="FootnoteText"/>
      </w:pPr>
      <w:r>
        <w:rPr>
          <w:rStyle w:val="FootnoteReference"/>
        </w:rPr>
        <w:footnoteRef/>
      </w:r>
      <w:r>
        <w:t xml:space="preserve"> FFC (2019).</w:t>
      </w:r>
    </w:p>
  </w:footnote>
  <w:footnote w:id="5">
    <w:p w14:paraId="2058FE89" w14:textId="77777777" w:rsidR="002D00EA" w:rsidRDefault="002D00EA" w:rsidP="007D1B2C">
      <w:pPr>
        <w:pStyle w:val="FootnoteText"/>
      </w:pPr>
      <w:r>
        <w:rPr>
          <w:rStyle w:val="FootnoteReference"/>
        </w:rPr>
        <w:footnoteRef/>
      </w:r>
      <w:r>
        <w:t xml:space="preserve"> Act No. 56 of 2003.</w:t>
      </w:r>
    </w:p>
  </w:footnote>
  <w:footnote w:id="6">
    <w:p w14:paraId="112988D1" w14:textId="77777777" w:rsidR="002D00EA" w:rsidRDefault="002D00EA" w:rsidP="006D11BE">
      <w:pPr>
        <w:pStyle w:val="FootnoteText"/>
      </w:pPr>
      <w:r>
        <w:rPr>
          <w:rStyle w:val="FootnoteReference"/>
        </w:rPr>
        <w:footnoteRef/>
      </w:r>
      <w:r>
        <w:t xml:space="preserve"> National Treasury (2019). </w:t>
      </w:r>
    </w:p>
  </w:footnote>
  <w:footnote w:id="7">
    <w:p w14:paraId="01727280" w14:textId="77777777" w:rsidR="002D00EA" w:rsidRDefault="002D00EA" w:rsidP="00E72AA2">
      <w:pPr>
        <w:pStyle w:val="FootnoteText"/>
      </w:pPr>
      <w:r>
        <w:rPr>
          <w:rStyle w:val="FootnoteReference"/>
        </w:rPr>
        <w:footnoteRef/>
      </w:r>
      <w:r>
        <w:t xml:space="preserve"> The nominal increases/decreases do not consider inflation.</w:t>
      </w:r>
    </w:p>
  </w:footnote>
  <w:footnote w:id="8">
    <w:p w14:paraId="1E9F514C" w14:textId="77777777" w:rsidR="002D00EA" w:rsidRDefault="002D00EA" w:rsidP="00E72AA2">
      <w:pPr>
        <w:pStyle w:val="FootnoteText"/>
      </w:pPr>
      <w:r>
        <w:rPr>
          <w:rStyle w:val="FootnoteReference"/>
        </w:rPr>
        <w:footnoteRef/>
      </w:r>
      <w:r>
        <w:t xml:space="preserve"> The real increases/decreases do consider the effects of inflation.</w:t>
      </w:r>
    </w:p>
  </w:footnote>
  <w:footnote w:id="9">
    <w:p w14:paraId="60FE9E4F" w14:textId="77777777" w:rsidR="002D00EA" w:rsidRDefault="002D00EA" w:rsidP="005479A2">
      <w:pPr>
        <w:pStyle w:val="FootnoteText"/>
      </w:pPr>
      <w:r>
        <w:rPr>
          <w:rStyle w:val="FootnoteReference"/>
        </w:rPr>
        <w:footnoteRef/>
      </w:r>
      <w:r>
        <w:t xml:space="preserve"> National Treasury (2019).</w:t>
      </w:r>
    </w:p>
  </w:footnote>
  <w:footnote w:id="10">
    <w:p w14:paraId="230C2FE7" w14:textId="77777777" w:rsidR="002D00EA" w:rsidRDefault="002D00EA" w:rsidP="005479A2">
      <w:pPr>
        <w:pStyle w:val="FootnoteText"/>
      </w:pPr>
      <w:r>
        <w:rPr>
          <w:rStyle w:val="FootnoteReference"/>
        </w:rPr>
        <w:footnoteRef/>
      </w:r>
      <w:r>
        <w:t xml:space="preserve"> Ibid.</w:t>
      </w:r>
    </w:p>
  </w:footnote>
  <w:footnote w:id="11">
    <w:p w14:paraId="259681FE" w14:textId="77777777" w:rsidR="002D00EA" w:rsidRDefault="002D00EA" w:rsidP="00AA4220">
      <w:pPr>
        <w:pStyle w:val="FootnoteText"/>
      </w:pPr>
      <w:r>
        <w:rPr>
          <w:rStyle w:val="FootnoteReference"/>
        </w:rPr>
        <w:footnoteRef/>
      </w:r>
      <w:r>
        <w:t xml:space="preserve"> National Treasury (2019).</w:t>
      </w:r>
    </w:p>
  </w:footnote>
  <w:footnote w:id="12">
    <w:p w14:paraId="1A05B548" w14:textId="77777777" w:rsidR="002D00EA" w:rsidRDefault="002D00EA" w:rsidP="00202C88">
      <w:pPr>
        <w:pStyle w:val="FootnoteText"/>
      </w:pPr>
      <w:r>
        <w:rPr>
          <w:rStyle w:val="FootnoteReference"/>
        </w:rPr>
        <w:footnoteRef/>
      </w:r>
      <w:r>
        <w:t xml:space="preserve"> National Treasury (2019).</w:t>
      </w:r>
    </w:p>
  </w:footnote>
  <w:footnote w:id="13">
    <w:p w14:paraId="680853FC" w14:textId="77777777" w:rsidR="002D00EA" w:rsidRDefault="002D00EA" w:rsidP="00661393">
      <w:pPr>
        <w:pStyle w:val="FootnoteText"/>
      </w:pPr>
      <w:r>
        <w:rPr>
          <w:rStyle w:val="FootnoteReference"/>
        </w:rPr>
        <w:footnoteRef/>
      </w:r>
      <w:r>
        <w:t xml:space="preserve"> National Treasury (2019).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FFB"/>
    <w:multiLevelType w:val="multilevel"/>
    <w:tmpl w:val="A4CE267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046D70"/>
    <w:multiLevelType w:val="hybridMultilevel"/>
    <w:tmpl w:val="18C0F5D6"/>
    <w:lvl w:ilvl="0" w:tplc="8736CCBE">
      <w:start w:val="9"/>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46642F"/>
    <w:multiLevelType w:val="hybridMultilevel"/>
    <w:tmpl w:val="587617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907A9F"/>
    <w:multiLevelType w:val="hybridMultilevel"/>
    <w:tmpl w:val="25FA5B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220996"/>
    <w:multiLevelType w:val="hybridMultilevel"/>
    <w:tmpl w:val="86C485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6C2547"/>
    <w:multiLevelType w:val="hybridMultilevel"/>
    <w:tmpl w:val="964EB2E8"/>
    <w:lvl w:ilvl="0" w:tplc="859E72A2">
      <w:start w:val="1"/>
      <w:numFmt w:val="lowerRoman"/>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
    <w:nsid w:val="10CC1735"/>
    <w:multiLevelType w:val="multilevel"/>
    <w:tmpl w:val="B5CAB19A"/>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nsid w:val="11E10696"/>
    <w:multiLevelType w:val="hybridMultilevel"/>
    <w:tmpl w:val="787838D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6573BDC"/>
    <w:multiLevelType w:val="hybridMultilevel"/>
    <w:tmpl w:val="4ED6EE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E3A5886"/>
    <w:multiLevelType w:val="hybridMultilevel"/>
    <w:tmpl w:val="A4165EE8"/>
    <w:lvl w:ilvl="0" w:tplc="7DEAEA10">
      <w:start w:val="1"/>
      <w:numFmt w:val="lowerRoman"/>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65A0ECD"/>
    <w:multiLevelType w:val="multilevel"/>
    <w:tmpl w:val="3B56E3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9A26967"/>
    <w:multiLevelType w:val="multilevel"/>
    <w:tmpl w:val="C302B9A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9E204A7"/>
    <w:multiLevelType w:val="hybridMultilevel"/>
    <w:tmpl w:val="0E24C8F4"/>
    <w:lvl w:ilvl="0" w:tplc="8F46E3DC">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E4E1181"/>
    <w:multiLevelType w:val="hybridMultilevel"/>
    <w:tmpl w:val="8ED616E8"/>
    <w:lvl w:ilvl="0" w:tplc="859E72A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3440397"/>
    <w:multiLevelType w:val="hybridMultilevel"/>
    <w:tmpl w:val="11A8A606"/>
    <w:lvl w:ilvl="0" w:tplc="4E683FFC">
      <w:start w:val="6"/>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37C4FC5"/>
    <w:multiLevelType w:val="hybridMultilevel"/>
    <w:tmpl w:val="840E9372"/>
    <w:lvl w:ilvl="0" w:tplc="7652A488">
      <w:start w:val="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991248D"/>
    <w:multiLevelType w:val="hybridMultilevel"/>
    <w:tmpl w:val="926CD1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EF5463"/>
    <w:multiLevelType w:val="multilevel"/>
    <w:tmpl w:val="13DAEF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3F6A0A33"/>
    <w:multiLevelType w:val="hybridMultilevel"/>
    <w:tmpl w:val="C674E0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FF626F"/>
    <w:multiLevelType w:val="hybridMultilevel"/>
    <w:tmpl w:val="ADD206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21792F"/>
    <w:multiLevelType w:val="hybridMultilevel"/>
    <w:tmpl w:val="5082DB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5087D53"/>
    <w:multiLevelType w:val="hybridMultilevel"/>
    <w:tmpl w:val="2B720F70"/>
    <w:lvl w:ilvl="0" w:tplc="859E72A2">
      <w:start w:val="1"/>
      <w:numFmt w:val="lowerRoman"/>
      <w:lvlText w:val="(%1)"/>
      <w:lvlJc w:val="left"/>
      <w:pPr>
        <w:ind w:left="1056" w:hanging="720"/>
      </w:pPr>
      <w:rPr>
        <w:rFonts w:hint="default"/>
      </w:rPr>
    </w:lvl>
    <w:lvl w:ilvl="1" w:tplc="1C090019" w:tentative="1">
      <w:start w:val="1"/>
      <w:numFmt w:val="lowerLetter"/>
      <w:lvlText w:val="%2."/>
      <w:lvlJc w:val="left"/>
      <w:pPr>
        <w:ind w:left="1416" w:hanging="360"/>
      </w:pPr>
    </w:lvl>
    <w:lvl w:ilvl="2" w:tplc="1C09001B" w:tentative="1">
      <w:start w:val="1"/>
      <w:numFmt w:val="lowerRoman"/>
      <w:lvlText w:val="%3."/>
      <w:lvlJc w:val="right"/>
      <w:pPr>
        <w:ind w:left="2136" w:hanging="180"/>
      </w:pPr>
    </w:lvl>
    <w:lvl w:ilvl="3" w:tplc="1C09000F" w:tentative="1">
      <w:start w:val="1"/>
      <w:numFmt w:val="decimal"/>
      <w:lvlText w:val="%4."/>
      <w:lvlJc w:val="left"/>
      <w:pPr>
        <w:ind w:left="2856" w:hanging="360"/>
      </w:pPr>
    </w:lvl>
    <w:lvl w:ilvl="4" w:tplc="1C090019" w:tentative="1">
      <w:start w:val="1"/>
      <w:numFmt w:val="lowerLetter"/>
      <w:lvlText w:val="%5."/>
      <w:lvlJc w:val="left"/>
      <w:pPr>
        <w:ind w:left="3576" w:hanging="360"/>
      </w:pPr>
    </w:lvl>
    <w:lvl w:ilvl="5" w:tplc="1C09001B" w:tentative="1">
      <w:start w:val="1"/>
      <w:numFmt w:val="lowerRoman"/>
      <w:lvlText w:val="%6."/>
      <w:lvlJc w:val="right"/>
      <w:pPr>
        <w:ind w:left="4296" w:hanging="180"/>
      </w:pPr>
    </w:lvl>
    <w:lvl w:ilvl="6" w:tplc="1C09000F" w:tentative="1">
      <w:start w:val="1"/>
      <w:numFmt w:val="decimal"/>
      <w:lvlText w:val="%7."/>
      <w:lvlJc w:val="left"/>
      <w:pPr>
        <w:ind w:left="5016" w:hanging="360"/>
      </w:pPr>
    </w:lvl>
    <w:lvl w:ilvl="7" w:tplc="1C090019" w:tentative="1">
      <w:start w:val="1"/>
      <w:numFmt w:val="lowerLetter"/>
      <w:lvlText w:val="%8."/>
      <w:lvlJc w:val="left"/>
      <w:pPr>
        <w:ind w:left="5736" w:hanging="360"/>
      </w:pPr>
    </w:lvl>
    <w:lvl w:ilvl="8" w:tplc="1C09001B" w:tentative="1">
      <w:start w:val="1"/>
      <w:numFmt w:val="lowerRoman"/>
      <w:lvlText w:val="%9."/>
      <w:lvlJc w:val="right"/>
      <w:pPr>
        <w:ind w:left="6456" w:hanging="180"/>
      </w:pPr>
    </w:lvl>
  </w:abstractNum>
  <w:abstractNum w:abstractNumId="22">
    <w:nsid w:val="461554C9"/>
    <w:multiLevelType w:val="multilevel"/>
    <w:tmpl w:val="B85E7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DA74AA8"/>
    <w:multiLevelType w:val="hybridMultilevel"/>
    <w:tmpl w:val="20ACAD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09101CB"/>
    <w:multiLevelType w:val="hybridMultilevel"/>
    <w:tmpl w:val="20ACAD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0F92295"/>
    <w:multiLevelType w:val="hybridMultilevel"/>
    <w:tmpl w:val="ED5466E6"/>
    <w:lvl w:ilvl="0" w:tplc="859E72A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C447401"/>
    <w:multiLevelType w:val="hybridMultilevel"/>
    <w:tmpl w:val="5C9AF4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E2E5617"/>
    <w:multiLevelType w:val="hybridMultilevel"/>
    <w:tmpl w:val="D8A4867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66A0607A"/>
    <w:multiLevelType w:val="hybridMultilevel"/>
    <w:tmpl w:val="EF9851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7C12783"/>
    <w:multiLevelType w:val="multilevel"/>
    <w:tmpl w:val="02C46EE2"/>
    <w:lvl w:ilvl="0">
      <w:start w:val="4"/>
      <w:numFmt w:val="decimal"/>
      <w:lvlText w:val="%1."/>
      <w:lvlJc w:val="left"/>
      <w:pPr>
        <w:ind w:left="360" w:hanging="36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0">
    <w:nsid w:val="6A2854D4"/>
    <w:multiLevelType w:val="hybridMultilevel"/>
    <w:tmpl w:val="029A0C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C3875FE"/>
    <w:multiLevelType w:val="multilevel"/>
    <w:tmpl w:val="1C09001F"/>
    <w:lvl w:ilvl="0">
      <w:start w:val="1"/>
      <w:numFmt w:val="decimal"/>
      <w:lvlText w:val="%1."/>
      <w:lvlJc w:val="left"/>
      <w:pPr>
        <w:ind w:left="360" w:hanging="360"/>
      </w:pPr>
    </w:lvl>
    <w:lvl w:ilvl="1">
      <w:start w:val="1"/>
      <w:numFmt w:val="decimal"/>
      <w:lvlText w:val="%1.%2."/>
      <w:lvlJc w:val="left"/>
      <w:pPr>
        <w:ind w:left="60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830DA3"/>
    <w:multiLevelType w:val="hybridMultilevel"/>
    <w:tmpl w:val="9DFC63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8"/>
  </w:num>
  <w:num w:numId="2">
    <w:abstractNumId w:val="26"/>
  </w:num>
  <w:num w:numId="3">
    <w:abstractNumId w:val="2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10"/>
  </w:num>
  <w:num w:numId="5">
    <w:abstractNumId w:val="15"/>
  </w:num>
  <w:num w:numId="6">
    <w:abstractNumId w:val="6"/>
  </w:num>
  <w:num w:numId="7">
    <w:abstractNumId w:val="7"/>
  </w:num>
  <w:num w:numId="8">
    <w:abstractNumId w:val="12"/>
  </w:num>
  <w:num w:numId="9">
    <w:abstractNumId w:val="31"/>
  </w:num>
  <w:num w:numId="10">
    <w:abstractNumId w:val="14"/>
  </w:num>
  <w:num w:numId="11">
    <w:abstractNumId w:val="9"/>
  </w:num>
  <w:num w:numId="12">
    <w:abstractNumId w:val="20"/>
  </w:num>
  <w:num w:numId="13">
    <w:abstractNumId w:val="1"/>
  </w:num>
  <w:num w:numId="14">
    <w:abstractNumId w:val="19"/>
  </w:num>
  <w:num w:numId="15">
    <w:abstractNumId w:val="8"/>
  </w:num>
  <w:num w:numId="16">
    <w:abstractNumId w:val="16"/>
  </w:num>
  <w:num w:numId="17">
    <w:abstractNumId w:val="11"/>
  </w:num>
  <w:num w:numId="18">
    <w:abstractNumId w:val="21"/>
  </w:num>
  <w:num w:numId="19">
    <w:abstractNumId w:val="5"/>
  </w:num>
  <w:num w:numId="20">
    <w:abstractNumId w:val="25"/>
  </w:num>
  <w:num w:numId="21">
    <w:abstractNumId w:val="13"/>
  </w:num>
  <w:num w:numId="22">
    <w:abstractNumId w:val="2"/>
  </w:num>
  <w:num w:numId="23">
    <w:abstractNumId w:val="17"/>
  </w:num>
  <w:num w:numId="24">
    <w:abstractNumId w:val="27"/>
  </w:num>
  <w:num w:numId="25">
    <w:abstractNumId w:val="18"/>
  </w:num>
  <w:num w:numId="26">
    <w:abstractNumId w:val="30"/>
  </w:num>
  <w:num w:numId="27">
    <w:abstractNumId w:val="0"/>
  </w:num>
  <w:num w:numId="28">
    <w:abstractNumId w:val="4"/>
  </w:num>
  <w:num w:numId="29">
    <w:abstractNumId w:val="3"/>
  </w:num>
  <w:num w:numId="30">
    <w:abstractNumId w:val="29"/>
  </w:num>
  <w:num w:numId="31">
    <w:abstractNumId w:val="24"/>
  </w:num>
  <w:num w:numId="32">
    <w:abstractNumId w:val="2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3A"/>
    <w:rsid w:val="000000CA"/>
    <w:rsid w:val="00000B91"/>
    <w:rsid w:val="0000745F"/>
    <w:rsid w:val="00021AD3"/>
    <w:rsid w:val="00025730"/>
    <w:rsid w:val="00025F71"/>
    <w:rsid w:val="000418AD"/>
    <w:rsid w:val="000435E7"/>
    <w:rsid w:val="000460FC"/>
    <w:rsid w:val="000476C6"/>
    <w:rsid w:val="00063F3E"/>
    <w:rsid w:val="00077575"/>
    <w:rsid w:val="0009199E"/>
    <w:rsid w:val="000A4369"/>
    <w:rsid w:val="000A7BCF"/>
    <w:rsid w:val="000A7CF3"/>
    <w:rsid w:val="000B23C1"/>
    <w:rsid w:val="000B5328"/>
    <w:rsid w:val="000B555B"/>
    <w:rsid w:val="000C59C1"/>
    <w:rsid w:val="000C5A3A"/>
    <w:rsid w:val="000C7340"/>
    <w:rsid w:val="000E21E5"/>
    <w:rsid w:val="000F0BAF"/>
    <w:rsid w:val="000F44A7"/>
    <w:rsid w:val="00103783"/>
    <w:rsid w:val="001047F4"/>
    <w:rsid w:val="00106D6E"/>
    <w:rsid w:val="00110A8C"/>
    <w:rsid w:val="001138A5"/>
    <w:rsid w:val="00115DC0"/>
    <w:rsid w:val="00117400"/>
    <w:rsid w:val="00120591"/>
    <w:rsid w:val="0012143B"/>
    <w:rsid w:val="00124BCF"/>
    <w:rsid w:val="00130F03"/>
    <w:rsid w:val="00134ACC"/>
    <w:rsid w:val="0013592F"/>
    <w:rsid w:val="00137971"/>
    <w:rsid w:val="00140CE4"/>
    <w:rsid w:val="0014171A"/>
    <w:rsid w:val="00143178"/>
    <w:rsid w:val="001437F5"/>
    <w:rsid w:val="00153F3F"/>
    <w:rsid w:val="00155038"/>
    <w:rsid w:val="00155402"/>
    <w:rsid w:val="00162B96"/>
    <w:rsid w:val="001636D2"/>
    <w:rsid w:val="001775B1"/>
    <w:rsid w:val="00184EFB"/>
    <w:rsid w:val="00192914"/>
    <w:rsid w:val="00194AD6"/>
    <w:rsid w:val="00197082"/>
    <w:rsid w:val="001C2D8F"/>
    <w:rsid w:val="001C7ABF"/>
    <w:rsid w:val="001E4036"/>
    <w:rsid w:val="001E66BE"/>
    <w:rsid w:val="001F0023"/>
    <w:rsid w:val="001F4D35"/>
    <w:rsid w:val="001F76F2"/>
    <w:rsid w:val="00202C88"/>
    <w:rsid w:val="002043E0"/>
    <w:rsid w:val="002075DC"/>
    <w:rsid w:val="00207CA5"/>
    <w:rsid w:val="00213CE7"/>
    <w:rsid w:val="002176E5"/>
    <w:rsid w:val="002313FC"/>
    <w:rsid w:val="00234479"/>
    <w:rsid w:val="002372E0"/>
    <w:rsid w:val="00237693"/>
    <w:rsid w:val="00245839"/>
    <w:rsid w:val="00247E74"/>
    <w:rsid w:val="002622CE"/>
    <w:rsid w:val="00262827"/>
    <w:rsid w:val="00267CA8"/>
    <w:rsid w:val="00271E46"/>
    <w:rsid w:val="00283244"/>
    <w:rsid w:val="0029051D"/>
    <w:rsid w:val="00291035"/>
    <w:rsid w:val="0029700F"/>
    <w:rsid w:val="00297F00"/>
    <w:rsid w:val="002A4C14"/>
    <w:rsid w:val="002A5129"/>
    <w:rsid w:val="002B0696"/>
    <w:rsid w:val="002B7FC6"/>
    <w:rsid w:val="002C3B9D"/>
    <w:rsid w:val="002D00EA"/>
    <w:rsid w:val="002D3D66"/>
    <w:rsid w:val="002E715B"/>
    <w:rsid w:val="002F1ABD"/>
    <w:rsid w:val="002F26CD"/>
    <w:rsid w:val="002F295C"/>
    <w:rsid w:val="00305282"/>
    <w:rsid w:val="00315500"/>
    <w:rsid w:val="0031715A"/>
    <w:rsid w:val="003201E5"/>
    <w:rsid w:val="003225E2"/>
    <w:rsid w:val="003368E5"/>
    <w:rsid w:val="00341233"/>
    <w:rsid w:val="0034185C"/>
    <w:rsid w:val="00342CBB"/>
    <w:rsid w:val="00343562"/>
    <w:rsid w:val="003459C1"/>
    <w:rsid w:val="0035205C"/>
    <w:rsid w:val="00352DE1"/>
    <w:rsid w:val="00353CF0"/>
    <w:rsid w:val="00362B0E"/>
    <w:rsid w:val="00364669"/>
    <w:rsid w:val="003710E2"/>
    <w:rsid w:val="00375894"/>
    <w:rsid w:val="00377DFE"/>
    <w:rsid w:val="00387DBC"/>
    <w:rsid w:val="00394F93"/>
    <w:rsid w:val="003B1404"/>
    <w:rsid w:val="003B1745"/>
    <w:rsid w:val="003B2F2D"/>
    <w:rsid w:val="003C1F14"/>
    <w:rsid w:val="003D1A80"/>
    <w:rsid w:val="003D3932"/>
    <w:rsid w:val="003D41C1"/>
    <w:rsid w:val="003D7B34"/>
    <w:rsid w:val="003E6588"/>
    <w:rsid w:val="003F4654"/>
    <w:rsid w:val="004017CB"/>
    <w:rsid w:val="00401AF6"/>
    <w:rsid w:val="004021A6"/>
    <w:rsid w:val="004036F8"/>
    <w:rsid w:val="00406A67"/>
    <w:rsid w:val="00407BB7"/>
    <w:rsid w:val="0041055D"/>
    <w:rsid w:val="0041677C"/>
    <w:rsid w:val="00416817"/>
    <w:rsid w:val="0042458B"/>
    <w:rsid w:val="0043127D"/>
    <w:rsid w:val="00433B14"/>
    <w:rsid w:val="00441CB2"/>
    <w:rsid w:val="00442EDA"/>
    <w:rsid w:val="00445402"/>
    <w:rsid w:val="00445EDF"/>
    <w:rsid w:val="00450C87"/>
    <w:rsid w:val="00451F31"/>
    <w:rsid w:val="00452A7F"/>
    <w:rsid w:val="00455651"/>
    <w:rsid w:val="00462380"/>
    <w:rsid w:val="004630F3"/>
    <w:rsid w:val="00477BAF"/>
    <w:rsid w:val="004865E2"/>
    <w:rsid w:val="0048672E"/>
    <w:rsid w:val="0048717B"/>
    <w:rsid w:val="00491DC6"/>
    <w:rsid w:val="00494815"/>
    <w:rsid w:val="00496591"/>
    <w:rsid w:val="004C615B"/>
    <w:rsid w:val="004D4C71"/>
    <w:rsid w:val="004E2EC3"/>
    <w:rsid w:val="004E3B82"/>
    <w:rsid w:val="004E3F23"/>
    <w:rsid w:val="004E4E68"/>
    <w:rsid w:val="004E5748"/>
    <w:rsid w:val="004E5FA6"/>
    <w:rsid w:val="00502308"/>
    <w:rsid w:val="005212E7"/>
    <w:rsid w:val="005253FF"/>
    <w:rsid w:val="00525623"/>
    <w:rsid w:val="005460E4"/>
    <w:rsid w:val="00546DD2"/>
    <w:rsid w:val="005479A2"/>
    <w:rsid w:val="00565A3F"/>
    <w:rsid w:val="005707D0"/>
    <w:rsid w:val="005711C0"/>
    <w:rsid w:val="005731BF"/>
    <w:rsid w:val="00573690"/>
    <w:rsid w:val="00574D0F"/>
    <w:rsid w:val="00582354"/>
    <w:rsid w:val="0058239F"/>
    <w:rsid w:val="005A09ED"/>
    <w:rsid w:val="005A3139"/>
    <w:rsid w:val="005A4255"/>
    <w:rsid w:val="005B43E3"/>
    <w:rsid w:val="005D37E5"/>
    <w:rsid w:val="005D679B"/>
    <w:rsid w:val="005E3B1E"/>
    <w:rsid w:val="005E6172"/>
    <w:rsid w:val="005E7730"/>
    <w:rsid w:val="00601653"/>
    <w:rsid w:val="00601CB4"/>
    <w:rsid w:val="00604C60"/>
    <w:rsid w:val="00617F6A"/>
    <w:rsid w:val="00623D91"/>
    <w:rsid w:val="00626961"/>
    <w:rsid w:val="006335BE"/>
    <w:rsid w:val="006364A3"/>
    <w:rsid w:val="00637D76"/>
    <w:rsid w:val="00641DAC"/>
    <w:rsid w:val="00654446"/>
    <w:rsid w:val="00655DF7"/>
    <w:rsid w:val="00657E87"/>
    <w:rsid w:val="00661393"/>
    <w:rsid w:val="00667ED5"/>
    <w:rsid w:val="0068389C"/>
    <w:rsid w:val="00687A4B"/>
    <w:rsid w:val="0069428E"/>
    <w:rsid w:val="00694C58"/>
    <w:rsid w:val="00695295"/>
    <w:rsid w:val="006A17FE"/>
    <w:rsid w:val="006A27C9"/>
    <w:rsid w:val="006B7F48"/>
    <w:rsid w:val="006C29C8"/>
    <w:rsid w:val="006D0596"/>
    <w:rsid w:val="006D11BE"/>
    <w:rsid w:val="006F0113"/>
    <w:rsid w:val="006F6CE4"/>
    <w:rsid w:val="006F7AA1"/>
    <w:rsid w:val="007005E0"/>
    <w:rsid w:val="00702BF1"/>
    <w:rsid w:val="007148C4"/>
    <w:rsid w:val="00714F63"/>
    <w:rsid w:val="00716526"/>
    <w:rsid w:val="00716D41"/>
    <w:rsid w:val="00731FD8"/>
    <w:rsid w:val="00740E20"/>
    <w:rsid w:val="00741565"/>
    <w:rsid w:val="00742B97"/>
    <w:rsid w:val="00771A8F"/>
    <w:rsid w:val="007804F7"/>
    <w:rsid w:val="00784E43"/>
    <w:rsid w:val="00794DA4"/>
    <w:rsid w:val="007954D0"/>
    <w:rsid w:val="007A16A9"/>
    <w:rsid w:val="007A4440"/>
    <w:rsid w:val="007A6929"/>
    <w:rsid w:val="007C7CD3"/>
    <w:rsid w:val="007D1B2C"/>
    <w:rsid w:val="007E210A"/>
    <w:rsid w:val="007E243D"/>
    <w:rsid w:val="007E2DB2"/>
    <w:rsid w:val="007E5CF6"/>
    <w:rsid w:val="007E610B"/>
    <w:rsid w:val="007F186C"/>
    <w:rsid w:val="007F1C6D"/>
    <w:rsid w:val="007F5220"/>
    <w:rsid w:val="008075E4"/>
    <w:rsid w:val="008144CD"/>
    <w:rsid w:val="008149B8"/>
    <w:rsid w:val="008163CD"/>
    <w:rsid w:val="00826740"/>
    <w:rsid w:val="00830F37"/>
    <w:rsid w:val="00832757"/>
    <w:rsid w:val="00834A88"/>
    <w:rsid w:val="008361B5"/>
    <w:rsid w:val="00836439"/>
    <w:rsid w:val="00837F29"/>
    <w:rsid w:val="00850226"/>
    <w:rsid w:val="008546BA"/>
    <w:rsid w:val="00863B24"/>
    <w:rsid w:val="00864D90"/>
    <w:rsid w:val="00874EA5"/>
    <w:rsid w:val="00881A9F"/>
    <w:rsid w:val="00884617"/>
    <w:rsid w:val="00896A57"/>
    <w:rsid w:val="008A3C51"/>
    <w:rsid w:val="008A4675"/>
    <w:rsid w:val="008A4840"/>
    <w:rsid w:val="008A7B33"/>
    <w:rsid w:val="008B1DD3"/>
    <w:rsid w:val="008B5079"/>
    <w:rsid w:val="008C2CBD"/>
    <w:rsid w:val="008E7993"/>
    <w:rsid w:val="008F410B"/>
    <w:rsid w:val="00902024"/>
    <w:rsid w:val="00910BB9"/>
    <w:rsid w:val="009145A1"/>
    <w:rsid w:val="00923BD2"/>
    <w:rsid w:val="00927695"/>
    <w:rsid w:val="00933064"/>
    <w:rsid w:val="00936EAE"/>
    <w:rsid w:val="0094589A"/>
    <w:rsid w:val="009511A3"/>
    <w:rsid w:val="0095482B"/>
    <w:rsid w:val="00955CAB"/>
    <w:rsid w:val="009563F2"/>
    <w:rsid w:val="00956585"/>
    <w:rsid w:val="0095693A"/>
    <w:rsid w:val="00987EE7"/>
    <w:rsid w:val="009B02D6"/>
    <w:rsid w:val="009B0788"/>
    <w:rsid w:val="009B350E"/>
    <w:rsid w:val="009B53BF"/>
    <w:rsid w:val="009C4827"/>
    <w:rsid w:val="009C65AF"/>
    <w:rsid w:val="009D384E"/>
    <w:rsid w:val="009D481A"/>
    <w:rsid w:val="009E59F6"/>
    <w:rsid w:val="00A06093"/>
    <w:rsid w:val="00A123E7"/>
    <w:rsid w:val="00A13B92"/>
    <w:rsid w:val="00A14CB2"/>
    <w:rsid w:val="00A16E7F"/>
    <w:rsid w:val="00A21A2A"/>
    <w:rsid w:val="00A225A9"/>
    <w:rsid w:val="00A2682C"/>
    <w:rsid w:val="00A30532"/>
    <w:rsid w:val="00A31EBD"/>
    <w:rsid w:val="00A32202"/>
    <w:rsid w:val="00A40151"/>
    <w:rsid w:val="00A46EDF"/>
    <w:rsid w:val="00A55CBF"/>
    <w:rsid w:val="00A5772D"/>
    <w:rsid w:val="00A61D20"/>
    <w:rsid w:val="00A6429A"/>
    <w:rsid w:val="00A74152"/>
    <w:rsid w:val="00A748C1"/>
    <w:rsid w:val="00A83B5F"/>
    <w:rsid w:val="00A85FD8"/>
    <w:rsid w:val="00A96014"/>
    <w:rsid w:val="00AA3024"/>
    <w:rsid w:val="00AA4220"/>
    <w:rsid w:val="00AA4B4B"/>
    <w:rsid w:val="00AB00D7"/>
    <w:rsid w:val="00AC287C"/>
    <w:rsid w:val="00AC7883"/>
    <w:rsid w:val="00AD1B1A"/>
    <w:rsid w:val="00AE1A0B"/>
    <w:rsid w:val="00AE1F86"/>
    <w:rsid w:val="00AE2C54"/>
    <w:rsid w:val="00AF052C"/>
    <w:rsid w:val="00AF6F1B"/>
    <w:rsid w:val="00B01930"/>
    <w:rsid w:val="00B12067"/>
    <w:rsid w:val="00B21966"/>
    <w:rsid w:val="00B310EA"/>
    <w:rsid w:val="00B3122B"/>
    <w:rsid w:val="00B44D58"/>
    <w:rsid w:val="00B46F31"/>
    <w:rsid w:val="00B517BD"/>
    <w:rsid w:val="00B53252"/>
    <w:rsid w:val="00B57431"/>
    <w:rsid w:val="00B62949"/>
    <w:rsid w:val="00B6488C"/>
    <w:rsid w:val="00B67E95"/>
    <w:rsid w:val="00B70BBE"/>
    <w:rsid w:val="00B81B5B"/>
    <w:rsid w:val="00B84FF7"/>
    <w:rsid w:val="00B878E9"/>
    <w:rsid w:val="00B9283F"/>
    <w:rsid w:val="00B95ED7"/>
    <w:rsid w:val="00BA0F1F"/>
    <w:rsid w:val="00BA338E"/>
    <w:rsid w:val="00BA6B08"/>
    <w:rsid w:val="00BA760D"/>
    <w:rsid w:val="00BB085F"/>
    <w:rsid w:val="00BB0C82"/>
    <w:rsid w:val="00BB3C95"/>
    <w:rsid w:val="00BD0618"/>
    <w:rsid w:val="00BD062A"/>
    <w:rsid w:val="00BD46E6"/>
    <w:rsid w:val="00BE493B"/>
    <w:rsid w:val="00C07063"/>
    <w:rsid w:val="00C1191E"/>
    <w:rsid w:val="00C1727E"/>
    <w:rsid w:val="00C21DB2"/>
    <w:rsid w:val="00C2204F"/>
    <w:rsid w:val="00C2411D"/>
    <w:rsid w:val="00C3176F"/>
    <w:rsid w:val="00C3237F"/>
    <w:rsid w:val="00C32ECF"/>
    <w:rsid w:val="00C36BC0"/>
    <w:rsid w:val="00C37144"/>
    <w:rsid w:val="00C4085A"/>
    <w:rsid w:val="00C43641"/>
    <w:rsid w:val="00C43CDC"/>
    <w:rsid w:val="00C43CF4"/>
    <w:rsid w:val="00C443B7"/>
    <w:rsid w:val="00C5006E"/>
    <w:rsid w:val="00C50143"/>
    <w:rsid w:val="00C508C9"/>
    <w:rsid w:val="00C513E8"/>
    <w:rsid w:val="00C52A7D"/>
    <w:rsid w:val="00C61F1B"/>
    <w:rsid w:val="00C64415"/>
    <w:rsid w:val="00C65BE2"/>
    <w:rsid w:val="00C65DFB"/>
    <w:rsid w:val="00C73849"/>
    <w:rsid w:val="00C86CF6"/>
    <w:rsid w:val="00C86D8A"/>
    <w:rsid w:val="00C87AF6"/>
    <w:rsid w:val="00C87D0A"/>
    <w:rsid w:val="00C90301"/>
    <w:rsid w:val="00C918C5"/>
    <w:rsid w:val="00C96097"/>
    <w:rsid w:val="00C96D92"/>
    <w:rsid w:val="00CA00FE"/>
    <w:rsid w:val="00CA586A"/>
    <w:rsid w:val="00CB072F"/>
    <w:rsid w:val="00CB18E4"/>
    <w:rsid w:val="00CC0605"/>
    <w:rsid w:val="00CC12DE"/>
    <w:rsid w:val="00CC364E"/>
    <w:rsid w:val="00CD2090"/>
    <w:rsid w:val="00CD2B8C"/>
    <w:rsid w:val="00CD56F7"/>
    <w:rsid w:val="00CD5B8C"/>
    <w:rsid w:val="00CE4D9E"/>
    <w:rsid w:val="00CF088A"/>
    <w:rsid w:val="00CF5BB6"/>
    <w:rsid w:val="00D02CAB"/>
    <w:rsid w:val="00D04283"/>
    <w:rsid w:val="00D10F05"/>
    <w:rsid w:val="00D11D37"/>
    <w:rsid w:val="00D1210E"/>
    <w:rsid w:val="00D128AA"/>
    <w:rsid w:val="00D16612"/>
    <w:rsid w:val="00D20F0D"/>
    <w:rsid w:val="00D20FBF"/>
    <w:rsid w:val="00D2399C"/>
    <w:rsid w:val="00D24CCA"/>
    <w:rsid w:val="00D3188A"/>
    <w:rsid w:val="00D32F5F"/>
    <w:rsid w:val="00D331EC"/>
    <w:rsid w:val="00D36C81"/>
    <w:rsid w:val="00D45294"/>
    <w:rsid w:val="00D4588A"/>
    <w:rsid w:val="00D4588C"/>
    <w:rsid w:val="00D45EEF"/>
    <w:rsid w:val="00D477C0"/>
    <w:rsid w:val="00D50B47"/>
    <w:rsid w:val="00D52EAD"/>
    <w:rsid w:val="00D630AE"/>
    <w:rsid w:val="00D6529B"/>
    <w:rsid w:val="00D65636"/>
    <w:rsid w:val="00D7385F"/>
    <w:rsid w:val="00D76FB6"/>
    <w:rsid w:val="00D77D9E"/>
    <w:rsid w:val="00D80D06"/>
    <w:rsid w:val="00D82551"/>
    <w:rsid w:val="00D970B5"/>
    <w:rsid w:val="00D97B31"/>
    <w:rsid w:val="00DA47D5"/>
    <w:rsid w:val="00DB20F2"/>
    <w:rsid w:val="00DC7FD5"/>
    <w:rsid w:val="00DD15B7"/>
    <w:rsid w:val="00DD3A75"/>
    <w:rsid w:val="00DD65F1"/>
    <w:rsid w:val="00DE5346"/>
    <w:rsid w:val="00DF201A"/>
    <w:rsid w:val="00DF2CD8"/>
    <w:rsid w:val="00E1493B"/>
    <w:rsid w:val="00E2551A"/>
    <w:rsid w:val="00E37B15"/>
    <w:rsid w:val="00E4232C"/>
    <w:rsid w:val="00E444D9"/>
    <w:rsid w:val="00E47EEC"/>
    <w:rsid w:val="00E51698"/>
    <w:rsid w:val="00E53A4D"/>
    <w:rsid w:val="00E633EF"/>
    <w:rsid w:val="00E72AA2"/>
    <w:rsid w:val="00E81CFE"/>
    <w:rsid w:val="00E90CA8"/>
    <w:rsid w:val="00E90F5D"/>
    <w:rsid w:val="00EA4B79"/>
    <w:rsid w:val="00EB3963"/>
    <w:rsid w:val="00ED0883"/>
    <w:rsid w:val="00EE1827"/>
    <w:rsid w:val="00EE413C"/>
    <w:rsid w:val="00EE5F77"/>
    <w:rsid w:val="00EE7CEC"/>
    <w:rsid w:val="00EF26F8"/>
    <w:rsid w:val="00EF5423"/>
    <w:rsid w:val="00F05E44"/>
    <w:rsid w:val="00F17509"/>
    <w:rsid w:val="00F20DBB"/>
    <w:rsid w:val="00F24CA3"/>
    <w:rsid w:val="00F25178"/>
    <w:rsid w:val="00F372C0"/>
    <w:rsid w:val="00F41E6F"/>
    <w:rsid w:val="00F44EE9"/>
    <w:rsid w:val="00F46949"/>
    <w:rsid w:val="00F54700"/>
    <w:rsid w:val="00F54757"/>
    <w:rsid w:val="00F54F6E"/>
    <w:rsid w:val="00F56C4D"/>
    <w:rsid w:val="00F63897"/>
    <w:rsid w:val="00F83328"/>
    <w:rsid w:val="00F86789"/>
    <w:rsid w:val="00F94686"/>
    <w:rsid w:val="00F95382"/>
    <w:rsid w:val="00F968F4"/>
    <w:rsid w:val="00FA217A"/>
    <w:rsid w:val="00FA2F00"/>
    <w:rsid w:val="00FA3226"/>
    <w:rsid w:val="00FC2B80"/>
    <w:rsid w:val="00FC3C47"/>
    <w:rsid w:val="00FC60A8"/>
    <w:rsid w:val="00FD75DF"/>
    <w:rsid w:val="00FE343A"/>
    <w:rsid w:val="00FE3957"/>
    <w:rsid w:val="00FF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35BE"/>
    <w:pPr>
      <w:keepNext/>
      <w:keepLines/>
      <w:spacing w:before="240" w:after="0" w:line="280" w:lineRule="exact"/>
      <w:jc w:val="both"/>
      <w:outlineLvl w:val="0"/>
    </w:pPr>
    <w:rPr>
      <w:rFonts w:ascii="Arial" w:eastAsiaTheme="majorEastAsia" w:hAnsi="Arial" w:cstheme="majorBidi"/>
      <w:b/>
      <w:caps/>
      <w:color w:val="538135" w:themeColor="accent6" w:themeShade="BF"/>
      <w:szCs w:val="32"/>
    </w:rPr>
  </w:style>
  <w:style w:type="paragraph" w:styleId="Heading2">
    <w:name w:val="heading 2"/>
    <w:basedOn w:val="Normal"/>
    <w:next w:val="Normal"/>
    <w:link w:val="Heading2Char"/>
    <w:uiPriority w:val="9"/>
    <w:unhideWhenUsed/>
    <w:qFormat/>
    <w:rsid w:val="006335BE"/>
    <w:pPr>
      <w:keepNext/>
      <w:keepLines/>
      <w:spacing w:before="40" w:after="0" w:line="280" w:lineRule="exact"/>
      <w:outlineLvl w:val="1"/>
    </w:pPr>
    <w:rPr>
      <w:rFonts w:ascii="Arial" w:eastAsiaTheme="majorEastAsia" w:hAnsi="Arial" w:cstheme="majorBidi"/>
      <w:b/>
      <w:color w:val="538135" w:themeColor="accent6" w:themeShade="BF"/>
      <w:szCs w:val="26"/>
    </w:rPr>
  </w:style>
  <w:style w:type="paragraph" w:styleId="Heading3">
    <w:name w:val="heading 3"/>
    <w:basedOn w:val="Normal"/>
    <w:next w:val="Normal"/>
    <w:link w:val="Heading3Char"/>
    <w:uiPriority w:val="9"/>
    <w:unhideWhenUsed/>
    <w:qFormat/>
    <w:rsid w:val="006335BE"/>
    <w:pPr>
      <w:keepNext/>
      <w:keepLines/>
      <w:spacing w:after="0" w:line="280" w:lineRule="exact"/>
      <w:jc w:val="both"/>
      <w:outlineLvl w:val="2"/>
    </w:pPr>
    <w:rPr>
      <w:rFonts w:ascii="Arial" w:eastAsiaTheme="majorEastAsia" w:hAnsi="Arial" w:cstheme="majorBidi"/>
      <w:b/>
      <w:i/>
      <w:color w:val="538135" w:themeColor="accent6"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C5A3A"/>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0C5A3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0C5A3A"/>
    <w:rPr>
      <w:vertAlign w:val="superscript"/>
    </w:rPr>
  </w:style>
  <w:style w:type="paragraph" w:styleId="ListParagraph">
    <w:name w:val="List Paragraph"/>
    <w:basedOn w:val="Normal"/>
    <w:uiPriority w:val="34"/>
    <w:qFormat/>
    <w:rsid w:val="008144CD"/>
    <w:pPr>
      <w:ind w:left="720"/>
      <w:contextualSpacing/>
    </w:pPr>
  </w:style>
  <w:style w:type="character" w:styleId="Hyperlink">
    <w:name w:val="Hyperlink"/>
    <w:basedOn w:val="DefaultParagraphFont"/>
    <w:uiPriority w:val="99"/>
    <w:semiHidden/>
    <w:unhideWhenUsed/>
    <w:rsid w:val="0009199E"/>
    <w:rPr>
      <w:color w:val="0000FF"/>
      <w:u w:val="single"/>
    </w:rPr>
  </w:style>
  <w:style w:type="paragraph" w:styleId="Header">
    <w:name w:val="header"/>
    <w:basedOn w:val="Normal"/>
    <w:link w:val="HeaderChar"/>
    <w:uiPriority w:val="99"/>
    <w:unhideWhenUsed/>
    <w:rsid w:val="00987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EE7"/>
  </w:style>
  <w:style w:type="paragraph" w:styleId="Footer">
    <w:name w:val="footer"/>
    <w:basedOn w:val="Normal"/>
    <w:link w:val="FooterChar"/>
    <w:uiPriority w:val="99"/>
    <w:unhideWhenUsed/>
    <w:rsid w:val="00987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EE7"/>
  </w:style>
  <w:style w:type="character" w:customStyle="1" w:styleId="Heading1Char">
    <w:name w:val="Heading 1 Char"/>
    <w:basedOn w:val="DefaultParagraphFont"/>
    <w:link w:val="Heading1"/>
    <w:uiPriority w:val="9"/>
    <w:rsid w:val="006335BE"/>
    <w:rPr>
      <w:rFonts w:ascii="Arial" w:eastAsiaTheme="majorEastAsia" w:hAnsi="Arial" w:cstheme="majorBidi"/>
      <w:b/>
      <w:caps/>
      <w:color w:val="538135" w:themeColor="accent6" w:themeShade="BF"/>
      <w:szCs w:val="32"/>
    </w:rPr>
  </w:style>
  <w:style w:type="character" w:customStyle="1" w:styleId="Heading2Char">
    <w:name w:val="Heading 2 Char"/>
    <w:basedOn w:val="DefaultParagraphFont"/>
    <w:link w:val="Heading2"/>
    <w:uiPriority w:val="9"/>
    <w:rsid w:val="006335BE"/>
    <w:rPr>
      <w:rFonts w:ascii="Arial" w:eastAsiaTheme="majorEastAsia" w:hAnsi="Arial" w:cstheme="majorBidi"/>
      <w:b/>
      <w:color w:val="538135" w:themeColor="accent6" w:themeShade="BF"/>
      <w:szCs w:val="26"/>
    </w:rPr>
  </w:style>
  <w:style w:type="character" w:customStyle="1" w:styleId="Heading3Char">
    <w:name w:val="Heading 3 Char"/>
    <w:basedOn w:val="DefaultParagraphFont"/>
    <w:link w:val="Heading3"/>
    <w:uiPriority w:val="9"/>
    <w:rsid w:val="006335BE"/>
    <w:rPr>
      <w:rFonts w:ascii="Arial" w:eastAsiaTheme="majorEastAsia" w:hAnsi="Arial" w:cstheme="majorBidi"/>
      <w:b/>
      <w:i/>
      <w:color w:val="538135" w:themeColor="accent6" w:themeShade="BF"/>
      <w:szCs w:val="24"/>
    </w:rPr>
  </w:style>
  <w:style w:type="paragraph" w:customStyle="1" w:styleId="ResearchTitle">
    <w:name w:val="Research Title"/>
    <w:basedOn w:val="Normal"/>
    <w:link w:val="ResearchTitleChar"/>
    <w:rsid w:val="006335BE"/>
    <w:pPr>
      <w:spacing w:after="0" w:line="280" w:lineRule="exact"/>
      <w:jc w:val="both"/>
    </w:pPr>
    <w:rPr>
      <w:rFonts w:ascii="Arial" w:hAnsi="Arial"/>
      <w:b/>
      <w:caps/>
      <w:color w:val="538135" w:themeColor="accent6" w:themeShade="BF"/>
      <w:sz w:val="24"/>
    </w:rPr>
  </w:style>
  <w:style w:type="paragraph" w:customStyle="1" w:styleId="ReseachMainHeading">
    <w:name w:val="Reseach Main Heading"/>
    <w:basedOn w:val="ResearchTitle"/>
    <w:link w:val="ReseachMainHeadingChar"/>
    <w:rsid w:val="006335BE"/>
  </w:style>
  <w:style w:type="character" w:customStyle="1" w:styleId="ResearchTitleChar">
    <w:name w:val="Research Title Char"/>
    <w:basedOn w:val="DefaultParagraphFont"/>
    <w:link w:val="ResearchTitle"/>
    <w:rsid w:val="006335BE"/>
    <w:rPr>
      <w:rFonts w:ascii="Arial" w:hAnsi="Arial"/>
      <w:b/>
      <w:caps/>
      <w:color w:val="538135" w:themeColor="accent6" w:themeShade="BF"/>
      <w:sz w:val="24"/>
    </w:rPr>
  </w:style>
  <w:style w:type="character" w:customStyle="1" w:styleId="ReseachMainHeadingChar">
    <w:name w:val="Reseach Main Heading Char"/>
    <w:basedOn w:val="ResearchTitleChar"/>
    <w:link w:val="ReseachMainHeading"/>
    <w:rsid w:val="006335BE"/>
    <w:rPr>
      <w:rFonts w:ascii="Arial" w:hAnsi="Arial"/>
      <w:b/>
      <w:caps/>
      <w:color w:val="538135" w:themeColor="accent6" w:themeShade="BF"/>
      <w:sz w:val="24"/>
    </w:rPr>
  </w:style>
  <w:style w:type="paragraph" w:styleId="TOC1">
    <w:name w:val="toc 1"/>
    <w:basedOn w:val="Normal"/>
    <w:next w:val="Normal"/>
    <w:autoRedefine/>
    <w:uiPriority w:val="39"/>
    <w:unhideWhenUsed/>
    <w:qFormat/>
    <w:rsid w:val="006335BE"/>
    <w:pPr>
      <w:spacing w:after="100" w:line="280" w:lineRule="exact"/>
      <w:jc w:val="both"/>
    </w:pPr>
    <w:rPr>
      <w:rFonts w:ascii="Arial" w:hAnsi="Arial"/>
      <w:b/>
      <w:caps/>
      <w:color w:val="000000" w:themeColor="text1"/>
      <w:sz w:val="24"/>
    </w:rPr>
  </w:style>
  <w:style w:type="paragraph" w:styleId="TOC2">
    <w:name w:val="toc 2"/>
    <w:basedOn w:val="Normal"/>
    <w:next w:val="Normal"/>
    <w:autoRedefine/>
    <w:uiPriority w:val="39"/>
    <w:unhideWhenUsed/>
    <w:rsid w:val="006335BE"/>
    <w:pPr>
      <w:spacing w:after="100" w:line="280" w:lineRule="exact"/>
      <w:ind w:left="220"/>
      <w:jc w:val="both"/>
    </w:pPr>
    <w:rPr>
      <w:rFonts w:ascii="Arial" w:hAnsi="Arial"/>
    </w:rPr>
  </w:style>
  <w:style w:type="paragraph" w:styleId="TOC3">
    <w:name w:val="toc 3"/>
    <w:basedOn w:val="Normal"/>
    <w:next w:val="Normal"/>
    <w:autoRedefine/>
    <w:uiPriority w:val="39"/>
    <w:unhideWhenUsed/>
    <w:rsid w:val="006335BE"/>
    <w:pPr>
      <w:spacing w:after="100" w:line="240" w:lineRule="exact"/>
      <w:ind w:left="442"/>
      <w:jc w:val="both"/>
    </w:pPr>
    <w:rPr>
      <w:rFonts w:ascii="Arial" w:eastAsiaTheme="minorEastAsia" w:hAnsi="Arial" w:cs="Times New Roman"/>
      <w:lang w:val="en-US"/>
    </w:rPr>
  </w:style>
  <w:style w:type="paragraph" w:styleId="Title">
    <w:name w:val="Title"/>
    <w:basedOn w:val="Normal"/>
    <w:next w:val="Normal"/>
    <w:link w:val="TitleChar"/>
    <w:uiPriority w:val="10"/>
    <w:qFormat/>
    <w:rsid w:val="006335BE"/>
    <w:pPr>
      <w:spacing w:after="0" w:line="240" w:lineRule="auto"/>
      <w:contextualSpacing/>
      <w:jc w:val="both"/>
    </w:pPr>
    <w:rPr>
      <w:rFonts w:ascii="Arial" w:eastAsiaTheme="majorEastAsia" w:hAnsi="Arial"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6335BE"/>
    <w:rPr>
      <w:rFonts w:ascii="Arial" w:eastAsiaTheme="majorEastAsia" w:hAnsi="Arial" w:cstheme="majorBidi"/>
      <w:b/>
      <w:caps/>
      <w:color w:val="538135" w:themeColor="accent6" w:themeShade="BF"/>
      <w:spacing w:val="-10"/>
      <w:kern w:val="28"/>
      <w:sz w:val="28"/>
      <w:szCs w:val="56"/>
    </w:rPr>
  </w:style>
  <w:style w:type="table" w:styleId="TableGrid">
    <w:name w:val="Table Grid"/>
    <w:basedOn w:val="TableNormal"/>
    <w:uiPriority w:val="39"/>
    <w:rsid w:val="00633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nhideWhenUsed/>
    <w:rsid w:val="006335BE"/>
    <w:pPr>
      <w:spacing w:after="0" w:line="240" w:lineRule="auto"/>
      <w:jc w:val="both"/>
    </w:pPr>
    <w:rPr>
      <w:rFonts w:ascii="Arial" w:hAnsi="Arial"/>
      <w:sz w:val="18"/>
      <w:szCs w:val="20"/>
    </w:rPr>
  </w:style>
  <w:style w:type="character" w:customStyle="1" w:styleId="FootnoteTextChar">
    <w:name w:val="Footnote Text Char"/>
    <w:basedOn w:val="DefaultParagraphFont"/>
    <w:link w:val="FootnoteText"/>
    <w:rsid w:val="006335BE"/>
    <w:rPr>
      <w:rFonts w:ascii="Arial" w:hAnsi="Arial"/>
      <w:sz w:val="18"/>
      <w:szCs w:val="20"/>
    </w:rPr>
  </w:style>
  <w:style w:type="paragraph" w:customStyle="1" w:styleId="Normalbold">
    <w:name w:val="Normal bold"/>
    <w:basedOn w:val="Normal"/>
    <w:rsid w:val="006335BE"/>
    <w:pPr>
      <w:spacing w:after="0" w:line="280" w:lineRule="exact"/>
    </w:pPr>
    <w:rPr>
      <w:rFonts w:ascii="Arial" w:eastAsia="Times New Roman" w:hAnsi="Arial" w:cs="Times New Roman"/>
      <w:b/>
      <w:color w:val="000000"/>
      <w:spacing w:val="6"/>
      <w:sz w:val="18"/>
      <w:szCs w:val="18"/>
      <w:lang w:val="en-GB" w:eastAsia="en-GB"/>
    </w:rPr>
  </w:style>
  <w:style w:type="character" w:styleId="FootnoteReference">
    <w:name w:val="footnote reference"/>
    <w:uiPriority w:val="99"/>
    <w:unhideWhenUsed/>
    <w:rsid w:val="006335BE"/>
    <w:rPr>
      <w:vertAlign w:val="superscript"/>
    </w:rPr>
  </w:style>
  <w:style w:type="character" w:styleId="CommentReference">
    <w:name w:val="annotation reference"/>
    <w:basedOn w:val="DefaultParagraphFont"/>
    <w:uiPriority w:val="99"/>
    <w:semiHidden/>
    <w:unhideWhenUsed/>
    <w:rsid w:val="003E6588"/>
    <w:rPr>
      <w:sz w:val="16"/>
      <w:szCs w:val="16"/>
    </w:rPr>
  </w:style>
  <w:style w:type="paragraph" w:styleId="CommentText">
    <w:name w:val="annotation text"/>
    <w:basedOn w:val="Normal"/>
    <w:link w:val="CommentTextChar"/>
    <w:uiPriority w:val="99"/>
    <w:semiHidden/>
    <w:unhideWhenUsed/>
    <w:rsid w:val="003E6588"/>
    <w:pPr>
      <w:spacing w:line="240" w:lineRule="auto"/>
    </w:pPr>
    <w:rPr>
      <w:sz w:val="20"/>
      <w:szCs w:val="20"/>
    </w:rPr>
  </w:style>
  <w:style w:type="character" w:customStyle="1" w:styleId="CommentTextChar">
    <w:name w:val="Comment Text Char"/>
    <w:basedOn w:val="DefaultParagraphFont"/>
    <w:link w:val="CommentText"/>
    <w:uiPriority w:val="99"/>
    <w:semiHidden/>
    <w:rsid w:val="003E6588"/>
    <w:rPr>
      <w:sz w:val="20"/>
      <w:szCs w:val="20"/>
    </w:rPr>
  </w:style>
  <w:style w:type="paragraph" w:styleId="CommentSubject">
    <w:name w:val="annotation subject"/>
    <w:basedOn w:val="CommentText"/>
    <w:next w:val="CommentText"/>
    <w:link w:val="CommentSubjectChar"/>
    <w:uiPriority w:val="99"/>
    <w:semiHidden/>
    <w:unhideWhenUsed/>
    <w:rsid w:val="003E6588"/>
    <w:rPr>
      <w:b/>
      <w:bCs/>
    </w:rPr>
  </w:style>
  <w:style w:type="character" w:customStyle="1" w:styleId="CommentSubjectChar">
    <w:name w:val="Comment Subject Char"/>
    <w:basedOn w:val="CommentTextChar"/>
    <w:link w:val="CommentSubject"/>
    <w:uiPriority w:val="99"/>
    <w:semiHidden/>
    <w:rsid w:val="003E6588"/>
    <w:rPr>
      <w:b/>
      <w:bCs/>
      <w:sz w:val="20"/>
      <w:szCs w:val="20"/>
    </w:rPr>
  </w:style>
  <w:style w:type="paragraph" w:styleId="BalloonText">
    <w:name w:val="Balloon Text"/>
    <w:basedOn w:val="Normal"/>
    <w:link w:val="BalloonTextChar"/>
    <w:uiPriority w:val="99"/>
    <w:semiHidden/>
    <w:unhideWhenUsed/>
    <w:rsid w:val="003E6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588"/>
    <w:rPr>
      <w:rFonts w:ascii="Segoe UI" w:hAnsi="Segoe UI" w:cs="Segoe UI"/>
      <w:sz w:val="18"/>
      <w:szCs w:val="18"/>
    </w:rPr>
  </w:style>
  <w:style w:type="table" w:customStyle="1" w:styleId="TableGrid1">
    <w:name w:val="Table Grid1"/>
    <w:basedOn w:val="TableNormal"/>
    <w:next w:val="TableGrid"/>
    <w:uiPriority w:val="39"/>
    <w:rsid w:val="002F2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72AA2"/>
    <w:pPr>
      <w:spacing w:after="200" w:line="240" w:lineRule="auto"/>
      <w:jc w:val="both"/>
    </w:pPr>
    <w:rPr>
      <w:rFonts w:ascii="Arial" w:hAnsi="Arial"/>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35BE"/>
    <w:pPr>
      <w:keepNext/>
      <w:keepLines/>
      <w:spacing w:before="240" w:after="0" w:line="280" w:lineRule="exact"/>
      <w:jc w:val="both"/>
      <w:outlineLvl w:val="0"/>
    </w:pPr>
    <w:rPr>
      <w:rFonts w:ascii="Arial" w:eastAsiaTheme="majorEastAsia" w:hAnsi="Arial" w:cstheme="majorBidi"/>
      <w:b/>
      <w:caps/>
      <w:color w:val="538135" w:themeColor="accent6" w:themeShade="BF"/>
      <w:szCs w:val="32"/>
    </w:rPr>
  </w:style>
  <w:style w:type="paragraph" w:styleId="Heading2">
    <w:name w:val="heading 2"/>
    <w:basedOn w:val="Normal"/>
    <w:next w:val="Normal"/>
    <w:link w:val="Heading2Char"/>
    <w:uiPriority w:val="9"/>
    <w:unhideWhenUsed/>
    <w:qFormat/>
    <w:rsid w:val="006335BE"/>
    <w:pPr>
      <w:keepNext/>
      <w:keepLines/>
      <w:spacing w:before="40" w:after="0" w:line="280" w:lineRule="exact"/>
      <w:outlineLvl w:val="1"/>
    </w:pPr>
    <w:rPr>
      <w:rFonts w:ascii="Arial" w:eastAsiaTheme="majorEastAsia" w:hAnsi="Arial" w:cstheme="majorBidi"/>
      <w:b/>
      <w:color w:val="538135" w:themeColor="accent6" w:themeShade="BF"/>
      <w:szCs w:val="26"/>
    </w:rPr>
  </w:style>
  <w:style w:type="paragraph" w:styleId="Heading3">
    <w:name w:val="heading 3"/>
    <w:basedOn w:val="Normal"/>
    <w:next w:val="Normal"/>
    <w:link w:val="Heading3Char"/>
    <w:uiPriority w:val="9"/>
    <w:unhideWhenUsed/>
    <w:qFormat/>
    <w:rsid w:val="006335BE"/>
    <w:pPr>
      <w:keepNext/>
      <w:keepLines/>
      <w:spacing w:after="0" w:line="280" w:lineRule="exact"/>
      <w:jc w:val="both"/>
      <w:outlineLvl w:val="2"/>
    </w:pPr>
    <w:rPr>
      <w:rFonts w:ascii="Arial" w:eastAsiaTheme="majorEastAsia" w:hAnsi="Arial" w:cstheme="majorBidi"/>
      <w:b/>
      <w:i/>
      <w:color w:val="538135" w:themeColor="accent6"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C5A3A"/>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0C5A3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0C5A3A"/>
    <w:rPr>
      <w:vertAlign w:val="superscript"/>
    </w:rPr>
  </w:style>
  <w:style w:type="paragraph" w:styleId="ListParagraph">
    <w:name w:val="List Paragraph"/>
    <w:basedOn w:val="Normal"/>
    <w:uiPriority w:val="34"/>
    <w:qFormat/>
    <w:rsid w:val="008144CD"/>
    <w:pPr>
      <w:ind w:left="720"/>
      <w:contextualSpacing/>
    </w:pPr>
  </w:style>
  <w:style w:type="character" w:styleId="Hyperlink">
    <w:name w:val="Hyperlink"/>
    <w:basedOn w:val="DefaultParagraphFont"/>
    <w:uiPriority w:val="99"/>
    <w:semiHidden/>
    <w:unhideWhenUsed/>
    <w:rsid w:val="0009199E"/>
    <w:rPr>
      <w:color w:val="0000FF"/>
      <w:u w:val="single"/>
    </w:rPr>
  </w:style>
  <w:style w:type="paragraph" w:styleId="Header">
    <w:name w:val="header"/>
    <w:basedOn w:val="Normal"/>
    <w:link w:val="HeaderChar"/>
    <w:uiPriority w:val="99"/>
    <w:unhideWhenUsed/>
    <w:rsid w:val="00987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EE7"/>
  </w:style>
  <w:style w:type="paragraph" w:styleId="Footer">
    <w:name w:val="footer"/>
    <w:basedOn w:val="Normal"/>
    <w:link w:val="FooterChar"/>
    <w:uiPriority w:val="99"/>
    <w:unhideWhenUsed/>
    <w:rsid w:val="00987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EE7"/>
  </w:style>
  <w:style w:type="character" w:customStyle="1" w:styleId="Heading1Char">
    <w:name w:val="Heading 1 Char"/>
    <w:basedOn w:val="DefaultParagraphFont"/>
    <w:link w:val="Heading1"/>
    <w:uiPriority w:val="9"/>
    <w:rsid w:val="006335BE"/>
    <w:rPr>
      <w:rFonts w:ascii="Arial" w:eastAsiaTheme="majorEastAsia" w:hAnsi="Arial" w:cstheme="majorBidi"/>
      <w:b/>
      <w:caps/>
      <w:color w:val="538135" w:themeColor="accent6" w:themeShade="BF"/>
      <w:szCs w:val="32"/>
    </w:rPr>
  </w:style>
  <w:style w:type="character" w:customStyle="1" w:styleId="Heading2Char">
    <w:name w:val="Heading 2 Char"/>
    <w:basedOn w:val="DefaultParagraphFont"/>
    <w:link w:val="Heading2"/>
    <w:uiPriority w:val="9"/>
    <w:rsid w:val="006335BE"/>
    <w:rPr>
      <w:rFonts w:ascii="Arial" w:eastAsiaTheme="majorEastAsia" w:hAnsi="Arial" w:cstheme="majorBidi"/>
      <w:b/>
      <w:color w:val="538135" w:themeColor="accent6" w:themeShade="BF"/>
      <w:szCs w:val="26"/>
    </w:rPr>
  </w:style>
  <w:style w:type="character" w:customStyle="1" w:styleId="Heading3Char">
    <w:name w:val="Heading 3 Char"/>
    <w:basedOn w:val="DefaultParagraphFont"/>
    <w:link w:val="Heading3"/>
    <w:uiPriority w:val="9"/>
    <w:rsid w:val="006335BE"/>
    <w:rPr>
      <w:rFonts w:ascii="Arial" w:eastAsiaTheme="majorEastAsia" w:hAnsi="Arial" w:cstheme="majorBidi"/>
      <w:b/>
      <w:i/>
      <w:color w:val="538135" w:themeColor="accent6" w:themeShade="BF"/>
      <w:szCs w:val="24"/>
    </w:rPr>
  </w:style>
  <w:style w:type="paragraph" w:customStyle="1" w:styleId="ResearchTitle">
    <w:name w:val="Research Title"/>
    <w:basedOn w:val="Normal"/>
    <w:link w:val="ResearchTitleChar"/>
    <w:rsid w:val="006335BE"/>
    <w:pPr>
      <w:spacing w:after="0" w:line="280" w:lineRule="exact"/>
      <w:jc w:val="both"/>
    </w:pPr>
    <w:rPr>
      <w:rFonts w:ascii="Arial" w:hAnsi="Arial"/>
      <w:b/>
      <w:caps/>
      <w:color w:val="538135" w:themeColor="accent6" w:themeShade="BF"/>
      <w:sz w:val="24"/>
    </w:rPr>
  </w:style>
  <w:style w:type="paragraph" w:customStyle="1" w:styleId="ReseachMainHeading">
    <w:name w:val="Reseach Main Heading"/>
    <w:basedOn w:val="ResearchTitle"/>
    <w:link w:val="ReseachMainHeadingChar"/>
    <w:rsid w:val="006335BE"/>
  </w:style>
  <w:style w:type="character" w:customStyle="1" w:styleId="ResearchTitleChar">
    <w:name w:val="Research Title Char"/>
    <w:basedOn w:val="DefaultParagraphFont"/>
    <w:link w:val="ResearchTitle"/>
    <w:rsid w:val="006335BE"/>
    <w:rPr>
      <w:rFonts w:ascii="Arial" w:hAnsi="Arial"/>
      <w:b/>
      <w:caps/>
      <w:color w:val="538135" w:themeColor="accent6" w:themeShade="BF"/>
      <w:sz w:val="24"/>
    </w:rPr>
  </w:style>
  <w:style w:type="character" w:customStyle="1" w:styleId="ReseachMainHeadingChar">
    <w:name w:val="Reseach Main Heading Char"/>
    <w:basedOn w:val="ResearchTitleChar"/>
    <w:link w:val="ReseachMainHeading"/>
    <w:rsid w:val="006335BE"/>
    <w:rPr>
      <w:rFonts w:ascii="Arial" w:hAnsi="Arial"/>
      <w:b/>
      <w:caps/>
      <w:color w:val="538135" w:themeColor="accent6" w:themeShade="BF"/>
      <w:sz w:val="24"/>
    </w:rPr>
  </w:style>
  <w:style w:type="paragraph" w:styleId="TOC1">
    <w:name w:val="toc 1"/>
    <w:basedOn w:val="Normal"/>
    <w:next w:val="Normal"/>
    <w:autoRedefine/>
    <w:uiPriority w:val="39"/>
    <w:unhideWhenUsed/>
    <w:qFormat/>
    <w:rsid w:val="006335BE"/>
    <w:pPr>
      <w:spacing w:after="100" w:line="280" w:lineRule="exact"/>
      <w:jc w:val="both"/>
    </w:pPr>
    <w:rPr>
      <w:rFonts w:ascii="Arial" w:hAnsi="Arial"/>
      <w:b/>
      <w:caps/>
      <w:color w:val="000000" w:themeColor="text1"/>
      <w:sz w:val="24"/>
    </w:rPr>
  </w:style>
  <w:style w:type="paragraph" w:styleId="TOC2">
    <w:name w:val="toc 2"/>
    <w:basedOn w:val="Normal"/>
    <w:next w:val="Normal"/>
    <w:autoRedefine/>
    <w:uiPriority w:val="39"/>
    <w:unhideWhenUsed/>
    <w:rsid w:val="006335BE"/>
    <w:pPr>
      <w:spacing w:after="100" w:line="280" w:lineRule="exact"/>
      <w:ind w:left="220"/>
      <w:jc w:val="both"/>
    </w:pPr>
    <w:rPr>
      <w:rFonts w:ascii="Arial" w:hAnsi="Arial"/>
    </w:rPr>
  </w:style>
  <w:style w:type="paragraph" w:styleId="TOC3">
    <w:name w:val="toc 3"/>
    <w:basedOn w:val="Normal"/>
    <w:next w:val="Normal"/>
    <w:autoRedefine/>
    <w:uiPriority w:val="39"/>
    <w:unhideWhenUsed/>
    <w:rsid w:val="006335BE"/>
    <w:pPr>
      <w:spacing w:after="100" w:line="240" w:lineRule="exact"/>
      <w:ind w:left="442"/>
      <w:jc w:val="both"/>
    </w:pPr>
    <w:rPr>
      <w:rFonts w:ascii="Arial" w:eastAsiaTheme="minorEastAsia" w:hAnsi="Arial" w:cs="Times New Roman"/>
      <w:lang w:val="en-US"/>
    </w:rPr>
  </w:style>
  <w:style w:type="paragraph" w:styleId="Title">
    <w:name w:val="Title"/>
    <w:basedOn w:val="Normal"/>
    <w:next w:val="Normal"/>
    <w:link w:val="TitleChar"/>
    <w:uiPriority w:val="10"/>
    <w:qFormat/>
    <w:rsid w:val="006335BE"/>
    <w:pPr>
      <w:spacing w:after="0" w:line="240" w:lineRule="auto"/>
      <w:contextualSpacing/>
      <w:jc w:val="both"/>
    </w:pPr>
    <w:rPr>
      <w:rFonts w:ascii="Arial" w:eastAsiaTheme="majorEastAsia" w:hAnsi="Arial"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6335BE"/>
    <w:rPr>
      <w:rFonts w:ascii="Arial" w:eastAsiaTheme="majorEastAsia" w:hAnsi="Arial" w:cstheme="majorBidi"/>
      <w:b/>
      <w:caps/>
      <w:color w:val="538135" w:themeColor="accent6" w:themeShade="BF"/>
      <w:spacing w:val="-10"/>
      <w:kern w:val="28"/>
      <w:sz w:val="28"/>
      <w:szCs w:val="56"/>
    </w:rPr>
  </w:style>
  <w:style w:type="table" w:styleId="TableGrid">
    <w:name w:val="Table Grid"/>
    <w:basedOn w:val="TableNormal"/>
    <w:uiPriority w:val="39"/>
    <w:rsid w:val="00633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nhideWhenUsed/>
    <w:rsid w:val="006335BE"/>
    <w:pPr>
      <w:spacing w:after="0" w:line="240" w:lineRule="auto"/>
      <w:jc w:val="both"/>
    </w:pPr>
    <w:rPr>
      <w:rFonts w:ascii="Arial" w:hAnsi="Arial"/>
      <w:sz w:val="18"/>
      <w:szCs w:val="20"/>
    </w:rPr>
  </w:style>
  <w:style w:type="character" w:customStyle="1" w:styleId="FootnoteTextChar">
    <w:name w:val="Footnote Text Char"/>
    <w:basedOn w:val="DefaultParagraphFont"/>
    <w:link w:val="FootnoteText"/>
    <w:rsid w:val="006335BE"/>
    <w:rPr>
      <w:rFonts w:ascii="Arial" w:hAnsi="Arial"/>
      <w:sz w:val="18"/>
      <w:szCs w:val="20"/>
    </w:rPr>
  </w:style>
  <w:style w:type="paragraph" w:customStyle="1" w:styleId="Normalbold">
    <w:name w:val="Normal bold"/>
    <w:basedOn w:val="Normal"/>
    <w:rsid w:val="006335BE"/>
    <w:pPr>
      <w:spacing w:after="0" w:line="280" w:lineRule="exact"/>
    </w:pPr>
    <w:rPr>
      <w:rFonts w:ascii="Arial" w:eastAsia="Times New Roman" w:hAnsi="Arial" w:cs="Times New Roman"/>
      <w:b/>
      <w:color w:val="000000"/>
      <w:spacing w:val="6"/>
      <w:sz w:val="18"/>
      <w:szCs w:val="18"/>
      <w:lang w:val="en-GB" w:eastAsia="en-GB"/>
    </w:rPr>
  </w:style>
  <w:style w:type="character" w:styleId="FootnoteReference">
    <w:name w:val="footnote reference"/>
    <w:uiPriority w:val="99"/>
    <w:unhideWhenUsed/>
    <w:rsid w:val="006335BE"/>
    <w:rPr>
      <w:vertAlign w:val="superscript"/>
    </w:rPr>
  </w:style>
  <w:style w:type="character" w:styleId="CommentReference">
    <w:name w:val="annotation reference"/>
    <w:basedOn w:val="DefaultParagraphFont"/>
    <w:uiPriority w:val="99"/>
    <w:semiHidden/>
    <w:unhideWhenUsed/>
    <w:rsid w:val="003E6588"/>
    <w:rPr>
      <w:sz w:val="16"/>
      <w:szCs w:val="16"/>
    </w:rPr>
  </w:style>
  <w:style w:type="paragraph" w:styleId="CommentText">
    <w:name w:val="annotation text"/>
    <w:basedOn w:val="Normal"/>
    <w:link w:val="CommentTextChar"/>
    <w:uiPriority w:val="99"/>
    <w:semiHidden/>
    <w:unhideWhenUsed/>
    <w:rsid w:val="003E6588"/>
    <w:pPr>
      <w:spacing w:line="240" w:lineRule="auto"/>
    </w:pPr>
    <w:rPr>
      <w:sz w:val="20"/>
      <w:szCs w:val="20"/>
    </w:rPr>
  </w:style>
  <w:style w:type="character" w:customStyle="1" w:styleId="CommentTextChar">
    <w:name w:val="Comment Text Char"/>
    <w:basedOn w:val="DefaultParagraphFont"/>
    <w:link w:val="CommentText"/>
    <w:uiPriority w:val="99"/>
    <w:semiHidden/>
    <w:rsid w:val="003E6588"/>
    <w:rPr>
      <w:sz w:val="20"/>
      <w:szCs w:val="20"/>
    </w:rPr>
  </w:style>
  <w:style w:type="paragraph" w:styleId="CommentSubject">
    <w:name w:val="annotation subject"/>
    <w:basedOn w:val="CommentText"/>
    <w:next w:val="CommentText"/>
    <w:link w:val="CommentSubjectChar"/>
    <w:uiPriority w:val="99"/>
    <w:semiHidden/>
    <w:unhideWhenUsed/>
    <w:rsid w:val="003E6588"/>
    <w:rPr>
      <w:b/>
      <w:bCs/>
    </w:rPr>
  </w:style>
  <w:style w:type="character" w:customStyle="1" w:styleId="CommentSubjectChar">
    <w:name w:val="Comment Subject Char"/>
    <w:basedOn w:val="CommentTextChar"/>
    <w:link w:val="CommentSubject"/>
    <w:uiPriority w:val="99"/>
    <w:semiHidden/>
    <w:rsid w:val="003E6588"/>
    <w:rPr>
      <w:b/>
      <w:bCs/>
      <w:sz w:val="20"/>
      <w:szCs w:val="20"/>
    </w:rPr>
  </w:style>
  <w:style w:type="paragraph" w:styleId="BalloonText">
    <w:name w:val="Balloon Text"/>
    <w:basedOn w:val="Normal"/>
    <w:link w:val="BalloonTextChar"/>
    <w:uiPriority w:val="99"/>
    <w:semiHidden/>
    <w:unhideWhenUsed/>
    <w:rsid w:val="003E6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588"/>
    <w:rPr>
      <w:rFonts w:ascii="Segoe UI" w:hAnsi="Segoe UI" w:cs="Segoe UI"/>
      <w:sz w:val="18"/>
      <w:szCs w:val="18"/>
    </w:rPr>
  </w:style>
  <w:style w:type="table" w:customStyle="1" w:styleId="TableGrid1">
    <w:name w:val="Table Grid1"/>
    <w:basedOn w:val="TableNormal"/>
    <w:next w:val="TableGrid"/>
    <w:uiPriority w:val="39"/>
    <w:rsid w:val="002F2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72AA2"/>
    <w:pPr>
      <w:spacing w:after="200" w:line="240" w:lineRule="auto"/>
      <w:jc w:val="both"/>
    </w:pPr>
    <w:rPr>
      <w:rFonts w:ascii="Arial" w:hAnsi="Arial"/>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okomani\AppData\Local\Microsoft\Windows\INetCache\Content.Outlook\DGB6UJCM\1.Budget%20%20Table%20for%20Publication%20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okomani\AppData\Local\Microsoft\Windows\INetCache\Content.Outlook\DGB6UJCM\1.Budget%20%20Table%20for%20Publication%20201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okomani\AppData\Roaming\Microsoft\Excel\1%20(version%20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sokomani\AppData\Local\Microsoft\Windows\INetCache\Content.Outlook\DGB6UJCM\1.Budget%20%20Table%20for%20Publication%20201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sokomani\AppData\Local\Microsoft\Windows\INetCache\Content.Outlook\DGB6UJCM\1.Budget%20%20Table%20for%20Publication%20201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sokomani\AppData\Local\Microsoft\Windows\INetCache\Content.Outlook\DGB6UJCM\1.Budget%20%20Table%20for%20Publication%20201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sokomani\AppData\Local\Microsoft\Windows\INetCache\Content.Outlook\DGB6UJCM\1.Budget%20%20Table%20for%20Publication%20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ZA"/>
              <a:t>Overall Budget Allocation</a:t>
            </a:r>
          </a:p>
        </c:rich>
      </c:tx>
      <c:layout>
        <c:manualLayout>
          <c:xMode val="edge"/>
          <c:yMode val="edge"/>
          <c:x val="0.41420149404401374"/>
          <c:y val="3.2581453634085211E-2"/>
        </c:manualLayout>
      </c:layout>
      <c:overlay val="0"/>
      <c:spPr>
        <a:noFill/>
        <a:ln w="25400">
          <a:noFill/>
        </a:ln>
      </c:spPr>
    </c:title>
    <c:autoTitleDeleted val="0"/>
    <c:plotArea>
      <c:layout>
        <c:manualLayout>
          <c:layoutTarget val="inner"/>
          <c:xMode val="edge"/>
          <c:yMode val="edge"/>
          <c:x val="0.12377349075549027"/>
          <c:y val="0.11035506238461322"/>
          <c:w val="0.78402423494723883"/>
          <c:h val="0.68170592914397599"/>
        </c:manualLayout>
      </c:layout>
      <c:barChart>
        <c:barDir val="col"/>
        <c:grouping val="clustered"/>
        <c:varyColors val="0"/>
        <c:ser>
          <c:idx val="0"/>
          <c:order val="0"/>
          <c:tx>
            <c:strRef>
              <c:f>'Data input'!$B$2</c:f>
              <c:strCache>
                <c:ptCount val="1"/>
                <c:pt idx="0">
                  <c:v>2018/19</c:v>
                </c:pt>
              </c:strCache>
            </c:strRef>
          </c:tx>
          <c:spPr>
            <a:solidFill>
              <a:srgbClr val="9999FF"/>
            </a:solidFill>
            <a:ln w="12700">
              <a:solidFill>
                <a:srgbClr val="000000"/>
              </a:solidFill>
              <a:prstDash val="solid"/>
            </a:ln>
          </c:spPr>
          <c:invertIfNegative val="0"/>
          <c:val>
            <c:numRef>
              <c:f>'Data input'!$B$3:$B$10</c:f>
              <c:numCache>
                <c:formatCode>General</c:formatCode>
                <c:ptCount val="8"/>
                <c:pt idx="0">
                  <c:v>278.5</c:v>
                </c:pt>
                <c:pt idx="1">
                  <c:v>104.4</c:v>
                </c:pt>
                <c:pt idx="2" formatCode="#,##0.00">
                  <c:v>63114.7</c:v>
                </c:pt>
                <c:pt idx="3" formatCode="#,##0.00">
                  <c:v>1967.7</c:v>
                </c:pt>
                <c:pt idx="4" formatCode="#,##0.00">
                  <c:v>15708.1</c:v>
                </c:pt>
                <c:pt idx="5" formatCode="#,##0.00">
                  <c:v>3863.7</c:v>
                </c:pt>
              </c:numCache>
            </c:numRef>
          </c:val>
          <c:extLst xmlns:c16r2="http://schemas.microsoft.com/office/drawing/2015/06/chart">
            <c:ext xmlns:c16="http://schemas.microsoft.com/office/drawing/2014/chart" uri="{C3380CC4-5D6E-409C-BE32-E72D297353CC}">
              <c16:uniqueId val="{00000000-F343-475E-B246-396F8C9DB7B7}"/>
            </c:ext>
          </c:extLst>
        </c:ser>
        <c:ser>
          <c:idx val="1"/>
          <c:order val="1"/>
          <c:tx>
            <c:strRef>
              <c:f>'Data input'!$C$2</c:f>
              <c:strCache>
                <c:ptCount val="1"/>
                <c:pt idx="0">
                  <c:v>2019/20</c:v>
                </c:pt>
              </c:strCache>
            </c:strRef>
          </c:tx>
          <c:spPr>
            <a:solidFill>
              <a:srgbClr val="993366"/>
            </a:solidFill>
            <a:ln w="12700">
              <a:solidFill>
                <a:srgbClr val="000000"/>
              </a:solidFill>
              <a:prstDash val="solid"/>
            </a:ln>
          </c:spPr>
          <c:invertIfNegative val="0"/>
          <c:val>
            <c:numRef>
              <c:f>'Data input'!$C$3:$C$10</c:f>
              <c:numCache>
                <c:formatCode>General</c:formatCode>
                <c:ptCount val="8"/>
                <c:pt idx="0">
                  <c:v>275.7</c:v>
                </c:pt>
                <c:pt idx="1">
                  <c:v>966.6</c:v>
                </c:pt>
                <c:pt idx="2" formatCode="#,##0.00">
                  <c:v>69370.3</c:v>
                </c:pt>
                <c:pt idx="3">
                  <c:v>761.2</c:v>
                </c:pt>
                <c:pt idx="4" formatCode="#,##0.00">
                  <c:v>15259.8</c:v>
                </c:pt>
                <c:pt idx="5" formatCode="#,##0.00">
                  <c:v>4084.1</c:v>
                </c:pt>
              </c:numCache>
            </c:numRef>
          </c:val>
          <c:extLst xmlns:c16r2="http://schemas.microsoft.com/office/drawing/2015/06/chart">
            <c:ext xmlns:c16="http://schemas.microsoft.com/office/drawing/2014/chart" uri="{C3380CC4-5D6E-409C-BE32-E72D297353CC}">
              <c16:uniqueId val="{00000001-F343-475E-B246-396F8C9DB7B7}"/>
            </c:ext>
          </c:extLst>
        </c:ser>
        <c:dLbls>
          <c:showLegendKey val="0"/>
          <c:showVal val="0"/>
          <c:showCatName val="0"/>
          <c:showSerName val="0"/>
          <c:showPercent val="0"/>
          <c:showBubbleSize val="0"/>
        </c:dLbls>
        <c:gapWidth val="150"/>
        <c:axId val="66681088"/>
        <c:axId val="66691456"/>
      </c:barChart>
      <c:catAx>
        <c:axId val="6668108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6691456"/>
        <c:crosses val="autoZero"/>
        <c:auto val="1"/>
        <c:lblAlgn val="ctr"/>
        <c:lblOffset val="100"/>
        <c:tickLblSkip val="1"/>
        <c:tickMarkSkip val="1"/>
        <c:noMultiLvlLbl val="0"/>
      </c:catAx>
      <c:valAx>
        <c:axId val="66691456"/>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R' million</a:t>
                </a:r>
              </a:p>
            </c:rich>
          </c:tx>
          <c:layout>
            <c:manualLayout>
              <c:xMode val="edge"/>
              <c:yMode val="edge"/>
              <c:x val="2.3668639053254437E-2"/>
              <c:y val="0.4436100750564073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6681088"/>
        <c:crosses val="autoZero"/>
        <c:crossBetween val="between"/>
      </c:valAx>
      <c:spPr>
        <a:noFill/>
        <a:ln w="25400">
          <a:noFill/>
        </a:ln>
      </c:spPr>
    </c:plotArea>
    <c:legend>
      <c:legendPos val="r"/>
      <c:layout>
        <c:manualLayout>
          <c:xMode val="edge"/>
          <c:yMode val="edge"/>
          <c:x val="0.84174408672288736"/>
          <c:y val="7.0190173596721459E-2"/>
          <c:w val="8.7280902017425332E-2"/>
          <c:h val="0.10025378406646539"/>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ZA"/>
              <a:t>Administration</a:t>
            </a:r>
          </a:p>
        </c:rich>
      </c:tx>
      <c:layout>
        <c:manualLayout>
          <c:xMode val="edge"/>
          <c:yMode val="edge"/>
          <c:x val="0.41420149404401374"/>
          <c:y val="3.2581453634085211E-2"/>
        </c:manualLayout>
      </c:layout>
      <c:overlay val="0"/>
      <c:spPr>
        <a:noFill/>
        <a:ln w="25400">
          <a:noFill/>
        </a:ln>
      </c:spPr>
    </c:title>
    <c:autoTitleDeleted val="0"/>
    <c:plotArea>
      <c:layout>
        <c:manualLayout>
          <c:layoutTarget val="inner"/>
          <c:xMode val="edge"/>
          <c:yMode val="edge"/>
          <c:x val="0.12820513267882286"/>
          <c:y val="7.6564936610256179E-2"/>
          <c:w val="0.78402423494723883"/>
          <c:h val="0.61788009087563145"/>
        </c:manualLayout>
      </c:layout>
      <c:barChart>
        <c:barDir val="col"/>
        <c:grouping val="clustered"/>
        <c:varyColors val="0"/>
        <c:ser>
          <c:idx val="0"/>
          <c:order val="0"/>
          <c:tx>
            <c:strRef>
              <c:f>'Data input'!$B$2</c:f>
              <c:strCache>
                <c:ptCount val="1"/>
                <c:pt idx="0">
                  <c:v>2018/19</c:v>
                </c:pt>
              </c:strCache>
            </c:strRef>
          </c:tx>
          <c:spPr>
            <a:solidFill>
              <a:srgbClr val="9999FF"/>
            </a:solidFill>
            <a:ln w="12700">
              <a:solidFill>
                <a:srgbClr val="000000"/>
              </a:solidFill>
              <a:prstDash val="solid"/>
            </a:ln>
          </c:spPr>
          <c:invertIfNegative val="0"/>
          <c:val>
            <c:numRef>
              <c:f>'Data input'!$B$3:$B$8</c:f>
              <c:numCache>
                <c:formatCode>###\ ###\ ##0.0</c:formatCode>
                <c:ptCount val="6"/>
                <c:pt idx="0">
                  <c:v>36488</c:v>
                </c:pt>
                <c:pt idx="1">
                  <c:v>18447</c:v>
                </c:pt>
                <c:pt idx="2">
                  <c:v>126606</c:v>
                </c:pt>
                <c:pt idx="3">
                  <c:v>35421</c:v>
                </c:pt>
                <c:pt idx="4">
                  <c:v>12972</c:v>
                </c:pt>
                <c:pt idx="5">
                  <c:v>48522</c:v>
                </c:pt>
              </c:numCache>
            </c:numRef>
          </c:val>
          <c:extLst xmlns:c16r2="http://schemas.microsoft.com/office/drawing/2015/06/chart">
            <c:ext xmlns:c16="http://schemas.microsoft.com/office/drawing/2014/chart" uri="{C3380CC4-5D6E-409C-BE32-E72D297353CC}">
              <c16:uniqueId val="{00000000-749D-4A9E-9705-7154B56D4BFA}"/>
            </c:ext>
          </c:extLst>
        </c:ser>
        <c:ser>
          <c:idx val="1"/>
          <c:order val="1"/>
          <c:tx>
            <c:strRef>
              <c:f>'Data input'!$C$2</c:f>
              <c:strCache>
                <c:ptCount val="1"/>
                <c:pt idx="0">
                  <c:v>2019/20</c:v>
                </c:pt>
              </c:strCache>
            </c:strRef>
          </c:tx>
          <c:spPr>
            <a:solidFill>
              <a:srgbClr val="993366"/>
            </a:solidFill>
            <a:ln w="12700">
              <a:solidFill>
                <a:srgbClr val="000000"/>
              </a:solidFill>
              <a:prstDash val="solid"/>
            </a:ln>
          </c:spPr>
          <c:invertIfNegative val="0"/>
          <c:val>
            <c:numRef>
              <c:f>'Data input'!$C$3:$C$8</c:f>
              <c:numCache>
                <c:formatCode>###\ ###\ ##0.0</c:formatCode>
                <c:ptCount val="6"/>
                <c:pt idx="0">
                  <c:v>31505</c:v>
                </c:pt>
                <c:pt idx="1">
                  <c:v>19775</c:v>
                </c:pt>
                <c:pt idx="2">
                  <c:v>121095</c:v>
                </c:pt>
                <c:pt idx="3">
                  <c:v>43347</c:v>
                </c:pt>
                <c:pt idx="4">
                  <c:v>14555</c:v>
                </c:pt>
                <c:pt idx="5">
                  <c:v>45431</c:v>
                </c:pt>
              </c:numCache>
            </c:numRef>
          </c:val>
          <c:extLst xmlns:c16r2="http://schemas.microsoft.com/office/drawing/2015/06/chart">
            <c:ext xmlns:c16="http://schemas.microsoft.com/office/drawing/2014/chart" uri="{C3380CC4-5D6E-409C-BE32-E72D297353CC}">
              <c16:uniqueId val="{00000001-749D-4A9E-9705-7154B56D4BFA}"/>
            </c:ext>
          </c:extLst>
        </c:ser>
        <c:dLbls>
          <c:showLegendKey val="0"/>
          <c:showVal val="0"/>
          <c:showCatName val="0"/>
          <c:showSerName val="0"/>
          <c:showPercent val="0"/>
          <c:showBubbleSize val="0"/>
        </c:dLbls>
        <c:gapWidth val="150"/>
        <c:axId val="74277248"/>
        <c:axId val="74279168"/>
      </c:barChart>
      <c:catAx>
        <c:axId val="742772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Sub-Programmes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4279168"/>
        <c:crosses val="autoZero"/>
        <c:auto val="1"/>
        <c:lblAlgn val="ctr"/>
        <c:lblOffset val="100"/>
        <c:tickLblSkip val="1"/>
        <c:tickMarkSkip val="1"/>
        <c:noMultiLvlLbl val="0"/>
      </c:catAx>
      <c:valAx>
        <c:axId val="74279168"/>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R' million</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4277248"/>
        <c:crosses val="autoZero"/>
        <c:crossBetween val="between"/>
      </c:valAx>
      <c:spPr>
        <a:noFill/>
        <a:ln w="25400">
          <a:noFill/>
        </a:ln>
      </c:spPr>
    </c:plotArea>
    <c:legend>
      <c:legendPos val="r"/>
      <c:layout>
        <c:manualLayout>
          <c:xMode val="edge"/>
          <c:yMode val="edge"/>
          <c:x val="0.84174408672288736"/>
          <c:y val="7.0190173596721459E-2"/>
          <c:w val="8.7280902017425332E-2"/>
          <c:h val="0.10025378406646539"/>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ZA"/>
              <a:t>Regional</a:t>
            </a:r>
            <a:r>
              <a:rPr lang="en-ZA" baseline="0"/>
              <a:t> and Urban Development and Legislative Support </a:t>
            </a:r>
            <a:endParaRPr lang="en-ZA"/>
          </a:p>
        </c:rich>
      </c:tx>
      <c:layout>
        <c:manualLayout>
          <c:xMode val="edge"/>
          <c:yMode val="edge"/>
          <c:x val="0.15761134500332372"/>
          <c:y val="4.0090225252723828E-2"/>
        </c:manualLayout>
      </c:layout>
      <c:overlay val="0"/>
      <c:spPr>
        <a:noFill/>
        <a:ln w="25400">
          <a:noFill/>
        </a:ln>
      </c:spPr>
    </c:title>
    <c:autoTitleDeleted val="0"/>
    <c:plotArea>
      <c:layout>
        <c:manualLayout>
          <c:layoutTarget val="inner"/>
          <c:xMode val="edge"/>
          <c:yMode val="edge"/>
          <c:x val="0.12820512820512819"/>
          <c:y val="0.17042632828791138"/>
          <c:w val="0.78402423494723883"/>
          <c:h val="0.68170592914397599"/>
        </c:manualLayout>
      </c:layout>
      <c:barChart>
        <c:barDir val="col"/>
        <c:grouping val="clustered"/>
        <c:varyColors val="0"/>
        <c:ser>
          <c:idx val="0"/>
          <c:order val="0"/>
          <c:tx>
            <c:strRef>
              <c:f>'Data input'!$B$2</c:f>
              <c:strCache>
                <c:ptCount val="1"/>
                <c:pt idx="0">
                  <c:v>2018/19</c:v>
                </c:pt>
              </c:strCache>
            </c:strRef>
          </c:tx>
          <c:spPr>
            <a:solidFill>
              <a:srgbClr val="9999FF"/>
            </a:solidFill>
            <a:ln w="12700">
              <a:solidFill>
                <a:srgbClr val="000000"/>
              </a:solidFill>
              <a:prstDash val="solid"/>
            </a:ln>
          </c:spPr>
          <c:invertIfNegative val="0"/>
          <c:val>
            <c:numRef>
              <c:f>'Data input'!$B$3:$B$10</c:f>
              <c:numCache>
                <c:formatCode>###\ ###\ ##0.0</c:formatCode>
                <c:ptCount val="8"/>
                <c:pt idx="0">
                  <c:v>1414</c:v>
                </c:pt>
                <c:pt idx="1">
                  <c:v>6329</c:v>
                </c:pt>
                <c:pt idx="2">
                  <c:v>13098</c:v>
                </c:pt>
                <c:pt idx="3">
                  <c:v>11527</c:v>
                </c:pt>
                <c:pt idx="4">
                  <c:v>7086</c:v>
                </c:pt>
                <c:pt idx="5">
                  <c:v>55568</c:v>
                </c:pt>
                <c:pt idx="6">
                  <c:v>9353</c:v>
                </c:pt>
              </c:numCache>
            </c:numRef>
          </c:val>
          <c:extLst xmlns:c16r2="http://schemas.microsoft.com/office/drawing/2015/06/chart">
            <c:ext xmlns:c16="http://schemas.microsoft.com/office/drawing/2014/chart" uri="{C3380CC4-5D6E-409C-BE32-E72D297353CC}">
              <c16:uniqueId val="{00000000-BF87-4E60-9BFD-02E5ECAFEF9E}"/>
            </c:ext>
          </c:extLst>
        </c:ser>
        <c:ser>
          <c:idx val="1"/>
          <c:order val="1"/>
          <c:tx>
            <c:strRef>
              <c:f>'Data input'!$C$2</c:f>
              <c:strCache>
                <c:ptCount val="1"/>
                <c:pt idx="0">
                  <c:v>2019/20</c:v>
                </c:pt>
              </c:strCache>
            </c:strRef>
          </c:tx>
          <c:spPr>
            <a:solidFill>
              <a:srgbClr val="993366"/>
            </a:solidFill>
            <a:ln w="12700">
              <a:solidFill>
                <a:srgbClr val="000000"/>
              </a:solidFill>
              <a:prstDash val="solid"/>
            </a:ln>
          </c:spPr>
          <c:invertIfNegative val="0"/>
          <c:val>
            <c:numRef>
              <c:f>'Data input'!$C$3:$C$10</c:f>
              <c:numCache>
                <c:formatCode>###\ ###\ ##0.0</c:formatCode>
                <c:ptCount val="8"/>
                <c:pt idx="0">
                  <c:v>3653</c:v>
                </c:pt>
                <c:pt idx="1">
                  <c:v>6742</c:v>
                </c:pt>
                <c:pt idx="2">
                  <c:v>11255</c:v>
                </c:pt>
                <c:pt idx="3">
                  <c:v>12268</c:v>
                </c:pt>
                <c:pt idx="4">
                  <c:v>11453</c:v>
                </c:pt>
                <c:pt idx="5">
                  <c:v>56568</c:v>
                </c:pt>
                <c:pt idx="6">
                  <c:v>7765</c:v>
                </c:pt>
                <c:pt idx="7">
                  <c:v>856895</c:v>
                </c:pt>
              </c:numCache>
            </c:numRef>
          </c:val>
          <c:extLst xmlns:c16r2="http://schemas.microsoft.com/office/drawing/2015/06/chart">
            <c:ext xmlns:c16="http://schemas.microsoft.com/office/drawing/2014/chart" uri="{C3380CC4-5D6E-409C-BE32-E72D297353CC}">
              <c16:uniqueId val="{00000001-BF87-4E60-9BFD-02E5ECAFEF9E}"/>
            </c:ext>
          </c:extLst>
        </c:ser>
        <c:dLbls>
          <c:showLegendKey val="0"/>
          <c:showVal val="0"/>
          <c:showCatName val="0"/>
          <c:showSerName val="0"/>
          <c:showPercent val="0"/>
          <c:showBubbleSize val="0"/>
        </c:dLbls>
        <c:gapWidth val="150"/>
        <c:axId val="74310016"/>
        <c:axId val="74311936"/>
      </c:barChart>
      <c:catAx>
        <c:axId val="7431001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Sub-Programmes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4311936"/>
        <c:crosses val="autoZero"/>
        <c:auto val="1"/>
        <c:lblAlgn val="ctr"/>
        <c:lblOffset val="100"/>
        <c:tickLblSkip val="1"/>
        <c:tickMarkSkip val="1"/>
        <c:noMultiLvlLbl val="0"/>
      </c:catAx>
      <c:valAx>
        <c:axId val="74311936"/>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R' million</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4310016"/>
        <c:crosses val="autoZero"/>
        <c:crossBetween val="between"/>
      </c:valAx>
      <c:spPr>
        <a:noFill/>
        <a:ln w="25400">
          <a:noFill/>
        </a:ln>
      </c:spPr>
    </c:plotArea>
    <c:legend>
      <c:legendPos val="r"/>
      <c:layout>
        <c:manualLayout>
          <c:xMode val="edge"/>
          <c:yMode val="edge"/>
          <c:x val="0.84174408672288736"/>
          <c:y val="7.0190173596721459E-2"/>
          <c:w val="8.7280902017425332E-2"/>
          <c:h val="0.10025378406646539"/>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ZA"/>
              <a:t>Institutional</a:t>
            </a:r>
            <a:r>
              <a:rPr lang="en-ZA" baseline="0"/>
              <a:t> Development</a:t>
            </a:r>
          </a:p>
        </c:rich>
      </c:tx>
      <c:layout>
        <c:manualLayout>
          <c:xMode val="edge"/>
          <c:yMode val="edge"/>
          <c:x val="0.41420149404401374"/>
          <c:y val="3.2581453634085211E-2"/>
        </c:manualLayout>
      </c:layout>
      <c:overlay val="0"/>
      <c:spPr>
        <a:noFill/>
        <a:ln w="25400">
          <a:noFill/>
        </a:ln>
      </c:spPr>
    </c:title>
    <c:autoTitleDeleted val="0"/>
    <c:plotArea>
      <c:layout>
        <c:manualLayout>
          <c:layoutTarget val="inner"/>
          <c:xMode val="edge"/>
          <c:yMode val="edge"/>
          <c:x val="0.12820512820512819"/>
          <c:y val="0.17042632828791138"/>
          <c:w val="0.78402423494723883"/>
          <c:h val="0.68170592914397599"/>
        </c:manualLayout>
      </c:layout>
      <c:barChart>
        <c:barDir val="col"/>
        <c:grouping val="clustered"/>
        <c:varyColors val="0"/>
        <c:ser>
          <c:idx val="0"/>
          <c:order val="0"/>
          <c:tx>
            <c:strRef>
              <c:f>'Data input'!$B$2</c:f>
              <c:strCache>
                <c:ptCount val="1"/>
                <c:pt idx="0">
                  <c:v>2018/19</c:v>
                </c:pt>
              </c:strCache>
            </c:strRef>
          </c:tx>
          <c:spPr>
            <a:solidFill>
              <a:srgbClr val="9999FF"/>
            </a:solidFill>
            <a:ln w="12700">
              <a:solidFill>
                <a:srgbClr val="000000"/>
              </a:solidFill>
              <a:prstDash val="solid"/>
            </a:ln>
          </c:spPr>
          <c:invertIfNegative val="0"/>
          <c:val>
            <c:numRef>
              <c:f>'Data input'!$B$3:$B$13</c:f>
              <c:numCache>
                <c:formatCode>###\ ###\ ##0.0</c:formatCode>
                <c:ptCount val="11"/>
                <c:pt idx="0">
                  <c:v>2493</c:v>
                </c:pt>
                <c:pt idx="1">
                  <c:v>10203</c:v>
                </c:pt>
                <c:pt idx="2">
                  <c:v>25955</c:v>
                </c:pt>
                <c:pt idx="3">
                  <c:v>7304</c:v>
                </c:pt>
                <c:pt idx="4">
                  <c:v>6674</c:v>
                </c:pt>
                <c:pt idx="5">
                  <c:v>11958</c:v>
                </c:pt>
                <c:pt idx="6">
                  <c:v>62731845</c:v>
                </c:pt>
                <c:pt idx="7">
                  <c:v>33100</c:v>
                </c:pt>
                <c:pt idx="8">
                  <c:v>115116</c:v>
                </c:pt>
                <c:pt idx="9">
                  <c:v>163306</c:v>
                </c:pt>
                <c:pt idx="10">
                  <c:v>6782</c:v>
                </c:pt>
              </c:numCache>
            </c:numRef>
          </c:val>
          <c:extLst xmlns:c16r2="http://schemas.microsoft.com/office/drawing/2015/06/chart">
            <c:ext xmlns:c16="http://schemas.microsoft.com/office/drawing/2014/chart" uri="{C3380CC4-5D6E-409C-BE32-E72D297353CC}">
              <c16:uniqueId val="{00000000-4C0A-4C75-9045-8F41149F9215}"/>
            </c:ext>
          </c:extLst>
        </c:ser>
        <c:ser>
          <c:idx val="1"/>
          <c:order val="1"/>
          <c:tx>
            <c:strRef>
              <c:f>'Data input'!$C$2</c:f>
              <c:strCache>
                <c:ptCount val="1"/>
                <c:pt idx="0">
                  <c:v>2019/20</c:v>
                </c:pt>
              </c:strCache>
            </c:strRef>
          </c:tx>
          <c:spPr>
            <a:solidFill>
              <a:srgbClr val="993366"/>
            </a:solidFill>
            <a:ln w="12700">
              <a:solidFill>
                <a:srgbClr val="000000"/>
              </a:solidFill>
              <a:prstDash val="solid"/>
            </a:ln>
          </c:spPr>
          <c:invertIfNegative val="0"/>
          <c:val>
            <c:numRef>
              <c:f>'Data input'!$C$3:$C$13</c:f>
              <c:numCache>
                <c:formatCode>###\ ###\ ##0.0</c:formatCode>
                <c:ptCount val="11"/>
                <c:pt idx="0">
                  <c:v>3637</c:v>
                </c:pt>
                <c:pt idx="1">
                  <c:v>10419</c:v>
                </c:pt>
                <c:pt idx="2">
                  <c:v>31154</c:v>
                </c:pt>
                <c:pt idx="3">
                  <c:v>7526</c:v>
                </c:pt>
                <c:pt idx="4">
                  <c:v>5678</c:v>
                </c:pt>
                <c:pt idx="5">
                  <c:v>12494</c:v>
                </c:pt>
                <c:pt idx="6">
                  <c:v>68973465</c:v>
                </c:pt>
                <c:pt idx="7">
                  <c:v>33879</c:v>
                </c:pt>
                <c:pt idx="8">
                  <c:v>121562</c:v>
                </c:pt>
                <c:pt idx="9">
                  <c:v>163351</c:v>
                </c:pt>
                <c:pt idx="10">
                  <c:v>7162</c:v>
                </c:pt>
              </c:numCache>
            </c:numRef>
          </c:val>
          <c:extLst xmlns:c16r2="http://schemas.microsoft.com/office/drawing/2015/06/chart">
            <c:ext xmlns:c16="http://schemas.microsoft.com/office/drawing/2014/chart" uri="{C3380CC4-5D6E-409C-BE32-E72D297353CC}">
              <c16:uniqueId val="{00000001-4C0A-4C75-9045-8F41149F9215}"/>
            </c:ext>
          </c:extLst>
        </c:ser>
        <c:dLbls>
          <c:showLegendKey val="0"/>
          <c:showVal val="0"/>
          <c:showCatName val="0"/>
          <c:showSerName val="0"/>
          <c:showPercent val="0"/>
          <c:showBubbleSize val="0"/>
        </c:dLbls>
        <c:gapWidth val="150"/>
        <c:axId val="66953600"/>
        <c:axId val="66955520"/>
      </c:barChart>
      <c:catAx>
        <c:axId val="6695360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Sub-Programmes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6955520"/>
        <c:crosses val="autoZero"/>
        <c:auto val="1"/>
        <c:lblAlgn val="ctr"/>
        <c:lblOffset val="100"/>
        <c:tickLblSkip val="1"/>
        <c:tickMarkSkip val="1"/>
        <c:noMultiLvlLbl val="0"/>
      </c:catAx>
      <c:valAx>
        <c:axId val="66955520"/>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R' million</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6953600"/>
        <c:crosses val="autoZero"/>
        <c:crossBetween val="between"/>
      </c:valAx>
      <c:spPr>
        <a:noFill/>
        <a:ln w="25400">
          <a:noFill/>
        </a:ln>
      </c:spPr>
    </c:plotArea>
    <c:legend>
      <c:legendPos val="r"/>
      <c:layout>
        <c:manualLayout>
          <c:xMode val="edge"/>
          <c:yMode val="edge"/>
          <c:x val="0.84174408672288736"/>
          <c:y val="7.0190173596721459E-2"/>
          <c:w val="8.7280902017425332E-2"/>
          <c:h val="0.10025378406646539"/>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ZA"/>
              <a:t>National</a:t>
            </a:r>
            <a:r>
              <a:rPr lang="en-ZA" baseline="0"/>
              <a:t> Disaster Management Centre</a:t>
            </a:r>
            <a:endParaRPr lang="en-ZA"/>
          </a:p>
        </c:rich>
      </c:tx>
      <c:layout>
        <c:manualLayout>
          <c:xMode val="edge"/>
          <c:yMode val="edge"/>
          <c:x val="0.3144895498742914"/>
          <c:y val="3.2581308413977821E-2"/>
        </c:manualLayout>
      </c:layout>
      <c:overlay val="0"/>
      <c:spPr>
        <a:noFill/>
        <a:ln w="25400">
          <a:noFill/>
        </a:ln>
      </c:spPr>
    </c:title>
    <c:autoTitleDeleted val="0"/>
    <c:plotArea>
      <c:layout>
        <c:manualLayout>
          <c:layoutTarget val="inner"/>
          <c:xMode val="edge"/>
          <c:yMode val="edge"/>
          <c:x val="0.12820512820512819"/>
          <c:y val="0.17042632828791138"/>
          <c:w val="0.78402423494723883"/>
          <c:h val="0.68170592914397599"/>
        </c:manualLayout>
      </c:layout>
      <c:barChart>
        <c:barDir val="col"/>
        <c:grouping val="clustered"/>
        <c:varyColors val="0"/>
        <c:ser>
          <c:idx val="0"/>
          <c:order val="0"/>
          <c:tx>
            <c:strRef>
              <c:f>'Data input'!$B$2</c:f>
              <c:strCache>
                <c:ptCount val="1"/>
                <c:pt idx="0">
                  <c:v>2018/19</c:v>
                </c:pt>
              </c:strCache>
            </c:strRef>
          </c:tx>
          <c:spPr>
            <a:solidFill>
              <a:srgbClr val="9999FF"/>
            </a:solidFill>
            <a:ln w="12700">
              <a:solidFill>
                <a:srgbClr val="000000"/>
              </a:solidFill>
              <a:prstDash val="solid"/>
            </a:ln>
          </c:spPr>
          <c:invertIfNegative val="0"/>
          <c:val>
            <c:numRef>
              <c:f>'Data input'!$B$3:$B$11</c:f>
              <c:numCache>
                <c:formatCode>###\ ###\ ##0.0</c:formatCode>
                <c:ptCount val="9"/>
                <c:pt idx="0">
                  <c:v>4101</c:v>
                </c:pt>
                <c:pt idx="1">
                  <c:v>51592</c:v>
                </c:pt>
                <c:pt idx="2">
                  <c:v>6352</c:v>
                </c:pt>
                <c:pt idx="3">
                  <c:v>3405</c:v>
                </c:pt>
                <c:pt idx="4">
                  <c:v>3259</c:v>
                </c:pt>
                <c:pt idx="5">
                  <c:v>19648</c:v>
                </c:pt>
                <c:pt idx="6">
                  <c:v>672871</c:v>
                </c:pt>
                <c:pt idx="7">
                  <c:v>1190136</c:v>
                </c:pt>
                <c:pt idx="8">
                  <c:v>16304</c:v>
                </c:pt>
              </c:numCache>
            </c:numRef>
          </c:val>
          <c:extLst xmlns:c16r2="http://schemas.microsoft.com/office/drawing/2015/06/chart">
            <c:ext xmlns:c16="http://schemas.microsoft.com/office/drawing/2014/chart" uri="{C3380CC4-5D6E-409C-BE32-E72D297353CC}">
              <c16:uniqueId val="{00000000-5C87-495F-9E45-DBE477615D11}"/>
            </c:ext>
          </c:extLst>
        </c:ser>
        <c:ser>
          <c:idx val="1"/>
          <c:order val="1"/>
          <c:tx>
            <c:strRef>
              <c:f>'Data input'!$C$2</c:f>
              <c:strCache>
                <c:ptCount val="1"/>
                <c:pt idx="0">
                  <c:v>2019/20</c:v>
                </c:pt>
              </c:strCache>
            </c:strRef>
          </c:tx>
          <c:spPr>
            <a:solidFill>
              <a:srgbClr val="993366"/>
            </a:solidFill>
            <a:ln w="12700">
              <a:solidFill>
                <a:srgbClr val="000000"/>
              </a:solidFill>
              <a:prstDash val="solid"/>
            </a:ln>
          </c:spPr>
          <c:invertIfNegative val="0"/>
          <c:val>
            <c:numRef>
              <c:f>'Data input'!$C$3:$C$11</c:f>
              <c:numCache>
                <c:formatCode>###\ ###\ ##0.0</c:formatCode>
                <c:ptCount val="9"/>
                <c:pt idx="0">
                  <c:v>4070</c:v>
                </c:pt>
                <c:pt idx="1">
                  <c:v>51785</c:v>
                </c:pt>
                <c:pt idx="2">
                  <c:v>6785</c:v>
                </c:pt>
                <c:pt idx="3">
                  <c:v>4834</c:v>
                </c:pt>
                <c:pt idx="4">
                  <c:v>4712</c:v>
                </c:pt>
                <c:pt idx="5">
                  <c:v>28700</c:v>
                </c:pt>
                <c:pt idx="6">
                  <c:v>466392</c:v>
                </c:pt>
                <c:pt idx="7">
                  <c:v>193953</c:v>
                </c:pt>
                <c:pt idx="8">
                  <c:v>0</c:v>
                </c:pt>
              </c:numCache>
            </c:numRef>
          </c:val>
          <c:extLst xmlns:c16r2="http://schemas.microsoft.com/office/drawing/2015/06/chart">
            <c:ext xmlns:c16="http://schemas.microsoft.com/office/drawing/2014/chart" uri="{C3380CC4-5D6E-409C-BE32-E72D297353CC}">
              <c16:uniqueId val="{00000001-5C87-495F-9E45-DBE477615D11}"/>
            </c:ext>
          </c:extLst>
        </c:ser>
        <c:dLbls>
          <c:showLegendKey val="0"/>
          <c:showVal val="0"/>
          <c:showCatName val="0"/>
          <c:showSerName val="0"/>
          <c:showPercent val="0"/>
          <c:showBubbleSize val="0"/>
        </c:dLbls>
        <c:gapWidth val="150"/>
        <c:axId val="75047296"/>
        <c:axId val="75049216"/>
      </c:barChart>
      <c:catAx>
        <c:axId val="7504729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Sub-Programmes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5049216"/>
        <c:crosses val="autoZero"/>
        <c:auto val="1"/>
        <c:lblAlgn val="ctr"/>
        <c:lblOffset val="100"/>
        <c:tickLblSkip val="1"/>
        <c:tickMarkSkip val="1"/>
        <c:noMultiLvlLbl val="0"/>
      </c:catAx>
      <c:valAx>
        <c:axId val="75049216"/>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R' million</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5047296"/>
        <c:crosses val="autoZero"/>
        <c:crossBetween val="between"/>
      </c:valAx>
      <c:spPr>
        <a:noFill/>
        <a:ln w="25400">
          <a:noFill/>
        </a:ln>
      </c:spPr>
    </c:plotArea>
    <c:legend>
      <c:legendPos val="r"/>
      <c:layout>
        <c:manualLayout>
          <c:xMode val="edge"/>
          <c:yMode val="edge"/>
          <c:x val="0.84174408672288736"/>
          <c:y val="7.0190173596721459E-2"/>
          <c:w val="8.7280902017425332E-2"/>
          <c:h val="0.10025378406646539"/>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ZA"/>
              <a:t>Local</a:t>
            </a:r>
            <a:r>
              <a:rPr lang="en-ZA" baseline="0"/>
              <a:t> Government Support and Intervention Management</a:t>
            </a:r>
            <a:endParaRPr lang="en-ZA"/>
          </a:p>
        </c:rich>
      </c:tx>
      <c:layout>
        <c:manualLayout>
          <c:xMode val="edge"/>
          <c:yMode val="edge"/>
          <c:x val="0.20146244183469972"/>
          <c:y val="4.7599142091469843E-2"/>
        </c:manualLayout>
      </c:layout>
      <c:overlay val="0"/>
      <c:spPr>
        <a:noFill/>
        <a:ln w="25400">
          <a:noFill/>
        </a:ln>
      </c:spPr>
    </c:title>
    <c:autoTitleDeleted val="0"/>
    <c:plotArea>
      <c:layout>
        <c:manualLayout>
          <c:layoutTarget val="inner"/>
          <c:xMode val="edge"/>
          <c:yMode val="edge"/>
          <c:x val="0.12820512820512819"/>
          <c:y val="0.17042632828791138"/>
          <c:w val="0.78402423494723883"/>
          <c:h val="0.68170592914397599"/>
        </c:manualLayout>
      </c:layout>
      <c:barChart>
        <c:barDir val="col"/>
        <c:grouping val="clustered"/>
        <c:varyColors val="0"/>
        <c:ser>
          <c:idx val="0"/>
          <c:order val="0"/>
          <c:tx>
            <c:strRef>
              <c:f>'Data input'!$B$2</c:f>
              <c:strCache>
                <c:ptCount val="1"/>
                <c:pt idx="0">
                  <c:v>2018/19</c:v>
                </c:pt>
              </c:strCache>
            </c:strRef>
          </c:tx>
          <c:spPr>
            <a:solidFill>
              <a:srgbClr val="9999FF"/>
            </a:solidFill>
            <a:ln w="12700">
              <a:solidFill>
                <a:srgbClr val="000000"/>
              </a:solidFill>
              <a:prstDash val="solid"/>
            </a:ln>
          </c:spPr>
          <c:invertIfNegative val="0"/>
          <c:val>
            <c:numRef>
              <c:f>'Data input'!$B$3:$B$9</c:f>
              <c:numCache>
                <c:formatCode>###\ ###\ ##0.0</c:formatCode>
                <c:ptCount val="7"/>
                <c:pt idx="0">
                  <c:v>3501</c:v>
                </c:pt>
                <c:pt idx="1">
                  <c:v>6901</c:v>
                </c:pt>
                <c:pt idx="2">
                  <c:v>29477</c:v>
                </c:pt>
                <c:pt idx="3">
                  <c:v>3455</c:v>
                </c:pt>
                <c:pt idx="4">
                  <c:v>34598</c:v>
                </c:pt>
                <c:pt idx="5">
                  <c:v>15287685</c:v>
                </c:pt>
                <c:pt idx="6">
                  <c:v>342456</c:v>
                </c:pt>
              </c:numCache>
            </c:numRef>
          </c:val>
          <c:extLst xmlns:c16r2="http://schemas.microsoft.com/office/drawing/2015/06/chart">
            <c:ext xmlns:c16="http://schemas.microsoft.com/office/drawing/2014/chart" uri="{C3380CC4-5D6E-409C-BE32-E72D297353CC}">
              <c16:uniqueId val="{00000000-29B1-4A08-8667-23794816C9DD}"/>
            </c:ext>
          </c:extLst>
        </c:ser>
        <c:ser>
          <c:idx val="1"/>
          <c:order val="1"/>
          <c:tx>
            <c:strRef>
              <c:f>'Data input'!$C$2</c:f>
              <c:strCache>
                <c:ptCount val="1"/>
                <c:pt idx="0">
                  <c:v>2019/20</c:v>
                </c:pt>
              </c:strCache>
            </c:strRef>
          </c:tx>
          <c:spPr>
            <a:solidFill>
              <a:srgbClr val="993366"/>
            </a:solidFill>
            <a:ln w="12700">
              <a:solidFill>
                <a:srgbClr val="000000"/>
              </a:solidFill>
              <a:prstDash val="solid"/>
            </a:ln>
          </c:spPr>
          <c:invertIfNegative val="0"/>
          <c:val>
            <c:numRef>
              <c:f>'Data input'!$C$3:$C$9</c:f>
              <c:numCache>
                <c:formatCode>###\ ###\ ##0.0</c:formatCode>
                <c:ptCount val="7"/>
                <c:pt idx="0">
                  <c:v>3715</c:v>
                </c:pt>
                <c:pt idx="1">
                  <c:v>11907</c:v>
                </c:pt>
                <c:pt idx="2">
                  <c:v>35866</c:v>
                </c:pt>
                <c:pt idx="3">
                  <c:v>8501</c:v>
                </c:pt>
                <c:pt idx="4">
                  <c:v>39735</c:v>
                </c:pt>
                <c:pt idx="5">
                  <c:v>14816103</c:v>
                </c:pt>
                <c:pt idx="6">
                  <c:v>343976</c:v>
                </c:pt>
              </c:numCache>
            </c:numRef>
          </c:val>
          <c:extLst xmlns:c16r2="http://schemas.microsoft.com/office/drawing/2015/06/chart">
            <c:ext xmlns:c16="http://schemas.microsoft.com/office/drawing/2014/chart" uri="{C3380CC4-5D6E-409C-BE32-E72D297353CC}">
              <c16:uniqueId val="{00000001-29B1-4A08-8667-23794816C9DD}"/>
            </c:ext>
          </c:extLst>
        </c:ser>
        <c:dLbls>
          <c:showLegendKey val="0"/>
          <c:showVal val="0"/>
          <c:showCatName val="0"/>
          <c:showSerName val="0"/>
          <c:showPercent val="0"/>
          <c:showBubbleSize val="0"/>
        </c:dLbls>
        <c:gapWidth val="150"/>
        <c:axId val="75110272"/>
        <c:axId val="75132928"/>
      </c:barChart>
      <c:catAx>
        <c:axId val="7511027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Sub-Programmes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5132928"/>
        <c:crosses val="autoZero"/>
        <c:auto val="1"/>
        <c:lblAlgn val="ctr"/>
        <c:lblOffset val="100"/>
        <c:tickLblSkip val="1"/>
        <c:tickMarkSkip val="1"/>
        <c:noMultiLvlLbl val="0"/>
      </c:catAx>
      <c:valAx>
        <c:axId val="75132928"/>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R' million</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5110272"/>
        <c:crosses val="autoZero"/>
        <c:crossBetween val="between"/>
      </c:valAx>
      <c:spPr>
        <a:noFill/>
        <a:ln w="25400">
          <a:noFill/>
        </a:ln>
      </c:spPr>
    </c:plotArea>
    <c:legend>
      <c:legendPos val="r"/>
      <c:layout>
        <c:manualLayout>
          <c:xMode val="edge"/>
          <c:yMode val="edge"/>
          <c:x val="0.84174408672288736"/>
          <c:y val="7.0190173596721459E-2"/>
          <c:w val="8.7280902017425332E-2"/>
          <c:h val="0.10025378406646539"/>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ZA"/>
              <a:t>Community</a:t>
            </a:r>
            <a:r>
              <a:rPr lang="en-ZA" baseline="0"/>
              <a:t> Work Programme</a:t>
            </a:r>
            <a:endParaRPr lang="en-ZA"/>
          </a:p>
        </c:rich>
      </c:tx>
      <c:layout>
        <c:manualLayout>
          <c:xMode val="edge"/>
          <c:yMode val="edge"/>
          <c:x val="0.34329522237595322"/>
          <c:y val="2.8826849994604813E-2"/>
        </c:manualLayout>
      </c:layout>
      <c:overlay val="0"/>
      <c:spPr>
        <a:noFill/>
        <a:ln w="25400">
          <a:noFill/>
        </a:ln>
      </c:spPr>
    </c:title>
    <c:autoTitleDeleted val="0"/>
    <c:plotArea>
      <c:layout>
        <c:manualLayout>
          <c:layoutTarget val="inner"/>
          <c:xMode val="edge"/>
          <c:yMode val="edge"/>
          <c:x val="0.12820512820512819"/>
          <c:y val="0.17042632828791138"/>
          <c:w val="0.78402423494723883"/>
          <c:h val="0.68170592914397599"/>
        </c:manualLayout>
      </c:layout>
      <c:barChart>
        <c:barDir val="col"/>
        <c:grouping val="clustered"/>
        <c:varyColors val="0"/>
        <c:ser>
          <c:idx val="0"/>
          <c:order val="0"/>
          <c:tx>
            <c:strRef>
              <c:f>'Data input'!$B$2</c:f>
              <c:strCache>
                <c:ptCount val="1"/>
                <c:pt idx="0">
                  <c:v>2018/19</c:v>
                </c:pt>
              </c:strCache>
            </c:strRef>
          </c:tx>
          <c:spPr>
            <a:solidFill>
              <a:srgbClr val="9999FF"/>
            </a:solidFill>
            <a:ln w="12700">
              <a:solidFill>
                <a:srgbClr val="000000"/>
              </a:solidFill>
              <a:prstDash val="solid"/>
            </a:ln>
          </c:spPr>
          <c:invertIfNegative val="0"/>
          <c:val>
            <c:numRef>
              <c:f>'Data input'!$B$3:$B$5</c:f>
              <c:numCache>
                <c:formatCode>###\ ###\ ##0.0</c:formatCode>
                <c:ptCount val="3"/>
                <c:pt idx="0">
                  <c:v>3814134</c:v>
                </c:pt>
                <c:pt idx="1">
                  <c:v>36413</c:v>
                </c:pt>
                <c:pt idx="2">
                  <c:v>13156</c:v>
                </c:pt>
              </c:numCache>
            </c:numRef>
          </c:val>
          <c:extLst xmlns:c16r2="http://schemas.microsoft.com/office/drawing/2015/06/chart">
            <c:ext xmlns:c16="http://schemas.microsoft.com/office/drawing/2014/chart" uri="{C3380CC4-5D6E-409C-BE32-E72D297353CC}">
              <c16:uniqueId val="{00000000-8CDA-40E8-A751-71B9D37E3EFB}"/>
            </c:ext>
          </c:extLst>
        </c:ser>
        <c:ser>
          <c:idx val="1"/>
          <c:order val="1"/>
          <c:tx>
            <c:strRef>
              <c:f>'Data input'!$C$2</c:f>
              <c:strCache>
                <c:ptCount val="1"/>
                <c:pt idx="0">
                  <c:v>2019/20</c:v>
                </c:pt>
              </c:strCache>
            </c:strRef>
          </c:tx>
          <c:spPr>
            <a:solidFill>
              <a:srgbClr val="993366"/>
            </a:solidFill>
            <a:ln w="12700">
              <a:solidFill>
                <a:srgbClr val="000000"/>
              </a:solidFill>
              <a:prstDash val="solid"/>
            </a:ln>
          </c:spPr>
          <c:invertIfNegative val="0"/>
          <c:val>
            <c:numRef>
              <c:f>'Data input'!$C$3:$C$5</c:f>
              <c:numCache>
                <c:formatCode>###\ ###\ ##0.0</c:formatCode>
                <c:ptCount val="3"/>
                <c:pt idx="0">
                  <c:v>4024890</c:v>
                </c:pt>
                <c:pt idx="1">
                  <c:v>45260</c:v>
                </c:pt>
                <c:pt idx="2">
                  <c:v>13969</c:v>
                </c:pt>
              </c:numCache>
            </c:numRef>
          </c:val>
          <c:extLst xmlns:c16r2="http://schemas.microsoft.com/office/drawing/2015/06/chart">
            <c:ext xmlns:c16="http://schemas.microsoft.com/office/drawing/2014/chart" uri="{C3380CC4-5D6E-409C-BE32-E72D297353CC}">
              <c16:uniqueId val="{00000001-8CDA-40E8-A751-71B9D37E3EFB}"/>
            </c:ext>
          </c:extLst>
        </c:ser>
        <c:dLbls>
          <c:showLegendKey val="0"/>
          <c:showVal val="0"/>
          <c:showCatName val="0"/>
          <c:showSerName val="0"/>
          <c:showPercent val="0"/>
          <c:showBubbleSize val="0"/>
        </c:dLbls>
        <c:gapWidth val="150"/>
        <c:axId val="54199808"/>
        <c:axId val="54201728"/>
      </c:barChart>
      <c:catAx>
        <c:axId val="5419980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Sub-Programmes</a:t>
                </a:r>
              </a:p>
            </c:rich>
          </c:tx>
          <c:layout>
            <c:manualLayout>
              <c:xMode val="edge"/>
              <c:yMode val="edge"/>
              <c:x val="0.43639084315643978"/>
              <c:y val="0.9097765410902584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4201728"/>
        <c:crosses val="autoZero"/>
        <c:auto val="1"/>
        <c:lblAlgn val="ctr"/>
        <c:lblOffset val="100"/>
        <c:tickLblSkip val="1"/>
        <c:tickMarkSkip val="1"/>
        <c:noMultiLvlLbl val="0"/>
      </c:catAx>
      <c:valAx>
        <c:axId val="54201728"/>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R' million</a:t>
                </a:r>
              </a:p>
            </c:rich>
          </c:tx>
          <c:layout>
            <c:manualLayout>
              <c:xMode val="edge"/>
              <c:yMode val="edge"/>
              <c:x val="2.3668639053254437E-2"/>
              <c:y val="0.44361007505640737"/>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4199808"/>
        <c:crosses val="autoZero"/>
        <c:crossBetween val="between"/>
      </c:valAx>
      <c:spPr>
        <a:noFill/>
        <a:ln w="25400">
          <a:noFill/>
        </a:ln>
      </c:spPr>
    </c:plotArea>
    <c:legend>
      <c:legendPos val="r"/>
      <c:layout>
        <c:manualLayout>
          <c:xMode val="edge"/>
          <c:yMode val="edge"/>
          <c:x val="0.84174408672288736"/>
          <c:y val="7.0190173596721459E-2"/>
          <c:w val="8.7280902017425332E-2"/>
          <c:h val="0.10025378406646539"/>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D2AF7-E827-4F82-936A-50E4826B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4160</Words>
  <Characters>23718</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Asanda</cp:lastModifiedBy>
  <cp:revision>2</cp:revision>
  <cp:lastPrinted>2019-07-04T07:50:00Z</cp:lastPrinted>
  <dcterms:created xsi:type="dcterms:W3CDTF">2019-07-08T11:09:00Z</dcterms:created>
  <dcterms:modified xsi:type="dcterms:W3CDTF">2019-07-08T11:09:00Z</dcterms:modified>
</cp:coreProperties>
</file>