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25A2C" w14:textId="77777777" w:rsidR="00AD3899" w:rsidRPr="00BB5679" w:rsidRDefault="00AD3899" w:rsidP="00BB5679">
      <w:pPr>
        <w:pStyle w:val="ListParagraph"/>
        <w:numPr>
          <w:ilvl w:val="0"/>
          <w:numId w:val="37"/>
        </w:numPr>
        <w:spacing w:after="60" w:line="240" w:lineRule="auto"/>
        <w:ind w:left="450"/>
        <w:jc w:val="both"/>
        <w:rPr>
          <w:rFonts w:ascii="Times New Roman" w:eastAsia="Times New Roman" w:hAnsi="Times New Roman"/>
          <w:b/>
          <w:color w:val="000000" w:themeColor="text1"/>
          <w:sz w:val="28"/>
          <w:szCs w:val="28"/>
          <w:lang w:val="en-GB" w:eastAsia="en-GB"/>
        </w:rPr>
      </w:pPr>
      <w:bookmarkStart w:id="0" w:name="_GoBack"/>
      <w:bookmarkEnd w:id="0"/>
      <w:r w:rsidRPr="00BB5679">
        <w:rPr>
          <w:rFonts w:ascii="Times New Roman" w:eastAsia="Times New Roman" w:hAnsi="Times New Roman"/>
          <w:b/>
          <w:color w:val="000000" w:themeColor="text1"/>
          <w:sz w:val="28"/>
          <w:szCs w:val="28"/>
          <w:lang w:val="en-GB" w:eastAsia="en-GB"/>
        </w:rPr>
        <w:t>R</w:t>
      </w:r>
      <w:r w:rsidR="00BB5679">
        <w:rPr>
          <w:rFonts w:ascii="Times New Roman" w:eastAsia="Times New Roman" w:hAnsi="Times New Roman"/>
          <w:b/>
          <w:color w:val="000000" w:themeColor="text1"/>
          <w:sz w:val="28"/>
          <w:szCs w:val="28"/>
          <w:lang w:val="en-GB" w:eastAsia="en-GB"/>
        </w:rPr>
        <w:t>eport of the Portfolio Committee on Transport on Budget Vote 35: Transport</w:t>
      </w:r>
      <w:r w:rsidRPr="00BB5679">
        <w:rPr>
          <w:rFonts w:ascii="Times New Roman" w:eastAsia="Times New Roman" w:hAnsi="Times New Roman"/>
          <w:b/>
          <w:color w:val="000000" w:themeColor="text1"/>
          <w:sz w:val="28"/>
          <w:szCs w:val="28"/>
          <w:lang w:val="en-GB" w:eastAsia="en-GB"/>
        </w:rPr>
        <w:t xml:space="preserve">, </w:t>
      </w:r>
      <w:r w:rsidR="00BB5679">
        <w:rPr>
          <w:rFonts w:ascii="Times New Roman" w:eastAsia="Times New Roman" w:hAnsi="Times New Roman"/>
          <w:b/>
          <w:color w:val="000000" w:themeColor="text1"/>
          <w:sz w:val="28"/>
          <w:szCs w:val="28"/>
          <w:lang w:val="en-GB" w:eastAsia="en-GB"/>
        </w:rPr>
        <w:t>Dated 04 July</w:t>
      </w:r>
      <w:r w:rsidR="002C02BC" w:rsidRPr="00BB5679">
        <w:rPr>
          <w:rFonts w:ascii="Times New Roman" w:eastAsia="Times New Roman" w:hAnsi="Times New Roman"/>
          <w:b/>
          <w:color w:val="000000" w:themeColor="text1"/>
          <w:sz w:val="28"/>
          <w:szCs w:val="28"/>
          <w:lang w:val="en-GB" w:eastAsia="en-GB"/>
        </w:rPr>
        <w:t xml:space="preserve"> </w:t>
      </w:r>
      <w:r w:rsidR="00D86BCB" w:rsidRPr="00BB5679">
        <w:rPr>
          <w:rFonts w:ascii="Times New Roman" w:eastAsia="Times New Roman" w:hAnsi="Times New Roman"/>
          <w:b/>
          <w:color w:val="000000" w:themeColor="text1"/>
          <w:sz w:val="28"/>
          <w:szCs w:val="28"/>
          <w:lang w:val="en-GB" w:eastAsia="en-GB"/>
        </w:rPr>
        <w:t>201</w:t>
      </w:r>
      <w:r w:rsidR="002C02BC" w:rsidRPr="00BB5679">
        <w:rPr>
          <w:rFonts w:ascii="Times New Roman" w:eastAsia="Times New Roman" w:hAnsi="Times New Roman"/>
          <w:b/>
          <w:color w:val="000000" w:themeColor="text1"/>
          <w:sz w:val="28"/>
          <w:szCs w:val="28"/>
          <w:lang w:val="en-GB" w:eastAsia="en-GB"/>
        </w:rPr>
        <w:t>9</w:t>
      </w:r>
    </w:p>
    <w:p w14:paraId="137A295F" w14:textId="77777777" w:rsidR="00AD3899" w:rsidRPr="007457B1" w:rsidRDefault="00AD3899" w:rsidP="00C07A5A">
      <w:pPr>
        <w:spacing w:after="60" w:line="360" w:lineRule="auto"/>
        <w:ind w:left="180"/>
        <w:jc w:val="both"/>
        <w:rPr>
          <w:rFonts w:ascii="Times New Roman" w:eastAsia="Times New Roman" w:hAnsi="Times New Roman" w:cs="Times New Roman"/>
          <w:b/>
          <w:color w:val="000000" w:themeColor="text1"/>
          <w:sz w:val="24"/>
          <w:szCs w:val="24"/>
          <w:lang w:val="en-GB" w:eastAsia="en-GB"/>
        </w:rPr>
      </w:pPr>
    </w:p>
    <w:p w14:paraId="5091DDC1" w14:textId="77777777" w:rsidR="00AD3899" w:rsidRPr="007457B1" w:rsidRDefault="00AD3899" w:rsidP="00C07A5A">
      <w:pPr>
        <w:spacing w:after="60" w:line="360" w:lineRule="auto"/>
        <w:jc w:val="both"/>
        <w:rPr>
          <w:rFonts w:ascii="Times New Roman" w:eastAsia="Times New Roman" w:hAnsi="Times New Roman" w:cs="Times New Roman"/>
          <w:color w:val="000000" w:themeColor="text1"/>
          <w:sz w:val="24"/>
          <w:szCs w:val="24"/>
          <w:lang w:val="en-GB" w:eastAsia="en-GB"/>
        </w:rPr>
      </w:pPr>
      <w:r w:rsidRPr="007457B1">
        <w:rPr>
          <w:rFonts w:ascii="Times New Roman" w:eastAsia="Times New Roman" w:hAnsi="Times New Roman" w:cs="Times New Roman"/>
          <w:color w:val="000000" w:themeColor="text1"/>
          <w:sz w:val="24"/>
          <w:szCs w:val="24"/>
          <w:lang w:val="en-GB" w:eastAsia="en-GB"/>
        </w:rPr>
        <w:t>The Portfolio Committee of Transport, having considered Budget Vote 35: Transport, reports as follows:</w:t>
      </w:r>
    </w:p>
    <w:p w14:paraId="06F51074" w14:textId="77777777" w:rsidR="00AD3899" w:rsidRPr="007457B1" w:rsidRDefault="00AD3899" w:rsidP="00C07A5A">
      <w:pPr>
        <w:spacing w:after="60" w:line="360" w:lineRule="auto"/>
        <w:jc w:val="both"/>
        <w:rPr>
          <w:rFonts w:ascii="Times New Roman" w:eastAsia="Times New Roman" w:hAnsi="Times New Roman" w:cs="Times New Roman"/>
          <w:b/>
          <w:color w:val="000000" w:themeColor="text1"/>
          <w:sz w:val="24"/>
          <w:szCs w:val="24"/>
          <w:lang w:val="en-GB" w:eastAsia="en-GB"/>
        </w:rPr>
      </w:pPr>
    </w:p>
    <w:p w14:paraId="0284F5BB" w14:textId="77777777" w:rsidR="00AD3899" w:rsidRPr="007457B1" w:rsidRDefault="00AD3899" w:rsidP="00C07A5A">
      <w:pPr>
        <w:spacing w:after="60" w:line="360" w:lineRule="auto"/>
        <w:jc w:val="both"/>
        <w:rPr>
          <w:rFonts w:ascii="Times New Roman" w:eastAsia="Times New Roman" w:hAnsi="Times New Roman" w:cs="Times New Roman"/>
          <w:b/>
          <w:color w:val="000000" w:themeColor="text1"/>
          <w:sz w:val="28"/>
          <w:szCs w:val="28"/>
          <w:lang w:val="en-GB" w:eastAsia="en-GB"/>
        </w:rPr>
      </w:pPr>
      <w:r w:rsidRPr="007457B1">
        <w:rPr>
          <w:rFonts w:ascii="Times New Roman" w:eastAsia="Times New Roman" w:hAnsi="Times New Roman" w:cs="Times New Roman"/>
          <w:b/>
          <w:color w:val="000000" w:themeColor="text1"/>
          <w:sz w:val="28"/>
          <w:szCs w:val="28"/>
          <w:lang w:val="en-GB" w:eastAsia="en-GB"/>
        </w:rPr>
        <w:t>1.</w:t>
      </w:r>
      <w:r w:rsidRPr="007457B1">
        <w:rPr>
          <w:rFonts w:ascii="Times New Roman" w:eastAsia="Times New Roman" w:hAnsi="Times New Roman" w:cs="Times New Roman"/>
          <w:b/>
          <w:color w:val="000000" w:themeColor="text1"/>
          <w:sz w:val="28"/>
          <w:szCs w:val="28"/>
          <w:lang w:val="en-GB" w:eastAsia="en-GB"/>
        </w:rPr>
        <w:tab/>
        <w:t>INTRODUCTION</w:t>
      </w:r>
    </w:p>
    <w:p w14:paraId="41D3B444" w14:textId="77777777" w:rsidR="00B97181" w:rsidRPr="007457B1" w:rsidRDefault="00AD3899" w:rsidP="00C07A5A">
      <w:pPr>
        <w:spacing w:after="60" w:line="360" w:lineRule="auto"/>
        <w:jc w:val="both"/>
        <w:rPr>
          <w:rFonts w:ascii="Times New Roman" w:hAnsi="Times New Roman" w:cs="Times New Roman"/>
          <w:color w:val="000000" w:themeColor="text1"/>
          <w:sz w:val="24"/>
          <w:szCs w:val="24"/>
        </w:rPr>
      </w:pPr>
      <w:r w:rsidRPr="007457B1">
        <w:rPr>
          <w:rFonts w:ascii="Times New Roman" w:eastAsia="Times New Roman" w:hAnsi="Times New Roman" w:cs="Times New Roman"/>
          <w:color w:val="000000" w:themeColor="text1"/>
          <w:sz w:val="24"/>
          <w:szCs w:val="24"/>
          <w:lang w:val="en-GB" w:eastAsia="en-GB"/>
        </w:rPr>
        <w:t xml:space="preserve">The Portfolio Committee on Transport considered the </w:t>
      </w:r>
      <w:r w:rsidR="00740876" w:rsidRPr="007457B1">
        <w:rPr>
          <w:rFonts w:ascii="Times New Roman" w:eastAsia="Times New Roman" w:hAnsi="Times New Roman" w:cs="Times New Roman"/>
          <w:color w:val="000000" w:themeColor="text1"/>
          <w:sz w:val="24"/>
          <w:szCs w:val="24"/>
          <w:lang w:val="en-GB" w:eastAsia="en-GB"/>
        </w:rPr>
        <w:t>201</w:t>
      </w:r>
      <w:r w:rsidR="002C02BC" w:rsidRPr="007457B1">
        <w:rPr>
          <w:rFonts w:ascii="Times New Roman" w:eastAsia="Times New Roman" w:hAnsi="Times New Roman" w:cs="Times New Roman"/>
          <w:color w:val="000000" w:themeColor="text1"/>
          <w:sz w:val="24"/>
          <w:szCs w:val="24"/>
          <w:lang w:val="en-GB" w:eastAsia="en-GB"/>
        </w:rPr>
        <w:t>9</w:t>
      </w:r>
      <w:r w:rsidR="00740876" w:rsidRPr="007457B1">
        <w:rPr>
          <w:rFonts w:ascii="Times New Roman" w:eastAsia="Times New Roman" w:hAnsi="Times New Roman" w:cs="Times New Roman"/>
          <w:color w:val="000000" w:themeColor="text1"/>
          <w:sz w:val="24"/>
          <w:szCs w:val="24"/>
          <w:lang w:val="en-GB" w:eastAsia="en-GB"/>
        </w:rPr>
        <w:t>/</w:t>
      </w:r>
      <w:r w:rsidR="002C02BC" w:rsidRPr="007457B1">
        <w:rPr>
          <w:rFonts w:ascii="Times New Roman" w:eastAsia="Times New Roman" w:hAnsi="Times New Roman" w:cs="Times New Roman"/>
          <w:color w:val="000000" w:themeColor="text1"/>
          <w:sz w:val="24"/>
          <w:szCs w:val="24"/>
          <w:lang w:val="en-GB" w:eastAsia="en-GB"/>
        </w:rPr>
        <w:t>20</w:t>
      </w:r>
      <w:r w:rsidRPr="007457B1">
        <w:rPr>
          <w:rFonts w:ascii="Times New Roman" w:eastAsia="Times New Roman" w:hAnsi="Times New Roman" w:cs="Times New Roman"/>
          <w:color w:val="000000" w:themeColor="text1"/>
          <w:sz w:val="24"/>
          <w:szCs w:val="24"/>
          <w:lang w:val="en-GB" w:eastAsia="en-GB"/>
        </w:rPr>
        <w:t xml:space="preserve"> budget of the Department of Transport (the Department) on </w:t>
      </w:r>
      <w:r w:rsidR="002C02BC" w:rsidRPr="007457B1">
        <w:rPr>
          <w:rFonts w:ascii="Times New Roman" w:eastAsia="Times New Roman" w:hAnsi="Times New Roman" w:cs="Times New Roman"/>
          <w:color w:val="000000" w:themeColor="text1"/>
          <w:sz w:val="24"/>
          <w:szCs w:val="24"/>
          <w:lang w:val="en-GB" w:eastAsia="en-GB"/>
        </w:rPr>
        <w:t>3 July 2019</w:t>
      </w:r>
      <w:r w:rsidRPr="007457B1">
        <w:rPr>
          <w:rFonts w:ascii="Times New Roman" w:eastAsia="Times New Roman" w:hAnsi="Times New Roman" w:cs="Times New Roman"/>
          <w:color w:val="000000" w:themeColor="text1"/>
          <w:sz w:val="24"/>
          <w:szCs w:val="24"/>
          <w:lang w:val="en-GB" w:eastAsia="en-GB"/>
        </w:rPr>
        <w:t>. This report contains a summary of the Department’s budget allocation and the observations and recommendations of the Committee on the budget. In preparation for this report, the Comm</w:t>
      </w:r>
      <w:r w:rsidR="00D86BCB" w:rsidRPr="007457B1">
        <w:rPr>
          <w:rFonts w:ascii="Times New Roman" w:eastAsia="Times New Roman" w:hAnsi="Times New Roman" w:cs="Times New Roman"/>
          <w:color w:val="000000" w:themeColor="text1"/>
          <w:sz w:val="24"/>
          <w:szCs w:val="24"/>
          <w:lang w:val="en-GB" w:eastAsia="en-GB"/>
        </w:rPr>
        <w:t xml:space="preserve">ittee </w:t>
      </w:r>
      <w:r w:rsidR="007719A8" w:rsidRPr="007457B1">
        <w:rPr>
          <w:rFonts w:ascii="Times New Roman" w:eastAsia="Times New Roman" w:hAnsi="Times New Roman" w:cs="Times New Roman"/>
          <w:color w:val="000000" w:themeColor="text1"/>
          <w:sz w:val="24"/>
          <w:szCs w:val="24"/>
          <w:lang w:val="en-GB" w:eastAsia="en-GB"/>
        </w:rPr>
        <w:t xml:space="preserve">was </w:t>
      </w:r>
      <w:r w:rsidR="000A0020" w:rsidRPr="007457B1">
        <w:rPr>
          <w:rFonts w:ascii="Times New Roman" w:eastAsia="Times New Roman" w:hAnsi="Times New Roman" w:cs="Times New Roman"/>
          <w:color w:val="000000" w:themeColor="text1"/>
          <w:sz w:val="24"/>
          <w:szCs w:val="24"/>
          <w:lang w:val="en-GB" w:eastAsia="en-GB"/>
        </w:rPr>
        <w:t>briefed on the 201</w:t>
      </w:r>
      <w:r w:rsidR="002C02BC" w:rsidRPr="007457B1">
        <w:rPr>
          <w:rFonts w:ascii="Times New Roman" w:eastAsia="Times New Roman" w:hAnsi="Times New Roman" w:cs="Times New Roman"/>
          <w:color w:val="000000" w:themeColor="text1"/>
          <w:sz w:val="24"/>
          <w:szCs w:val="24"/>
          <w:lang w:val="en-GB" w:eastAsia="en-GB"/>
        </w:rPr>
        <w:t>9</w:t>
      </w:r>
      <w:r w:rsidR="000A0020" w:rsidRPr="007457B1">
        <w:rPr>
          <w:rFonts w:ascii="Times New Roman" w:eastAsia="Times New Roman" w:hAnsi="Times New Roman" w:cs="Times New Roman"/>
          <w:color w:val="000000" w:themeColor="text1"/>
          <w:sz w:val="24"/>
          <w:szCs w:val="24"/>
          <w:lang w:val="en-GB" w:eastAsia="en-GB"/>
        </w:rPr>
        <w:t>/</w:t>
      </w:r>
      <w:r w:rsidR="002C02BC" w:rsidRPr="007457B1">
        <w:rPr>
          <w:rFonts w:ascii="Times New Roman" w:eastAsia="Times New Roman" w:hAnsi="Times New Roman" w:cs="Times New Roman"/>
          <w:color w:val="000000" w:themeColor="text1"/>
          <w:sz w:val="24"/>
          <w:szCs w:val="24"/>
          <w:lang w:val="en-GB" w:eastAsia="en-GB"/>
        </w:rPr>
        <w:t xml:space="preserve">20 </w:t>
      </w:r>
      <w:r w:rsidR="005D6CDC" w:rsidRPr="007457B1">
        <w:rPr>
          <w:rFonts w:ascii="Times New Roman" w:eastAsia="Times New Roman" w:hAnsi="Times New Roman" w:cs="Times New Roman"/>
          <w:color w:val="000000" w:themeColor="text1"/>
          <w:sz w:val="24"/>
          <w:szCs w:val="24"/>
          <w:lang w:val="en-GB" w:eastAsia="en-GB"/>
        </w:rPr>
        <w:t xml:space="preserve">Annual Performance Plan (APP) and </w:t>
      </w:r>
      <w:r w:rsidR="002C02BC" w:rsidRPr="007457B1">
        <w:rPr>
          <w:rFonts w:ascii="Times New Roman" w:eastAsia="Times New Roman" w:hAnsi="Times New Roman" w:cs="Times New Roman"/>
          <w:color w:val="000000" w:themeColor="text1"/>
          <w:sz w:val="24"/>
          <w:szCs w:val="24"/>
          <w:lang w:val="en-GB" w:eastAsia="en-GB"/>
        </w:rPr>
        <w:t xml:space="preserve">Budget Allocations </w:t>
      </w:r>
      <w:r w:rsidR="005D6CDC" w:rsidRPr="007457B1">
        <w:rPr>
          <w:rFonts w:ascii="Times New Roman" w:eastAsia="Times New Roman" w:hAnsi="Times New Roman" w:cs="Times New Roman"/>
          <w:color w:val="000000" w:themeColor="text1"/>
          <w:sz w:val="24"/>
          <w:szCs w:val="24"/>
          <w:lang w:val="en-GB" w:eastAsia="en-GB"/>
        </w:rPr>
        <w:t>of</w:t>
      </w:r>
      <w:r w:rsidR="002C02BC" w:rsidRPr="007457B1">
        <w:rPr>
          <w:rFonts w:ascii="Times New Roman" w:eastAsia="Times New Roman" w:hAnsi="Times New Roman" w:cs="Times New Roman"/>
          <w:color w:val="000000" w:themeColor="text1"/>
          <w:sz w:val="24"/>
          <w:szCs w:val="24"/>
          <w:lang w:val="en-GB" w:eastAsia="en-GB"/>
        </w:rPr>
        <w:t xml:space="preserve"> the Department of Transport. However, at the time of </w:t>
      </w:r>
      <w:r w:rsidR="00820842" w:rsidRPr="007457B1">
        <w:rPr>
          <w:rFonts w:ascii="Times New Roman" w:eastAsia="Times New Roman" w:hAnsi="Times New Roman" w:cs="Times New Roman"/>
          <w:color w:val="000000" w:themeColor="text1"/>
          <w:sz w:val="24"/>
          <w:szCs w:val="24"/>
          <w:lang w:val="en-GB" w:eastAsia="en-GB"/>
        </w:rPr>
        <w:t xml:space="preserve">the </w:t>
      </w:r>
      <w:r w:rsidR="002C02BC" w:rsidRPr="007457B1">
        <w:rPr>
          <w:rFonts w:ascii="Times New Roman" w:eastAsia="Times New Roman" w:hAnsi="Times New Roman" w:cs="Times New Roman"/>
          <w:color w:val="000000" w:themeColor="text1"/>
          <w:sz w:val="24"/>
          <w:szCs w:val="24"/>
          <w:lang w:val="en-GB" w:eastAsia="en-GB"/>
        </w:rPr>
        <w:t>com</w:t>
      </w:r>
      <w:r w:rsidR="0097552C" w:rsidRPr="007457B1">
        <w:rPr>
          <w:rFonts w:ascii="Times New Roman" w:eastAsia="Times New Roman" w:hAnsi="Times New Roman" w:cs="Times New Roman"/>
          <w:color w:val="000000" w:themeColor="text1"/>
          <w:sz w:val="24"/>
          <w:szCs w:val="24"/>
          <w:lang w:val="en-GB" w:eastAsia="en-GB"/>
        </w:rPr>
        <w:t>pilation of this report, the Committee had not yet received a briefing on the</w:t>
      </w:r>
      <w:r w:rsidR="000A0020" w:rsidRPr="007457B1">
        <w:rPr>
          <w:rFonts w:ascii="Times New Roman" w:eastAsia="Times New Roman" w:hAnsi="Times New Roman" w:cs="Times New Roman"/>
          <w:color w:val="000000" w:themeColor="text1"/>
          <w:sz w:val="24"/>
          <w:szCs w:val="24"/>
          <w:lang w:val="en-GB" w:eastAsia="en-GB"/>
        </w:rPr>
        <w:t xml:space="preserve"> </w:t>
      </w:r>
      <w:r w:rsidRPr="007457B1">
        <w:rPr>
          <w:rFonts w:ascii="Times New Roman" w:eastAsia="Times New Roman" w:hAnsi="Times New Roman" w:cs="Times New Roman"/>
          <w:color w:val="000000" w:themeColor="text1"/>
          <w:sz w:val="24"/>
          <w:szCs w:val="24"/>
          <w:lang w:val="en-GB" w:eastAsia="en-GB"/>
        </w:rPr>
        <w:t>Strategic Plans and APPs of the Department entities</w:t>
      </w:r>
      <w:r w:rsidR="005D6CDC" w:rsidRPr="007457B1">
        <w:rPr>
          <w:rFonts w:ascii="Times New Roman" w:eastAsia="Times New Roman" w:hAnsi="Times New Roman" w:cs="Times New Roman"/>
          <w:color w:val="000000" w:themeColor="text1"/>
          <w:sz w:val="24"/>
          <w:szCs w:val="24"/>
          <w:lang w:val="en-GB" w:eastAsia="en-GB"/>
        </w:rPr>
        <w:t xml:space="preserve"> or any changes that had been made to the current Strategic Plan of the Department</w:t>
      </w:r>
      <w:r w:rsidRPr="007457B1">
        <w:rPr>
          <w:rFonts w:ascii="Times New Roman" w:eastAsia="Times New Roman" w:hAnsi="Times New Roman" w:cs="Times New Roman"/>
          <w:color w:val="000000" w:themeColor="text1"/>
          <w:sz w:val="24"/>
          <w:szCs w:val="24"/>
          <w:lang w:val="en-GB" w:eastAsia="en-GB"/>
        </w:rPr>
        <w:t xml:space="preserve">.  Accordingly, </w:t>
      </w:r>
      <w:r w:rsidR="00D86BCB" w:rsidRPr="007457B1">
        <w:rPr>
          <w:rFonts w:ascii="Times New Roman" w:eastAsia="Times New Roman" w:hAnsi="Times New Roman" w:cs="Times New Roman"/>
          <w:color w:val="000000" w:themeColor="text1"/>
          <w:sz w:val="24"/>
          <w:szCs w:val="24"/>
          <w:lang w:val="en-GB" w:eastAsia="en-GB"/>
        </w:rPr>
        <w:t>t</w:t>
      </w:r>
      <w:r w:rsidR="00B97181" w:rsidRPr="007457B1">
        <w:rPr>
          <w:rFonts w:ascii="Times New Roman" w:hAnsi="Times New Roman" w:cs="Times New Roman"/>
          <w:color w:val="000000" w:themeColor="text1"/>
          <w:sz w:val="24"/>
          <w:szCs w:val="24"/>
        </w:rPr>
        <w:t xml:space="preserve">he Committee engaged </w:t>
      </w:r>
      <w:r w:rsidR="005D6CDC" w:rsidRPr="007457B1">
        <w:rPr>
          <w:rFonts w:ascii="Times New Roman" w:hAnsi="Times New Roman" w:cs="Times New Roman"/>
          <w:color w:val="000000" w:themeColor="text1"/>
          <w:sz w:val="24"/>
          <w:szCs w:val="24"/>
        </w:rPr>
        <w:t>on the APP and Budget A</w:t>
      </w:r>
      <w:r w:rsidR="0097552C" w:rsidRPr="007457B1">
        <w:rPr>
          <w:rFonts w:ascii="Times New Roman" w:hAnsi="Times New Roman" w:cs="Times New Roman"/>
          <w:color w:val="000000" w:themeColor="text1"/>
          <w:sz w:val="24"/>
          <w:szCs w:val="24"/>
        </w:rPr>
        <w:t xml:space="preserve">llocations for 2019/20 </w:t>
      </w:r>
      <w:r w:rsidR="00B97181" w:rsidRPr="007457B1">
        <w:rPr>
          <w:rFonts w:ascii="Times New Roman" w:hAnsi="Times New Roman" w:cs="Times New Roman"/>
          <w:color w:val="000000" w:themeColor="text1"/>
          <w:sz w:val="24"/>
          <w:szCs w:val="24"/>
        </w:rPr>
        <w:t xml:space="preserve">with the Department </w:t>
      </w:r>
      <w:r w:rsidR="0097552C" w:rsidRPr="007457B1">
        <w:rPr>
          <w:rFonts w:ascii="Times New Roman" w:hAnsi="Times New Roman" w:cs="Times New Roman"/>
          <w:color w:val="000000" w:themeColor="text1"/>
          <w:sz w:val="24"/>
          <w:szCs w:val="24"/>
        </w:rPr>
        <w:t xml:space="preserve">on 3 July 2019 and </w:t>
      </w:r>
      <w:r w:rsidR="005D6CDC" w:rsidRPr="007457B1">
        <w:rPr>
          <w:rFonts w:ascii="Times New Roman" w:hAnsi="Times New Roman" w:cs="Times New Roman"/>
          <w:color w:val="000000" w:themeColor="text1"/>
          <w:sz w:val="24"/>
          <w:szCs w:val="24"/>
        </w:rPr>
        <w:t>undertook to</w:t>
      </w:r>
      <w:r w:rsidR="0097552C" w:rsidRPr="007457B1">
        <w:rPr>
          <w:rFonts w:ascii="Times New Roman" w:hAnsi="Times New Roman" w:cs="Times New Roman"/>
          <w:color w:val="000000" w:themeColor="text1"/>
          <w:sz w:val="24"/>
          <w:szCs w:val="24"/>
        </w:rPr>
        <w:t xml:space="preserve"> schedule presentations by the Department and its entities on a later date in order to receive briefings</w:t>
      </w:r>
      <w:r w:rsidR="00926667" w:rsidRPr="007457B1">
        <w:rPr>
          <w:rFonts w:ascii="Times New Roman" w:hAnsi="Times New Roman" w:cs="Times New Roman"/>
          <w:color w:val="000000" w:themeColor="text1"/>
          <w:sz w:val="24"/>
          <w:szCs w:val="24"/>
        </w:rPr>
        <w:t xml:space="preserve"> on their </w:t>
      </w:r>
      <w:r w:rsidR="005D6CDC" w:rsidRPr="007457B1">
        <w:rPr>
          <w:rFonts w:ascii="Times New Roman" w:hAnsi="Times New Roman" w:cs="Times New Roman"/>
          <w:color w:val="000000" w:themeColor="text1"/>
          <w:sz w:val="24"/>
          <w:szCs w:val="24"/>
        </w:rPr>
        <w:t>amended and/or new</w:t>
      </w:r>
      <w:r w:rsidR="00926667" w:rsidRPr="007457B1">
        <w:rPr>
          <w:rFonts w:ascii="Times New Roman" w:hAnsi="Times New Roman" w:cs="Times New Roman"/>
          <w:color w:val="000000" w:themeColor="text1"/>
          <w:sz w:val="24"/>
          <w:szCs w:val="24"/>
        </w:rPr>
        <w:t xml:space="preserve"> Strategic </w:t>
      </w:r>
      <w:r w:rsidR="007719A8" w:rsidRPr="007457B1">
        <w:rPr>
          <w:rFonts w:ascii="Times New Roman" w:hAnsi="Times New Roman" w:cs="Times New Roman"/>
          <w:color w:val="000000" w:themeColor="text1"/>
          <w:sz w:val="24"/>
          <w:szCs w:val="24"/>
        </w:rPr>
        <w:t>Plans</w:t>
      </w:r>
      <w:r w:rsidR="00926667" w:rsidRPr="007457B1">
        <w:rPr>
          <w:rFonts w:ascii="Times New Roman" w:hAnsi="Times New Roman" w:cs="Times New Roman"/>
          <w:color w:val="000000" w:themeColor="text1"/>
          <w:sz w:val="24"/>
          <w:szCs w:val="24"/>
        </w:rPr>
        <w:t xml:space="preserve">, </w:t>
      </w:r>
      <w:r w:rsidR="005D6CDC" w:rsidRPr="007457B1">
        <w:rPr>
          <w:rFonts w:ascii="Times New Roman" w:hAnsi="Times New Roman" w:cs="Times New Roman"/>
          <w:color w:val="000000" w:themeColor="text1"/>
          <w:sz w:val="24"/>
          <w:szCs w:val="24"/>
        </w:rPr>
        <w:t xml:space="preserve">and (specifically for the entities) 2019/20 </w:t>
      </w:r>
      <w:r w:rsidR="00926667" w:rsidRPr="007457B1">
        <w:rPr>
          <w:rFonts w:ascii="Times New Roman" w:hAnsi="Times New Roman" w:cs="Times New Roman"/>
          <w:color w:val="000000" w:themeColor="text1"/>
          <w:sz w:val="24"/>
          <w:szCs w:val="24"/>
        </w:rPr>
        <w:t xml:space="preserve">Corporate </w:t>
      </w:r>
      <w:r w:rsidR="005D6CDC" w:rsidRPr="007457B1">
        <w:rPr>
          <w:rFonts w:ascii="Times New Roman" w:hAnsi="Times New Roman" w:cs="Times New Roman"/>
          <w:color w:val="000000" w:themeColor="text1"/>
          <w:sz w:val="24"/>
          <w:szCs w:val="24"/>
        </w:rPr>
        <w:t xml:space="preserve">Plans </w:t>
      </w:r>
      <w:r w:rsidR="00926667" w:rsidRPr="007457B1">
        <w:rPr>
          <w:rFonts w:ascii="Times New Roman" w:hAnsi="Times New Roman" w:cs="Times New Roman"/>
          <w:color w:val="000000" w:themeColor="text1"/>
          <w:sz w:val="24"/>
          <w:szCs w:val="24"/>
        </w:rPr>
        <w:t>and</w:t>
      </w:r>
      <w:r w:rsidR="007719A8" w:rsidRPr="007457B1">
        <w:rPr>
          <w:rFonts w:ascii="Times New Roman" w:hAnsi="Times New Roman" w:cs="Times New Roman"/>
          <w:color w:val="000000" w:themeColor="text1"/>
          <w:sz w:val="24"/>
          <w:szCs w:val="24"/>
        </w:rPr>
        <w:t>/or</w:t>
      </w:r>
      <w:r w:rsidR="00926667" w:rsidRPr="007457B1">
        <w:rPr>
          <w:rFonts w:ascii="Times New Roman" w:hAnsi="Times New Roman" w:cs="Times New Roman"/>
          <w:color w:val="000000" w:themeColor="text1"/>
          <w:sz w:val="24"/>
          <w:szCs w:val="24"/>
        </w:rPr>
        <w:t xml:space="preserve"> </w:t>
      </w:r>
      <w:r w:rsidR="00B97181" w:rsidRPr="007457B1">
        <w:rPr>
          <w:rFonts w:ascii="Times New Roman" w:hAnsi="Times New Roman" w:cs="Times New Roman"/>
          <w:color w:val="000000" w:themeColor="text1"/>
          <w:sz w:val="24"/>
          <w:szCs w:val="24"/>
        </w:rPr>
        <w:t>APPs.</w:t>
      </w:r>
    </w:p>
    <w:p w14:paraId="71B76A6C" w14:textId="77777777" w:rsidR="00B97181" w:rsidRPr="007457B1" w:rsidRDefault="00B97181" w:rsidP="00C07A5A">
      <w:pPr>
        <w:spacing w:after="60" w:line="360" w:lineRule="auto"/>
        <w:jc w:val="both"/>
        <w:rPr>
          <w:rFonts w:ascii="Times New Roman" w:hAnsi="Times New Roman" w:cs="Times New Roman"/>
          <w:color w:val="000000" w:themeColor="text1"/>
          <w:sz w:val="24"/>
          <w:szCs w:val="24"/>
        </w:rPr>
      </w:pPr>
    </w:p>
    <w:p w14:paraId="247A9A49" w14:textId="77777777" w:rsidR="00B97181" w:rsidRPr="007457B1" w:rsidRDefault="00B97181" w:rsidP="00C07A5A">
      <w:pPr>
        <w:spacing w:after="60" w:line="360" w:lineRule="auto"/>
        <w:jc w:val="both"/>
        <w:rPr>
          <w:rFonts w:ascii="Times New Roman" w:hAnsi="Times New Roman" w:cs="Times New Roman"/>
          <w:color w:val="000000" w:themeColor="text1"/>
          <w:sz w:val="24"/>
          <w:szCs w:val="24"/>
        </w:rPr>
      </w:pPr>
      <w:r w:rsidRPr="007457B1">
        <w:rPr>
          <w:rFonts w:ascii="Times New Roman" w:hAnsi="Times New Roman" w:cs="Times New Roman"/>
          <w:color w:val="000000" w:themeColor="text1"/>
          <w:sz w:val="24"/>
          <w:szCs w:val="24"/>
        </w:rPr>
        <w:t>The report details an overview of the perfo</w:t>
      </w:r>
      <w:r w:rsidR="00D86BCB" w:rsidRPr="007457B1">
        <w:rPr>
          <w:rFonts w:ascii="Times New Roman" w:hAnsi="Times New Roman" w:cs="Times New Roman"/>
          <w:color w:val="000000" w:themeColor="text1"/>
          <w:sz w:val="24"/>
          <w:szCs w:val="24"/>
        </w:rPr>
        <w:t>rmance of the Department in 201</w:t>
      </w:r>
      <w:r w:rsidR="00F84167" w:rsidRPr="007457B1">
        <w:rPr>
          <w:rFonts w:ascii="Times New Roman" w:hAnsi="Times New Roman" w:cs="Times New Roman"/>
          <w:color w:val="000000" w:themeColor="text1"/>
          <w:sz w:val="24"/>
          <w:szCs w:val="24"/>
        </w:rPr>
        <w:t>8</w:t>
      </w:r>
      <w:r w:rsidR="00D86BCB" w:rsidRPr="007457B1">
        <w:rPr>
          <w:rFonts w:ascii="Times New Roman" w:hAnsi="Times New Roman" w:cs="Times New Roman"/>
          <w:color w:val="000000" w:themeColor="text1"/>
          <w:sz w:val="24"/>
          <w:szCs w:val="24"/>
        </w:rPr>
        <w:t>/1</w:t>
      </w:r>
      <w:r w:rsidR="00F84167" w:rsidRPr="007457B1">
        <w:rPr>
          <w:rFonts w:ascii="Times New Roman" w:hAnsi="Times New Roman" w:cs="Times New Roman"/>
          <w:color w:val="000000" w:themeColor="text1"/>
          <w:sz w:val="24"/>
          <w:szCs w:val="24"/>
        </w:rPr>
        <w:t>9</w:t>
      </w:r>
      <w:r w:rsidRPr="007457B1">
        <w:rPr>
          <w:rFonts w:ascii="Times New Roman" w:hAnsi="Times New Roman" w:cs="Times New Roman"/>
          <w:color w:val="000000" w:themeColor="text1"/>
          <w:sz w:val="24"/>
          <w:szCs w:val="24"/>
        </w:rPr>
        <w:t xml:space="preserve">, policy priorities for </w:t>
      </w:r>
      <w:r w:rsidR="00D86BCB" w:rsidRPr="007457B1">
        <w:rPr>
          <w:rFonts w:ascii="Times New Roman" w:hAnsi="Times New Roman" w:cs="Times New Roman"/>
          <w:color w:val="000000" w:themeColor="text1"/>
          <w:sz w:val="24"/>
          <w:szCs w:val="24"/>
        </w:rPr>
        <w:t>201</w:t>
      </w:r>
      <w:r w:rsidR="00F84167" w:rsidRPr="007457B1">
        <w:rPr>
          <w:rFonts w:ascii="Times New Roman" w:hAnsi="Times New Roman" w:cs="Times New Roman"/>
          <w:color w:val="000000" w:themeColor="text1"/>
          <w:sz w:val="24"/>
          <w:szCs w:val="24"/>
        </w:rPr>
        <w:t>9</w:t>
      </w:r>
      <w:r w:rsidR="00D86BCB" w:rsidRPr="007457B1">
        <w:rPr>
          <w:rFonts w:ascii="Times New Roman" w:hAnsi="Times New Roman" w:cs="Times New Roman"/>
          <w:color w:val="000000" w:themeColor="text1"/>
          <w:sz w:val="24"/>
          <w:szCs w:val="24"/>
        </w:rPr>
        <w:t>/</w:t>
      </w:r>
      <w:r w:rsidR="00F84167" w:rsidRPr="007457B1">
        <w:rPr>
          <w:rFonts w:ascii="Times New Roman" w:hAnsi="Times New Roman" w:cs="Times New Roman"/>
          <w:color w:val="000000" w:themeColor="text1"/>
          <w:sz w:val="24"/>
          <w:szCs w:val="24"/>
        </w:rPr>
        <w:t>20</w:t>
      </w:r>
      <w:r w:rsidR="00D86BCB" w:rsidRPr="007457B1">
        <w:rPr>
          <w:rFonts w:ascii="Times New Roman" w:hAnsi="Times New Roman" w:cs="Times New Roman"/>
          <w:color w:val="000000" w:themeColor="text1"/>
          <w:sz w:val="24"/>
          <w:szCs w:val="24"/>
        </w:rPr>
        <w:t xml:space="preserve"> </w:t>
      </w:r>
      <w:r w:rsidR="00F61C8F" w:rsidRPr="007457B1">
        <w:rPr>
          <w:rFonts w:ascii="Times New Roman" w:hAnsi="Times New Roman" w:cs="Times New Roman"/>
          <w:color w:val="000000" w:themeColor="text1"/>
          <w:sz w:val="24"/>
          <w:szCs w:val="24"/>
        </w:rPr>
        <w:t xml:space="preserve">and </w:t>
      </w:r>
      <w:r w:rsidR="00F61C8F" w:rsidRPr="007457B1">
        <w:rPr>
          <w:rFonts w:ascii="Times New Roman" w:eastAsia="Times New Roman" w:hAnsi="Times New Roman" w:cs="Times New Roman"/>
          <w:color w:val="000000" w:themeColor="text1"/>
          <w:sz w:val="24"/>
          <w:szCs w:val="24"/>
          <w:lang w:val="en-GB" w:eastAsia="en-GB"/>
        </w:rPr>
        <w:t>and how they are aligned with national, regional, continental and global developmental agendas. It also</w:t>
      </w:r>
      <w:r w:rsidR="00D86BCB" w:rsidRPr="007457B1">
        <w:rPr>
          <w:rFonts w:ascii="Times New Roman" w:hAnsi="Times New Roman" w:cs="Times New Roman"/>
          <w:color w:val="000000" w:themeColor="text1"/>
          <w:sz w:val="24"/>
          <w:szCs w:val="24"/>
        </w:rPr>
        <w:t xml:space="preserve"> analys</w:t>
      </w:r>
      <w:r w:rsidR="00F61C8F" w:rsidRPr="007457B1">
        <w:rPr>
          <w:rFonts w:ascii="Times New Roman" w:hAnsi="Times New Roman" w:cs="Times New Roman"/>
          <w:color w:val="000000" w:themeColor="text1"/>
          <w:sz w:val="24"/>
          <w:szCs w:val="24"/>
        </w:rPr>
        <w:t>e</w:t>
      </w:r>
      <w:r w:rsidR="00D86BCB" w:rsidRPr="007457B1">
        <w:rPr>
          <w:rFonts w:ascii="Times New Roman" w:hAnsi="Times New Roman" w:cs="Times New Roman"/>
          <w:color w:val="000000" w:themeColor="text1"/>
          <w:sz w:val="24"/>
          <w:szCs w:val="24"/>
        </w:rPr>
        <w:t>s the 201</w:t>
      </w:r>
      <w:r w:rsidR="00F84167" w:rsidRPr="007457B1">
        <w:rPr>
          <w:rFonts w:ascii="Times New Roman" w:hAnsi="Times New Roman" w:cs="Times New Roman"/>
          <w:color w:val="000000" w:themeColor="text1"/>
          <w:sz w:val="24"/>
          <w:szCs w:val="24"/>
        </w:rPr>
        <w:t>9</w:t>
      </w:r>
      <w:r w:rsidR="00D86BCB" w:rsidRPr="007457B1">
        <w:rPr>
          <w:rFonts w:ascii="Times New Roman" w:hAnsi="Times New Roman" w:cs="Times New Roman"/>
          <w:color w:val="000000" w:themeColor="text1"/>
          <w:sz w:val="24"/>
          <w:szCs w:val="24"/>
        </w:rPr>
        <w:t>/</w:t>
      </w:r>
      <w:r w:rsidR="00F84167" w:rsidRPr="007457B1">
        <w:rPr>
          <w:rFonts w:ascii="Times New Roman" w:hAnsi="Times New Roman" w:cs="Times New Roman"/>
          <w:color w:val="000000" w:themeColor="text1"/>
          <w:sz w:val="24"/>
          <w:szCs w:val="24"/>
        </w:rPr>
        <w:t>20</w:t>
      </w:r>
      <w:r w:rsidRPr="007457B1">
        <w:rPr>
          <w:rFonts w:ascii="Times New Roman" w:hAnsi="Times New Roman" w:cs="Times New Roman"/>
          <w:color w:val="000000" w:themeColor="text1"/>
          <w:sz w:val="24"/>
          <w:szCs w:val="24"/>
        </w:rPr>
        <w:t xml:space="preserve"> budgets of the Department and </w:t>
      </w:r>
      <w:r w:rsidR="007719A8" w:rsidRPr="007457B1">
        <w:rPr>
          <w:rFonts w:ascii="Times New Roman" w:hAnsi="Times New Roman" w:cs="Times New Roman"/>
          <w:color w:val="000000" w:themeColor="text1"/>
          <w:sz w:val="24"/>
          <w:szCs w:val="24"/>
        </w:rPr>
        <w:t xml:space="preserve">its </w:t>
      </w:r>
      <w:r w:rsidRPr="007457B1">
        <w:rPr>
          <w:rFonts w:ascii="Times New Roman" w:hAnsi="Times New Roman" w:cs="Times New Roman"/>
          <w:color w:val="000000" w:themeColor="text1"/>
          <w:sz w:val="24"/>
          <w:szCs w:val="24"/>
        </w:rPr>
        <w:t>entities</w:t>
      </w:r>
      <w:r w:rsidR="00881C54" w:rsidRPr="007457B1">
        <w:rPr>
          <w:rFonts w:ascii="Times New Roman" w:hAnsi="Times New Roman" w:cs="Times New Roman"/>
          <w:color w:val="000000" w:themeColor="text1"/>
          <w:sz w:val="24"/>
          <w:szCs w:val="24"/>
        </w:rPr>
        <w:t>. It concludes by capturing</w:t>
      </w:r>
      <w:r w:rsidR="00F61C8F" w:rsidRPr="007457B1">
        <w:rPr>
          <w:rFonts w:ascii="Times New Roman" w:hAnsi="Times New Roman" w:cs="Times New Roman"/>
          <w:color w:val="000000" w:themeColor="text1"/>
          <w:sz w:val="24"/>
          <w:szCs w:val="24"/>
        </w:rPr>
        <w:t xml:space="preserve"> the </w:t>
      </w:r>
      <w:r w:rsidRPr="007457B1">
        <w:rPr>
          <w:rFonts w:ascii="Times New Roman" w:hAnsi="Times New Roman" w:cs="Times New Roman"/>
          <w:color w:val="000000" w:themeColor="text1"/>
          <w:sz w:val="24"/>
          <w:szCs w:val="24"/>
        </w:rPr>
        <w:t>observations and recommendations made by the Portfolio Committee on Transport in this regard.</w:t>
      </w:r>
    </w:p>
    <w:p w14:paraId="0E7DAF79" w14:textId="77777777" w:rsidR="00B97181" w:rsidRPr="007457B1" w:rsidRDefault="00B97181" w:rsidP="00C07A5A">
      <w:pPr>
        <w:spacing w:after="60" w:line="360" w:lineRule="auto"/>
        <w:jc w:val="both"/>
        <w:rPr>
          <w:rFonts w:ascii="Times New Roman" w:hAnsi="Times New Roman" w:cs="Times New Roman"/>
          <w:color w:val="000000" w:themeColor="text1"/>
          <w:sz w:val="24"/>
          <w:szCs w:val="24"/>
        </w:rPr>
      </w:pPr>
    </w:p>
    <w:p w14:paraId="06C17D57" w14:textId="77777777" w:rsidR="00B97181" w:rsidRPr="007457B1" w:rsidRDefault="00B97181" w:rsidP="00C07A5A">
      <w:pPr>
        <w:spacing w:after="60" w:line="360" w:lineRule="auto"/>
        <w:jc w:val="both"/>
        <w:rPr>
          <w:rFonts w:ascii="Times New Roman" w:hAnsi="Times New Roman" w:cs="Times New Roman"/>
          <w:color w:val="000000" w:themeColor="text1"/>
          <w:sz w:val="24"/>
          <w:szCs w:val="24"/>
        </w:rPr>
      </w:pPr>
      <w:r w:rsidRPr="007457B1">
        <w:rPr>
          <w:rFonts w:ascii="Times New Roman" w:hAnsi="Times New Roman" w:cs="Times New Roman"/>
          <w:color w:val="000000" w:themeColor="text1"/>
          <w:sz w:val="24"/>
          <w:szCs w:val="24"/>
        </w:rPr>
        <w:t>The report on the budget of the Department is based on information accessed through:</w:t>
      </w:r>
    </w:p>
    <w:p w14:paraId="47F237EA" w14:textId="77777777" w:rsidR="00080EC4" w:rsidRDefault="00D86BCB" w:rsidP="00080EC4">
      <w:pPr>
        <w:pStyle w:val="ListParagraph"/>
        <w:numPr>
          <w:ilvl w:val="0"/>
          <w:numId w:val="32"/>
        </w:numPr>
        <w:spacing w:after="60" w:line="360" w:lineRule="auto"/>
        <w:ind w:left="426"/>
        <w:jc w:val="both"/>
        <w:rPr>
          <w:rFonts w:ascii="Times New Roman" w:hAnsi="Times New Roman"/>
          <w:color w:val="000000" w:themeColor="text1"/>
          <w:sz w:val="24"/>
          <w:szCs w:val="24"/>
        </w:rPr>
      </w:pPr>
      <w:r w:rsidRPr="00080EC4">
        <w:rPr>
          <w:rFonts w:ascii="Times New Roman" w:hAnsi="Times New Roman"/>
          <w:color w:val="000000" w:themeColor="text1"/>
          <w:sz w:val="24"/>
          <w:szCs w:val="24"/>
        </w:rPr>
        <w:t>The 201</w:t>
      </w:r>
      <w:r w:rsidR="00F84167" w:rsidRPr="00080EC4">
        <w:rPr>
          <w:rFonts w:ascii="Times New Roman" w:hAnsi="Times New Roman"/>
          <w:color w:val="000000" w:themeColor="text1"/>
          <w:sz w:val="24"/>
          <w:szCs w:val="24"/>
        </w:rPr>
        <w:t>9</w:t>
      </w:r>
      <w:r w:rsidR="00B97181" w:rsidRPr="00080EC4">
        <w:rPr>
          <w:rFonts w:ascii="Times New Roman" w:hAnsi="Times New Roman"/>
          <w:color w:val="000000" w:themeColor="text1"/>
          <w:sz w:val="24"/>
          <w:szCs w:val="24"/>
        </w:rPr>
        <w:t xml:space="preserve"> State of the Nation Address (SONA)</w:t>
      </w:r>
      <w:r w:rsidR="00F84167" w:rsidRPr="00080EC4">
        <w:rPr>
          <w:rFonts w:ascii="Times New Roman" w:hAnsi="Times New Roman"/>
          <w:color w:val="000000" w:themeColor="text1"/>
          <w:sz w:val="24"/>
          <w:szCs w:val="24"/>
        </w:rPr>
        <w:t xml:space="preserve"> (both delivered in February and June)</w:t>
      </w:r>
      <w:r w:rsidR="00B97181" w:rsidRPr="00080EC4">
        <w:rPr>
          <w:rFonts w:ascii="Times New Roman" w:hAnsi="Times New Roman"/>
          <w:color w:val="000000" w:themeColor="text1"/>
          <w:sz w:val="24"/>
          <w:szCs w:val="24"/>
        </w:rPr>
        <w:t>;</w:t>
      </w:r>
    </w:p>
    <w:p w14:paraId="3257E686" w14:textId="77777777" w:rsidR="00080EC4" w:rsidRDefault="00B97181" w:rsidP="00080EC4">
      <w:pPr>
        <w:pStyle w:val="ListParagraph"/>
        <w:numPr>
          <w:ilvl w:val="0"/>
          <w:numId w:val="32"/>
        </w:numPr>
        <w:spacing w:after="60" w:line="360" w:lineRule="auto"/>
        <w:ind w:left="426"/>
        <w:jc w:val="both"/>
        <w:rPr>
          <w:rFonts w:ascii="Times New Roman" w:hAnsi="Times New Roman"/>
          <w:color w:val="000000" w:themeColor="text1"/>
          <w:sz w:val="24"/>
          <w:szCs w:val="24"/>
        </w:rPr>
      </w:pPr>
      <w:r w:rsidRPr="00080EC4">
        <w:rPr>
          <w:rFonts w:ascii="Times New Roman" w:hAnsi="Times New Roman"/>
          <w:color w:val="000000" w:themeColor="text1"/>
          <w:sz w:val="24"/>
          <w:szCs w:val="24"/>
        </w:rPr>
        <w:t xml:space="preserve">The Department of Transport’s </w:t>
      </w:r>
      <w:r w:rsidR="00747C47" w:rsidRPr="00080EC4">
        <w:rPr>
          <w:rFonts w:ascii="Times New Roman" w:hAnsi="Times New Roman"/>
          <w:color w:val="000000" w:themeColor="text1"/>
          <w:sz w:val="24"/>
          <w:szCs w:val="24"/>
        </w:rPr>
        <w:t xml:space="preserve">APP for 2018/19 and 2019/20 and its </w:t>
      </w:r>
      <w:r w:rsidR="00F84167" w:rsidRPr="00080EC4">
        <w:rPr>
          <w:rFonts w:ascii="Times New Roman" w:hAnsi="Times New Roman"/>
          <w:color w:val="000000" w:themeColor="text1"/>
          <w:sz w:val="24"/>
          <w:szCs w:val="24"/>
        </w:rPr>
        <w:t>Budget Allocation outlined in the Budget Review for 2019/20</w:t>
      </w:r>
      <w:r w:rsidRPr="00080EC4">
        <w:rPr>
          <w:rFonts w:ascii="Times New Roman" w:hAnsi="Times New Roman"/>
          <w:color w:val="000000" w:themeColor="text1"/>
          <w:sz w:val="24"/>
          <w:szCs w:val="24"/>
        </w:rPr>
        <w:t>;</w:t>
      </w:r>
      <w:r w:rsidR="00F84167" w:rsidRPr="00080EC4">
        <w:rPr>
          <w:rFonts w:ascii="Times New Roman" w:hAnsi="Times New Roman"/>
          <w:color w:val="000000" w:themeColor="text1"/>
          <w:sz w:val="24"/>
          <w:szCs w:val="24"/>
        </w:rPr>
        <w:t xml:space="preserve"> and</w:t>
      </w:r>
    </w:p>
    <w:p w14:paraId="71336656" w14:textId="77777777" w:rsidR="00B97181" w:rsidRPr="00080EC4" w:rsidRDefault="00B97181" w:rsidP="00080EC4">
      <w:pPr>
        <w:pStyle w:val="ListParagraph"/>
        <w:numPr>
          <w:ilvl w:val="0"/>
          <w:numId w:val="32"/>
        </w:numPr>
        <w:spacing w:after="60" w:line="360" w:lineRule="auto"/>
        <w:ind w:left="426"/>
        <w:jc w:val="both"/>
        <w:rPr>
          <w:rFonts w:ascii="Times New Roman" w:hAnsi="Times New Roman"/>
          <w:color w:val="000000" w:themeColor="text1"/>
          <w:sz w:val="24"/>
          <w:szCs w:val="24"/>
        </w:rPr>
      </w:pPr>
      <w:r w:rsidRPr="00080EC4">
        <w:rPr>
          <w:rFonts w:ascii="Times New Roman" w:hAnsi="Times New Roman"/>
          <w:color w:val="000000" w:themeColor="text1"/>
          <w:sz w:val="24"/>
          <w:szCs w:val="24"/>
        </w:rPr>
        <w:t>The National Development Plan (NDP).</w:t>
      </w:r>
    </w:p>
    <w:p w14:paraId="5BE9F244" w14:textId="77777777" w:rsidR="00AD3899" w:rsidRPr="007457B1" w:rsidRDefault="00AD3899" w:rsidP="00C07A5A">
      <w:pPr>
        <w:spacing w:after="60" w:line="360" w:lineRule="auto"/>
        <w:jc w:val="both"/>
        <w:rPr>
          <w:rFonts w:ascii="Times New Roman" w:hAnsi="Times New Roman" w:cs="Times New Roman"/>
          <w:color w:val="000000" w:themeColor="text1"/>
          <w:sz w:val="24"/>
          <w:szCs w:val="24"/>
        </w:rPr>
      </w:pPr>
    </w:p>
    <w:p w14:paraId="390012D0" w14:textId="77777777" w:rsidR="00AD3899" w:rsidRPr="007457B1" w:rsidRDefault="00AD3899" w:rsidP="00C07A5A">
      <w:pPr>
        <w:spacing w:line="360" w:lineRule="auto"/>
        <w:jc w:val="both"/>
        <w:rPr>
          <w:rFonts w:ascii="Times New Roman" w:hAnsi="Times New Roman" w:cs="Times New Roman"/>
          <w:b/>
          <w:color w:val="000000" w:themeColor="text1"/>
          <w:sz w:val="28"/>
          <w:szCs w:val="28"/>
        </w:rPr>
      </w:pPr>
      <w:r w:rsidRPr="007457B1">
        <w:rPr>
          <w:rFonts w:ascii="Times New Roman" w:hAnsi="Times New Roman" w:cs="Times New Roman"/>
          <w:b/>
          <w:color w:val="000000" w:themeColor="text1"/>
          <w:sz w:val="28"/>
          <w:szCs w:val="28"/>
        </w:rPr>
        <w:lastRenderedPageBreak/>
        <w:t>2.</w:t>
      </w:r>
      <w:r w:rsidRPr="007457B1">
        <w:rPr>
          <w:rFonts w:ascii="Times New Roman" w:hAnsi="Times New Roman" w:cs="Times New Roman"/>
          <w:b/>
          <w:color w:val="000000" w:themeColor="text1"/>
          <w:sz w:val="28"/>
          <w:szCs w:val="28"/>
        </w:rPr>
        <w:tab/>
        <w:t>MANDATE OF THE DEPARTMENT OF TRANSPORT</w:t>
      </w:r>
    </w:p>
    <w:p w14:paraId="52DE95EB" w14:textId="77777777" w:rsidR="007719A8" w:rsidRPr="007457B1" w:rsidRDefault="007719A8" w:rsidP="00C07A5A">
      <w:pPr>
        <w:spacing w:line="360" w:lineRule="auto"/>
        <w:jc w:val="both"/>
        <w:rPr>
          <w:rFonts w:ascii="Times New Roman" w:eastAsia="Times New Roman" w:hAnsi="Times New Roman" w:cs="Times New Roman"/>
          <w:color w:val="000000" w:themeColor="text1"/>
          <w:sz w:val="24"/>
          <w:szCs w:val="24"/>
          <w:lang w:val="en-GB" w:eastAsia="en-GB"/>
        </w:rPr>
      </w:pPr>
      <w:r w:rsidRPr="007457B1">
        <w:rPr>
          <w:rFonts w:ascii="Times New Roman" w:eastAsia="Times New Roman" w:hAnsi="Times New Roman" w:cs="Times New Roman"/>
          <w:color w:val="000000" w:themeColor="text1"/>
          <w:sz w:val="24"/>
          <w:szCs w:val="24"/>
          <w:lang w:val="en-GB" w:eastAsia="en-GB"/>
        </w:rPr>
        <w:t>The Constitution of the Republic of South Africa, 1996, identifies the legislative responsibilities of different tiers of Government pertaining to airports, road traffic management and public transport. In addition, the 1996 White Paper on National Transport Policy defines the different sub-sectors in the transport sector. Broadly, these are the infrastructure and operations of rail, pipelines, roads, airports, harbours and intermodal operations of public transport and freight. The Department is responsible for the legislation and policies for all these sub-sectors.</w:t>
      </w:r>
    </w:p>
    <w:p w14:paraId="402A48D7" w14:textId="77777777" w:rsidR="007719A8" w:rsidRPr="007457B1" w:rsidRDefault="007719A8" w:rsidP="00C07A5A">
      <w:pPr>
        <w:spacing w:line="360" w:lineRule="auto"/>
        <w:jc w:val="both"/>
        <w:rPr>
          <w:rFonts w:ascii="Times New Roman" w:eastAsia="Times New Roman" w:hAnsi="Times New Roman" w:cs="Times New Roman"/>
          <w:color w:val="000000" w:themeColor="text1"/>
          <w:sz w:val="24"/>
          <w:szCs w:val="24"/>
          <w:lang w:val="en-GB" w:eastAsia="en-GB"/>
        </w:rPr>
      </w:pPr>
    </w:p>
    <w:p w14:paraId="31392C3C" w14:textId="77777777" w:rsidR="007719A8" w:rsidRPr="007457B1" w:rsidRDefault="007719A8" w:rsidP="00C07A5A">
      <w:pPr>
        <w:spacing w:line="360" w:lineRule="auto"/>
        <w:jc w:val="both"/>
        <w:rPr>
          <w:rFonts w:ascii="Times New Roman" w:eastAsia="Times New Roman" w:hAnsi="Times New Roman" w:cs="Times New Roman"/>
          <w:color w:val="000000" w:themeColor="text1"/>
          <w:sz w:val="24"/>
          <w:szCs w:val="24"/>
          <w:lang w:val="en-GB" w:eastAsia="en-GB"/>
        </w:rPr>
      </w:pPr>
      <w:r w:rsidRPr="007457B1">
        <w:rPr>
          <w:rFonts w:ascii="Times New Roman" w:eastAsia="Times New Roman" w:hAnsi="Times New Roman" w:cs="Times New Roman"/>
          <w:color w:val="000000" w:themeColor="text1"/>
          <w:sz w:val="24"/>
          <w:szCs w:val="24"/>
          <w:lang w:val="en-GB" w:eastAsia="en-GB"/>
        </w:rPr>
        <w:t xml:space="preserve">For the intermodal functions of public transport and freight, the guiding documents are the National Land Transport Act (2009), the Public Transport Strategy, 2007 and the National Freight Logistics Strategy, 2005. The Department is mandated to conduct sector research and formulate legislation and policy to set the strategic direction of these sub-sectors. Furthermore, it is entrusted with assigning responsibilities to public entities and other tiers of Government. The Department also regulates the transport sector through the setting of norms and standards, as well as the monitoring of their implementation. </w:t>
      </w:r>
    </w:p>
    <w:p w14:paraId="7962C240" w14:textId="77777777" w:rsidR="007719A8" w:rsidRPr="007457B1" w:rsidRDefault="007719A8" w:rsidP="00C07A5A">
      <w:pPr>
        <w:spacing w:line="360" w:lineRule="auto"/>
        <w:jc w:val="both"/>
        <w:rPr>
          <w:rFonts w:ascii="Times New Roman" w:eastAsia="Times New Roman" w:hAnsi="Times New Roman" w:cs="Times New Roman"/>
          <w:color w:val="000000" w:themeColor="text1"/>
          <w:sz w:val="24"/>
          <w:szCs w:val="24"/>
          <w:lang w:val="en-GB" w:eastAsia="en-GB"/>
        </w:rPr>
      </w:pPr>
    </w:p>
    <w:p w14:paraId="5CC303E4" w14:textId="77777777" w:rsidR="007719A8" w:rsidRPr="007457B1" w:rsidRDefault="007719A8" w:rsidP="00C07A5A">
      <w:pPr>
        <w:spacing w:after="60" w:line="360" w:lineRule="auto"/>
        <w:jc w:val="both"/>
        <w:rPr>
          <w:rFonts w:ascii="Times New Roman" w:eastAsia="Times New Roman" w:hAnsi="Times New Roman" w:cs="Times New Roman"/>
          <w:color w:val="000000" w:themeColor="text1"/>
          <w:sz w:val="24"/>
          <w:szCs w:val="24"/>
          <w:lang w:val="en-GB" w:eastAsia="en-GB"/>
        </w:rPr>
      </w:pPr>
      <w:r w:rsidRPr="007457B1">
        <w:rPr>
          <w:rFonts w:ascii="Times New Roman" w:eastAsia="Times New Roman" w:hAnsi="Times New Roman" w:cs="Times New Roman"/>
          <w:color w:val="000000" w:themeColor="text1"/>
          <w:sz w:val="24"/>
          <w:szCs w:val="24"/>
          <w:lang w:val="en-GB" w:eastAsia="en-GB"/>
        </w:rPr>
        <w:t xml:space="preserve">Transport is a function that is legislated and executed at the national, provincial and local tiers of Government. The implementation of transport functions at the national sphere takes place through public entities. </w:t>
      </w:r>
    </w:p>
    <w:p w14:paraId="4079185F" w14:textId="77777777" w:rsidR="00BB5DA5" w:rsidRPr="007457B1" w:rsidRDefault="00BB5DA5" w:rsidP="00C07A5A">
      <w:pPr>
        <w:spacing w:after="60" w:line="360" w:lineRule="auto"/>
        <w:jc w:val="both"/>
        <w:rPr>
          <w:rFonts w:ascii="Times New Roman" w:eastAsia="Times New Roman" w:hAnsi="Times New Roman" w:cs="Times New Roman"/>
          <w:color w:val="000000" w:themeColor="text1"/>
          <w:sz w:val="24"/>
          <w:szCs w:val="24"/>
          <w:lang w:val="en-GB" w:eastAsia="en-GB"/>
        </w:rPr>
      </w:pPr>
    </w:p>
    <w:p w14:paraId="00A8C67D" w14:textId="77777777" w:rsidR="00BB5DA5" w:rsidRPr="007457B1" w:rsidRDefault="00BB5DA5" w:rsidP="00C07A5A">
      <w:pPr>
        <w:spacing w:after="60" w:line="360" w:lineRule="auto"/>
        <w:jc w:val="both"/>
        <w:rPr>
          <w:rFonts w:ascii="Times New Roman" w:eastAsia="Times New Roman" w:hAnsi="Times New Roman" w:cs="Times New Roman"/>
          <w:color w:val="000000" w:themeColor="text1"/>
          <w:sz w:val="24"/>
          <w:szCs w:val="24"/>
          <w:lang w:val="en-GB" w:eastAsia="en-GB"/>
        </w:rPr>
      </w:pPr>
      <w:r w:rsidRPr="007457B1">
        <w:rPr>
          <w:rFonts w:ascii="Times New Roman" w:eastAsia="Times New Roman" w:hAnsi="Times New Roman" w:cs="Times New Roman"/>
          <w:color w:val="000000" w:themeColor="text1"/>
          <w:sz w:val="24"/>
          <w:szCs w:val="24"/>
          <w:lang w:val="en-GB" w:eastAsia="en-GB"/>
        </w:rPr>
        <w:t>In an endeavour to discharge its mandate, the Department is structured as follows:</w:t>
      </w:r>
    </w:p>
    <w:p w14:paraId="65D351F2" w14:textId="77777777" w:rsidR="00BB5DA5" w:rsidRPr="007457B1" w:rsidRDefault="00BB5DA5" w:rsidP="00C07A5A">
      <w:pPr>
        <w:numPr>
          <w:ilvl w:val="0"/>
          <w:numId w:val="2"/>
        </w:numPr>
        <w:spacing w:after="0" w:line="360" w:lineRule="auto"/>
        <w:jc w:val="both"/>
        <w:rPr>
          <w:rFonts w:ascii="Times New Roman" w:eastAsia="Times New Roman" w:hAnsi="Times New Roman" w:cs="Times New Roman"/>
          <w:color w:val="000000" w:themeColor="text1"/>
          <w:sz w:val="24"/>
          <w:szCs w:val="24"/>
          <w:lang w:val="en-GB" w:eastAsia="en-GB"/>
        </w:rPr>
      </w:pPr>
      <w:r w:rsidRPr="007457B1">
        <w:rPr>
          <w:rFonts w:ascii="Times New Roman" w:eastAsia="Times New Roman" w:hAnsi="Times New Roman" w:cs="Times New Roman"/>
          <w:color w:val="000000" w:themeColor="text1"/>
          <w:sz w:val="24"/>
          <w:szCs w:val="24"/>
          <w:lang w:val="en-GB" w:eastAsia="en-GB"/>
        </w:rPr>
        <w:t>Programme 1: Administration;</w:t>
      </w:r>
    </w:p>
    <w:p w14:paraId="76FB9504" w14:textId="77777777" w:rsidR="00BB5DA5" w:rsidRPr="007457B1" w:rsidRDefault="00BB5DA5" w:rsidP="00C07A5A">
      <w:pPr>
        <w:numPr>
          <w:ilvl w:val="0"/>
          <w:numId w:val="2"/>
        </w:numPr>
        <w:spacing w:after="0" w:line="360" w:lineRule="auto"/>
        <w:jc w:val="both"/>
        <w:rPr>
          <w:rFonts w:ascii="Times New Roman" w:eastAsia="Times New Roman" w:hAnsi="Times New Roman" w:cs="Times New Roman"/>
          <w:color w:val="000000" w:themeColor="text1"/>
          <w:sz w:val="24"/>
          <w:szCs w:val="24"/>
          <w:lang w:val="en-GB" w:eastAsia="en-GB"/>
        </w:rPr>
      </w:pPr>
      <w:r w:rsidRPr="007457B1">
        <w:rPr>
          <w:rFonts w:ascii="Times New Roman" w:eastAsia="Times New Roman" w:hAnsi="Times New Roman" w:cs="Times New Roman"/>
          <w:color w:val="000000" w:themeColor="text1"/>
          <w:sz w:val="24"/>
          <w:szCs w:val="24"/>
          <w:lang w:val="en-GB" w:eastAsia="en-GB"/>
        </w:rPr>
        <w:t>Programme 2: Integrated Transport Planning;</w:t>
      </w:r>
    </w:p>
    <w:p w14:paraId="2C90B988" w14:textId="77777777" w:rsidR="00BB5DA5" w:rsidRPr="007457B1" w:rsidRDefault="00BB5DA5" w:rsidP="00C07A5A">
      <w:pPr>
        <w:numPr>
          <w:ilvl w:val="0"/>
          <w:numId w:val="2"/>
        </w:numPr>
        <w:spacing w:after="0" w:line="360" w:lineRule="auto"/>
        <w:jc w:val="both"/>
        <w:rPr>
          <w:rFonts w:ascii="Times New Roman" w:eastAsia="Times New Roman" w:hAnsi="Times New Roman" w:cs="Times New Roman"/>
          <w:color w:val="000000" w:themeColor="text1"/>
          <w:sz w:val="24"/>
          <w:szCs w:val="24"/>
          <w:lang w:val="en-GB" w:eastAsia="en-GB"/>
        </w:rPr>
      </w:pPr>
      <w:r w:rsidRPr="007457B1">
        <w:rPr>
          <w:rFonts w:ascii="Times New Roman" w:eastAsia="Times New Roman" w:hAnsi="Times New Roman" w:cs="Times New Roman"/>
          <w:color w:val="000000" w:themeColor="text1"/>
          <w:sz w:val="24"/>
          <w:szCs w:val="24"/>
          <w:lang w:val="en-GB" w:eastAsia="en-GB"/>
        </w:rPr>
        <w:t>Programme 3: Rail Transport;</w:t>
      </w:r>
    </w:p>
    <w:p w14:paraId="472A72A5" w14:textId="77777777" w:rsidR="00BB5DA5" w:rsidRPr="007457B1" w:rsidRDefault="00BB5DA5" w:rsidP="00C07A5A">
      <w:pPr>
        <w:numPr>
          <w:ilvl w:val="0"/>
          <w:numId w:val="2"/>
        </w:numPr>
        <w:spacing w:after="0" w:line="360" w:lineRule="auto"/>
        <w:jc w:val="both"/>
        <w:rPr>
          <w:rFonts w:ascii="Times New Roman" w:eastAsia="Times New Roman" w:hAnsi="Times New Roman" w:cs="Times New Roman"/>
          <w:color w:val="000000" w:themeColor="text1"/>
          <w:sz w:val="24"/>
          <w:szCs w:val="24"/>
          <w:lang w:val="en-GB" w:eastAsia="en-GB"/>
        </w:rPr>
      </w:pPr>
      <w:r w:rsidRPr="007457B1">
        <w:rPr>
          <w:rFonts w:ascii="Times New Roman" w:eastAsia="Times New Roman" w:hAnsi="Times New Roman" w:cs="Times New Roman"/>
          <w:color w:val="000000" w:themeColor="text1"/>
          <w:sz w:val="24"/>
          <w:szCs w:val="24"/>
          <w:lang w:val="en-GB" w:eastAsia="en-GB"/>
        </w:rPr>
        <w:t>Programme 4: Road Transport;</w:t>
      </w:r>
    </w:p>
    <w:p w14:paraId="427CEE6C" w14:textId="77777777" w:rsidR="00BB5DA5" w:rsidRPr="007457B1" w:rsidRDefault="00BB5DA5" w:rsidP="00C07A5A">
      <w:pPr>
        <w:numPr>
          <w:ilvl w:val="0"/>
          <w:numId w:val="2"/>
        </w:numPr>
        <w:spacing w:after="0" w:line="360" w:lineRule="auto"/>
        <w:jc w:val="both"/>
        <w:rPr>
          <w:rFonts w:ascii="Times New Roman" w:eastAsia="Times New Roman" w:hAnsi="Times New Roman" w:cs="Times New Roman"/>
          <w:color w:val="000000" w:themeColor="text1"/>
          <w:sz w:val="24"/>
          <w:szCs w:val="24"/>
          <w:lang w:val="en-GB" w:eastAsia="en-GB"/>
        </w:rPr>
      </w:pPr>
      <w:r w:rsidRPr="007457B1">
        <w:rPr>
          <w:rFonts w:ascii="Times New Roman" w:eastAsia="Times New Roman" w:hAnsi="Times New Roman" w:cs="Times New Roman"/>
          <w:color w:val="000000" w:themeColor="text1"/>
          <w:sz w:val="24"/>
          <w:szCs w:val="24"/>
          <w:lang w:val="en-GB" w:eastAsia="en-GB"/>
        </w:rPr>
        <w:t>Programme 5: Civil Aviation Transport;</w:t>
      </w:r>
    </w:p>
    <w:p w14:paraId="4DD36DD7" w14:textId="77777777" w:rsidR="00BB5DA5" w:rsidRPr="007457B1" w:rsidRDefault="00BB5DA5" w:rsidP="00C07A5A">
      <w:pPr>
        <w:numPr>
          <w:ilvl w:val="0"/>
          <w:numId w:val="2"/>
        </w:numPr>
        <w:spacing w:after="0" w:line="360" w:lineRule="auto"/>
        <w:jc w:val="both"/>
        <w:rPr>
          <w:rFonts w:ascii="Times New Roman" w:eastAsia="Times New Roman" w:hAnsi="Times New Roman" w:cs="Times New Roman"/>
          <w:color w:val="000000" w:themeColor="text1"/>
          <w:sz w:val="24"/>
          <w:szCs w:val="24"/>
          <w:lang w:val="en-GB" w:eastAsia="en-GB"/>
        </w:rPr>
      </w:pPr>
      <w:r w:rsidRPr="007457B1">
        <w:rPr>
          <w:rFonts w:ascii="Times New Roman" w:eastAsia="Times New Roman" w:hAnsi="Times New Roman" w:cs="Times New Roman"/>
          <w:color w:val="000000" w:themeColor="text1"/>
          <w:sz w:val="24"/>
          <w:szCs w:val="24"/>
          <w:lang w:val="en-GB" w:eastAsia="en-GB"/>
        </w:rPr>
        <w:t>Programme 6: Maritime Transport; and</w:t>
      </w:r>
    </w:p>
    <w:p w14:paraId="4329AB52" w14:textId="77777777" w:rsidR="00BB5DA5" w:rsidRPr="007457B1" w:rsidRDefault="00BB5DA5" w:rsidP="00C07A5A">
      <w:pPr>
        <w:numPr>
          <w:ilvl w:val="0"/>
          <w:numId w:val="2"/>
        </w:numPr>
        <w:spacing w:after="0" w:line="360" w:lineRule="auto"/>
        <w:jc w:val="both"/>
        <w:rPr>
          <w:rFonts w:ascii="Times New Roman" w:eastAsia="Times New Roman" w:hAnsi="Times New Roman" w:cs="Times New Roman"/>
          <w:color w:val="000000" w:themeColor="text1"/>
          <w:sz w:val="24"/>
          <w:szCs w:val="24"/>
          <w:lang w:val="en-GB" w:eastAsia="en-GB"/>
        </w:rPr>
      </w:pPr>
      <w:r w:rsidRPr="007457B1">
        <w:rPr>
          <w:rFonts w:ascii="Times New Roman" w:eastAsia="Times New Roman" w:hAnsi="Times New Roman" w:cs="Times New Roman"/>
          <w:color w:val="000000" w:themeColor="text1"/>
          <w:sz w:val="24"/>
          <w:szCs w:val="24"/>
          <w:lang w:val="en-GB" w:eastAsia="en-GB"/>
        </w:rPr>
        <w:t>Programme 7: Public Transport.</w:t>
      </w:r>
    </w:p>
    <w:p w14:paraId="309E36F1" w14:textId="77777777" w:rsidR="00BB5DA5" w:rsidRPr="007457B1" w:rsidRDefault="00BB5DA5" w:rsidP="00C07A5A">
      <w:pPr>
        <w:spacing w:after="60" w:line="360" w:lineRule="auto"/>
        <w:jc w:val="both"/>
        <w:rPr>
          <w:rFonts w:ascii="Times New Roman" w:eastAsia="Times New Roman" w:hAnsi="Times New Roman" w:cs="Times New Roman"/>
          <w:color w:val="000000" w:themeColor="text1"/>
          <w:sz w:val="24"/>
          <w:szCs w:val="24"/>
          <w:lang w:val="en-GB" w:eastAsia="en-GB"/>
        </w:rPr>
      </w:pPr>
    </w:p>
    <w:p w14:paraId="40AE8056" w14:textId="77777777" w:rsidR="00BB5DA5" w:rsidRPr="00AB710E" w:rsidRDefault="00F04BC6" w:rsidP="00C07A5A">
      <w:pPr>
        <w:spacing w:after="0" w:line="360" w:lineRule="auto"/>
        <w:jc w:val="both"/>
        <w:rPr>
          <w:rFonts w:ascii="Times New Roman" w:eastAsia="Times New Roman" w:hAnsi="Times New Roman" w:cs="Times New Roman"/>
          <w:b/>
          <w:caps/>
          <w:color w:val="000000" w:themeColor="text1"/>
          <w:spacing w:val="-10"/>
          <w:kern w:val="28"/>
          <w:sz w:val="28"/>
          <w:szCs w:val="28"/>
          <w:lang w:val="en-GB"/>
        </w:rPr>
      </w:pPr>
      <w:r w:rsidRPr="00AB710E">
        <w:rPr>
          <w:rFonts w:ascii="Times New Roman" w:eastAsia="Times New Roman" w:hAnsi="Times New Roman" w:cs="Times New Roman"/>
          <w:b/>
          <w:caps/>
          <w:color w:val="000000" w:themeColor="text1"/>
          <w:spacing w:val="-10"/>
          <w:kern w:val="28"/>
          <w:sz w:val="28"/>
          <w:szCs w:val="28"/>
          <w:lang w:val="en-GB"/>
        </w:rPr>
        <w:lastRenderedPageBreak/>
        <w:t>3.</w:t>
      </w:r>
      <w:r w:rsidRPr="00AB710E">
        <w:rPr>
          <w:rFonts w:ascii="Times New Roman" w:eastAsia="Times New Roman" w:hAnsi="Times New Roman" w:cs="Times New Roman"/>
          <w:b/>
          <w:caps/>
          <w:color w:val="000000" w:themeColor="text1"/>
          <w:spacing w:val="-10"/>
          <w:kern w:val="28"/>
          <w:sz w:val="28"/>
          <w:szCs w:val="28"/>
          <w:lang w:val="en-GB"/>
        </w:rPr>
        <w:tab/>
      </w:r>
      <w:r w:rsidR="00BB5DA5" w:rsidRPr="00AB710E">
        <w:rPr>
          <w:rFonts w:ascii="Times New Roman" w:eastAsia="Times New Roman" w:hAnsi="Times New Roman" w:cs="Times New Roman"/>
          <w:b/>
          <w:caps/>
          <w:color w:val="000000" w:themeColor="text1"/>
          <w:spacing w:val="-10"/>
          <w:kern w:val="28"/>
          <w:sz w:val="28"/>
          <w:szCs w:val="28"/>
          <w:lang w:val="en-GB"/>
        </w:rPr>
        <w:t>OVERVIEW OF THE 201</w:t>
      </w:r>
      <w:r w:rsidRPr="00AB710E">
        <w:rPr>
          <w:rFonts w:ascii="Times New Roman" w:eastAsia="Times New Roman" w:hAnsi="Times New Roman" w:cs="Times New Roman"/>
          <w:b/>
          <w:caps/>
          <w:color w:val="000000" w:themeColor="text1"/>
          <w:spacing w:val="-10"/>
          <w:kern w:val="28"/>
          <w:sz w:val="28"/>
          <w:szCs w:val="28"/>
          <w:lang w:val="en-GB"/>
        </w:rPr>
        <w:t>8/19</w:t>
      </w:r>
      <w:r w:rsidR="00BB5DA5" w:rsidRPr="00AB710E">
        <w:rPr>
          <w:rFonts w:ascii="Times New Roman" w:eastAsia="Times New Roman" w:hAnsi="Times New Roman" w:cs="Times New Roman"/>
          <w:b/>
          <w:caps/>
          <w:color w:val="000000" w:themeColor="text1"/>
          <w:spacing w:val="-10"/>
          <w:kern w:val="28"/>
          <w:sz w:val="28"/>
          <w:szCs w:val="28"/>
          <w:lang w:val="en-GB"/>
        </w:rPr>
        <w:t xml:space="preserve"> FINANCIAL YEAR</w:t>
      </w:r>
      <w:r w:rsidR="00BB5DA5" w:rsidRPr="00AB710E">
        <w:rPr>
          <w:rFonts w:ascii="Times New Roman" w:hAnsi="Times New Roman" w:cs="Times New Roman"/>
          <w:sz w:val="28"/>
          <w:szCs w:val="28"/>
          <w:vertAlign w:val="superscript"/>
          <w:lang w:val="en-GB"/>
        </w:rPr>
        <w:footnoteReference w:id="1"/>
      </w:r>
    </w:p>
    <w:p w14:paraId="017E3358" w14:textId="77777777" w:rsidR="00BB5DA5" w:rsidRPr="007457B1" w:rsidRDefault="00675EFD" w:rsidP="00C07A5A">
      <w:pPr>
        <w:spacing w:after="60" w:line="360" w:lineRule="auto"/>
        <w:jc w:val="both"/>
        <w:rPr>
          <w:rFonts w:ascii="Times New Roman" w:eastAsia="Times New Roman" w:hAnsi="Times New Roman" w:cs="Times New Roman"/>
          <w:b/>
          <w:color w:val="000000" w:themeColor="text1"/>
          <w:sz w:val="24"/>
          <w:szCs w:val="24"/>
          <w:lang w:val="en-GB"/>
        </w:rPr>
      </w:pPr>
      <w:r w:rsidRPr="007457B1">
        <w:rPr>
          <w:rFonts w:ascii="Times New Roman" w:eastAsia="Times New Roman" w:hAnsi="Times New Roman" w:cs="Times New Roman"/>
          <w:b/>
          <w:color w:val="000000" w:themeColor="text1"/>
          <w:sz w:val="24"/>
          <w:szCs w:val="24"/>
          <w:lang w:val="en-GB"/>
        </w:rPr>
        <w:t>3</w:t>
      </w:r>
      <w:r w:rsidR="00BB5DA5" w:rsidRPr="007457B1">
        <w:rPr>
          <w:rFonts w:ascii="Times New Roman" w:eastAsia="Times New Roman" w:hAnsi="Times New Roman" w:cs="Times New Roman"/>
          <w:b/>
          <w:color w:val="000000" w:themeColor="text1"/>
          <w:sz w:val="24"/>
          <w:szCs w:val="24"/>
          <w:lang w:val="en-GB"/>
        </w:rPr>
        <w:t>.</w:t>
      </w:r>
      <w:r w:rsidR="00F04BC6" w:rsidRPr="007457B1">
        <w:rPr>
          <w:rFonts w:ascii="Times New Roman" w:eastAsia="Times New Roman" w:hAnsi="Times New Roman" w:cs="Times New Roman"/>
          <w:b/>
          <w:color w:val="000000" w:themeColor="text1"/>
          <w:sz w:val="24"/>
          <w:szCs w:val="24"/>
          <w:lang w:val="en-GB"/>
        </w:rPr>
        <w:t>1</w:t>
      </w:r>
      <w:r w:rsidR="00BB5DA5" w:rsidRPr="007457B1">
        <w:rPr>
          <w:rFonts w:ascii="Times New Roman" w:eastAsia="Times New Roman" w:hAnsi="Times New Roman" w:cs="Times New Roman"/>
          <w:b/>
          <w:color w:val="000000" w:themeColor="text1"/>
          <w:sz w:val="24"/>
          <w:szCs w:val="24"/>
          <w:lang w:val="en-GB"/>
        </w:rPr>
        <w:t xml:space="preserve"> First Quarter of 201</w:t>
      </w:r>
      <w:r w:rsidR="007B7954" w:rsidRPr="007457B1">
        <w:rPr>
          <w:rFonts w:ascii="Times New Roman" w:eastAsia="Times New Roman" w:hAnsi="Times New Roman" w:cs="Times New Roman"/>
          <w:b/>
          <w:color w:val="000000" w:themeColor="text1"/>
          <w:sz w:val="24"/>
          <w:szCs w:val="24"/>
          <w:lang w:val="en-GB"/>
        </w:rPr>
        <w:t>8</w:t>
      </w:r>
      <w:r w:rsidR="00BB5DA5" w:rsidRPr="007457B1">
        <w:rPr>
          <w:rFonts w:ascii="Times New Roman" w:eastAsia="Times New Roman" w:hAnsi="Times New Roman" w:cs="Times New Roman"/>
          <w:b/>
          <w:color w:val="000000" w:themeColor="text1"/>
          <w:sz w:val="24"/>
          <w:szCs w:val="24"/>
          <w:lang w:val="en-GB"/>
        </w:rPr>
        <w:t>/1</w:t>
      </w:r>
      <w:r w:rsidR="007B7954" w:rsidRPr="007457B1">
        <w:rPr>
          <w:rFonts w:ascii="Times New Roman" w:eastAsia="Times New Roman" w:hAnsi="Times New Roman" w:cs="Times New Roman"/>
          <w:b/>
          <w:color w:val="000000" w:themeColor="text1"/>
          <w:sz w:val="24"/>
          <w:szCs w:val="24"/>
          <w:lang w:val="en-GB"/>
        </w:rPr>
        <w:t>9</w:t>
      </w:r>
    </w:p>
    <w:p w14:paraId="6184711D" w14:textId="77777777" w:rsidR="007B7954" w:rsidRPr="007457B1" w:rsidRDefault="007B7954"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Table 1: 2018/19 First Quarter Expenditure</w:t>
      </w:r>
    </w:p>
    <w:tbl>
      <w:tblPr>
        <w:tblStyle w:val="GridTable1Light"/>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1131"/>
        <w:gridCol w:w="1390"/>
        <w:gridCol w:w="1610"/>
        <w:gridCol w:w="1414"/>
        <w:gridCol w:w="1539"/>
      </w:tblGrid>
      <w:tr w:rsidR="007B7954" w:rsidRPr="007457B1" w14:paraId="52C36A50" w14:textId="77777777" w:rsidTr="00AA48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31"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30F43D94" w14:textId="77777777" w:rsidR="007B7954" w:rsidRPr="002F0EDB" w:rsidRDefault="007B7954" w:rsidP="00C07A5A">
            <w:pPr>
              <w:spacing w:line="360" w:lineRule="auto"/>
              <w:jc w:val="both"/>
              <w:rPr>
                <w:rFonts w:ascii="Times New Roman" w:hAnsi="Times New Roman" w:cs="Times New Roman"/>
              </w:rPr>
            </w:pPr>
            <w:r w:rsidRPr="002F0EDB">
              <w:rPr>
                <w:rFonts w:ascii="Times New Roman" w:hAnsi="Times New Roman" w:cs="Times New Roman"/>
              </w:rPr>
              <w:t>Programme</w:t>
            </w:r>
          </w:p>
        </w:tc>
        <w:tc>
          <w:tcPr>
            <w:tcW w:w="4049" w:type="dxa"/>
            <w:gridSpan w:val="3"/>
            <w:tcBorders>
              <w:top w:val="single" w:sz="12" w:space="0" w:color="auto"/>
              <w:left w:val="single" w:sz="12" w:space="0" w:color="auto"/>
              <w:bottom w:val="single" w:sz="12" w:space="0" w:color="auto"/>
              <w:right w:val="single" w:sz="12" w:space="0" w:color="auto"/>
            </w:tcBorders>
            <w:shd w:val="pct15" w:color="auto" w:fill="FFFFFF" w:themeFill="background1"/>
          </w:tcPr>
          <w:p w14:paraId="24EB261E"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2018/19 First Quarter Expenditure</w:t>
            </w:r>
          </w:p>
        </w:tc>
        <w:tc>
          <w:tcPr>
            <w:tcW w:w="1414"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6C220E15"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45" w:type="dxa"/>
            <w:tcBorders>
              <w:top w:val="single" w:sz="12" w:space="0" w:color="auto"/>
              <w:left w:val="single" w:sz="12" w:space="0" w:color="auto"/>
              <w:bottom w:val="single" w:sz="4" w:space="0" w:color="auto"/>
              <w:right w:val="single" w:sz="12" w:space="0" w:color="auto"/>
            </w:tcBorders>
            <w:shd w:val="pct15" w:color="auto" w:fill="FFFFFF" w:themeFill="background1"/>
          </w:tcPr>
          <w:p w14:paraId="71833CE1"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7B7954" w:rsidRPr="007457B1" w14:paraId="4381D037" w14:textId="77777777" w:rsidTr="00AA48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2DD27287" w14:textId="77777777" w:rsidR="007B7954" w:rsidRPr="002F0EDB" w:rsidRDefault="007B7954" w:rsidP="00C07A5A">
            <w:pPr>
              <w:spacing w:line="360" w:lineRule="auto"/>
              <w:jc w:val="both"/>
              <w:rPr>
                <w:rFonts w:ascii="Times New Roman" w:hAnsi="Times New Roman" w:cs="Times New Roman"/>
              </w:rPr>
            </w:pPr>
            <w:r w:rsidRPr="002F0EDB">
              <w:rPr>
                <w:rFonts w:ascii="Times New Roman" w:hAnsi="Times New Roman" w:cs="Times New Roman"/>
              </w:rPr>
              <w:t>R ‘million</w:t>
            </w:r>
          </w:p>
        </w:tc>
        <w:tc>
          <w:tcPr>
            <w:tcW w:w="1134"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7D807B5B"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F0EDB">
              <w:rPr>
                <w:rFonts w:ascii="Times New Roman" w:hAnsi="Times New Roman" w:cs="Times New Roman"/>
              </w:rPr>
              <w:t>Available</w:t>
            </w:r>
          </w:p>
          <w:p w14:paraId="45095BDA"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Budget</w:t>
            </w:r>
          </w:p>
          <w:p w14:paraId="13159589"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1275"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3E166C5B"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F0EDB">
              <w:rPr>
                <w:rFonts w:ascii="Times New Roman" w:hAnsi="Times New Roman" w:cs="Times New Roman"/>
              </w:rPr>
              <w:t>Actual Expenditure</w:t>
            </w:r>
          </w:p>
        </w:tc>
        <w:tc>
          <w:tcPr>
            <w:tcW w:w="1560"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7D47B2C0"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F0EDB">
              <w:rPr>
                <w:rFonts w:ascii="Times New Roman" w:hAnsi="Times New Roman" w:cs="Times New Roman"/>
              </w:rPr>
              <w:t>Expenditure as % of Available Budget</w:t>
            </w:r>
          </w:p>
          <w:p w14:paraId="42A16BD5"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1417" w:type="dxa"/>
            <w:tcBorders>
              <w:left w:val="single" w:sz="12" w:space="0" w:color="auto"/>
              <w:bottom w:val="single" w:sz="12" w:space="0" w:color="auto"/>
              <w:right w:val="single" w:sz="12" w:space="0" w:color="auto"/>
            </w:tcBorders>
            <w:shd w:val="pct15" w:color="auto" w:fill="FFFFFF" w:themeFill="background1"/>
          </w:tcPr>
          <w:p w14:paraId="45B29C6D"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F0EDB">
              <w:rPr>
                <w:rFonts w:ascii="Times New Roman" w:hAnsi="Times New Roman" w:cs="Times New Roman"/>
              </w:rPr>
              <w:t>Projected Expenditure</w:t>
            </w:r>
          </w:p>
        </w:tc>
        <w:tc>
          <w:tcPr>
            <w:tcW w:w="1559" w:type="dxa"/>
            <w:tcBorders>
              <w:left w:val="single" w:sz="12" w:space="0" w:color="auto"/>
              <w:bottom w:val="single" w:sz="12" w:space="0" w:color="auto"/>
              <w:right w:val="single" w:sz="12" w:space="0" w:color="auto"/>
            </w:tcBorders>
            <w:shd w:val="pct15" w:color="auto" w:fill="FFFFFF" w:themeFill="background1"/>
          </w:tcPr>
          <w:p w14:paraId="7027D776"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F0EDB">
              <w:rPr>
                <w:rFonts w:ascii="Times New Roman" w:hAnsi="Times New Roman" w:cs="Times New Roman"/>
              </w:rPr>
              <w:t>%Variance from Projected Expenditure</w:t>
            </w:r>
          </w:p>
        </w:tc>
      </w:tr>
      <w:tr w:rsidR="007B7954" w:rsidRPr="007457B1" w14:paraId="3E984683" w14:textId="77777777" w:rsidTr="00AA480F">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tcBorders>
            <w:shd w:val="clear" w:color="auto" w:fill="FFFFFF" w:themeFill="background1"/>
          </w:tcPr>
          <w:p w14:paraId="661D9BAE"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Programme 1: Administration</w:t>
            </w:r>
          </w:p>
        </w:tc>
        <w:tc>
          <w:tcPr>
            <w:tcW w:w="1134" w:type="dxa"/>
            <w:tcBorders>
              <w:top w:val="single" w:sz="12" w:space="0" w:color="auto"/>
            </w:tcBorders>
            <w:shd w:val="clear" w:color="auto" w:fill="FFFFFF" w:themeFill="background1"/>
          </w:tcPr>
          <w:p w14:paraId="18EA49EA"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430.1</w:t>
            </w:r>
          </w:p>
        </w:tc>
        <w:tc>
          <w:tcPr>
            <w:tcW w:w="1275" w:type="dxa"/>
            <w:tcBorders>
              <w:top w:val="single" w:sz="12" w:space="0" w:color="auto"/>
            </w:tcBorders>
            <w:shd w:val="clear" w:color="auto" w:fill="FFFFFF" w:themeFill="background1"/>
          </w:tcPr>
          <w:p w14:paraId="6F225877"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 xml:space="preserve">71.6 </w:t>
            </w:r>
          </w:p>
        </w:tc>
        <w:tc>
          <w:tcPr>
            <w:tcW w:w="1560" w:type="dxa"/>
            <w:tcBorders>
              <w:top w:val="single" w:sz="12" w:space="0" w:color="auto"/>
            </w:tcBorders>
            <w:shd w:val="clear" w:color="auto" w:fill="FFFFFF" w:themeFill="background1"/>
          </w:tcPr>
          <w:p w14:paraId="13A8D1DB"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16.6%</w:t>
            </w:r>
          </w:p>
        </w:tc>
        <w:tc>
          <w:tcPr>
            <w:tcW w:w="1417" w:type="dxa"/>
            <w:tcBorders>
              <w:top w:val="single" w:sz="12" w:space="0" w:color="auto"/>
            </w:tcBorders>
            <w:shd w:val="clear" w:color="auto" w:fill="FFFFFF" w:themeFill="background1"/>
          </w:tcPr>
          <w:p w14:paraId="4E878584"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101.5</w:t>
            </w:r>
          </w:p>
        </w:tc>
        <w:tc>
          <w:tcPr>
            <w:tcW w:w="1559" w:type="dxa"/>
            <w:tcBorders>
              <w:top w:val="single" w:sz="12" w:space="0" w:color="auto"/>
            </w:tcBorders>
            <w:shd w:val="clear" w:color="auto" w:fill="FFFFFF" w:themeFill="background1"/>
          </w:tcPr>
          <w:p w14:paraId="4019F351"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29.5%</w:t>
            </w:r>
          </w:p>
        </w:tc>
      </w:tr>
      <w:tr w:rsidR="007B7954" w:rsidRPr="007457B1" w14:paraId="51F5DE0C" w14:textId="77777777" w:rsidTr="00AA480F">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72D5F27E"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Programme 2: Integrated Transport Planning</w:t>
            </w:r>
          </w:p>
        </w:tc>
        <w:tc>
          <w:tcPr>
            <w:tcW w:w="1134" w:type="dxa"/>
            <w:shd w:val="clear" w:color="auto" w:fill="FFFFFF" w:themeFill="background1"/>
          </w:tcPr>
          <w:p w14:paraId="14C4C2FD"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90.0</w:t>
            </w:r>
          </w:p>
        </w:tc>
        <w:tc>
          <w:tcPr>
            <w:tcW w:w="1275" w:type="dxa"/>
            <w:shd w:val="clear" w:color="auto" w:fill="FFFFFF" w:themeFill="background1"/>
          </w:tcPr>
          <w:p w14:paraId="5B791716"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14.9</w:t>
            </w:r>
          </w:p>
        </w:tc>
        <w:tc>
          <w:tcPr>
            <w:tcW w:w="1560" w:type="dxa"/>
            <w:shd w:val="clear" w:color="auto" w:fill="FFFFFF" w:themeFill="background1"/>
          </w:tcPr>
          <w:p w14:paraId="4F778327"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16.6%</w:t>
            </w:r>
          </w:p>
        </w:tc>
        <w:tc>
          <w:tcPr>
            <w:tcW w:w="1417" w:type="dxa"/>
            <w:shd w:val="clear" w:color="auto" w:fill="FFFFFF" w:themeFill="background1"/>
          </w:tcPr>
          <w:p w14:paraId="36EF590B"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26.7</w:t>
            </w:r>
          </w:p>
        </w:tc>
        <w:tc>
          <w:tcPr>
            <w:tcW w:w="1559" w:type="dxa"/>
            <w:shd w:val="clear" w:color="auto" w:fill="FFFFFF" w:themeFill="background1"/>
          </w:tcPr>
          <w:p w14:paraId="1737C7BA"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27.9%</w:t>
            </w:r>
          </w:p>
        </w:tc>
      </w:tr>
      <w:tr w:rsidR="007B7954" w:rsidRPr="007457B1" w14:paraId="64A11863" w14:textId="77777777" w:rsidTr="00AA480F">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60544408"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Programme 3: Rail Transport</w:t>
            </w:r>
          </w:p>
        </w:tc>
        <w:tc>
          <w:tcPr>
            <w:tcW w:w="1134" w:type="dxa"/>
            <w:shd w:val="clear" w:color="auto" w:fill="FFFFFF" w:themeFill="background1"/>
          </w:tcPr>
          <w:p w14:paraId="1BC2C04C"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18 887.3</w:t>
            </w:r>
          </w:p>
        </w:tc>
        <w:tc>
          <w:tcPr>
            <w:tcW w:w="1275" w:type="dxa"/>
            <w:shd w:val="clear" w:color="auto" w:fill="FFFFFF" w:themeFill="background1"/>
          </w:tcPr>
          <w:p w14:paraId="1957F1D6"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2 359.3</w:t>
            </w:r>
          </w:p>
        </w:tc>
        <w:tc>
          <w:tcPr>
            <w:tcW w:w="1560" w:type="dxa"/>
            <w:shd w:val="clear" w:color="auto" w:fill="FFFFFF" w:themeFill="background1"/>
          </w:tcPr>
          <w:p w14:paraId="5DE56A7E"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12.5%</w:t>
            </w:r>
          </w:p>
        </w:tc>
        <w:tc>
          <w:tcPr>
            <w:tcW w:w="1417" w:type="dxa"/>
            <w:shd w:val="clear" w:color="auto" w:fill="FFFFFF" w:themeFill="background1"/>
          </w:tcPr>
          <w:p w14:paraId="4533561D"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1 602.7</w:t>
            </w:r>
          </w:p>
        </w:tc>
        <w:tc>
          <w:tcPr>
            <w:tcW w:w="1559" w:type="dxa"/>
            <w:shd w:val="clear" w:color="auto" w:fill="FFFFFF" w:themeFill="background1"/>
          </w:tcPr>
          <w:p w14:paraId="5D7B776A"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-47.2%</w:t>
            </w:r>
          </w:p>
        </w:tc>
      </w:tr>
      <w:tr w:rsidR="007B7954" w:rsidRPr="007457B1" w14:paraId="06462200" w14:textId="77777777" w:rsidTr="00AA480F">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133189F9"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Programme 4: Road Transport</w:t>
            </w:r>
          </w:p>
        </w:tc>
        <w:tc>
          <w:tcPr>
            <w:tcW w:w="1134" w:type="dxa"/>
            <w:shd w:val="clear" w:color="auto" w:fill="FFFFFF" w:themeFill="background1"/>
          </w:tcPr>
          <w:p w14:paraId="6E86E088"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27 098.8</w:t>
            </w:r>
          </w:p>
        </w:tc>
        <w:tc>
          <w:tcPr>
            <w:tcW w:w="1275" w:type="dxa"/>
            <w:shd w:val="clear" w:color="auto" w:fill="FFFFFF" w:themeFill="background1"/>
          </w:tcPr>
          <w:p w14:paraId="4760C1C2"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6 328.7</w:t>
            </w:r>
          </w:p>
        </w:tc>
        <w:tc>
          <w:tcPr>
            <w:tcW w:w="1560" w:type="dxa"/>
            <w:shd w:val="clear" w:color="auto" w:fill="FFFFFF" w:themeFill="background1"/>
          </w:tcPr>
          <w:p w14:paraId="65F60F28"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23.4%</w:t>
            </w:r>
          </w:p>
        </w:tc>
        <w:tc>
          <w:tcPr>
            <w:tcW w:w="1417" w:type="dxa"/>
            <w:shd w:val="clear" w:color="auto" w:fill="FFFFFF" w:themeFill="background1"/>
          </w:tcPr>
          <w:p w14:paraId="2BB07003"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6 149.8</w:t>
            </w:r>
          </w:p>
        </w:tc>
        <w:tc>
          <w:tcPr>
            <w:tcW w:w="1559" w:type="dxa"/>
            <w:shd w:val="clear" w:color="auto" w:fill="FFFFFF" w:themeFill="background1"/>
          </w:tcPr>
          <w:p w14:paraId="2AC5EDF2"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-2.9%</w:t>
            </w:r>
          </w:p>
        </w:tc>
      </w:tr>
      <w:tr w:rsidR="007B7954" w:rsidRPr="007457B1" w14:paraId="76AEF251" w14:textId="77777777" w:rsidTr="00AA480F">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4B931F9C"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Programme 5: Civil Aviation Transport</w:t>
            </w:r>
          </w:p>
        </w:tc>
        <w:tc>
          <w:tcPr>
            <w:tcW w:w="1134" w:type="dxa"/>
            <w:shd w:val="clear" w:color="auto" w:fill="FFFFFF" w:themeFill="background1"/>
          </w:tcPr>
          <w:p w14:paraId="663073B1"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182.3</w:t>
            </w:r>
          </w:p>
        </w:tc>
        <w:tc>
          <w:tcPr>
            <w:tcW w:w="1275" w:type="dxa"/>
            <w:shd w:val="clear" w:color="auto" w:fill="FFFFFF" w:themeFill="background1"/>
          </w:tcPr>
          <w:p w14:paraId="6BD34D33"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28.4</w:t>
            </w:r>
          </w:p>
        </w:tc>
        <w:tc>
          <w:tcPr>
            <w:tcW w:w="1560" w:type="dxa"/>
            <w:shd w:val="clear" w:color="auto" w:fill="FFFFFF" w:themeFill="background1"/>
          </w:tcPr>
          <w:p w14:paraId="2445A00E"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15.6%</w:t>
            </w:r>
          </w:p>
        </w:tc>
        <w:tc>
          <w:tcPr>
            <w:tcW w:w="1417" w:type="dxa"/>
            <w:shd w:val="clear" w:color="auto" w:fill="FFFFFF" w:themeFill="background1"/>
          </w:tcPr>
          <w:p w14:paraId="1E19FCC0"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55.0</w:t>
            </w:r>
          </w:p>
        </w:tc>
        <w:tc>
          <w:tcPr>
            <w:tcW w:w="1559" w:type="dxa"/>
            <w:shd w:val="clear" w:color="auto" w:fill="FFFFFF" w:themeFill="background1"/>
          </w:tcPr>
          <w:p w14:paraId="6602060C"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48.3%</w:t>
            </w:r>
          </w:p>
        </w:tc>
      </w:tr>
      <w:tr w:rsidR="007B7954" w:rsidRPr="007457B1" w14:paraId="2CE0DDC1" w14:textId="77777777" w:rsidTr="00AA480F">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30930636"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Programme 6: Maritime Transport</w:t>
            </w:r>
          </w:p>
        </w:tc>
        <w:tc>
          <w:tcPr>
            <w:tcW w:w="1134" w:type="dxa"/>
            <w:shd w:val="clear" w:color="auto" w:fill="FFFFFF" w:themeFill="background1"/>
          </w:tcPr>
          <w:p w14:paraId="136217F7"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119.9</w:t>
            </w:r>
          </w:p>
        </w:tc>
        <w:tc>
          <w:tcPr>
            <w:tcW w:w="1275" w:type="dxa"/>
            <w:shd w:val="clear" w:color="auto" w:fill="FFFFFF" w:themeFill="background1"/>
          </w:tcPr>
          <w:p w14:paraId="353E2A1C"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28.2</w:t>
            </w:r>
          </w:p>
        </w:tc>
        <w:tc>
          <w:tcPr>
            <w:tcW w:w="1560" w:type="dxa"/>
            <w:shd w:val="clear" w:color="auto" w:fill="FFFFFF" w:themeFill="background1"/>
          </w:tcPr>
          <w:p w14:paraId="2CE243AC"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23.5%</w:t>
            </w:r>
          </w:p>
        </w:tc>
        <w:tc>
          <w:tcPr>
            <w:tcW w:w="1417" w:type="dxa"/>
            <w:shd w:val="clear" w:color="auto" w:fill="FFFFFF" w:themeFill="background1"/>
          </w:tcPr>
          <w:p w14:paraId="7F4AEC9B"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28.7</w:t>
            </w:r>
          </w:p>
        </w:tc>
        <w:tc>
          <w:tcPr>
            <w:tcW w:w="1559" w:type="dxa"/>
            <w:shd w:val="clear" w:color="auto" w:fill="FFFFFF" w:themeFill="background1"/>
          </w:tcPr>
          <w:p w14:paraId="7863EF51"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1.7%</w:t>
            </w:r>
          </w:p>
        </w:tc>
      </w:tr>
      <w:tr w:rsidR="007B7954" w:rsidRPr="007457B1" w14:paraId="30C3752B" w14:textId="77777777" w:rsidTr="00AA480F">
        <w:tc>
          <w:tcPr>
            <w:cnfStyle w:val="001000000000" w:firstRow="0" w:lastRow="0" w:firstColumn="1" w:lastColumn="0" w:oddVBand="0" w:evenVBand="0" w:oddHBand="0" w:evenHBand="0" w:firstRowFirstColumn="0" w:firstRowLastColumn="0" w:lastRowFirstColumn="0" w:lastRowLastColumn="0"/>
            <w:tcW w:w="2694" w:type="dxa"/>
            <w:tcBorders>
              <w:bottom w:val="single" w:sz="12" w:space="0" w:color="auto"/>
            </w:tcBorders>
            <w:shd w:val="clear" w:color="auto" w:fill="FFFFFF" w:themeFill="background1"/>
          </w:tcPr>
          <w:p w14:paraId="49A7FB2C"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Programme 7: Public Transport</w:t>
            </w:r>
          </w:p>
        </w:tc>
        <w:tc>
          <w:tcPr>
            <w:tcW w:w="1134" w:type="dxa"/>
            <w:tcBorders>
              <w:bottom w:val="single" w:sz="12" w:space="0" w:color="auto"/>
            </w:tcBorders>
            <w:shd w:val="clear" w:color="auto" w:fill="FFFFFF" w:themeFill="background1"/>
          </w:tcPr>
          <w:p w14:paraId="4C5B9A74"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12 990.0</w:t>
            </w:r>
          </w:p>
        </w:tc>
        <w:tc>
          <w:tcPr>
            <w:tcW w:w="1275" w:type="dxa"/>
            <w:tcBorders>
              <w:bottom w:val="single" w:sz="12" w:space="0" w:color="auto"/>
            </w:tcBorders>
            <w:shd w:val="clear" w:color="auto" w:fill="FFFFFF" w:themeFill="background1"/>
          </w:tcPr>
          <w:p w14:paraId="71413B50"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1 084.7</w:t>
            </w:r>
          </w:p>
        </w:tc>
        <w:tc>
          <w:tcPr>
            <w:tcW w:w="1560" w:type="dxa"/>
            <w:tcBorders>
              <w:bottom w:val="single" w:sz="12" w:space="0" w:color="auto"/>
            </w:tcBorders>
            <w:shd w:val="clear" w:color="auto" w:fill="FFFFFF" w:themeFill="background1"/>
          </w:tcPr>
          <w:p w14:paraId="6E8D70D5"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8.4%</w:t>
            </w:r>
          </w:p>
        </w:tc>
        <w:tc>
          <w:tcPr>
            <w:tcW w:w="1417" w:type="dxa"/>
            <w:tcBorders>
              <w:bottom w:val="single" w:sz="12" w:space="0" w:color="auto"/>
            </w:tcBorders>
            <w:shd w:val="clear" w:color="auto" w:fill="FFFFFF" w:themeFill="background1"/>
          </w:tcPr>
          <w:p w14:paraId="432E967C"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1 251.7</w:t>
            </w:r>
          </w:p>
        </w:tc>
        <w:tc>
          <w:tcPr>
            <w:tcW w:w="1559" w:type="dxa"/>
            <w:tcBorders>
              <w:bottom w:val="single" w:sz="12" w:space="0" w:color="auto"/>
            </w:tcBorders>
            <w:shd w:val="clear" w:color="auto" w:fill="FFFFFF" w:themeFill="background1"/>
          </w:tcPr>
          <w:p w14:paraId="6D4FFDAB"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13.3%</w:t>
            </w:r>
          </w:p>
        </w:tc>
      </w:tr>
      <w:tr w:rsidR="007B7954" w:rsidRPr="007457B1" w14:paraId="3C8BDA5C" w14:textId="77777777" w:rsidTr="00AA480F">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left w:val="single" w:sz="12" w:space="0" w:color="auto"/>
              <w:bottom w:val="single" w:sz="12" w:space="0" w:color="auto"/>
            </w:tcBorders>
            <w:shd w:val="pct15" w:color="auto" w:fill="FFFFFF" w:themeFill="background1"/>
          </w:tcPr>
          <w:p w14:paraId="5572C9C3" w14:textId="77777777" w:rsidR="007B7954" w:rsidRPr="002F0EDB" w:rsidRDefault="007B7954" w:rsidP="00C07A5A">
            <w:pPr>
              <w:spacing w:line="360" w:lineRule="auto"/>
              <w:jc w:val="both"/>
              <w:rPr>
                <w:rFonts w:ascii="Times New Roman" w:hAnsi="Times New Roman" w:cs="Times New Roman"/>
              </w:rPr>
            </w:pPr>
            <w:r w:rsidRPr="002F0EDB">
              <w:rPr>
                <w:rFonts w:ascii="Times New Roman" w:hAnsi="Times New Roman" w:cs="Times New Roman"/>
              </w:rPr>
              <w:t>TOTAL</w:t>
            </w:r>
          </w:p>
        </w:tc>
        <w:tc>
          <w:tcPr>
            <w:tcW w:w="1134" w:type="dxa"/>
            <w:tcBorders>
              <w:top w:val="single" w:sz="12" w:space="0" w:color="auto"/>
              <w:bottom w:val="single" w:sz="12" w:space="0" w:color="auto"/>
            </w:tcBorders>
            <w:shd w:val="pct15" w:color="auto" w:fill="FFFFFF" w:themeFill="background1"/>
          </w:tcPr>
          <w:p w14:paraId="2FB32132"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F0EDB">
              <w:rPr>
                <w:rFonts w:ascii="Times New Roman" w:hAnsi="Times New Roman" w:cs="Times New Roman"/>
                <w:b/>
              </w:rPr>
              <w:t>59 798.3</w:t>
            </w:r>
          </w:p>
        </w:tc>
        <w:tc>
          <w:tcPr>
            <w:tcW w:w="1275" w:type="dxa"/>
            <w:tcBorders>
              <w:top w:val="single" w:sz="12" w:space="0" w:color="auto"/>
              <w:bottom w:val="single" w:sz="12" w:space="0" w:color="auto"/>
            </w:tcBorders>
            <w:shd w:val="pct15" w:color="auto" w:fill="FFFFFF" w:themeFill="background1"/>
          </w:tcPr>
          <w:p w14:paraId="060D4F76"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F0EDB">
              <w:rPr>
                <w:rFonts w:ascii="Times New Roman" w:hAnsi="Times New Roman" w:cs="Times New Roman"/>
                <w:b/>
              </w:rPr>
              <w:t>9 915.9</w:t>
            </w:r>
          </w:p>
        </w:tc>
        <w:tc>
          <w:tcPr>
            <w:tcW w:w="1560" w:type="dxa"/>
            <w:tcBorders>
              <w:top w:val="single" w:sz="12" w:space="0" w:color="auto"/>
              <w:bottom w:val="single" w:sz="12" w:space="0" w:color="auto"/>
            </w:tcBorders>
            <w:shd w:val="pct15" w:color="auto" w:fill="FFFFFF" w:themeFill="background1"/>
          </w:tcPr>
          <w:p w14:paraId="47AE229B"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F0EDB">
              <w:rPr>
                <w:rFonts w:ascii="Times New Roman" w:hAnsi="Times New Roman" w:cs="Times New Roman"/>
                <w:b/>
              </w:rPr>
              <w:t>16.6%</w:t>
            </w:r>
          </w:p>
        </w:tc>
        <w:tc>
          <w:tcPr>
            <w:tcW w:w="1417" w:type="dxa"/>
            <w:tcBorders>
              <w:top w:val="single" w:sz="12" w:space="0" w:color="auto"/>
              <w:bottom w:val="single" w:sz="12" w:space="0" w:color="auto"/>
            </w:tcBorders>
            <w:shd w:val="pct15" w:color="auto" w:fill="FFFFFF" w:themeFill="background1"/>
          </w:tcPr>
          <w:p w14:paraId="7E726BBF"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F0EDB">
              <w:rPr>
                <w:rFonts w:ascii="Times New Roman" w:hAnsi="Times New Roman" w:cs="Times New Roman"/>
                <w:b/>
              </w:rPr>
              <w:t>9 210.1</w:t>
            </w:r>
          </w:p>
        </w:tc>
        <w:tc>
          <w:tcPr>
            <w:tcW w:w="1559" w:type="dxa"/>
            <w:tcBorders>
              <w:top w:val="single" w:sz="12" w:space="0" w:color="auto"/>
              <w:bottom w:val="single" w:sz="12" w:space="0" w:color="auto"/>
              <w:right w:val="single" w:sz="12" w:space="0" w:color="auto"/>
            </w:tcBorders>
            <w:shd w:val="pct15" w:color="auto" w:fill="FFFFFF" w:themeFill="background1"/>
          </w:tcPr>
          <w:p w14:paraId="069C7D9E"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F0EDB">
              <w:rPr>
                <w:rFonts w:ascii="Times New Roman" w:hAnsi="Times New Roman" w:cs="Times New Roman"/>
                <w:b/>
              </w:rPr>
              <w:t>-7.7%</w:t>
            </w:r>
          </w:p>
        </w:tc>
      </w:tr>
      <w:tr w:rsidR="007B7954" w:rsidRPr="007457B1" w14:paraId="73D41995" w14:textId="77777777" w:rsidTr="00AA480F">
        <w:tc>
          <w:tcPr>
            <w:cnfStyle w:val="001000000000" w:firstRow="0" w:lastRow="0" w:firstColumn="1" w:lastColumn="0" w:oddVBand="0" w:evenVBand="0" w:oddHBand="0" w:evenHBand="0" w:firstRowFirstColumn="0" w:firstRowLastColumn="0" w:lastRowFirstColumn="0" w:lastRowLastColumn="0"/>
            <w:tcW w:w="9639" w:type="dxa"/>
            <w:gridSpan w:val="6"/>
            <w:tcBorders>
              <w:top w:val="single" w:sz="12" w:space="0" w:color="auto"/>
              <w:left w:val="single" w:sz="12" w:space="0" w:color="auto"/>
              <w:bottom w:val="single" w:sz="12" w:space="0" w:color="auto"/>
              <w:right w:val="single" w:sz="12" w:space="0" w:color="auto"/>
            </w:tcBorders>
            <w:shd w:val="clear" w:color="auto" w:fill="auto"/>
          </w:tcPr>
          <w:p w14:paraId="5C44CB98"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(Source: National Treasury (2018a), adapted.</w:t>
            </w:r>
          </w:p>
          <w:p w14:paraId="56436DB2"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 xml:space="preserve">* </w:t>
            </w:r>
            <w:r w:rsidRPr="002F0EDB">
              <w:rPr>
                <w:rFonts w:ascii="Times New Roman" w:hAnsi="Times New Roman" w:cs="Times New Roman"/>
              </w:rPr>
              <w:t>Percentage variance</w:t>
            </w:r>
            <w:r w:rsidRPr="002F0EDB">
              <w:rPr>
                <w:rFonts w:ascii="Times New Roman" w:hAnsi="Times New Roman" w:cs="Times New Roman"/>
                <w:b w:val="0"/>
              </w:rPr>
              <w:t>: Negative figures show actual expenditure exceeds what was projected for the period.</w:t>
            </w:r>
          </w:p>
        </w:tc>
      </w:tr>
    </w:tbl>
    <w:p w14:paraId="2AE653C1" w14:textId="77777777" w:rsidR="007B7954" w:rsidRPr="007457B1" w:rsidRDefault="007B7954" w:rsidP="00C07A5A">
      <w:pPr>
        <w:spacing w:line="360" w:lineRule="auto"/>
        <w:jc w:val="both"/>
        <w:rPr>
          <w:rFonts w:ascii="Times New Roman" w:hAnsi="Times New Roman" w:cs="Times New Roman"/>
          <w:sz w:val="24"/>
          <w:szCs w:val="24"/>
        </w:rPr>
      </w:pPr>
    </w:p>
    <w:p w14:paraId="6127D8DF" w14:textId="77777777" w:rsidR="007B7954" w:rsidRPr="007457B1" w:rsidRDefault="007B7954"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For the 2018/19 financial year, the budget allocation for the Department stands at R59.8 billion. By the end of the First Quarter, the Department had spent R9.9 billion (16.6</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of its overall allocation – which resulted in 7.7</w:t>
      </w:r>
      <w:r w:rsidR="00862262" w:rsidRPr="007457B1">
        <w:rPr>
          <w:rFonts w:ascii="Times New Roman" w:hAnsi="Times New Roman" w:cs="Times New Roman"/>
          <w:sz w:val="24"/>
          <w:szCs w:val="24"/>
        </w:rPr>
        <w:t xml:space="preserve"> percent </w:t>
      </w:r>
      <w:r w:rsidRPr="007457B1">
        <w:rPr>
          <w:rFonts w:ascii="Times New Roman" w:hAnsi="Times New Roman" w:cs="Times New Roman"/>
          <w:sz w:val="24"/>
          <w:szCs w:val="24"/>
        </w:rPr>
        <w:t xml:space="preserve">higher spending than anticipated for </w:t>
      </w:r>
      <w:r w:rsidRPr="007457B1">
        <w:rPr>
          <w:rFonts w:ascii="Times New Roman" w:hAnsi="Times New Roman" w:cs="Times New Roman"/>
          <w:sz w:val="24"/>
          <w:szCs w:val="24"/>
        </w:rPr>
        <w:lastRenderedPageBreak/>
        <w:t>the period.</w:t>
      </w:r>
      <w:r w:rsidRPr="007457B1">
        <w:rPr>
          <w:rStyle w:val="FootnoteReference"/>
          <w:rFonts w:ascii="Times New Roman" w:hAnsi="Times New Roman" w:cs="Times New Roman"/>
          <w:sz w:val="24"/>
          <w:szCs w:val="24"/>
        </w:rPr>
        <w:footnoteReference w:id="2"/>
      </w:r>
      <w:r w:rsidRPr="007457B1">
        <w:rPr>
          <w:rFonts w:ascii="Times New Roman" w:hAnsi="Times New Roman" w:cs="Times New Roman"/>
          <w:sz w:val="24"/>
          <w:szCs w:val="24"/>
        </w:rPr>
        <w:t xml:space="preserve"> The higher than anticipated spending was mainly in the Rail Transport programme for </w:t>
      </w:r>
      <w:r w:rsidRPr="007457B1">
        <w:rPr>
          <w:rFonts w:ascii="Times New Roman" w:hAnsi="Times New Roman" w:cs="Times New Roman"/>
          <w:i/>
          <w:sz w:val="24"/>
          <w:szCs w:val="24"/>
        </w:rPr>
        <w:t>Transfers and Subsidies</w:t>
      </w:r>
      <w:r w:rsidRPr="007457B1">
        <w:rPr>
          <w:rFonts w:ascii="Times New Roman" w:hAnsi="Times New Roman" w:cs="Times New Roman"/>
          <w:sz w:val="24"/>
          <w:szCs w:val="24"/>
        </w:rPr>
        <w:t>.</w:t>
      </w:r>
    </w:p>
    <w:p w14:paraId="50B7C0F9" w14:textId="77777777" w:rsidR="007B7954" w:rsidRPr="007457B1" w:rsidRDefault="007B7954" w:rsidP="00C07A5A">
      <w:pPr>
        <w:spacing w:line="360" w:lineRule="auto"/>
        <w:jc w:val="both"/>
        <w:rPr>
          <w:rFonts w:ascii="Times New Roman" w:hAnsi="Times New Roman" w:cs="Times New Roman"/>
          <w:sz w:val="24"/>
          <w:szCs w:val="24"/>
        </w:rPr>
      </w:pPr>
    </w:p>
    <w:p w14:paraId="3472E1C1" w14:textId="77777777" w:rsidR="007B7954" w:rsidRPr="007457B1" w:rsidRDefault="007B7954"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By the end of the First Quarter of 2018/19, the Department had spent R100.2 million on </w:t>
      </w:r>
      <w:r w:rsidRPr="007457B1">
        <w:rPr>
          <w:rFonts w:ascii="Times New Roman" w:hAnsi="Times New Roman" w:cs="Times New Roman"/>
          <w:i/>
          <w:sz w:val="24"/>
          <w:szCs w:val="24"/>
        </w:rPr>
        <w:t>Compensation of Employees</w:t>
      </w:r>
      <w:r w:rsidRPr="007457B1">
        <w:rPr>
          <w:rFonts w:ascii="Times New Roman" w:hAnsi="Times New Roman" w:cs="Times New Roman"/>
          <w:sz w:val="24"/>
          <w:szCs w:val="24"/>
        </w:rPr>
        <w:t>, indicating lower than projected spending of R22.1 million. The delay in spending on compensation was mainly owing to the slow filling of vacant posts since executive management approval was still pending. The Department had 652 filled posts, against a funded establishment of 739 posts. The vacancy rate stood at 11.8</w:t>
      </w:r>
      <w:r w:rsidR="00862262" w:rsidRPr="007457B1">
        <w:rPr>
          <w:rFonts w:ascii="Times New Roman" w:hAnsi="Times New Roman" w:cs="Times New Roman"/>
          <w:sz w:val="24"/>
          <w:szCs w:val="24"/>
        </w:rPr>
        <w:t xml:space="preserve"> percent </w:t>
      </w:r>
      <w:r w:rsidRPr="007457B1">
        <w:rPr>
          <w:rFonts w:ascii="Times New Roman" w:hAnsi="Times New Roman" w:cs="Times New Roman"/>
          <w:sz w:val="24"/>
          <w:szCs w:val="24"/>
        </w:rPr>
        <w:t>or 87 vacant posts.</w:t>
      </w:r>
      <w:r w:rsidRPr="007457B1">
        <w:rPr>
          <w:rStyle w:val="FootnoteReference"/>
          <w:rFonts w:ascii="Times New Roman" w:hAnsi="Times New Roman" w:cs="Times New Roman"/>
          <w:sz w:val="24"/>
          <w:szCs w:val="24"/>
        </w:rPr>
        <w:footnoteReference w:id="3"/>
      </w:r>
    </w:p>
    <w:p w14:paraId="364B8606" w14:textId="77777777" w:rsidR="007B7954" w:rsidRPr="007457B1" w:rsidRDefault="007B7954" w:rsidP="00C07A5A">
      <w:pPr>
        <w:spacing w:line="360" w:lineRule="auto"/>
        <w:jc w:val="both"/>
        <w:rPr>
          <w:rFonts w:ascii="Times New Roman" w:hAnsi="Times New Roman" w:cs="Times New Roman"/>
          <w:b/>
          <w:sz w:val="24"/>
          <w:szCs w:val="24"/>
          <w:highlight w:val="yellow"/>
        </w:rPr>
      </w:pPr>
    </w:p>
    <w:p w14:paraId="0A617704" w14:textId="77777777" w:rsidR="007B7954" w:rsidRPr="007457B1" w:rsidRDefault="007B7954"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3.2 Second Quarter of 2018/19</w:t>
      </w:r>
    </w:p>
    <w:p w14:paraId="581F77F8" w14:textId="77777777" w:rsidR="007B7954" w:rsidRPr="007457B1" w:rsidRDefault="007B7954"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Table 2: 2018/19 Second Quarter Expenditure</w:t>
      </w:r>
    </w:p>
    <w:tbl>
      <w:tblPr>
        <w:tblStyle w:val="GridTable1Light"/>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131"/>
        <w:gridCol w:w="1390"/>
        <w:gridCol w:w="1613"/>
        <w:gridCol w:w="1414"/>
        <w:gridCol w:w="1538"/>
      </w:tblGrid>
      <w:tr w:rsidR="007B7954" w:rsidRPr="007457B1" w14:paraId="2F0DE945" w14:textId="77777777" w:rsidTr="00AA48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24" w:type="dxa"/>
            <w:tcBorders>
              <w:top w:val="single" w:sz="12" w:space="0" w:color="auto"/>
              <w:bottom w:val="single" w:sz="12" w:space="0" w:color="auto"/>
            </w:tcBorders>
            <w:shd w:val="pct15" w:color="auto" w:fill="FFFFFF" w:themeFill="background1"/>
          </w:tcPr>
          <w:p w14:paraId="4A4A42AE" w14:textId="77777777" w:rsidR="007B7954" w:rsidRPr="002F0EDB" w:rsidRDefault="007B7954" w:rsidP="00C07A5A">
            <w:pPr>
              <w:spacing w:line="360" w:lineRule="auto"/>
              <w:jc w:val="both"/>
              <w:rPr>
                <w:rFonts w:ascii="Times New Roman" w:hAnsi="Times New Roman" w:cs="Times New Roman"/>
              </w:rPr>
            </w:pPr>
            <w:r w:rsidRPr="002F0EDB">
              <w:rPr>
                <w:rFonts w:ascii="Times New Roman" w:hAnsi="Times New Roman" w:cs="Times New Roman"/>
              </w:rPr>
              <w:t>Programme</w:t>
            </w:r>
          </w:p>
        </w:tc>
        <w:tc>
          <w:tcPr>
            <w:tcW w:w="4053" w:type="dxa"/>
            <w:gridSpan w:val="3"/>
            <w:tcBorders>
              <w:top w:val="single" w:sz="12" w:space="0" w:color="auto"/>
              <w:bottom w:val="single" w:sz="12" w:space="0" w:color="auto"/>
              <w:right w:val="single" w:sz="12" w:space="0" w:color="auto"/>
            </w:tcBorders>
            <w:shd w:val="pct15" w:color="auto" w:fill="FFFFFF" w:themeFill="background1"/>
          </w:tcPr>
          <w:p w14:paraId="1DECE208"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2018/19 Second Quarter Expenditure</w:t>
            </w:r>
          </w:p>
        </w:tc>
        <w:tc>
          <w:tcPr>
            <w:tcW w:w="1414"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23A81810"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48"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02AFD869"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7B7954" w:rsidRPr="007457B1" w14:paraId="5C9A0A12" w14:textId="77777777" w:rsidTr="00AB710E">
        <w:trPr>
          <w:cnfStyle w:val="100000000000" w:firstRow="1" w:lastRow="0" w:firstColumn="0" w:lastColumn="0" w:oddVBand="0" w:evenVBand="0" w:oddHBand="0" w:evenHBand="0" w:firstRowFirstColumn="0" w:firstRowLastColumn="0" w:lastRowFirstColumn="0" w:lastRowLastColumn="0"/>
          <w:trHeight w:val="1702"/>
          <w:tblHeader/>
        </w:trPr>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right w:val="single" w:sz="12" w:space="0" w:color="auto"/>
            </w:tcBorders>
            <w:shd w:val="pct15" w:color="auto" w:fill="FFFFFF" w:themeFill="background1"/>
          </w:tcPr>
          <w:p w14:paraId="43BACD97" w14:textId="77777777" w:rsidR="007B7954" w:rsidRPr="002F0EDB" w:rsidRDefault="007B7954" w:rsidP="00C07A5A">
            <w:pPr>
              <w:spacing w:line="360" w:lineRule="auto"/>
              <w:jc w:val="both"/>
              <w:rPr>
                <w:rFonts w:ascii="Times New Roman" w:hAnsi="Times New Roman" w:cs="Times New Roman"/>
              </w:rPr>
            </w:pPr>
            <w:r w:rsidRPr="002F0EDB">
              <w:rPr>
                <w:rFonts w:ascii="Times New Roman" w:hAnsi="Times New Roman" w:cs="Times New Roman"/>
              </w:rPr>
              <w:t>R ‘ Million</w:t>
            </w:r>
          </w:p>
        </w:tc>
        <w:tc>
          <w:tcPr>
            <w:tcW w:w="1134" w:type="dxa"/>
            <w:tcBorders>
              <w:top w:val="single" w:sz="12" w:space="0" w:color="auto"/>
              <w:left w:val="single" w:sz="12" w:space="0" w:color="auto"/>
              <w:right w:val="single" w:sz="12" w:space="0" w:color="auto"/>
            </w:tcBorders>
            <w:shd w:val="pct15" w:color="auto" w:fill="FFFFFF" w:themeFill="background1"/>
          </w:tcPr>
          <w:p w14:paraId="706DFC4F"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F0EDB">
              <w:rPr>
                <w:rFonts w:ascii="Times New Roman" w:hAnsi="Times New Roman" w:cs="Times New Roman"/>
              </w:rPr>
              <w:t>Available</w:t>
            </w:r>
          </w:p>
          <w:p w14:paraId="46755677"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F0EDB">
              <w:rPr>
                <w:rFonts w:ascii="Times New Roman" w:hAnsi="Times New Roman" w:cs="Times New Roman"/>
              </w:rPr>
              <w:t>Budget</w:t>
            </w:r>
          </w:p>
        </w:tc>
        <w:tc>
          <w:tcPr>
            <w:tcW w:w="1275" w:type="dxa"/>
            <w:tcBorders>
              <w:top w:val="single" w:sz="12" w:space="0" w:color="auto"/>
              <w:left w:val="single" w:sz="12" w:space="0" w:color="auto"/>
              <w:right w:val="single" w:sz="12" w:space="0" w:color="auto"/>
            </w:tcBorders>
            <w:shd w:val="pct15" w:color="auto" w:fill="FFFFFF" w:themeFill="background1"/>
          </w:tcPr>
          <w:p w14:paraId="1E82DF23"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F0EDB">
              <w:rPr>
                <w:rFonts w:ascii="Times New Roman" w:hAnsi="Times New Roman" w:cs="Times New Roman"/>
              </w:rPr>
              <w:t>Actual Expenditure</w:t>
            </w:r>
          </w:p>
        </w:tc>
        <w:tc>
          <w:tcPr>
            <w:tcW w:w="1560" w:type="dxa"/>
            <w:tcBorders>
              <w:top w:val="single" w:sz="12" w:space="0" w:color="auto"/>
              <w:left w:val="single" w:sz="12" w:space="0" w:color="auto"/>
              <w:right w:val="single" w:sz="12" w:space="0" w:color="auto"/>
            </w:tcBorders>
            <w:shd w:val="pct15" w:color="auto" w:fill="FFFFFF" w:themeFill="background1"/>
          </w:tcPr>
          <w:p w14:paraId="1DB6F545"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F0EDB">
              <w:rPr>
                <w:rFonts w:ascii="Times New Roman" w:hAnsi="Times New Roman" w:cs="Times New Roman"/>
              </w:rPr>
              <w:t>Expenditure as % of Available Budget</w:t>
            </w:r>
          </w:p>
          <w:p w14:paraId="0EEC0A59"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1417" w:type="dxa"/>
            <w:tcBorders>
              <w:top w:val="single" w:sz="12" w:space="0" w:color="auto"/>
              <w:left w:val="single" w:sz="12" w:space="0" w:color="auto"/>
              <w:right w:val="single" w:sz="12" w:space="0" w:color="auto"/>
            </w:tcBorders>
            <w:shd w:val="pct15" w:color="auto" w:fill="FFFFFF" w:themeFill="background1"/>
          </w:tcPr>
          <w:p w14:paraId="1055A73E"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F0EDB">
              <w:rPr>
                <w:rFonts w:ascii="Times New Roman" w:hAnsi="Times New Roman" w:cs="Times New Roman"/>
              </w:rPr>
              <w:t>Projected Expenditure</w:t>
            </w:r>
          </w:p>
        </w:tc>
        <w:tc>
          <w:tcPr>
            <w:tcW w:w="1559" w:type="dxa"/>
            <w:tcBorders>
              <w:top w:val="single" w:sz="12" w:space="0" w:color="auto"/>
              <w:left w:val="single" w:sz="12" w:space="0" w:color="auto"/>
              <w:right w:val="single" w:sz="12" w:space="0" w:color="auto"/>
            </w:tcBorders>
            <w:shd w:val="pct15" w:color="auto" w:fill="FFFFFF" w:themeFill="background1"/>
          </w:tcPr>
          <w:p w14:paraId="40FD9DC3"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F0EDB">
              <w:rPr>
                <w:rFonts w:ascii="Times New Roman" w:hAnsi="Times New Roman" w:cs="Times New Roman"/>
              </w:rPr>
              <w:t>%Variance from Projected Expenditure</w:t>
            </w:r>
          </w:p>
        </w:tc>
      </w:tr>
      <w:tr w:rsidR="007B7954" w:rsidRPr="007457B1" w14:paraId="4EBB67C0" w14:textId="77777777" w:rsidTr="00AA480F">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tcBorders>
            <w:shd w:val="clear" w:color="auto" w:fill="FFFFFF" w:themeFill="background1"/>
          </w:tcPr>
          <w:p w14:paraId="1C813247"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Programme 1: Administration</w:t>
            </w:r>
          </w:p>
        </w:tc>
        <w:tc>
          <w:tcPr>
            <w:tcW w:w="1134" w:type="dxa"/>
            <w:tcBorders>
              <w:top w:val="single" w:sz="12" w:space="0" w:color="auto"/>
            </w:tcBorders>
            <w:shd w:val="clear" w:color="auto" w:fill="FFFFFF" w:themeFill="background1"/>
          </w:tcPr>
          <w:p w14:paraId="23728A30"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430.1</w:t>
            </w:r>
          </w:p>
        </w:tc>
        <w:tc>
          <w:tcPr>
            <w:tcW w:w="1275" w:type="dxa"/>
            <w:tcBorders>
              <w:top w:val="single" w:sz="12" w:space="0" w:color="auto"/>
            </w:tcBorders>
            <w:shd w:val="clear" w:color="auto" w:fill="FFFFFF" w:themeFill="background1"/>
          </w:tcPr>
          <w:p w14:paraId="7C2C1658"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 xml:space="preserve">160.7 </w:t>
            </w:r>
          </w:p>
        </w:tc>
        <w:tc>
          <w:tcPr>
            <w:tcW w:w="1560" w:type="dxa"/>
            <w:tcBorders>
              <w:top w:val="single" w:sz="12" w:space="0" w:color="auto"/>
            </w:tcBorders>
            <w:shd w:val="clear" w:color="auto" w:fill="FFFFFF" w:themeFill="background1"/>
          </w:tcPr>
          <w:p w14:paraId="4262360A"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37.4%</w:t>
            </w:r>
          </w:p>
        </w:tc>
        <w:tc>
          <w:tcPr>
            <w:tcW w:w="1417" w:type="dxa"/>
            <w:tcBorders>
              <w:top w:val="single" w:sz="12" w:space="0" w:color="auto"/>
            </w:tcBorders>
            <w:shd w:val="clear" w:color="auto" w:fill="FFFFFF" w:themeFill="background1"/>
          </w:tcPr>
          <w:p w14:paraId="4CBFF214"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209.7</w:t>
            </w:r>
          </w:p>
        </w:tc>
        <w:tc>
          <w:tcPr>
            <w:tcW w:w="1559" w:type="dxa"/>
            <w:tcBorders>
              <w:top w:val="single" w:sz="12" w:space="0" w:color="auto"/>
            </w:tcBorders>
            <w:shd w:val="clear" w:color="auto" w:fill="FFFFFF" w:themeFill="background1"/>
          </w:tcPr>
          <w:p w14:paraId="7AB6B7F0"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23.3%</w:t>
            </w:r>
          </w:p>
        </w:tc>
      </w:tr>
      <w:tr w:rsidR="007B7954" w:rsidRPr="007457B1" w14:paraId="360040AF" w14:textId="77777777" w:rsidTr="00AA480F">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06880A71"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Programme 2: Integrated Transport Planning</w:t>
            </w:r>
          </w:p>
        </w:tc>
        <w:tc>
          <w:tcPr>
            <w:tcW w:w="1134" w:type="dxa"/>
            <w:shd w:val="clear" w:color="auto" w:fill="FFFFFF" w:themeFill="background1"/>
          </w:tcPr>
          <w:p w14:paraId="2C0554CA"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90.0</w:t>
            </w:r>
          </w:p>
        </w:tc>
        <w:tc>
          <w:tcPr>
            <w:tcW w:w="1275" w:type="dxa"/>
            <w:shd w:val="clear" w:color="auto" w:fill="FFFFFF" w:themeFill="background1"/>
          </w:tcPr>
          <w:p w14:paraId="639284A6"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35.1</w:t>
            </w:r>
          </w:p>
        </w:tc>
        <w:tc>
          <w:tcPr>
            <w:tcW w:w="1560" w:type="dxa"/>
            <w:shd w:val="clear" w:color="auto" w:fill="FFFFFF" w:themeFill="background1"/>
          </w:tcPr>
          <w:p w14:paraId="06F7C826"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39.0%</w:t>
            </w:r>
          </w:p>
        </w:tc>
        <w:tc>
          <w:tcPr>
            <w:tcW w:w="1417" w:type="dxa"/>
            <w:shd w:val="clear" w:color="auto" w:fill="FFFFFF" w:themeFill="background1"/>
          </w:tcPr>
          <w:p w14:paraId="6AC6063C"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44.7</w:t>
            </w:r>
          </w:p>
        </w:tc>
        <w:tc>
          <w:tcPr>
            <w:tcW w:w="1559" w:type="dxa"/>
            <w:shd w:val="clear" w:color="auto" w:fill="FFFFFF" w:themeFill="background1"/>
          </w:tcPr>
          <w:p w14:paraId="49EA20FC"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21.6%</w:t>
            </w:r>
          </w:p>
        </w:tc>
      </w:tr>
      <w:tr w:rsidR="007B7954" w:rsidRPr="007457B1" w14:paraId="4E187C25" w14:textId="77777777" w:rsidTr="00AA480F">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42BE4AF2"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Programme 3: Rail Transport</w:t>
            </w:r>
          </w:p>
        </w:tc>
        <w:tc>
          <w:tcPr>
            <w:tcW w:w="1134" w:type="dxa"/>
            <w:shd w:val="clear" w:color="auto" w:fill="FFFFFF" w:themeFill="background1"/>
          </w:tcPr>
          <w:p w14:paraId="194E09CC"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15. 887.3</w:t>
            </w:r>
          </w:p>
        </w:tc>
        <w:tc>
          <w:tcPr>
            <w:tcW w:w="1275" w:type="dxa"/>
            <w:shd w:val="clear" w:color="auto" w:fill="FFFFFF" w:themeFill="background1"/>
          </w:tcPr>
          <w:p w14:paraId="61DA8F74"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3 805.9</w:t>
            </w:r>
          </w:p>
        </w:tc>
        <w:tc>
          <w:tcPr>
            <w:tcW w:w="1560" w:type="dxa"/>
            <w:shd w:val="clear" w:color="auto" w:fill="FFFFFF" w:themeFill="background1"/>
          </w:tcPr>
          <w:p w14:paraId="18BE45C3"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24.0%</w:t>
            </w:r>
          </w:p>
        </w:tc>
        <w:tc>
          <w:tcPr>
            <w:tcW w:w="1417" w:type="dxa"/>
            <w:shd w:val="clear" w:color="auto" w:fill="FFFFFF" w:themeFill="background1"/>
          </w:tcPr>
          <w:p w14:paraId="5686FD8A"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9 487.4</w:t>
            </w:r>
          </w:p>
        </w:tc>
        <w:tc>
          <w:tcPr>
            <w:tcW w:w="1559" w:type="dxa"/>
            <w:shd w:val="clear" w:color="auto" w:fill="FFFFFF" w:themeFill="background1"/>
          </w:tcPr>
          <w:p w14:paraId="13B97DB6"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59.8%</w:t>
            </w:r>
          </w:p>
        </w:tc>
      </w:tr>
      <w:tr w:rsidR="007B7954" w:rsidRPr="007457B1" w14:paraId="683E82A7" w14:textId="77777777" w:rsidTr="00AA480F">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1C5F66CB"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Programme 4: Road Transport</w:t>
            </w:r>
          </w:p>
        </w:tc>
        <w:tc>
          <w:tcPr>
            <w:tcW w:w="1134" w:type="dxa"/>
            <w:shd w:val="clear" w:color="auto" w:fill="FFFFFF" w:themeFill="background1"/>
          </w:tcPr>
          <w:p w14:paraId="12F73AF0"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30 102.4</w:t>
            </w:r>
          </w:p>
        </w:tc>
        <w:tc>
          <w:tcPr>
            <w:tcW w:w="1275" w:type="dxa"/>
            <w:shd w:val="clear" w:color="auto" w:fill="FFFFFF" w:themeFill="background1"/>
          </w:tcPr>
          <w:p w14:paraId="319CBDB7"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14 328.8</w:t>
            </w:r>
          </w:p>
        </w:tc>
        <w:tc>
          <w:tcPr>
            <w:tcW w:w="1560" w:type="dxa"/>
            <w:shd w:val="clear" w:color="auto" w:fill="FFFFFF" w:themeFill="background1"/>
          </w:tcPr>
          <w:p w14:paraId="6526D59E"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47.6%</w:t>
            </w:r>
          </w:p>
        </w:tc>
        <w:tc>
          <w:tcPr>
            <w:tcW w:w="1417" w:type="dxa"/>
            <w:shd w:val="clear" w:color="auto" w:fill="FFFFFF" w:themeFill="background1"/>
          </w:tcPr>
          <w:p w14:paraId="1DDDFAD2"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14 200.8</w:t>
            </w:r>
          </w:p>
        </w:tc>
        <w:tc>
          <w:tcPr>
            <w:tcW w:w="1559" w:type="dxa"/>
            <w:shd w:val="clear" w:color="auto" w:fill="FFFFFF" w:themeFill="background1"/>
          </w:tcPr>
          <w:p w14:paraId="67EC1DC2"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-0.9%</w:t>
            </w:r>
          </w:p>
        </w:tc>
      </w:tr>
      <w:tr w:rsidR="007B7954" w:rsidRPr="007457B1" w14:paraId="6DF07240" w14:textId="77777777" w:rsidTr="00AA480F">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41271F14"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Programme 5: Civil Aviation Transport</w:t>
            </w:r>
          </w:p>
        </w:tc>
        <w:tc>
          <w:tcPr>
            <w:tcW w:w="1134" w:type="dxa"/>
            <w:shd w:val="clear" w:color="auto" w:fill="FFFFFF" w:themeFill="background1"/>
          </w:tcPr>
          <w:p w14:paraId="14E01703"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182.3</w:t>
            </w:r>
          </w:p>
        </w:tc>
        <w:tc>
          <w:tcPr>
            <w:tcW w:w="1275" w:type="dxa"/>
            <w:shd w:val="clear" w:color="auto" w:fill="FFFFFF" w:themeFill="background1"/>
          </w:tcPr>
          <w:p w14:paraId="73DF9246"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89.9</w:t>
            </w:r>
          </w:p>
        </w:tc>
        <w:tc>
          <w:tcPr>
            <w:tcW w:w="1560" w:type="dxa"/>
            <w:shd w:val="clear" w:color="auto" w:fill="FFFFFF" w:themeFill="background1"/>
          </w:tcPr>
          <w:p w14:paraId="62FB6C82"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49.3%</w:t>
            </w:r>
          </w:p>
        </w:tc>
        <w:tc>
          <w:tcPr>
            <w:tcW w:w="1417" w:type="dxa"/>
            <w:shd w:val="clear" w:color="auto" w:fill="FFFFFF" w:themeFill="background1"/>
          </w:tcPr>
          <w:p w14:paraId="627E926A"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97.2</w:t>
            </w:r>
          </w:p>
        </w:tc>
        <w:tc>
          <w:tcPr>
            <w:tcW w:w="1559" w:type="dxa"/>
            <w:shd w:val="clear" w:color="auto" w:fill="FFFFFF" w:themeFill="background1"/>
          </w:tcPr>
          <w:p w14:paraId="2CC3C885"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7.5%</w:t>
            </w:r>
          </w:p>
        </w:tc>
      </w:tr>
      <w:tr w:rsidR="007B7954" w:rsidRPr="007457B1" w14:paraId="5582647F" w14:textId="77777777" w:rsidTr="00AA480F">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3C5BFC95"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Programme 6: Maritime Transport</w:t>
            </w:r>
          </w:p>
        </w:tc>
        <w:tc>
          <w:tcPr>
            <w:tcW w:w="1134" w:type="dxa"/>
            <w:shd w:val="clear" w:color="auto" w:fill="FFFFFF" w:themeFill="background1"/>
          </w:tcPr>
          <w:p w14:paraId="2FF5B95F"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119.9</w:t>
            </w:r>
          </w:p>
        </w:tc>
        <w:tc>
          <w:tcPr>
            <w:tcW w:w="1275" w:type="dxa"/>
            <w:shd w:val="clear" w:color="auto" w:fill="FFFFFF" w:themeFill="background1"/>
          </w:tcPr>
          <w:p w14:paraId="00D531CE"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57.5</w:t>
            </w:r>
          </w:p>
        </w:tc>
        <w:tc>
          <w:tcPr>
            <w:tcW w:w="1560" w:type="dxa"/>
            <w:shd w:val="clear" w:color="auto" w:fill="FFFFFF" w:themeFill="background1"/>
          </w:tcPr>
          <w:p w14:paraId="0DE45978"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48.0%</w:t>
            </w:r>
          </w:p>
        </w:tc>
        <w:tc>
          <w:tcPr>
            <w:tcW w:w="1417" w:type="dxa"/>
            <w:shd w:val="clear" w:color="auto" w:fill="FFFFFF" w:themeFill="background1"/>
          </w:tcPr>
          <w:p w14:paraId="0C491BD4"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57.6</w:t>
            </w:r>
          </w:p>
        </w:tc>
        <w:tc>
          <w:tcPr>
            <w:tcW w:w="1559" w:type="dxa"/>
            <w:shd w:val="clear" w:color="auto" w:fill="FFFFFF" w:themeFill="background1"/>
          </w:tcPr>
          <w:p w14:paraId="6BBD3AB7"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0.0%</w:t>
            </w:r>
          </w:p>
        </w:tc>
      </w:tr>
      <w:tr w:rsidR="007B7954" w:rsidRPr="007457B1" w14:paraId="04E05E38" w14:textId="77777777" w:rsidTr="00AA480F">
        <w:tc>
          <w:tcPr>
            <w:cnfStyle w:val="001000000000" w:firstRow="0" w:lastRow="0" w:firstColumn="1" w:lastColumn="0" w:oddVBand="0" w:evenVBand="0" w:oddHBand="0" w:evenHBand="0" w:firstRowFirstColumn="0" w:firstRowLastColumn="0" w:lastRowFirstColumn="0" w:lastRowLastColumn="0"/>
            <w:tcW w:w="2694" w:type="dxa"/>
            <w:tcBorders>
              <w:bottom w:val="single" w:sz="12" w:space="0" w:color="auto"/>
            </w:tcBorders>
            <w:shd w:val="clear" w:color="auto" w:fill="FFFFFF" w:themeFill="background1"/>
          </w:tcPr>
          <w:p w14:paraId="06562E7D"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Programme 7: Public Transport</w:t>
            </w:r>
          </w:p>
        </w:tc>
        <w:tc>
          <w:tcPr>
            <w:tcW w:w="1134" w:type="dxa"/>
            <w:tcBorders>
              <w:bottom w:val="single" w:sz="12" w:space="0" w:color="auto"/>
            </w:tcBorders>
            <w:shd w:val="clear" w:color="auto" w:fill="FFFFFF" w:themeFill="background1"/>
          </w:tcPr>
          <w:p w14:paraId="3342166D"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12 986.4</w:t>
            </w:r>
          </w:p>
        </w:tc>
        <w:tc>
          <w:tcPr>
            <w:tcW w:w="1275" w:type="dxa"/>
            <w:tcBorders>
              <w:bottom w:val="single" w:sz="12" w:space="0" w:color="auto"/>
            </w:tcBorders>
            <w:shd w:val="clear" w:color="auto" w:fill="FFFFFF" w:themeFill="background1"/>
          </w:tcPr>
          <w:p w14:paraId="0963231A"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3 668.9</w:t>
            </w:r>
          </w:p>
        </w:tc>
        <w:tc>
          <w:tcPr>
            <w:tcW w:w="1560" w:type="dxa"/>
            <w:tcBorders>
              <w:bottom w:val="single" w:sz="12" w:space="0" w:color="auto"/>
            </w:tcBorders>
            <w:shd w:val="clear" w:color="auto" w:fill="FFFFFF" w:themeFill="background1"/>
          </w:tcPr>
          <w:p w14:paraId="3B464535"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28.3%</w:t>
            </w:r>
          </w:p>
        </w:tc>
        <w:tc>
          <w:tcPr>
            <w:tcW w:w="1417" w:type="dxa"/>
            <w:tcBorders>
              <w:bottom w:val="single" w:sz="12" w:space="0" w:color="auto"/>
            </w:tcBorders>
            <w:shd w:val="clear" w:color="auto" w:fill="FFFFFF" w:themeFill="background1"/>
          </w:tcPr>
          <w:p w14:paraId="11D9D4E7"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4 505.0</w:t>
            </w:r>
          </w:p>
        </w:tc>
        <w:tc>
          <w:tcPr>
            <w:tcW w:w="1559" w:type="dxa"/>
            <w:tcBorders>
              <w:bottom w:val="single" w:sz="12" w:space="0" w:color="auto"/>
            </w:tcBorders>
            <w:shd w:val="clear" w:color="auto" w:fill="FFFFFF" w:themeFill="background1"/>
          </w:tcPr>
          <w:p w14:paraId="6CC962CE"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18.6%</w:t>
            </w:r>
          </w:p>
        </w:tc>
      </w:tr>
      <w:tr w:rsidR="007B7954" w:rsidRPr="007457B1" w14:paraId="27DD1EE9" w14:textId="77777777" w:rsidTr="00AA480F">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left w:val="single" w:sz="12" w:space="0" w:color="auto"/>
              <w:bottom w:val="single" w:sz="12" w:space="0" w:color="auto"/>
            </w:tcBorders>
            <w:shd w:val="pct15" w:color="auto" w:fill="FFFFFF" w:themeFill="background1"/>
          </w:tcPr>
          <w:p w14:paraId="2E8B34AE" w14:textId="77777777" w:rsidR="007B7954" w:rsidRPr="002F0EDB" w:rsidRDefault="007B7954" w:rsidP="00C07A5A">
            <w:pPr>
              <w:spacing w:line="360" w:lineRule="auto"/>
              <w:jc w:val="both"/>
              <w:rPr>
                <w:rFonts w:ascii="Times New Roman" w:hAnsi="Times New Roman" w:cs="Times New Roman"/>
              </w:rPr>
            </w:pPr>
            <w:r w:rsidRPr="002F0EDB">
              <w:rPr>
                <w:rFonts w:ascii="Times New Roman" w:hAnsi="Times New Roman" w:cs="Times New Roman"/>
              </w:rPr>
              <w:t>TOTAL</w:t>
            </w:r>
          </w:p>
        </w:tc>
        <w:tc>
          <w:tcPr>
            <w:tcW w:w="1134" w:type="dxa"/>
            <w:tcBorders>
              <w:top w:val="single" w:sz="12" w:space="0" w:color="auto"/>
              <w:bottom w:val="single" w:sz="12" w:space="0" w:color="auto"/>
            </w:tcBorders>
            <w:shd w:val="pct15" w:color="auto" w:fill="FFFFFF" w:themeFill="background1"/>
          </w:tcPr>
          <w:p w14:paraId="2D70C2BD"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F0EDB">
              <w:rPr>
                <w:rFonts w:ascii="Times New Roman" w:hAnsi="Times New Roman" w:cs="Times New Roman"/>
                <w:b/>
              </w:rPr>
              <w:t>59 798.3</w:t>
            </w:r>
          </w:p>
        </w:tc>
        <w:tc>
          <w:tcPr>
            <w:tcW w:w="1275" w:type="dxa"/>
            <w:tcBorders>
              <w:top w:val="single" w:sz="12" w:space="0" w:color="auto"/>
              <w:bottom w:val="single" w:sz="12" w:space="0" w:color="auto"/>
            </w:tcBorders>
            <w:shd w:val="pct15" w:color="auto" w:fill="FFFFFF" w:themeFill="background1"/>
          </w:tcPr>
          <w:p w14:paraId="59EBAA18"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F0EDB">
              <w:rPr>
                <w:rFonts w:ascii="Times New Roman" w:hAnsi="Times New Roman" w:cs="Times New Roman"/>
                <w:b/>
              </w:rPr>
              <w:t>22 146.9</w:t>
            </w:r>
          </w:p>
        </w:tc>
        <w:tc>
          <w:tcPr>
            <w:tcW w:w="1560" w:type="dxa"/>
            <w:tcBorders>
              <w:top w:val="single" w:sz="12" w:space="0" w:color="auto"/>
              <w:bottom w:val="single" w:sz="12" w:space="0" w:color="auto"/>
            </w:tcBorders>
            <w:shd w:val="pct15" w:color="auto" w:fill="FFFFFF" w:themeFill="background1"/>
          </w:tcPr>
          <w:p w14:paraId="40E947F7"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F0EDB">
              <w:rPr>
                <w:rFonts w:ascii="Times New Roman" w:hAnsi="Times New Roman" w:cs="Times New Roman"/>
                <w:b/>
              </w:rPr>
              <w:t>37.0%</w:t>
            </w:r>
          </w:p>
        </w:tc>
        <w:tc>
          <w:tcPr>
            <w:tcW w:w="1417" w:type="dxa"/>
            <w:tcBorders>
              <w:top w:val="single" w:sz="12" w:space="0" w:color="auto"/>
              <w:bottom w:val="single" w:sz="12" w:space="0" w:color="auto"/>
            </w:tcBorders>
            <w:shd w:val="pct15" w:color="auto" w:fill="FFFFFF" w:themeFill="background1"/>
          </w:tcPr>
          <w:p w14:paraId="507AA220"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F0EDB">
              <w:rPr>
                <w:rFonts w:ascii="Times New Roman" w:hAnsi="Times New Roman" w:cs="Times New Roman"/>
                <w:b/>
              </w:rPr>
              <w:t>28 582.4</w:t>
            </w:r>
          </w:p>
        </w:tc>
        <w:tc>
          <w:tcPr>
            <w:tcW w:w="1559" w:type="dxa"/>
            <w:tcBorders>
              <w:top w:val="single" w:sz="12" w:space="0" w:color="auto"/>
              <w:bottom w:val="single" w:sz="12" w:space="0" w:color="auto"/>
              <w:right w:val="single" w:sz="12" w:space="0" w:color="auto"/>
            </w:tcBorders>
            <w:shd w:val="pct15" w:color="auto" w:fill="FFFFFF" w:themeFill="background1"/>
          </w:tcPr>
          <w:p w14:paraId="0BAA85D6"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F0EDB">
              <w:rPr>
                <w:rFonts w:ascii="Times New Roman" w:hAnsi="Times New Roman" w:cs="Times New Roman"/>
                <w:b/>
              </w:rPr>
              <w:t>22.5%</w:t>
            </w:r>
          </w:p>
        </w:tc>
      </w:tr>
      <w:tr w:rsidR="007B7954" w:rsidRPr="007457B1" w14:paraId="4596C237" w14:textId="77777777" w:rsidTr="00AA480F">
        <w:tc>
          <w:tcPr>
            <w:cnfStyle w:val="001000000000" w:firstRow="0" w:lastRow="0" w:firstColumn="1" w:lastColumn="0" w:oddVBand="0" w:evenVBand="0" w:oddHBand="0" w:evenHBand="0" w:firstRowFirstColumn="0" w:firstRowLastColumn="0" w:lastRowFirstColumn="0" w:lastRowLastColumn="0"/>
            <w:tcW w:w="9639" w:type="dxa"/>
            <w:gridSpan w:val="6"/>
            <w:tcBorders>
              <w:top w:val="single" w:sz="12" w:space="0" w:color="auto"/>
              <w:left w:val="single" w:sz="12" w:space="0" w:color="auto"/>
              <w:bottom w:val="single" w:sz="12" w:space="0" w:color="auto"/>
              <w:right w:val="single" w:sz="12" w:space="0" w:color="auto"/>
            </w:tcBorders>
            <w:shd w:val="clear" w:color="auto" w:fill="auto"/>
          </w:tcPr>
          <w:p w14:paraId="68F7A503"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(Source: National Treasury (2018a), adapted.</w:t>
            </w:r>
          </w:p>
          <w:p w14:paraId="7F825228"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rPr>
              <w:t>* Percentage variance</w:t>
            </w:r>
            <w:r w:rsidRPr="002F0EDB">
              <w:rPr>
                <w:rFonts w:ascii="Times New Roman" w:hAnsi="Times New Roman" w:cs="Times New Roman"/>
                <w:b w:val="0"/>
              </w:rPr>
              <w:t>: negative figures show actual expenditure exceeds what was projected for the period.</w:t>
            </w:r>
          </w:p>
        </w:tc>
      </w:tr>
    </w:tbl>
    <w:p w14:paraId="43A59138" w14:textId="77777777" w:rsidR="007B7954" w:rsidRPr="007457B1" w:rsidRDefault="007B7954" w:rsidP="00C07A5A">
      <w:pPr>
        <w:spacing w:line="360" w:lineRule="auto"/>
        <w:jc w:val="both"/>
        <w:rPr>
          <w:rFonts w:ascii="Times New Roman" w:hAnsi="Times New Roman" w:cs="Times New Roman"/>
          <w:b/>
          <w:color w:val="525252" w:themeColor="accent3" w:themeShade="80"/>
          <w:sz w:val="24"/>
          <w:szCs w:val="24"/>
        </w:rPr>
      </w:pPr>
    </w:p>
    <w:p w14:paraId="41C0F7FF" w14:textId="77777777" w:rsidR="007B7954" w:rsidRPr="007457B1" w:rsidRDefault="007B7954"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By the end of the Second Quarter of 2018/19, the Depa</w:t>
      </w:r>
      <w:r w:rsidR="00862262" w:rsidRPr="007457B1">
        <w:rPr>
          <w:rFonts w:ascii="Times New Roman" w:hAnsi="Times New Roman" w:cs="Times New Roman"/>
          <w:sz w:val="24"/>
          <w:szCs w:val="24"/>
        </w:rPr>
        <w:t xml:space="preserve">rtment spent R22.1 billion (37 percent of </w:t>
      </w:r>
      <w:r w:rsidRPr="007457B1">
        <w:rPr>
          <w:rFonts w:ascii="Times New Roman" w:hAnsi="Times New Roman" w:cs="Times New Roman"/>
          <w:sz w:val="24"/>
          <w:szCs w:val="24"/>
        </w:rPr>
        <w:t xml:space="preserve">its allocation) – indicating a slower spending than the R28.6 billion planned for this period.  The delay in spending was again mainly in the Rail Transport programme. The Department spent R209.6 million on the </w:t>
      </w:r>
      <w:r w:rsidRPr="007457B1">
        <w:rPr>
          <w:rFonts w:ascii="Times New Roman" w:hAnsi="Times New Roman" w:cs="Times New Roman"/>
          <w:i/>
          <w:sz w:val="24"/>
          <w:szCs w:val="24"/>
        </w:rPr>
        <w:t>Compensation of Employees</w:t>
      </w:r>
      <w:r w:rsidRPr="007457B1">
        <w:rPr>
          <w:rFonts w:ascii="Times New Roman" w:hAnsi="Times New Roman" w:cs="Times New Roman"/>
          <w:sz w:val="24"/>
          <w:szCs w:val="24"/>
        </w:rPr>
        <w:t>, against the projected spending of R243.9 million. This translated into lower than projected spending of R34.3 million.</w:t>
      </w:r>
      <w:r w:rsidRPr="007457B1">
        <w:rPr>
          <w:rStyle w:val="FootnoteReference"/>
          <w:rFonts w:ascii="Times New Roman" w:hAnsi="Times New Roman" w:cs="Times New Roman"/>
          <w:sz w:val="24"/>
          <w:szCs w:val="24"/>
        </w:rPr>
        <w:footnoteReference w:id="4"/>
      </w:r>
    </w:p>
    <w:p w14:paraId="22F6C5A2" w14:textId="77777777" w:rsidR="007B7954" w:rsidRPr="007457B1" w:rsidRDefault="007B7954" w:rsidP="00C07A5A">
      <w:pPr>
        <w:spacing w:line="360" w:lineRule="auto"/>
        <w:jc w:val="both"/>
        <w:rPr>
          <w:rFonts w:ascii="Times New Roman" w:hAnsi="Times New Roman" w:cs="Times New Roman"/>
          <w:sz w:val="24"/>
          <w:szCs w:val="24"/>
        </w:rPr>
      </w:pPr>
    </w:p>
    <w:p w14:paraId="7008A314" w14:textId="77777777" w:rsidR="007B7954" w:rsidRPr="007457B1" w:rsidRDefault="007B7954"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Administration programme also experienced lower than what was planned spending mainly due to the slow filling of vacant posts, outstanding invoices for the office accommodation lease and procurement delays for information technology (IT) security, public-private partnership (PPP), fleet transaction advisory services and private automated business exchange (PABX) telephone services.  </w:t>
      </w:r>
    </w:p>
    <w:p w14:paraId="16651E32" w14:textId="77777777" w:rsidR="007B7954" w:rsidRPr="007457B1" w:rsidRDefault="007B7954" w:rsidP="00C07A5A">
      <w:pPr>
        <w:spacing w:line="360" w:lineRule="auto"/>
        <w:jc w:val="both"/>
        <w:rPr>
          <w:rFonts w:ascii="Times New Roman" w:hAnsi="Times New Roman" w:cs="Times New Roman"/>
          <w:b/>
          <w:sz w:val="24"/>
          <w:szCs w:val="24"/>
        </w:rPr>
      </w:pPr>
    </w:p>
    <w:p w14:paraId="4044153E" w14:textId="77777777" w:rsidR="007B7954" w:rsidRPr="007457B1" w:rsidRDefault="007B7954"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As at the end of the Second Quarter of 2018/19, the National Treasury had approved the following virements and shifts of funds:</w:t>
      </w:r>
      <w:r w:rsidRPr="007457B1">
        <w:rPr>
          <w:rStyle w:val="FootnoteReference"/>
          <w:rFonts w:ascii="Times New Roman" w:hAnsi="Times New Roman" w:cs="Times New Roman"/>
          <w:sz w:val="24"/>
          <w:szCs w:val="24"/>
        </w:rPr>
        <w:footnoteReference w:id="5"/>
      </w:r>
    </w:p>
    <w:p w14:paraId="0EEFC464" w14:textId="77777777" w:rsidR="007B7954" w:rsidRPr="007457B1" w:rsidRDefault="007B7954" w:rsidP="00C07A5A">
      <w:pPr>
        <w:pStyle w:val="ListParagraph"/>
        <w:numPr>
          <w:ilvl w:val="0"/>
          <w:numId w:val="22"/>
        </w:numPr>
        <w:spacing w:line="360" w:lineRule="auto"/>
        <w:jc w:val="both"/>
        <w:rPr>
          <w:rFonts w:ascii="Times New Roman" w:hAnsi="Times New Roman"/>
          <w:sz w:val="24"/>
          <w:szCs w:val="24"/>
          <w:lang w:val="en-GB"/>
        </w:rPr>
      </w:pPr>
      <w:r w:rsidRPr="007457B1">
        <w:rPr>
          <w:rFonts w:ascii="Times New Roman" w:hAnsi="Times New Roman"/>
          <w:sz w:val="24"/>
          <w:szCs w:val="24"/>
          <w:lang w:val="en-GB"/>
        </w:rPr>
        <w:t>R333.3 million from PRASA. Other capital programmes transfer to PRASA: Metrorail transfer line;</w:t>
      </w:r>
    </w:p>
    <w:p w14:paraId="1F4DF424" w14:textId="77777777" w:rsidR="007B7954" w:rsidRPr="007457B1" w:rsidRDefault="007B7954" w:rsidP="00C07A5A">
      <w:pPr>
        <w:pStyle w:val="ListParagraph"/>
        <w:numPr>
          <w:ilvl w:val="0"/>
          <w:numId w:val="22"/>
        </w:numPr>
        <w:spacing w:line="360" w:lineRule="auto"/>
        <w:jc w:val="both"/>
        <w:rPr>
          <w:rFonts w:ascii="Times New Roman" w:hAnsi="Times New Roman"/>
          <w:sz w:val="24"/>
          <w:szCs w:val="24"/>
          <w:lang w:val="en-GB"/>
        </w:rPr>
      </w:pPr>
      <w:r w:rsidRPr="007457B1">
        <w:rPr>
          <w:rFonts w:ascii="Times New Roman" w:hAnsi="Times New Roman"/>
          <w:sz w:val="24"/>
          <w:szCs w:val="24"/>
          <w:lang w:val="en-GB"/>
        </w:rPr>
        <w:t>R124.6 million from PRASA. Other capital programmes transfer line to PRASA: Mainline Passenger Services transfer line; and</w:t>
      </w:r>
    </w:p>
    <w:p w14:paraId="0C9BCB51" w14:textId="77777777" w:rsidR="007B7954" w:rsidRPr="007457B1" w:rsidRDefault="007B7954" w:rsidP="00C07A5A">
      <w:pPr>
        <w:pStyle w:val="ListParagraph"/>
        <w:numPr>
          <w:ilvl w:val="0"/>
          <w:numId w:val="22"/>
        </w:numPr>
        <w:spacing w:line="360" w:lineRule="auto"/>
        <w:jc w:val="both"/>
        <w:rPr>
          <w:rFonts w:ascii="Times New Roman" w:hAnsi="Times New Roman"/>
          <w:sz w:val="24"/>
          <w:szCs w:val="24"/>
          <w:lang w:val="en-GB"/>
        </w:rPr>
      </w:pPr>
      <w:r w:rsidRPr="007457B1">
        <w:rPr>
          <w:rFonts w:ascii="Times New Roman" w:hAnsi="Times New Roman"/>
          <w:sz w:val="24"/>
          <w:szCs w:val="24"/>
          <w:lang w:val="en-GB"/>
        </w:rPr>
        <w:t>R832.9 million from PRASA: Other capital programmes transfer line to PRASA: Rail maintenance operations and inventories transfer line.</w:t>
      </w:r>
    </w:p>
    <w:p w14:paraId="4FD3ABC8" w14:textId="77777777" w:rsidR="007B7954" w:rsidRPr="007457B1" w:rsidRDefault="007B7954" w:rsidP="00C07A5A">
      <w:pPr>
        <w:spacing w:line="360" w:lineRule="auto"/>
        <w:jc w:val="both"/>
        <w:rPr>
          <w:rFonts w:ascii="Times New Roman" w:hAnsi="Times New Roman" w:cs="Times New Roman"/>
          <w:sz w:val="24"/>
          <w:szCs w:val="24"/>
        </w:rPr>
      </w:pPr>
    </w:p>
    <w:p w14:paraId="0671EAD5" w14:textId="77777777" w:rsidR="007B7954" w:rsidRPr="007457B1" w:rsidRDefault="00F04BC6"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3</w:t>
      </w:r>
      <w:r w:rsidR="007B7954" w:rsidRPr="007457B1">
        <w:rPr>
          <w:rFonts w:ascii="Times New Roman" w:hAnsi="Times New Roman" w:cs="Times New Roman"/>
          <w:b/>
          <w:sz w:val="24"/>
          <w:szCs w:val="24"/>
        </w:rPr>
        <w:t>.3 Third Quarter Expenditure of 2018/19</w:t>
      </w:r>
    </w:p>
    <w:p w14:paraId="5B4A9251" w14:textId="77777777" w:rsidR="007B7954" w:rsidRPr="007457B1" w:rsidRDefault="007B7954"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Table 3: 2018/19 Third Quarter Expenditure</w:t>
      </w:r>
    </w:p>
    <w:tbl>
      <w:tblPr>
        <w:tblStyle w:val="GridTable1Light"/>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131"/>
        <w:gridCol w:w="1390"/>
        <w:gridCol w:w="1613"/>
        <w:gridCol w:w="1414"/>
        <w:gridCol w:w="1538"/>
      </w:tblGrid>
      <w:tr w:rsidR="007B7954" w:rsidRPr="007457B1" w14:paraId="41EEFFE7" w14:textId="77777777" w:rsidTr="00AA48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24"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56DC1C52" w14:textId="77777777" w:rsidR="007B7954" w:rsidRPr="002F0EDB" w:rsidRDefault="007B7954" w:rsidP="00C07A5A">
            <w:pPr>
              <w:spacing w:line="360" w:lineRule="auto"/>
              <w:jc w:val="both"/>
              <w:rPr>
                <w:rFonts w:ascii="Times New Roman" w:hAnsi="Times New Roman" w:cs="Times New Roman"/>
              </w:rPr>
            </w:pPr>
            <w:r w:rsidRPr="002F0EDB">
              <w:rPr>
                <w:rFonts w:ascii="Times New Roman" w:hAnsi="Times New Roman" w:cs="Times New Roman"/>
              </w:rPr>
              <w:t>Programme</w:t>
            </w:r>
          </w:p>
        </w:tc>
        <w:tc>
          <w:tcPr>
            <w:tcW w:w="4053" w:type="dxa"/>
            <w:gridSpan w:val="3"/>
            <w:tcBorders>
              <w:top w:val="single" w:sz="12" w:space="0" w:color="auto"/>
              <w:left w:val="single" w:sz="12" w:space="0" w:color="auto"/>
              <w:bottom w:val="single" w:sz="12" w:space="0" w:color="auto"/>
            </w:tcBorders>
            <w:shd w:val="pct15" w:color="auto" w:fill="FFFFFF" w:themeFill="background1"/>
          </w:tcPr>
          <w:p w14:paraId="55374909"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2018/19 Second Quarter Expenditure</w:t>
            </w:r>
          </w:p>
        </w:tc>
        <w:tc>
          <w:tcPr>
            <w:tcW w:w="1414" w:type="dxa"/>
            <w:tcBorders>
              <w:top w:val="single" w:sz="12" w:space="0" w:color="auto"/>
              <w:bottom w:val="single" w:sz="12" w:space="0" w:color="auto"/>
            </w:tcBorders>
            <w:shd w:val="pct15" w:color="auto" w:fill="FFFFFF" w:themeFill="background1"/>
          </w:tcPr>
          <w:p w14:paraId="44F9B08A"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48" w:type="dxa"/>
            <w:tcBorders>
              <w:top w:val="single" w:sz="12" w:space="0" w:color="auto"/>
              <w:bottom w:val="single" w:sz="4" w:space="0" w:color="auto"/>
              <w:right w:val="single" w:sz="12" w:space="0" w:color="auto"/>
            </w:tcBorders>
            <w:shd w:val="pct15" w:color="auto" w:fill="FFFFFF" w:themeFill="background1"/>
          </w:tcPr>
          <w:p w14:paraId="39F688E8"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7B7954" w:rsidRPr="007457B1" w14:paraId="23751B27" w14:textId="77777777" w:rsidTr="00AA48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08DC0FAC" w14:textId="77777777" w:rsidR="007B7954" w:rsidRPr="002F0EDB" w:rsidRDefault="007B7954" w:rsidP="00C07A5A">
            <w:pPr>
              <w:spacing w:line="360" w:lineRule="auto"/>
              <w:jc w:val="both"/>
              <w:rPr>
                <w:rFonts w:ascii="Times New Roman" w:hAnsi="Times New Roman" w:cs="Times New Roman"/>
              </w:rPr>
            </w:pPr>
            <w:r w:rsidRPr="002F0EDB">
              <w:rPr>
                <w:rFonts w:ascii="Times New Roman" w:hAnsi="Times New Roman" w:cs="Times New Roman"/>
              </w:rPr>
              <w:t>R Thousand</w:t>
            </w:r>
          </w:p>
        </w:tc>
        <w:tc>
          <w:tcPr>
            <w:tcW w:w="1134"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7D51E949"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F0EDB">
              <w:rPr>
                <w:rFonts w:ascii="Times New Roman" w:hAnsi="Times New Roman" w:cs="Times New Roman"/>
              </w:rPr>
              <w:t>Available</w:t>
            </w:r>
          </w:p>
          <w:p w14:paraId="4A6F9160"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F0EDB">
              <w:rPr>
                <w:rFonts w:ascii="Times New Roman" w:hAnsi="Times New Roman" w:cs="Times New Roman"/>
              </w:rPr>
              <w:t>Budget</w:t>
            </w:r>
          </w:p>
        </w:tc>
        <w:tc>
          <w:tcPr>
            <w:tcW w:w="1275"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3528F375"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F0EDB">
              <w:rPr>
                <w:rFonts w:ascii="Times New Roman" w:hAnsi="Times New Roman" w:cs="Times New Roman"/>
              </w:rPr>
              <w:t>Actual Expenditure</w:t>
            </w:r>
          </w:p>
        </w:tc>
        <w:tc>
          <w:tcPr>
            <w:tcW w:w="1560"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7F109256"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F0EDB">
              <w:rPr>
                <w:rFonts w:ascii="Times New Roman" w:hAnsi="Times New Roman" w:cs="Times New Roman"/>
              </w:rPr>
              <w:t>Expenditure as % of Available Budget</w:t>
            </w:r>
          </w:p>
          <w:p w14:paraId="39CAEE58"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1417" w:type="dxa"/>
            <w:tcBorders>
              <w:left w:val="single" w:sz="12" w:space="0" w:color="auto"/>
              <w:bottom w:val="single" w:sz="12" w:space="0" w:color="auto"/>
              <w:right w:val="single" w:sz="12" w:space="0" w:color="auto"/>
            </w:tcBorders>
            <w:shd w:val="pct15" w:color="auto" w:fill="FFFFFF" w:themeFill="background1"/>
          </w:tcPr>
          <w:p w14:paraId="39267E9C"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F0EDB">
              <w:rPr>
                <w:rFonts w:ascii="Times New Roman" w:hAnsi="Times New Roman" w:cs="Times New Roman"/>
              </w:rPr>
              <w:t>Projected Expenditure</w:t>
            </w:r>
          </w:p>
        </w:tc>
        <w:tc>
          <w:tcPr>
            <w:tcW w:w="1559" w:type="dxa"/>
            <w:tcBorders>
              <w:left w:val="single" w:sz="12" w:space="0" w:color="auto"/>
              <w:bottom w:val="single" w:sz="12" w:space="0" w:color="auto"/>
              <w:right w:val="single" w:sz="12" w:space="0" w:color="auto"/>
            </w:tcBorders>
            <w:shd w:val="pct15" w:color="auto" w:fill="FFFFFF" w:themeFill="background1"/>
          </w:tcPr>
          <w:p w14:paraId="14D3FBF1" w14:textId="77777777" w:rsidR="007B7954" w:rsidRPr="002F0EDB" w:rsidRDefault="007B7954" w:rsidP="00C07A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F0EDB">
              <w:rPr>
                <w:rFonts w:ascii="Times New Roman" w:hAnsi="Times New Roman" w:cs="Times New Roman"/>
              </w:rPr>
              <w:t>%Variance from Projected Expenditure</w:t>
            </w:r>
          </w:p>
        </w:tc>
      </w:tr>
      <w:tr w:rsidR="007B7954" w:rsidRPr="007457B1" w14:paraId="127C470A" w14:textId="77777777" w:rsidTr="00AA480F">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tcBorders>
            <w:shd w:val="clear" w:color="auto" w:fill="FFFFFF" w:themeFill="background1"/>
          </w:tcPr>
          <w:p w14:paraId="5E9F6F66"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Programme 1: Administration</w:t>
            </w:r>
          </w:p>
        </w:tc>
        <w:tc>
          <w:tcPr>
            <w:tcW w:w="1134" w:type="dxa"/>
            <w:tcBorders>
              <w:top w:val="single" w:sz="12" w:space="0" w:color="auto"/>
            </w:tcBorders>
            <w:shd w:val="clear" w:color="auto" w:fill="FFFFFF" w:themeFill="background1"/>
          </w:tcPr>
          <w:p w14:paraId="258179CB"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430.1</w:t>
            </w:r>
          </w:p>
        </w:tc>
        <w:tc>
          <w:tcPr>
            <w:tcW w:w="1275" w:type="dxa"/>
            <w:tcBorders>
              <w:top w:val="single" w:sz="12" w:space="0" w:color="auto"/>
            </w:tcBorders>
            <w:shd w:val="clear" w:color="auto" w:fill="FFFFFF" w:themeFill="background1"/>
          </w:tcPr>
          <w:p w14:paraId="732A1D23"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256.1</w:t>
            </w:r>
          </w:p>
        </w:tc>
        <w:tc>
          <w:tcPr>
            <w:tcW w:w="1560" w:type="dxa"/>
            <w:tcBorders>
              <w:top w:val="single" w:sz="12" w:space="0" w:color="auto"/>
            </w:tcBorders>
            <w:shd w:val="clear" w:color="auto" w:fill="FFFFFF" w:themeFill="background1"/>
          </w:tcPr>
          <w:p w14:paraId="31ACB0FE"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59.6%</w:t>
            </w:r>
          </w:p>
        </w:tc>
        <w:tc>
          <w:tcPr>
            <w:tcW w:w="1417" w:type="dxa"/>
            <w:tcBorders>
              <w:top w:val="single" w:sz="12" w:space="0" w:color="auto"/>
            </w:tcBorders>
            <w:shd w:val="clear" w:color="auto" w:fill="FFFFFF" w:themeFill="background1"/>
          </w:tcPr>
          <w:p w14:paraId="490EBBB1"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272.3</w:t>
            </w:r>
          </w:p>
        </w:tc>
        <w:tc>
          <w:tcPr>
            <w:tcW w:w="1559" w:type="dxa"/>
            <w:tcBorders>
              <w:top w:val="single" w:sz="12" w:space="0" w:color="auto"/>
            </w:tcBorders>
            <w:shd w:val="clear" w:color="auto" w:fill="FFFFFF" w:themeFill="background1"/>
          </w:tcPr>
          <w:p w14:paraId="554350B6"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5.9%</w:t>
            </w:r>
          </w:p>
        </w:tc>
      </w:tr>
      <w:tr w:rsidR="007B7954" w:rsidRPr="007457B1" w14:paraId="3748C3D2" w14:textId="77777777" w:rsidTr="00AA480F">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44BDF3D8"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Programme 2: Integrated Transport Planning</w:t>
            </w:r>
          </w:p>
        </w:tc>
        <w:tc>
          <w:tcPr>
            <w:tcW w:w="1134" w:type="dxa"/>
            <w:shd w:val="clear" w:color="auto" w:fill="FFFFFF" w:themeFill="background1"/>
          </w:tcPr>
          <w:p w14:paraId="46407B90"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90.0</w:t>
            </w:r>
          </w:p>
        </w:tc>
        <w:tc>
          <w:tcPr>
            <w:tcW w:w="1275" w:type="dxa"/>
            <w:shd w:val="clear" w:color="auto" w:fill="FFFFFF" w:themeFill="background1"/>
          </w:tcPr>
          <w:p w14:paraId="32D111D7"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55.5</w:t>
            </w:r>
          </w:p>
        </w:tc>
        <w:tc>
          <w:tcPr>
            <w:tcW w:w="1560" w:type="dxa"/>
            <w:shd w:val="clear" w:color="auto" w:fill="FFFFFF" w:themeFill="background1"/>
          </w:tcPr>
          <w:p w14:paraId="19A6265F"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61.7%</w:t>
            </w:r>
          </w:p>
        </w:tc>
        <w:tc>
          <w:tcPr>
            <w:tcW w:w="1417" w:type="dxa"/>
            <w:shd w:val="clear" w:color="auto" w:fill="FFFFFF" w:themeFill="background1"/>
          </w:tcPr>
          <w:p w14:paraId="161AC602"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58.8</w:t>
            </w:r>
          </w:p>
        </w:tc>
        <w:tc>
          <w:tcPr>
            <w:tcW w:w="1559" w:type="dxa"/>
            <w:shd w:val="clear" w:color="auto" w:fill="FFFFFF" w:themeFill="background1"/>
          </w:tcPr>
          <w:p w14:paraId="1C2AF6BF"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5.6%</w:t>
            </w:r>
          </w:p>
        </w:tc>
      </w:tr>
      <w:tr w:rsidR="007B7954" w:rsidRPr="007457B1" w14:paraId="60BA76D1" w14:textId="77777777" w:rsidTr="00AA480F">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7D8D1F3C"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Programme 3: Rail Transport</w:t>
            </w:r>
          </w:p>
        </w:tc>
        <w:tc>
          <w:tcPr>
            <w:tcW w:w="1134" w:type="dxa"/>
            <w:shd w:val="clear" w:color="auto" w:fill="FFFFFF" w:themeFill="background1"/>
          </w:tcPr>
          <w:p w14:paraId="29F439BC"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15. 887.3</w:t>
            </w:r>
          </w:p>
        </w:tc>
        <w:tc>
          <w:tcPr>
            <w:tcW w:w="1275" w:type="dxa"/>
            <w:shd w:val="clear" w:color="auto" w:fill="FFFFFF" w:themeFill="background1"/>
          </w:tcPr>
          <w:p w14:paraId="19579B5E"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6 543.6</w:t>
            </w:r>
          </w:p>
        </w:tc>
        <w:tc>
          <w:tcPr>
            <w:tcW w:w="1560" w:type="dxa"/>
            <w:shd w:val="clear" w:color="auto" w:fill="FFFFFF" w:themeFill="background1"/>
          </w:tcPr>
          <w:p w14:paraId="50F03638"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41.2%</w:t>
            </w:r>
          </w:p>
        </w:tc>
        <w:tc>
          <w:tcPr>
            <w:tcW w:w="1417" w:type="dxa"/>
            <w:shd w:val="clear" w:color="auto" w:fill="FFFFFF" w:themeFill="background1"/>
          </w:tcPr>
          <w:p w14:paraId="2A5CF0B7"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6 545.2</w:t>
            </w:r>
          </w:p>
        </w:tc>
        <w:tc>
          <w:tcPr>
            <w:tcW w:w="1559" w:type="dxa"/>
            <w:shd w:val="clear" w:color="auto" w:fill="FFFFFF" w:themeFill="background1"/>
          </w:tcPr>
          <w:p w14:paraId="4A8B654F"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0.0%</w:t>
            </w:r>
          </w:p>
        </w:tc>
      </w:tr>
      <w:tr w:rsidR="007B7954" w:rsidRPr="007457B1" w14:paraId="78587141" w14:textId="77777777" w:rsidTr="00AA480F">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6C6D1813"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Programme 4: Road Transport</w:t>
            </w:r>
          </w:p>
        </w:tc>
        <w:tc>
          <w:tcPr>
            <w:tcW w:w="1134" w:type="dxa"/>
            <w:shd w:val="clear" w:color="auto" w:fill="FFFFFF" w:themeFill="background1"/>
          </w:tcPr>
          <w:p w14:paraId="30417D2D"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30 098.8</w:t>
            </w:r>
          </w:p>
        </w:tc>
        <w:tc>
          <w:tcPr>
            <w:tcW w:w="1275" w:type="dxa"/>
            <w:shd w:val="clear" w:color="auto" w:fill="FFFFFF" w:themeFill="background1"/>
          </w:tcPr>
          <w:p w14:paraId="5B6BECF4"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20 177.4</w:t>
            </w:r>
          </w:p>
        </w:tc>
        <w:tc>
          <w:tcPr>
            <w:tcW w:w="1560" w:type="dxa"/>
            <w:shd w:val="clear" w:color="auto" w:fill="FFFFFF" w:themeFill="background1"/>
          </w:tcPr>
          <w:p w14:paraId="566E4307"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67.0%</w:t>
            </w:r>
          </w:p>
        </w:tc>
        <w:tc>
          <w:tcPr>
            <w:tcW w:w="1417" w:type="dxa"/>
            <w:shd w:val="clear" w:color="auto" w:fill="FFFFFF" w:themeFill="background1"/>
          </w:tcPr>
          <w:p w14:paraId="5F0E3D15"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20 183.6</w:t>
            </w:r>
          </w:p>
        </w:tc>
        <w:tc>
          <w:tcPr>
            <w:tcW w:w="1559" w:type="dxa"/>
            <w:shd w:val="clear" w:color="auto" w:fill="FFFFFF" w:themeFill="background1"/>
          </w:tcPr>
          <w:p w14:paraId="404A2ACA"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0.0%</w:t>
            </w:r>
          </w:p>
        </w:tc>
      </w:tr>
      <w:tr w:rsidR="007B7954" w:rsidRPr="007457B1" w14:paraId="026C2300" w14:textId="77777777" w:rsidTr="00AA480F">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73FDBDB3"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Programme 5: Civil Aviation Transport</w:t>
            </w:r>
          </w:p>
        </w:tc>
        <w:tc>
          <w:tcPr>
            <w:tcW w:w="1134" w:type="dxa"/>
            <w:shd w:val="clear" w:color="auto" w:fill="FFFFFF" w:themeFill="background1"/>
          </w:tcPr>
          <w:p w14:paraId="68637C3A"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182.3</w:t>
            </w:r>
          </w:p>
        </w:tc>
        <w:tc>
          <w:tcPr>
            <w:tcW w:w="1275" w:type="dxa"/>
            <w:shd w:val="clear" w:color="auto" w:fill="FFFFFF" w:themeFill="background1"/>
          </w:tcPr>
          <w:p w14:paraId="4BA1B52E"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124.2</w:t>
            </w:r>
          </w:p>
        </w:tc>
        <w:tc>
          <w:tcPr>
            <w:tcW w:w="1560" w:type="dxa"/>
            <w:shd w:val="clear" w:color="auto" w:fill="FFFFFF" w:themeFill="background1"/>
          </w:tcPr>
          <w:p w14:paraId="15B08612"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68.2%</w:t>
            </w:r>
          </w:p>
        </w:tc>
        <w:tc>
          <w:tcPr>
            <w:tcW w:w="1417" w:type="dxa"/>
            <w:shd w:val="clear" w:color="auto" w:fill="FFFFFF" w:themeFill="background1"/>
          </w:tcPr>
          <w:p w14:paraId="30142AA5"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136.9</w:t>
            </w:r>
          </w:p>
        </w:tc>
        <w:tc>
          <w:tcPr>
            <w:tcW w:w="1559" w:type="dxa"/>
            <w:shd w:val="clear" w:color="auto" w:fill="FFFFFF" w:themeFill="background1"/>
          </w:tcPr>
          <w:p w14:paraId="10B4C812"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9.3%</w:t>
            </w:r>
          </w:p>
        </w:tc>
      </w:tr>
      <w:tr w:rsidR="007B7954" w:rsidRPr="007457B1" w14:paraId="06BED787" w14:textId="77777777" w:rsidTr="00AA480F">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09875CEB"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Programme 6: Maritime Transport</w:t>
            </w:r>
          </w:p>
        </w:tc>
        <w:tc>
          <w:tcPr>
            <w:tcW w:w="1134" w:type="dxa"/>
            <w:shd w:val="clear" w:color="auto" w:fill="FFFFFF" w:themeFill="background1"/>
          </w:tcPr>
          <w:p w14:paraId="29045367"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119.9</w:t>
            </w:r>
          </w:p>
        </w:tc>
        <w:tc>
          <w:tcPr>
            <w:tcW w:w="1275" w:type="dxa"/>
            <w:shd w:val="clear" w:color="auto" w:fill="FFFFFF" w:themeFill="background1"/>
          </w:tcPr>
          <w:p w14:paraId="26007173"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92.2</w:t>
            </w:r>
          </w:p>
        </w:tc>
        <w:tc>
          <w:tcPr>
            <w:tcW w:w="1560" w:type="dxa"/>
            <w:shd w:val="clear" w:color="auto" w:fill="FFFFFF" w:themeFill="background1"/>
          </w:tcPr>
          <w:p w14:paraId="7A0D079A"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76.9%</w:t>
            </w:r>
          </w:p>
        </w:tc>
        <w:tc>
          <w:tcPr>
            <w:tcW w:w="1417" w:type="dxa"/>
            <w:shd w:val="clear" w:color="auto" w:fill="FFFFFF" w:themeFill="background1"/>
          </w:tcPr>
          <w:p w14:paraId="60E997B1"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92.9</w:t>
            </w:r>
          </w:p>
        </w:tc>
        <w:tc>
          <w:tcPr>
            <w:tcW w:w="1559" w:type="dxa"/>
            <w:shd w:val="clear" w:color="auto" w:fill="FFFFFF" w:themeFill="background1"/>
          </w:tcPr>
          <w:p w14:paraId="7C6D4361"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0.7%</w:t>
            </w:r>
          </w:p>
        </w:tc>
      </w:tr>
      <w:tr w:rsidR="007B7954" w:rsidRPr="007457B1" w14:paraId="3F5E6407" w14:textId="77777777" w:rsidTr="00AA480F">
        <w:tc>
          <w:tcPr>
            <w:cnfStyle w:val="001000000000" w:firstRow="0" w:lastRow="0" w:firstColumn="1" w:lastColumn="0" w:oddVBand="0" w:evenVBand="0" w:oddHBand="0" w:evenHBand="0" w:firstRowFirstColumn="0" w:firstRowLastColumn="0" w:lastRowFirstColumn="0" w:lastRowLastColumn="0"/>
            <w:tcW w:w="2694" w:type="dxa"/>
            <w:tcBorders>
              <w:bottom w:val="single" w:sz="12" w:space="0" w:color="auto"/>
            </w:tcBorders>
            <w:shd w:val="clear" w:color="auto" w:fill="FFFFFF" w:themeFill="background1"/>
          </w:tcPr>
          <w:p w14:paraId="625F101C"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Programme 7: Public Transport</w:t>
            </w:r>
          </w:p>
        </w:tc>
        <w:tc>
          <w:tcPr>
            <w:tcW w:w="1134" w:type="dxa"/>
            <w:tcBorders>
              <w:bottom w:val="single" w:sz="12" w:space="0" w:color="auto"/>
            </w:tcBorders>
            <w:shd w:val="clear" w:color="auto" w:fill="FFFFFF" w:themeFill="background1"/>
          </w:tcPr>
          <w:p w14:paraId="73F9F99B"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13 023.0</w:t>
            </w:r>
          </w:p>
        </w:tc>
        <w:tc>
          <w:tcPr>
            <w:tcW w:w="1275" w:type="dxa"/>
            <w:tcBorders>
              <w:bottom w:val="single" w:sz="12" w:space="0" w:color="auto"/>
            </w:tcBorders>
            <w:shd w:val="clear" w:color="auto" w:fill="FFFFFF" w:themeFill="background1"/>
          </w:tcPr>
          <w:p w14:paraId="57E99DAD"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7 209.2</w:t>
            </w:r>
          </w:p>
        </w:tc>
        <w:tc>
          <w:tcPr>
            <w:tcW w:w="1560" w:type="dxa"/>
            <w:tcBorders>
              <w:bottom w:val="single" w:sz="12" w:space="0" w:color="auto"/>
            </w:tcBorders>
            <w:shd w:val="clear" w:color="auto" w:fill="FFFFFF" w:themeFill="background1"/>
          </w:tcPr>
          <w:p w14:paraId="3852E51E"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55.4%</w:t>
            </w:r>
          </w:p>
        </w:tc>
        <w:tc>
          <w:tcPr>
            <w:tcW w:w="1417" w:type="dxa"/>
            <w:tcBorders>
              <w:bottom w:val="single" w:sz="12" w:space="0" w:color="auto"/>
            </w:tcBorders>
            <w:shd w:val="clear" w:color="auto" w:fill="FFFFFF" w:themeFill="background1"/>
          </w:tcPr>
          <w:p w14:paraId="5F2C7F9F"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7 106.2</w:t>
            </w:r>
          </w:p>
        </w:tc>
        <w:tc>
          <w:tcPr>
            <w:tcW w:w="1559" w:type="dxa"/>
            <w:tcBorders>
              <w:bottom w:val="single" w:sz="12" w:space="0" w:color="auto"/>
            </w:tcBorders>
            <w:shd w:val="clear" w:color="auto" w:fill="FFFFFF" w:themeFill="background1"/>
          </w:tcPr>
          <w:p w14:paraId="4928DACA"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EDB">
              <w:rPr>
                <w:rFonts w:ascii="Times New Roman" w:hAnsi="Times New Roman" w:cs="Times New Roman"/>
              </w:rPr>
              <w:t>-1.5%</w:t>
            </w:r>
          </w:p>
        </w:tc>
      </w:tr>
      <w:tr w:rsidR="007B7954" w:rsidRPr="007457B1" w14:paraId="7D9BF9C7" w14:textId="77777777" w:rsidTr="00AA480F">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left w:val="single" w:sz="12" w:space="0" w:color="auto"/>
              <w:bottom w:val="single" w:sz="12" w:space="0" w:color="auto"/>
            </w:tcBorders>
            <w:shd w:val="pct15" w:color="auto" w:fill="FFFFFF" w:themeFill="background1"/>
          </w:tcPr>
          <w:p w14:paraId="233048EC" w14:textId="77777777" w:rsidR="007B7954" w:rsidRPr="002F0EDB" w:rsidRDefault="007B7954" w:rsidP="00C07A5A">
            <w:pPr>
              <w:spacing w:line="360" w:lineRule="auto"/>
              <w:jc w:val="both"/>
              <w:rPr>
                <w:rFonts w:ascii="Times New Roman" w:hAnsi="Times New Roman" w:cs="Times New Roman"/>
              </w:rPr>
            </w:pPr>
            <w:r w:rsidRPr="002F0EDB">
              <w:rPr>
                <w:rFonts w:ascii="Times New Roman" w:hAnsi="Times New Roman" w:cs="Times New Roman"/>
              </w:rPr>
              <w:t>TOTAL</w:t>
            </w:r>
          </w:p>
        </w:tc>
        <w:tc>
          <w:tcPr>
            <w:tcW w:w="1134" w:type="dxa"/>
            <w:tcBorders>
              <w:top w:val="single" w:sz="12" w:space="0" w:color="auto"/>
              <w:bottom w:val="single" w:sz="12" w:space="0" w:color="auto"/>
            </w:tcBorders>
            <w:shd w:val="pct15" w:color="auto" w:fill="FFFFFF" w:themeFill="background1"/>
          </w:tcPr>
          <w:p w14:paraId="0E6A3A30"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F0EDB">
              <w:rPr>
                <w:rFonts w:ascii="Times New Roman" w:hAnsi="Times New Roman" w:cs="Times New Roman"/>
                <w:b/>
              </w:rPr>
              <w:t>59 841.5</w:t>
            </w:r>
          </w:p>
        </w:tc>
        <w:tc>
          <w:tcPr>
            <w:tcW w:w="1275" w:type="dxa"/>
            <w:tcBorders>
              <w:top w:val="single" w:sz="12" w:space="0" w:color="auto"/>
              <w:bottom w:val="single" w:sz="12" w:space="0" w:color="auto"/>
            </w:tcBorders>
            <w:shd w:val="pct15" w:color="auto" w:fill="FFFFFF" w:themeFill="background1"/>
          </w:tcPr>
          <w:p w14:paraId="1C46FC9C"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F0EDB">
              <w:rPr>
                <w:rFonts w:ascii="Times New Roman" w:hAnsi="Times New Roman" w:cs="Times New Roman"/>
                <w:b/>
              </w:rPr>
              <w:t>34 458.3</w:t>
            </w:r>
          </w:p>
        </w:tc>
        <w:tc>
          <w:tcPr>
            <w:tcW w:w="1560" w:type="dxa"/>
            <w:tcBorders>
              <w:top w:val="single" w:sz="12" w:space="0" w:color="auto"/>
              <w:bottom w:val="single" w:sz="12" w:space="0" w:color="auto"/>
            </w:tcBorders>
            <w:shd w:val="pct15" w:color="auto" w:fill="FFFFFF" w:themeFill="background1"/>
          </w:tcPr>
          <w:p w14:paraId="6A55B6D9"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F0EDB">
              <w:rPr>
                <w:rFonts w:ascii="Times New Roman" w:hAnsi="Times New Roman" w:cs="Times New Roman"/>
                <w:b/>
              </w:rPr>
              <w:t>57.6%</w:t>
            </w:r>
          </w:p>
        </w:tc>
        <w:tc>
          <w:tcPr>
            <w:tcW w:w="1417" w:type="dxa"/>
            <w:tcBorders>
              <w:top w:val="single" w:sz="12" w:space="0" w:color="auto"/>
              <w:bottom w:val="single" w:sz="12" w:space="0" w:color="auto"/>
            </w:tcBorders>
            <w:shd w:val="pct15" w:color="auto" w:fill="FFFFFF" w:themeFill="background1"/>
          </w:tcPr>
          <w:p w14:paraId="75549C4A"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F0EDB">
              <w:rPr>
                <w:rFonts w:ascii="Times New Roman" w:hAnsi="Times New Roman" w:cs="Times New Roman"/>
                <w:b/>
              </w:rPr>
              <w:t>34 406.0</w:t>
            </w:r>
          </w:p>
        </w:tc>
        <w:tc>
          <w:tcPr>
            <w:tcW w:w="1559" w:type="dxa"/>
            <w:tcBorders>
              <w:top w:val="single" w:sz="12" w:space="0" w:color="auto"/>
              <w:bottom w:val="single" w:sz="12" w:space="0" w:color="auto"/>
              <w:right w:val="single" w:sz="12" w:space="0" w:color="auto"/>
            </w:tcBorders>
            <w:shd w:val="pct15" w:color="auto" w:fill="FFFFFF" w:themeFill="background1"/>
          </w:tcPr>
          <w:p w14:paraId="49FCAD95" w14:textId="77777777" w:rsidR="007B7954" w:rsidRPr="002F0EDB" w:rsidRDefault="007B7954" w:rsidP="00C07A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F0EDB">
              <w:rPr>
                <w:rFonts w:ascii="Times New Roman" w:hAnsi="Times New Roman" w:cs="Times New Roman"/>
                <w:b/>
              </w:rPr>
              <w:t>-0.2%</w:t>
            </w:r>
          </w:p>
        </w:tc>
      </w:tr>
      <w:tr w:rsidR="007B7954" w:rsidRPr="007457B1" w14:paraId="49A1BA80" w14:textId="77777777" w:rsidTr="00AA480F">
        <w:tc>
          <w:tcPr>
            <w:cnfStyle w:val="001000000000" w:firstRow="0" w:lastRow="0" w:firstColumn="1" w:lastColumn="0" w:oddVBand="0" w:evenVBand="0" w:oddHBand="0" w:evenHBand="0" w:firstRowFirstColumn="0" w:firstRowLastColumn="0" w:lastRowFirstColumn="0" w:lastRowLastColumn="0"/>
            <w:tcW w:w="9639" w:type="dxa"/>
            <w:gridSpan w:val="6"/>
            <w:tcBorders>
              <w:top w:val="single" w:sz="12" w:space="0" w:color="auto"/>
              <w:left w:val="single" w:sz="12" w:space="0" w:color="auto"/>
              <w:bottom w:val="single" w:sz="12" w:space="0" w:color="auto"/>
              <w:right w:val="single" w:sz="12" w:space="0" w:color="auto"/>
            </w:tcBorders>
            <w:shd w:val="clear" w:color="auto" w:fill="auto"/>
          </w:tcPr>
          <w:p w14:paraId="63CA4086"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b w:val="0"/>
              </w:rPr>
              <w:t>(Source: National Treasury (2018a), adapted.</w:t>
            </w:r>
          </w:p>
          <w:p w14:paraId="611A50FC" w14:textId="77777777" w:rsidR="007B7954" w:rsidRPr="002F0EDB" w:rsidRDefault="007B7954" w:rsidP="00C07A5A">
            <w:pPr>
              <w:spacing w:line="360" w:lineRule="auto"/>
              <w:jc w:val="both"/>
              <w:rPr>
                <w:rFonts w:ascii="Times New Roman" w:hAnsi="Times New Roman" w:cs="Times New Roman"/>
                <w:b w:val="0"/>
              </w:rPr>
            </w:pPr>
            <w:r w:rsidRPr="002F0EDB">
              <w:rPr>
                <w:rFonts w:ascii="Times New Roman" w:hAnsi="Times New Roman" w:cs="Times New Roman"/>
              </w:rPr>
              <w:t>* Percentage variance</w:t>
            </w:r>
            <w:r w:rsidRPr="002F0EDB">
              <w:rPr>
                <w:rFonts w:ascii="Times New Roman" w:hAnsi="Times New Roman" w:cs="Times New Roman"/>
                <w:b w:val="0"/>
              </w:rPr>
              <w:t>: Negative figures show actual expenditure exceeds what was projected for the period.</w:t>
            </w:r>
          </w:p>
        </w:tc>
      </w:tr>
    </w:tbl>
    <w:p w14:paraId="5C7C8A01" w14:textId="77777777" w:rsidR="007B7954" w:rsidRPr="007457B1" w:rsidRDefault="007B7954" w:rsidP="00C07A5A">
      <w:pPr>
        <w:spacing w:line="360" w:lineRule="auto"/>
        <w:jc w:val="both"/>
        <w:rPr>
          <w:rFonts w:ascii="Times New Roman" w:hAnsi="Times New Roman" w:cs="Times New Roman"/>
          <w:b/>
          <w:color w:val="525252" w:themeColor="accent3" w:themeShade="80"/>
          <w:sz w:val="24"/>
          <w:szCs w:val="24"/>
        </w:rPr>
      </w:pPr>
    </w:p>
    <w:p w14:paraId="30C72979" w14:textId="77777777" w:rsidR="007B7954" w:rsidRDefault="007B7954"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By the end of Third Quarter, the Department spent R34.5 billion (or 57.6</w:t>
      </w:r>
      <w:r w:rsidR="00862262" w:rsidRPr="007457B1">
        <w:rPr>
          <w:rFonts w:ascii="Times New Roman" w:hAnsi="Times New Roman" w:cs="Times New Roman"/>
          <w:sz w:val="24"/>
          <w:szCs w:val="24"/>
        </w:rPr>
        <w:t xml:space="preserve"> percent </w:t>
      </w:r>
      <w:r w:rsidRPr="007457B1">
        <w:rPr>
          <w:rFonts w:ascii="Times New Roman" w:hAnsi="Times New Roman" w:cs="Times New Roman"/>
          <w:sz w:val="24"/>
          <w:szCs w:val="24"/>
        </w:rPr>
        <w:t>of the total available budget), indicating higher than expected spending of 0.2</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w:t>
      </w:r>
      <w:r w:rsidRPr="007457B1">
        <w:rPr>
          <w:rStyle w:val="FootnoteReference"/>
          <w:rFonts w:ascii="Times New Roman" w:hAnsi="Times New Roman" w:cs="Times New Roman"/>
          <w:sz w:val="24"/>
          <w:szCs w:val="24"/>
        </w:rPr>
        <w:footnoteReference w:id="6"/>
      </w:r>
      <w:r w:rsidRPr="007457B1">
        <w:rPr>
          <w:rFonts w:ascii="Times New Roman" w:hAnsi="Times New Roman" w:cs="Times New Roman"/>
          <w:sz w:val="24"/>
          <w:szCs w:val="24"/>
        </w:rPr>
        <w:t xml:space="preserve"> By end December 2018, the Department had spent R329.7 million (or 66.4</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xml:space="preserve">) of available budget on </w:t>
      </w:r>
      <w:r w:rsidRPr="007457B1">
        <w:rPr>
          <w:rFonts w:ascii="Times New Roman" w:hAnsi="Times New Roman" w:cs="Times New Roman"/>
          <w:i/>
          <w:sz w:val="24"/>
          <w:szCs w:val="24"/>
        </w:rPr>
        <w:t>Compensation of Employees</w:t>
      </w:r>
      <w:r w:rsidRPr="007457B1">
        <w:rPr>
          <w:rFonts w:ascii="Times New Roman" w:hAnsi="Times New Roman" w:cs="Times New Roman"/>
          <w:sz w:val="24"/>
          <w:szCs w:val="24"/>
        </w:rPr>
        <w:t>. Spending on compensation was a lower than projected – i.e. 1.6</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This was mainly due to the filling of vacant posts. Of the 739 funded posts on its establishment, 652 were filled posts, translating into a vacancy rate of 11.8</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w:t>
      </w:r>
    </w:p>
    <w:p w14:paraId="638ECA04" w14:textId="77777777" w:rsidR="002F0EDB" w:rsidRPr="007457B1" w:rsidRDefault="002F0EDB" w:rsidP="00C07A5A">
      <w:pPr>
        <w:spacing w:line="360" w:lineRule="auto"/>
        <w:jc w:val="both"/>
        <w:rPr>
          <w:rFonts w:ascii="Times New Roman" w:hAnsi="Times New Roman" w:cs="Times New Roman"/>
          <w:sz w:val="24"/>
          <w:szCs w:val="24"/>
        </w:rPr>
      </w:pPr>
    </w:p>
    <w:p w14:paraId="77E8EB18" w14:textId="77777777" w:rsidR="007B7954" w:rsidRPr="007457B1" w:rsidRDefault="007B7954"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By the end of the Third Quarter of 2018/19, the National Treasury and Parliament had approved the following virements and the shifting of funds:</w:t>
      </w:r>
      <w:r w:rsidRPr="007457B1">
        <w:rPr>
          <w:rStyle w:val="FootnoteReference"/>
          <w:rFonts w:ascii="Times New Roman" w:hAnsi="Times New Roman" w:cs="Times New Roman"/>
          <w:sz w:val="24"/>
          <w:szCs w:val="24"/>
        </w:rPr>
        <w:footnoteReference w:id="7"/>
      </w:r>
    </w:p>
    <w:p w14:paraId="3D8FEA49" w14:textId="77777777" w:rsidR="007B7954" w:rsidRPr="007457B1" w:rsidRDefault="007B7954" w:rsidP="00C07A5A">
      <w:pPr>
        <w:pStyle w:val="ListParagraph"/>
        <w:numPr>
          <w:ilvl w:val="0"/>
          <w:numId w:val="23"/>
        </w:numPr>
        <w:spacing w:line="360" w:lineRule="auto"/>
        <w:jc w:val="both"/>
        <w:rPr>
          <w:rFonts w:ascii="Times New Roman" w:hAnsi="Times New Roman"/>
          <w:sz w:val="24"/>
          <w:szCs w:val="24"/>
          <w:lang w:val="en-GB"/>
        </w:rPr>
      </w:pPr>
      <w:r w:rsidRPr="007457B1">
        <w:rPr>
          <w:rFonts w:ascii="Times New Roman" w:hAnsi="Times New Roman"/>
          <w:sz w:val="24"/>
          <w:szCs w:val="24"/>
          <w:lang w:val="en-GB"/>
        </w:rPr>
        <w:t>R333.3 million from the Passenger Rail Agency of South Africa (PRASA): Other capital programmes transfer line to PRASA: Metrorail: Operations transfer line;</w:t>
      </w:r>
    </w:p>
    <w:p w14:paraId="551BC204" w14:textId="77777777" w:rsidR="007B7954" w:rsidRPr="007457B1" w:rsidRDefault="007B7954" w:rsidP="00C07A5A">
      <w:pPr>
        <w:pStyle w:val="ListParagraph"/>
        <w:numPr>
          <w:ilvl w:val="0"/>
          <w:numId w:val="23"/>
        </w:numPr>
        <w:spacing w:line="360" w:lineRule="auto"/>
        <w:jc w:val="both"/>
        <w:rPr>
          <w:rFonts w:ascii="Times New Roman" w:hAnsi="Times New Roman"/>
          <w:sz w:val="24"/>
          <w:szCs w:val="24"/>
          <w:lang w:val="en-GB"/>
        </w:rPr>
      </w:pPr>
      <w:r w:rsidRPr="007457B1">
        <w:rPr>
          <w:rFonts w:ascii="Times New Roman" w:hAnsi="Times New Roman"/>
          <w:sz w:val="24"/>
          <w:szCs w:val="24"/>
          <w:lang w:val="en-GB"/>
        </w:rPr>
        <w:t>R124.6 million from PRASA: Other capital programmes lien to PRASA: Mainline Passenger Services: Operations transfer line;</w:t>
      </w:r>
    </w:p>
    <w:p w14:paraId="24EF08F1" w14:textId="77777777" w:rsidR="007B7954" w:rsidRPr="007457B1" w:rsidRDefault="007B7954" w:rsidP="00C07A5A">
      <w:pPr>
        <w:pStyle w:val="ListParagraph"/>
        <w:numPr>
          <w:ilvl w:val="0"/>
          <w:numId w:val="23"/>
        </w:numPr>
        <w:spacing w:line="360" w:lineRule="auto"/>
        <w:jc w:val="both"/>
        <w:rPr>
          <w:rFonts w:ascii="Times New Roman" w:hAnsi="Times New Roman"/>
          <w:sz w:val="24"/>
          <w:szCs w:val="24"/>
          <w:lang w:val="en-GB"/>
        </w:rPr>
      </w:pPr>
      <w:r w:rsidRPr="007457B1">
        <w:rPr>
          <w:rFonts w:ascii="Times New Roman" w:hAnsi="Times New Roman"/>
          <w:sz w:val="24"/>
          <w:szCs w:val="24"/>
          <w:lang w:val="en-GB"/>
        </w:rPr>
        <w:t>R832.9 million from PRASA: Other capital programmes transfer line to PRASA: Rail maintenance operations and inventories line;</w:t>
      </w:r>
    </w:p>
    <w:p w14:paraId="0136D833" w14:textId="77777777" w:rsidR="007B7954" w:rsidRPr="007457B1" w:rsidRDefault="007B7954" w:rsidP="00C07A5A">
      <w:pPr>
        <w:pStyle w:val="ListParagraph"/>
        <w:numPr>
          <w:ilvl w:val="0"/>
          <w:numId w:val="23"/>
        </w:numPr>
        <w:spacing w:line="360" w:lineRule="auto"/>
        <w:jc w:val="both"/>
        <w:rPr>
          <w:rFonts w:ascii="Times New Roman" w:hAnsi="Times New Roman"/>
          <w:sz w:val="24"/>
          <w:szCs w:val="24"/>
          <w:lang w:val="en-GB"/>
        </w:rPr>
      </w:pPr>
      <w:r w:rsidRPr="007457B1">
        <w:rPr>
          <w:rFonts w:ascii="Times New Roman" w:hAnsi="Times New Roman"/>
          <w:sz w:val="24"/>
          <w:szCs w:val="24"/>
          <w:lang w:val="en-GB"/>
        </w:rPr>
        <w:t>R3 billion from PRASA: Other capital programmes transfer line to the South African National Roads Agency Limited (SANRAL): Non-toll network transfer line; and</w:t>
      </w:r>
    </w:p>
    <w:p w14:paraId="3010DD6B" w14:textId="77777777" w:rsidR="007B7954" w:rsidRPr="007457B1" w:rsidRDefault="007B7954" w:rsidP="00C07A5A">
      <w:pPr>
        <w:pStyle w:val="ListParagraph"/>
        <w:numPr>
          <w:ilvl w:val="0"/>
          <w:numId w:val="23"/>
        </w:numPr>
        <w:spacing w:line="360" w:lineRule="auto"/>
        <w:jc w:val="both"/>
        <w:rPr>
          <w:rFonts w:ascii="Times New Roman" w:hAnsi="Times New Roman"/>
          <w:sz w:val="24"/>
          <w:szCs w:val="24"/>
          <w:lang w:val="en-GB"/>
        </w:rPr>
      </w:pPr>
      <w:r w:rsidRPr="007457B1">
        <w:rPr>
          <w:rFonts w:ascii="Times New Roman" w:hAnsi="Times New Roman"/>
          <w:sz w:val="24"/>
          <w:szCs w:val="24"/>
          <w:lang w:val="en-GB"/>
        </w:rPr>
        <w:t>R5.8 billion from SANRAL: Non-toll network transfer line to SANRAL: Gauteng Freeway Improvement Project (GFIP).</w:t>
      </w:r>
    </w:p>
    <w:p w14:paraId="120B10E4" w14:textId="77777777" w:rsidR="00675EFD" w:rsidRPr="007457B1" w:rsidRDefault="00675EFD" w:rsidP="00C07A5A">
      <w:pPr>
        <w:keepNext/>
        <w:keepLines/>
        <w:spacing w:before="240" w:after="0" w:line="360" w:lineRule="auto"/>
        <w:jc w:val="both"/>
        <w:outlineLvl w:val="0"/>
        <w:rPr>
          <w:rFonts w:ascii="Times New Roman" w:eastAsia="Times New Roman" w:hAnsi="Times New Roman" w:cs="Times New Roman"/>
          <w:color w:val="000000" w:themeColor="text1"/>
          <w:sz w:val="24"/>
          <w:szCs w:val="24"/>
          <w:lang w:val="en-GB" w:eastAsia="en-GB"/>
        </w:rPr>
      </w:pPr>
      <w:bookmarkStart w:id="1" w:name="_Toc473794981"/>
    </w:p>
    <w:p w14:paraId="4D93B097" w14:textId="77777777" w:rsidR="00BB5DA5" w:rsidRPr="007457B1" w:rsidRDefault="00AF19A8" w:rsidP="00C07A5A">
      <w:pPr>
        <w:keepNext/>
        <w:keepLines/>
        <w:spacing w:before="240" w:after="0" w:line="360" w:lineRule="auto"/>
        <w:ind w:left="357" w:hanging="357"/>
        <w:jc w:val="both"/>
        <w:outlineLvl w:val="0"/>
        <w:rPr>
          <w:rFonts w:ascii="Times New Roman" w:eastAsia="Times New Roman" w:hAnsi="Times New Roman" w:cs="Times New Roman"/>
          <w:b/>
          <w:color w:val="000000" w:themeColor="text1"/>
          <w:sz w:val="24"/>
          <w:szCs w:val="24"/>
          <w:lang w:val="en-GB" w:eastAsia="en-GB"/>
        </w:rPr>
      </w:pPr>
      <w:r w:rsidRPr="007457B1">
        <w:rPr>
          <w:rFonts w:ascii="Times New Roman" w:eastAsia="Times New Roman" w:hAnsi="Times New Roman" w:cs="Times New Roman"/>
          <w:b/>
          <w:color w:val="000000" w:themeColor="text1"/>
          <w:sz w:val="24"/>
          <w:szCs w:val="24"/>
          <w:lang w:val="en-GB" w:eastAsia="en-GB"/>
        </w:rPr>
        <w:t>4.</w:t>
      </w:r>
      <w:r w:rsidRPr="007457B1">
        <w:rPr>
          <w:rFonts w:ascii="Times New Roman" w:eastAsia="Times New Roman" w:hAnsi="Times New Roman" w:cs="Times New Roman"/>
          <w:b/>
          <w:color w:val="000000" w:themeColor="text1"/>
          <w:sz w:val="24"/>
          <w:szCs w:val="24"/>
          <w:lang w:val="en-GB" w:eastAsia="en-GB"/>
        </w:rPr>
        <w:tab/>
      </w:r>
      <w:bookmarkEnd w:id="1"/>
      <w:r w:rsidR="006C2EC0" w:rsidRPr="00ED306F">
        <w:rPr>
          <w:rFonts w:ascii="Times New Roman" w:eastAsia="Times New Roman" w:hAnsi="Times New Roman" w:cs="Times New Roman"/>
          <w:b/>
          <w:color w:val="000000" w:themeColor="text1"/>
          <w:sz w:val="28"/>
          <w:szCs w:val="28"/>
          <w:lang w:val="en-GB" w:eastAsia="en-GB"/>
        </w:rPr>
        <w:t>POLICY PRIORITIES FOR 2019/20 AND ALIGNMENT WITH NATIONAL,</w:t>
      </w:r>
      <w:r w:rsidR="00F04BC6" w:rsidRPr="00ED306F">
        <w:rPr>
          <w:rFonts w:ascii="Times New Roman" w:eastAsia="Times New Roman" w:hAnsi="Times New Roman" w:cs="Times New Roman"/>
          <w:b/>
          <w:color w:val="000000" w:themeColor="text1"/>
          <w:sz w:val="28"/>
          <w:szCs w:val="28"/>
          <w:lang w:val="en-GB" w:eastAsia="en-GB"/>
        </w:rPr>
        <w:t xml:space="preserve"> </w:t>
      </w:r>
      <w:r w:rsidR="006C2EC0" w:rsidRPr="00ED306F">
        <w:rPr>
          <w:rFonts w:ascii="Times New Roman" w:eastAsia="Times New Roman" w:hAnsi="Times New Roman" w:cs="Times New Roman"/>
          <w:b/>
          <w:color w:val="000000" w:themeColor="text1"/>
          <w:sz w:val="28"/>
          <w:szCs w:val="28"/>
          <w:lang w:val="en-GB" w:eastAsia="en-GB"/>
        </w:rPr>
        <w:t xml:space="preserve">REGIONAL, CONTINENTAL AND GLOBAL DEVELOPMENTAL AGENDAS (NDP, NINE POINT PLAN, </w:t>
      </w:r>
      <w:r w:rsidR="00ED306F" w:rsidRPr="00ED306F">
        <w:rPr>
          <w:rFonts w:ascii="Times New Roman" w:eastAsia="Times New Roman" w:hAnsi="Times New Roman" w:cs="Times New Roman"/>
          <w:b/>
          <w:color w:val="000000" w:themeColor="text1"/>
          <w:sz w:val="28"/>
          <w:szCs w:val="28"/>
          <w:lang w:val="en-GB" w:eastAsia="en-GB"/>
        </w:rPr>
        <w:t>SOUTHERN AFRICAN DEVELOPMENT COMMUNITY REGIONAL INFRASTRUCTURE DEVELOPMENT MASTER PLAN (</w:t>
      </w:r>
      <w:r w:rsidR="006C2EC0" w:rsidRPr="00ED306F">
        <w:rPr>
          <w:rFonts w:ascii="Times New Roman" w:eastAsia="Times New Roman" w:hAnsi="Times New Roman" w:cs="Times New Roman"/>
          <w:b/>
          <w:color w:val="000000" w:themeColor="text1"/>
          <w:sz w:val="28"/>
          <w:szCs w:val="28"/>
          <w:lang w:val="en-GB" w:eastAsia="en-GB"/>
        </w:rPr>
        <w:t>SADC-RIDMP</w:t>
      </w:r>
      <w:r w:rsidR="00ED306F" w:rsidRPr="00ED306F">
        <w:rPr>
          <w:rFonts w:ascii="Times New Roman" w:eastAsia="Times New Roman" w:hAnsi="Times New Roman" w:cs="Times New Roman"/>
          <w:b/>
          <w:color w:val="000000" w:themeColor="text1"/>
          <w:sz w:val="28"/>
          <w:szCs w:val="28"/>
          <w:lang w:val="en-GB" w:eastAsia="en-GB"/>
        </w:rPr>
        <w:t>)</w:t>
      </w:r>
      <w:r w:rsidR="006C2EC0" w:rsidRPr="00ED306F">
        <w:rPr>
          <w:rFonts w:ascii="Times New Roman" w:eastAsia="Times New Roman" w:hAnsi="Times New Roman" w:cs="Times New Roman"/>
          <w:b/>
          <w:color w:val="000000" w:themeColor="text1"/>
          <w:sz w:val="28"/>
          <w:szCs w:val="28"/>
          <w:lang w:val="en-GB" w:eastAsia="en-GB"/>
        </w:rPr>
        <w:t xml:space="preserve">, AGENDA 2063 AND </w:t>
      </w:r>
      <w:r w:rsidR="00ED306F" w:rsidRPr="00ED306F">
        <w:rPr>
          <w:rFonts w:ascii="Times New Roman" w:eastAsia="Times New Roman" w:hAnsi="Times New Roman" w:cs="Times New Roman"/>
          <w:b/>
          <w:color w:val="000000" w:themeColor="text1"/>
          <w:sz w:val="28"/>
          <w:szCs w:val="28"/>
          <w:lang w:val="en-GB" w:eastAsia="en-GB"/>
        </w:rPr>
        <w:t>SUSTAINABLE DEVELOPMENT GOALS (</w:t>
      </w:r>
      <w:r w:rsidR="006C2EC0" w:rsidRPr="00ED306F">
        <w:rPr>
          <w:rFonts w:ascii="Times New Roman" w:eastAsia="Times New Roman" w:hAnsi="Times New Roman" w:cs="Times New Roman"/>
          <w:b/>
          <w:color w:val="000000" w:themeColor="text1"/>
          <w:sz w:val="28"/>
          <w:szCs w:val="28"/>
          <w:lang w:val="en-GB" w:eastAsia="en-GB"/>
        </w:rPr>
        <w:t>SDGS</w:t>
      </w:r>
      <w:r w:rsidR="00ED306F" w:rsidRPr="00ED306F">
        <w:rPr>
          <w:rFonts w:ascii="Times New Roman" w:eastAsia="Times New Roman" w:hAnsi="Times New Roman" w:cs="Times New Roman"/>
          <w:b/>
          <w:color w:val="000000" w:themeColor="text1"/>
          <w:sz w:val="28"/>
          <w:szCs w:val="28"/>
          <w:lang w:val="en-GB" w:eastAsia="en-GB"/>
        </w:rPr>
        <w:t>)</w:t>
      </w:r>
      <w:r w:rsidR="006C2EC0" w:rsidRPr="00ED306F">
        <w:rPr>
          <w:rFonts w:ascii="Times New Roman" w:eastAsia="Times New Roman" w:hAnsi="Times New Roman" w:cs="Times New Roman"/>
          <w:b/>
          <w:color w:val="000000" w:themeColor="text1"/>
          <w:sz w:val="28"/>
          <w:szCs w:val="28"/>
          <w:lang w:val="en-GB" w:eastAsia="en-GB"/>
        </w:rPr>
        <w:t>)</w:t>
      </w:r>
    </w:p>
    <w:p w14:paraId="35EA6410" w14:textId="77777777" w:rsidR="00BB5DA5" w:rsidRPr="007457B1" w:rsidRDefault="00BB5DA5" w:rsidP="00C07A5A">
      <w:pPr>
        <w:spacing w:after="60" w:line="360" w:lineRule="auto"/>
        <w:jc w:val="both"/>
        <w:rPr>
          <w:rFonts w:ascii="Times New Roman" w:eastAsia="Times New Roman" w:hAnsi="Times New Roman" w:cs="Times New Roman"/>
          <w:color w:val="000000" w:themeColor="text1"/>
          <w:sz w:val="24"/>
          <w:szCs w:val="24"/>
          <w:lang w:val="en-GB" w:eastAsia="en-GB"/>
        </w:rPr>
      </w:pPr>
    </w:p>
    <w:p w14:paraId="7C0D9BD1" w14:textId="77777777" w:rsidR="006C2EC0" w:rsidRPr="007457B1" w:rsidRDefault="006C2EC0" w:rsidP="00C07A5A">
      <w:pPr>
        <w:spacing w:line="360" w:lineRule="auto"/>
        <w:jc w:val="both"/>
        <w:rPr>
          <w:rFonts w:ascii="Times New Roman" w:hAnsi="Times New Roman" w:cs="Times New Roman"/>
          <w:b/>
          <w:sz w:val="24"/>
          <w:szCs w:val="24"/>
        </w:rPr>
      </w:pPr>
      <w:bookmarkStart w:id="2" w:name="_Toc473794982"/>
      <w:r w:rsidRPr="007457B1">
        <w:rPr>
          <w:rFonts w:ascii="Times New Roman" w:hAnsi="Times New Roman" w:cs="Times New Roman"/>
          <w:b/>
          <w:sz w:val="24"/>
          <w:szCs w:val="24"/>
        </w:rPr>
        <w:t xml:space="preserve">4.1 NDP, </w:t>
      </w:r>
      <w:r w:rsidR="00ED306F">
        <w:rPr>
          <w:rFonts w:ascii="Times New Roman" w:hAnsi="Times New Roman" w:cs="Times New Roman"/>
          <w:b/>
          <w:sz w:val="24"/>
          <w:szCs w:val="24"/>
        </w:rPr>
        <w:t>Medium-Term Strategic Framework (</w:t>
      </w:r>
      <w:r w:rsidRPr="007457B1">
        <w:rPr>
          <w:rFonts w:ascii="Times New Roman" w:hAnsi="Times New Roman" w:cs="Times New Roman"/>
          <w:b/>
          <w:sz w:val="24"/>
          <w:szCs w:val="24"/>
        </w:rPr>
        <w:t>MTSF</w:t>
      </w:r>
      <w:r w:rsidR="00ED306F">
        <w:rPr>
          <w:rFonts w:ascii="Times New Roman" w:hAnsi="Times New Roman" w:cs="Times New Roman"/>
          <w:b/>
          <w:sz w:val="24"/>
          <w:szCs w:val="24"/>
        </w:rPr>
        <w:t>)</w:t>
      </w:r>
      <w:r w:rsidRPr="007457B1">
        <w:rPr>
          <w:rFonts w:ascii="Times New Roman" w:hAnsi="Times New Roman" w:cs="Times New Roman"/>
          <w:b/>
          <w:sz w:val="24"/>
          <w:szCs w:val="24"/>
        </w:rPr>
        <w:t xml:space="preserve"> and road infrastructure </w:t>
      </w:r>
    </w:p>
    <w:p w14:paraId="311F913F" w14:textId="77777777" w:rsidR="006C2EC0" w:rsidRPr="007457B1" w:rsidRDefault="006C2EC0" w:rsidP="00C07A5A">
      <w:pPr>
        <w:spacing w:line="360" w:lineRule="auto"/>
        <w:jc w:val="both"/>
        <w:rPr>
          <w:rFonts w:ascii="Times New Roman" w:hAnsi="Times New Roman" w:cs="Times New Roman"/>
          <w:i/>
          <w:sz w:val="24"/>
          <w:szCs w:val="24"/>
        </w:rPr>
      </w:pPr>
    </w:p>
    <w:p w14:paraId="2313DC27"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Chapter 4 of the NDP advocates the development of economic infrastructure as the foundation of social and economic development. This call finds expression in Outcome 6 (an efficient, competitive and responsive economic infrastructure network) of Government’s 2014-2019 MTSF with which the work of the Department is directly aligned. It is against this backdrop that the Department has committed itself to intensifying efforts to contribute to Government’s drive against poverty, inequality and unemployment.</w:t>
      </w:r>
      <w:r w:rsidRPr="007457B1">
        <w:rPr>
          <w:rStyle w:val="FootnoteReference"/>
          <w:rFonts w:ascii="Times New Roman" w:hAnsi="Times New Roman" w:cs="Times New Roman"/>
          <w:sz w:val="24"/>
          <w:szCs w:val="24"/>
        </w:rPr>
        <w:footnoteReference w:id="8"/>
      </w:r>
      <w:r w:rsidRPr="007457B1">
        <w:rPr>
          <w:rFonts w:ascii="Times New Roman" w:hAnsi="Times New Roman" w:cs="Times New Roman"/>
          <w:sz w:val="24"/>
          <w:szCs w:val="24"/>
        </w:rPr>
        <w:t xml:space="preserve"> It seeks to do so through maintaining national and provincial networks, providing passenger rail infrastructure and services, and facilitating integrated public transport networks.</w:t>
      </w:r>
    </w:p>
    <w:p w14:paraId="4BF19BD5" w14:textId="77777777" w:rsidR="006C2EC0" w:rsidRPr="007457B1" w:rsidRDefault="006C2EC0" w:rsidP="00C07A5A">
      <w:pPr>
        <w:spacing w:line="360" w:lineRule="auto"/>
        <w:jc w:val="both"/>
        <w:rPr>
          <w:rFonts w:ascii="Times New Roman" w:hAnsi="Times New Roman" w:cs="Times New Roman"/>
          <w:sz w:val="24"/>
          <w:szCs w:val="24"/>
        </w:rPr>
      </w:pPr>
    </w:p>
    <w:p w14:paraId="0EF42827"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Roads are a crucial component of South Africa’s transport system and economy. According to the 2018 land transport survey, 77.3</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xml:space="preserve"> of land freight in South Africa is hauled on its roads.</w:t>
      </w:r>
      <w:r w:rsidRPr="007457B1">
        <w:rPr>
          <w:rStyle w:val="FootnoteReference"/>
          <w:rFonts w:ascii="Times New Roman" w:hAnsi="Times New Roman" w:cs="Times New Roman"/>
          <w:sz w:val="24"/>
          <w:szCs w:val="24"/>
        </w:rPr>
        <w:footnoteReference w:id="9"/>
      </w:r>
      <w:r w:rsidRPr="007457B1">
        <w:rPr>
          <w:rFonts w:ascii="Times New Roman" w:hAnsi="Times New Roman" w:cs="Times New Roman"/>
          <w:sz w:val="24"/>
          <w:szCs w:val="24"/>
        </w:rPr>
        <w:t xml:space="preserve"> This accounts for 73.8</w:t>
      </w:r>
      <w:r w:rsidR="00862262" w:rsidRPr="007457B1">
        <w:rPr>
          <w:rFonts w:ascii="Times New Roman" w:hAnsi="Times New Roman" w:cs="Times New Roman"/>
          <w:sz w:val="24"/>
          <w:szCs w:val="24"/>
        </w:rPr>
        <w:t xml:space="preserve"> percent </w:t>
      </w:r>
      <w:r w:rsidRPr="007457B1">
        <w:rPr>
          <w:rFonts w:ascii="Times New Roman" w:hAnsi="Times New Roman" w:cs="Times New Roman"/>
          <w:sz w:val="24"/>
          <w:szCs w:val="24"/>
        </w:rPr>
        <w:t xml:space="preserve">of total land freight income. The dependence on road infrastructure implies that road conditions have a direct bearing on the ease of movement of goods and people across South Africa. This ultimately impacts on overall economic growth. In this regard, SANRAL, carries out upgrades, maintenance and strengthening programmes of the non-toll and toll portfolios on national roads. </w:t>
      </w:r>
    </w:p>
    <w:p w14:paraId="47B5179D" w14:textId="77777777" w:rsidR="006C2EC0" w:rsidRPr="007457B1" w:rsidRDefault="006C2EC0"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4.2 Passenger rail infrastructure and services</w:t>
      </w:r>
    </w:p>
    <w:p w14:paraId="0957CBC3" w14:textId="77777777" w:rsidR="006C2EC0" w:rsidRPr="007457B1" w:rsidRDefault="006C2EC0" w:rsidP="00C07A5A">
      <w:pPr>
        <w:spacing w:line="360" w:lineRule="auto"/>
        <w:jc w:val="both"/>
        <w:rPr>
          <w:rFonts w:ascii="Times New Roman" w:hAnsi="Times New Roman" w:cs="Times New Roman"/>
          <w:sz w:val="24"/>
          <w:szCs w:val="24"/>
        </w:rPr>
      </w:pPr>
    </w:p>
    <w:p w14:paraId="0830B6A2" w14:textId="77777777" w:rsidR="00F04BC6"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As far as the passenger rail infrastructure and services are concerned, the Department will continue modernising South Africa’s passenger rail services through PRASA. PRASA’s focus will be on executing its capital programme, intensifying its repairs and maintenance regime, as well as improving security on the rail network. </w:t>
      </w:r>
    </w:p>
    <w:p w14:paraId="4FDB2092"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Its rail modernisation programme is intended to achieve, </w:t>
      </w:r>
      <w:r w:rsidRPr="007457B1">
        <w:rPr>
          <w:rFonts w:ascii="Times New Roman" w:hAnsi="Times New Roman" w:cs="Times New Roman"/>
          <w:i/>
          <w:sz w:val="24"/>
          <w:szCs w:val="24"/>
        </w:rPr>
        <w:t>inter alia</w:t>
      </w:r>
      <w:r w:rsidRPr="007457B1">
        <w:rPr>
          <w:rFonts w:ascii="Times New Roman" w:hAnsi="Times New Roman" w:cs="Times New Roman"/>
          <w:sz w:val="24"/>
          <w:szCs w:val="24"/>
        </w:rPr>
        <w:t>, the following:</w:t>
      </w:r>
      <w:r w:rsidRPr="007457B1">
        <w:rPr>
          <w:rStyle w:val="FootnoteReference"/>
          <w:rFonts w:ascii="Times New Roman" w:hAnsi="Times New Roman" w:cs="Times New Roman"/>
          <w:sz w:val="24"/>
          <w:szCs w:val="24"/>
        </w:rPr>
        <w:footnoteReference w:id="10"/>
      </w:r>
    </w:p>
    <w:p w14:paraId="247D51F7" w14:textId="77777777" w:rsidR="006C2EC0" w:rsidRPr="007457B1" w:rsidRDefault="006C2EC0" w:rsidP="00C07A5A">
      <w:pPr>
        <w:pStyle w:val="ListParagraph"/>
        <w:numPr>
          <w:ilvl w:val="0"/>
          <w:numId w:val="24"/>
        </w:numPr>
        <w:spacing w:line="360" w:lineRule="auto"/>
        <w:jc w:val="both"/>
        <w:rPr>
          <w:rFonts w:ascii="Times New Roman" w:hAnsi="Times New Roman"/>
          <w:sz w:val="24"/>
          <w:szCs w:val="24"/>
          <w:lang w:val="en-GB"/>
        </w:rPr>
      </w:pPr>
      <w:r w:rsidRPr="007457B1">
        <w:rPr>
          <w:rFonts w:ascii="Times New Roman" w:hAnsi="Times New Roman"/>
          <w:sz w:val="24"/>
          <w:szCs w:val="24"/>
          <w:lang w:val="en-GB"/>
        </w:rPr>
        <w:t>A high proportion of the number of trains originating from South Africa and in line with the government’s local content objectives to this end, a target of over 65</w:t>
      </w:r>
      <w:r w:rsidR="00862262" w:rsidRPr="007457B1">
        <w:rPr>
          <w:rFonts w:ascii="Times New Roman" w:hAnsi="Times New Roman"/>
          <w:sz w:val="24"/>
          <w:szCs w:val="24"/>
        </w:rPr>
        <w:t xml:space="preserve"> percent</w:t>
      </w:r>
      <w:r w:rsidR="00862262" w:rsidRPr="007457B1">
        <w:rPr>
          <w:rFonts w:ascii="Times New Roman" w:hAnsi="Times New Roman"/>
          <w:sz w:val="24"/>
          <w:szCs w:val="24"/>
          <w:lang w:val="en-GB"/>
        </w:rPr>
        <w:t xml:space="preserve"> </w:t>
      </w:r>
      <w:r w:rsidRPr="007457B1">
        <w:rPr>
          <w:rFonts w:ascii="Times New Roman" w:hAnsi="Times New Roman"/>
          <w:sz w:val="24"/>
          <w:szCs w:val="24"/>
          <w:lang w:val="en-GB"/>
        </w:rPr>
        <w:t>local content by the end of the ten-year programme has been set;</w:t>
      </w:r>
    </w:p>
    <w:p w14:paraId="76BE2ACC" w14:textId="77777777" w:rsidR="006C2EC0" w:rsidRPr="007457B1" w:rsidRDefault="006C2EC0" w:rsidP="00C07A5A">
      <w:pPr>
        <w:pStyle w:val="ListParagraph"/>
        <w:numPr>
          <w:ilvl w:val="0"/>
          <w:numId w:val="24"/>
        </w:numPr>
        <w:spacing w:line="360" w:lineRule="auto"/>
        <w:jc w:val="both"/>
        <w:rPr>
          <w:rFonts w:ascii="Times New Roman" w:hAnsi="Times New Roman"/>
          <w:sz w:val="24"/>
          <w:szCs w:val="24"/>
          <w:lang w:val="en-GB"/>
        </w:rPr>
      </w:pPr>
      <w:r w:rsidRPr="007457B1">
        <w:rPr>
          <w:rFonts w:ascii="Times New Roman" w:hAnsi="Times New Roman"/>
          <w:sz w:val="24"/>
          <w:szCs w:val="24"/>
          <w:lang w:val="en-GB"/>
        </w:rPr>
        <w:t>The creation of a sustainable and competitive local rolling stock manufacturing sector;</w:t>
      </w:r>
    </w:p>
    <w:p w14:paraId="787CCB8B" w14:textId="77777777" w:rsidR="006C2EC0" w:rsidRPr="007457B1" w:rsidRDefault="006C2EC0" w:rsidP="00C07A5A">
      <w:pPr>
        <w:pStyle w:val="ListParagraph"/>
        <w:numPr>
          <w:ilvl w:val="0"/>
          <w:numId w:val="24"/>
        </w:numPr>
        <w:spacing w:line="360" w:lineRule="auto"/>
        <w:jc w:val="both"/>
        <w:rPr>
          <w:rFonts w:ascii="Times New Roman" w:hAnsi="Times New Roman"/>
          <w:sz w:val="24"/>
          <w:szCs w:val="24"/>
          <w:lang w:val="en-GB"/>
        </w:rPr>
      </w:pPr>
      <w:r w:rsidRPr="007457B1">
        <w:rPr>
          <w:rFonts w:ascii="Times New Roman" w:hAnsi="Times New Roman"/>
          <w:sz w:val="24"/>
          <w:szCs w:val="24"/>
          <w:lang w:val="en-GB"/>
        </w:rPr>
        <w:t>A strong focus on job creation and job retention;</w:t>
      </w:r>
    </w:p>
    <w:p w14:paraId="66998203" w14:textId="77777777" w:rsidR="006C2EC0" w:rsidRPr="007457B1" w:rsidRDefault="006C2EC0" w:rsidP="00C07A5A">
      <w:pPr>
        <w:pStyle w:val="ListParagraph"/>
        <w:numPr>
          <w:ilvl w:val="0"/>
          <w:numId w:val="24"/>
        </w:numPr>
        <w:spacing w:line="360" w:lineRule="auto"/>
        <w:jc w:val="both"/>
        <w:rPr>
          <w:rFonts w:ascii="Times New Roman" w:hAnsi="Times New Roman"/>
          <w:sz w:val="24"/>
          <w:szCs w:val="24"/>
          <w:lang w:val="en-GB"/>
        </w:rPr>
      </w:pPr>
      <w:r w:rsidRPr="007457B1">
        <w:rPr>
          <w:rFonts w:ascii="Times New Roman" w:hAnsi="Times New Roman"/>
          <w:sz w:val="24"/>
          <w:szCs w:val="24"/>
          <w:lang w:val="en-GB"/>
        </w:rPr>
        <w:t>The transfer and development of rail related skills to the South African labour force;</w:t>
      </w:r>
    </w:p>
    <w:p w14:paraId="2A1DAA4C" w14:textId="77777777" w:rsidR="006C2EC0" w:rsidRPr="007457B1" w:rsidRDefault="006C2EC0" w:rsidP="00C07A5A">
      <w:pPr>
        <w:pStyle w:val="ListParagraph"/>
        <w:numPr>
          <w:ilvl w:val="0"/>
          <w:numId w:val="24"/>
        </w:numPr>
        <w:spacing w:line="360" w:lineRule="auto"/>
        <w:jc w:val="both"/>
        <w:rPr>
          <w:rFonts w:ascii="Times New Roman" w:hAnsi="Times New Roman"/>
          <w:sz w:val="24"/>
          <w:szCs w:val="24"/>
          <w:lang w:val="en-GB"/>
        </w:rPr>
      </w:pPr>
      <w:r w:rsidRPr="007457B1">
        <w:rPr>
          <w:rFonts w:ascii="Times New Roman" w:hAnsi="Times New Roman"/>
          <w:sz w:val="24"/>
          <w:szCs w:val="24"/>
          <w:lang w:val="en-GB"/>
        </w:rPr>
        <w:t>Meaningful black equity ownership at the contractor and sub-contractor level;</w:t>
      </w:r>
    </w:p>
    <w:p w14:paraId="4F1AED17" w14:textId="77777777" w:rsidR="006C2EC0" w:rsidRPr="007457B1" w:rsidRDefault="006C2EC0" w:rsidP="00C07A5A">
      <w:pPr>
        <w:pStyle w:val="ListParagraph"/>
        <w:numPr>
          <w:ilvl w:val="0"/>
          <w:numId w:val="24"/>
        </w:numPr>
        <w:spacing w:line="360" w:lineRule="auto"/>
        <w:jc w:val="both"/>
        <w:rPr>
          <w:rFonts w:ascii="Times New Roman" w:hAnsi="Times New Roman"/>
          <w:sz w:val="24"/>
          <w:szCs w:val="24"/>
          <w:lang w:val="en-GB"/>
        </w:rPr>
      </w:pPr>
      <w:r w:rsidRPr="007457B1">
        <w:rPr>
          <w:rFonts w:ascii="Times New Roman" w:hAnsi="Times New Roman"/>
          <w:sz w:val="24"/>
          <w:szCs w:val="24"/>
          <w:lang w:val="en-GB"/>
        </w:rPr>
        <w:t>The use and enhancement of existing entities/plants and workforce where possible; and</w:t>
      </w:r>
    </w:p>
    <w:p w14:paraId="57067022" w14:textId="77777777" w:rsidR="006C2EC0" w:rsidRPr="007457B1" w:rsidRDefault="006C2EC0" w:rsidP="00C07A5A">
      <w:pPr>
        <w:pStyle w:val="ListParagraph"/>
        <w:numPr>
          <w:ilvl w:val="0"/>
          <w:numId w:val="24"/>
        </w:numPr>
        <w:spacing w:line="360" w:lineRule="auto"/>
        <w:jc w:val="both"/>
        <w:rPr>
          <w:rFonts w:ascii="Times New Roman" w:hAnsi="Times New Roman"/>
          <w:sz w:val="24"/>
          <w:szCs w:val="24"/>
          <w:lang w:val="en-GB"/>
        </w:rPr>
      </w:pPr>
      <w:r w:rsidRPr="007457B1">
        <w:rPr>
          <w:rFonts w:ascii="Times New Roman" w:hAnsi="Times New Roman"/>
          <w:sz w:val="24"/>
          <w:szCs w:val="24"/>
          <w:lang w:val="en-GB"/>
        </w:rPr>
        <w:t>A high priority on safety and reliability of the procured rolling stock.</w:t>
      </w:r>
    </w:p>
    <w:p w14:paraId="2D08ADF5" w14:textId="77777777" w:rsidR="006C2EC0" w:rsidRPr="007457B1" w:rsidRDefault="006C2EC0" w:rsidP="00C07A5A">
      <w:pPr>
        <w:spacing w:line="360" w:lineRule="auto"/>
        <w:jc w:val="both"/>
        <w:rPr>
          <w:rFonts w:ascii="Times New Roman" w:hAnsi="Times New Roman" w:cs="Times New Roman"/>
          <w:sz w:val="24"/>
          <w:szCs w:val="24"/>
        </w:rPr>
      </w:pPr>
    </w:p>
    <w:p w14:paraId="41064F2B" w14:textId="77777777" w:rsidR="006C2EC0" w:rsidRPr="007457B1" w:rsidRDefault="006C2EC0"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 xml:space="preserve">4.3 Nine Point Plan in </w:t>
      </w:r>
      <w:r w:rsidR="00E2146F" w:rsidRPr="007457B1">
        <w:rPr>
          <w:rFonts w:ascii="Times New Roman" w:hAnsi="Times New Roman" w:cs="Times New Roman"/>
          <w:b/>
          <w:sz w:val="24"/>
          <w:szCs w:val="24"/>
        </w:rPr>
        <w:t xml:space="preserve">the </w:t>
      </w:r>
      <w:r w:rsidRPr="007457B1">
        <w:rPr>
          <w:rFonts w:ascii="Times New Roman" w:hAnsi="Times New Roman" w:cs="Times New Roman"/>
          <w:b/>
          <w:sz w:val="24"/>
          <w:szCs w:val="24"/>
        </w:rPr>
        <w:t>context of the NDP</w:t>
      </w:r>
    </w:p>
    <w:p w14:paraId="2A18032F" w14:textId="77777777" w:rsidR="006C2EC0" w:rsidRPr="007457B1" w:rsidRDefault="006C2EC0" w:rsidP="00C07A5A">
      <w:pPr>
        <w:spacing w:line="360" w:lineRule="auto"/>
        <w:jc w:val="both"/>
        <w:rPr>
          <w:rFonts w:ascii="Times New Roman" w:hAnsi="Times New Roman" w:cs="Times New Roman"/>
          <w:sz w:val="24"/>
          <w:szCs w:val="24"/>
        </w:rPr>
      </w:pPr>
    </w:p>
    <w:p w14:paraId="763EDE63" w14:textId="77777777" w:rsidR="00F04BC6"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NDP offers a long-term perspective. It defines a desired destination and identifies the role different spheres of society need to play in reaching that goal. The Department’s Nine Point Plan, therefore, seeks to give meaning to the objectives and aspirations of the NDP. </w:t>
      </w:r>
    </w:p>
    <w:p w14:paraId="64E684A2" w14:textId="77777777" w:rsidR="006C2EC0" w:rsidRPr="007457B1" w:rsidRDefault="006C2EC0" w:rsidP="00C07A5A">
      <w:pPr>
        <w:spacing w:line="360" w:lineRule="auto"/>
        <w:jc w:val="both"/>
        <w:rPr>
          <w:rFonts w:ascii="Times New Roman" w:hAnsi="Times New Roman" w:cs="Times New Roman"/>
          <w:bCs/>
          <w:sz w:val="24"/>
          <w:szCs w:val="24"/>
        </w:rPr>
      </w:pPr>
      <w:r w:rsidRPr="007457B1">
        <w:rPr>
          <w:rFonts w:ascii="Times New Roman" w:hAnsi="Times New Roman" w:cs="Times New Roman"/>
          <w:bCs/>
          <w:sz w:val="24"/>
          <w:szCs w:val="24"/>
        </w:rPr>
        <w:t>The objectives of the Nine Point Plan pertaining to transport infrastructure are to:</w:t>
      </w:r>
      <w:r w:rsidRPr="007457B1">
        <w:rPr>
          <w:rStyle w:val="FootnoteReference"/>
          <w:rFonts w:ascii="Times New Roman" w:hAnsi="Times New Roman" w:cs="Times New Roman"/>
          <w:bCs/>
          <w:sz w:val="24"/>
          <w:szCs w:val="24"/>
        </w:rPr>
        <w:footnoteReference w:id="11"/>
      </w:r>
    </w:p>
    <w:p w14:paraId="7A7B20AD" w14:textId="77777777" w:rsidR="006C2EC0" w:rsidRPr="007457B1" w:rsidRDefault="006C2EC0" w:rsidP="00C07A5A">
      <w:pPr>
        <w:pStyle w:val="ListParagraph"/>
        <w:numPr>
          <w:ilvl w:val="0"/>
          <w:numId w:val="5"/>
        </w:numPr>
        <w:spacing w:after="0" w:line="360" w:lineRule="auto"/>
        <w:ind w:left="357" w:hanging="357"/>
        <w:jc w:val="both"/>
        <w:rPr>
          <w:rFonts w:ascii="Times New Roman" w:hAnsi="Times New Roman"/>
          <w:bCs/>
          <w:sz w:val="24"/>
          <w:szCs w:val="24"/>
          <w:lang w:val="en-GB"/>
        </w:rPr>
      </w:pPr>
      <w:r w:rsidRPr="007457B1">
        <w:rPr>
          <w:rFonts w:ascii="Times New Roman" w:hAnsi="Times New Roman"/>
          <w:bCs/>
          <w:sz w:val="24"/>
          <w:szCs w:val="24"/>
          <w:lang w:val="en-GB"/>
        </w:rPr>
        <w:t>Improve access to economic opportunities and social space;</w:t>
      </w:r>
    </w:p>
    <w:p w14:paraId="60A18747" w14:textId="77777777" w:rsidR="006C2EC0" w:rsidRPr="007457B1" w:rsidRDefault="006C2EC0" w:rsidP="00C07A5A">
      <w:pPr>
        <w:pStyle w:val="ListParagraph"/>
        <w:numPr>
          <w:ilvl w:val="0"/>
          <w:numId w:val="5"/>
        </w:numPr>
        <w:spacing w:after="0" w:line="360" w:lineRule="auto"/>
        <w:ind w:left="357" w:hanging="357"/>
        <w:jc w:val="both"/>
        <w:rPr>
          <w:rFonts w:ascii="Times New Roman" w:hAnsi="Times New Roman"/>
          <w:bCs/>
          <w:sz w:val="24"/>
          <w:szCs w:val="24"/>
          <w:lang w:val="en-GB"/>
        </w:rPr>
      </w:pPr>
      <w:r w:rsidRPr="007457B1">
        <w:rPr>
          <w:rFonts w:ascii="Times New Roman" w:hAnsi="Times New Roman"/>
          <w:bCs/>
          <w:sz w:val="24"/>
          <w:szCs w:val="24"/>
          <w:lang w:val="en-GB"/>
        </w:rPr>
        <w:t>Advance economic development;</w:t>
      </w:r>
    </w:p>
    <w:p w14:paraId="2FCFA781" w14:textId="77777777" w:rsidR="006C2EC0" w:rsidRPr="007457B1" w:rsidRDefault="006C2EC0" w:rsidP="00C07A5A">
      <w:pPr>
        <w:pStyle w:val="ListParagraph"/>
        <w:numPr>
          <w:ilvl w:val="0"/>
          <w:numId w:val="5"/>
        </w:numPr>
        <w:spacing w:after="0" w:line="360" w:lineRule="auto"/>
        <w:ind w:left="357" w:hanging="357"/>
        <w:jc w:val="both"/>
        <w:rPr>
          <w:rFonts w:ascii="Times New Roman" w:hAnsi="Times New Roman"/>
          <w:bCs/>
          <w:sz w:val="24"/>
          <w:szCs w:val="24"/>
          <w:lang w:val="en-GB"/>
        </w:rPr>
      </w:pPr>
      <w:r w:rsidRPr="007457B1">
        <w:rPr>
          <w:rFonts w:ascii="Times New Roman" w:hAnsi="Times New Roman"/>
          <w:bCs/>
          <w:sz w:val="24"/>
          <w:szCs w:val="24"/>
          <w:lang w:val="en-GB"/>
        </w:rPr>
        <w:t>Improve movement of goods;</w:t>
      </w:r>
    </w:p>
    <w:p w14:paraId="4C59CB3E" w14:textId="77777777" w:rsidR="006C2EC0" w:rsidRPr="007457B1" w:rsidRDefault="006C2EC0" w:rsidP="00C07A5A">
      <w:pPr>
        <w:pStyle w:val="ListParagraph"/>
        <w:numPr>
          <w:ilvl w:val="0"/>
          <w:numId w:val="5"/>
        </w:numPr>
        <w:spacing w:after="0" w:line="360" w:lineRule="auto"/>
        <w:ind w:left="357" w:hanging="357"/>
        <w:jc w:val="both"/>
        <w:rPr>
          <w:rFonts w:ascii="Times New Roman" w:hAnsi="Times New Roman"/>
          <w:bCs/>
          <w:sz w:val="24"/>
          <w:szCs w:val="24"/>
          <w:lang w:val="en-GB"/>
        </w:rPr>
      </w:pPr>
      <w:r w:rsidRPr="007457B1">
        <w:rPr>
          <w:rFonts w:ascii="Times New Roman" w:hAnsi="Times New Roman"/>
          <w:bCs/>
          <w:sz w:val="24"/>
          <w:szCs w:val="24"/>
          <w:lang w:val="en-GB"/>
        </w:rPr>
        <w:t>Ensure greater mobility of people and goods; and</w:t>
      </w:r>
    </w:p>
    <w:p w14:paraId="2BD6D906" w14:textId="77777777" w:rsidR="006C2EC0" w:rsidRPr="007457B1" w:rsidRDefault="006C2EC0" w:rsidP="00C07A5A">
      <w:pPr>
        <w:pStyle w:val="ListParagraph"/>
        <w:numPr>
          <w:ilvl w:val="0"/>
          <w:numId w:val="5"/>
        </w:numPr>
        <w:spacing w:after="0" w:line="360" w:lineRule="auto"/>
        <w:ind w:left="357" w:hanging="357"/>
        <w:jc w:val="both"/>
        <w:rPr>
          <w:rFonts w:ascii="Times New Roman" w:hAnsi="Times New Roman"/>
          <w:bCs/>
          <w:sz w:val="24"/>
          <w:szCs w:val="24"/>
          <w:lang w:val="en-GB"/>
        </w:rPr>
      </w:pPr>
      <w:r w:rsidRPr="007457B1">
        <w:rPr>
          <w:rFonts w:ascii="Times New Roman" w:hAnsi="Times New Roman"/>
          <w:bCs/>
          <w:sz w:val="24"/>
          <w:szCs w:val="24"/>
          <w:lang w:val="en-GB"/>
        </w:rPr>
        <w:t>Promote regional integration.</w:t>
      </w:r>
    </w:p>
    <w:p w14:paraId="6C508A4D" w14:textId="77777777" w:rsidR="006C2EC0" w:rsidRPr="007457B1" w:rsidRDefault="006C2EC0" w:rsidP="00C07A5A">
      <w:pPr>
        <w:pStyle w:val="ListParagraph"/>
        <w:spacing w:after="0" w:line="360" w:lineRule="auto"/>
        <w:ind w:left="357"/>
        <w:jc w:val="both"/>
        <w:rPr>
          <w:rFonts w:ascii="Times New Roman" w:hAnsi="Times New Roman"/>
          <w:bCs/>
          <w:sz w:val="24"/>
          <w:szCs w:val="24"/>
          <w:lang w:val="en-GB"/>
        </w:rPr>
      </w:pPr>
    </w:p>
    <w:p w14:paraId="68D6A4FB" w14:textId="77777777" w:rsidR="006C2EC0" w:rsidRPr="007457B1" w:rsidRDefault="006C2EC0" w:rsidP="00C07A5A">
      <w:pPr>
        <w:autoSpaceDE w:val="0"/>
        <w:autoSpaceDN w:val="0"/>
        <w:adjustRightInd w:val="0"/>
        <w:spacing w:line="360" w:lineRule="auto"/>
        <w:contextualSpacing/>
        <w:jc w:val="both"/>
        <w:rPr>
          <w:rFonts w:ascii="Times New Roman" w:hAnsi="Times New Roman" w:cs="Times New Roman"/>
          <w:bCs/>
          <w:sz w:val="24"/>
          <w:szCs w:val="24"/>
          <w:lang w:eastAsia="en-ZA"/>
        </w:rPr>
      </w:pPr>
      <w:r w:rsidRPr="007457B1">
        <w:rPr>
          <w:rFonts w:ascii="Times New Roman" w:hAnsi="Times New Roman" w:cs="Times New Roman"/>
          <w:sz w:val="24"/>
          <w:szCs w:val="24"/>
        </w:rPr>
        <w:t xml:space="preserve">In aligning its programmes to the NDP, the Department will oversee the manufacturing of a rolling stock factory that is based at Dunnottar, Ekurhuleni, in Gauteng. The factory will assist in addressing the triple challenges of poverty, unemployment and inequality. </w:t>
      </w:r>
      <w:r w:rsidRPr="007457B1">
        <w:rPr>
          <w:rFonts w:ascii="Times New Roman" w:hAnsi="Times New Roman" w:cs="Times New Roman"/>
          <w:bCs/>
          <w:sz w:val="24"/>
          <w:szCs w:val="24"/>
          <w:lang w:eastAsia="en-ZA"/>
        </w:rPr>
        <w:t>The rolling stock fleet renewal programme is estimated to create over 8 000 direct jobs throughout the Gibela Consortium’s supply chain, with the factory targeting the creation of 1 500 jobs.</w:t>
      </w:r>
      <w:r w:rsidRPr="007457B1">
        <w:rPr>
          <w:rStyle w:val="FootnoteReference"/>
          <w:rFonts w:ascii="Times New Roman" w:hAnsi="Times New Roman" w:cs="Times New Roman"/>
          <w:bCs/>
          <w:sz w:val="24"/>
          <w:szCs w:val="24"/>
          <w:lang w:eastAsia="en-ZA"/>
        </w:rPr>
        <w:footnoteReference w:id="12"/>
      </w:r>
      <w:r w:rsidRPr="007457B1">
        <w:rPr>
          <w:rFonts w:ascii="Times New Roman" w:hAnsi="Times New Roman" w:cs="Times New Roman"/>
          <w:bCs/>
          <w:sz w:val="24"/>
          <w:szCs w:val="24"/>
          <w:lang w:eastAsia="en-ZA"/>
        </w:rPr>
        <w:t xml:space="preserve"> Nearly all the jobs in the factory will be occupied by South Africans with the aim to employ 85</w:t>
      </w:r>
      <w:r w:rsidR="00862262" w:rsidRPr="007457B1">
        <w:rPr>
          <w:rFonts w:ascii="Times New Roman" w:hAnsi="Times New Roman" w:cs="Times New Roman"/>
          <w:sz w:val="24"/>
          <w:szCs w:val="24"/>
        </w:rPr>
        <w:t xml:space="preserve"> percent</w:t>
      </w:r>
      <w:r w:rsidRPr="007457B1">
        <w:rPr>
          <w:rFonts w:ascii="Times New Roman" w:hAnsi="Times New Roman" w:cs="Times New Roman"/>
          <w:bCs/>
          <w:sz w:val="24"/>
          <w:szCs w:val="24"/>
          <w:lang w:eastAsia="en-ZA"/>
        </w:rPr>
        <w:t xml:space="preserve"> historically disadvantaged persons, and at least 25</w:t>
      </w:r>
      <w:r w:rsidR="00862262" w:rsidRPr="007457B1">
        <w:rPr>
          <w:rFonts w:ascii="Times New Roman" w:hAnsi="Times New Roman" w:cs="Times New Roman"/>
          <w:sz w:val="24"/>
          <w:szCs w:val="24"/>
        </w:rPr>
        <w:t xml:space="preserve"> percent</w:t>
      </w:r>
      <w:r w:rsidR="00862262" w:rsidRPr="007457B1">
        <w:rPr>
          <w:rFonts w:ascii="Times New Roman" w:hAnsi="Times New Roman" w:cs="Times New Roman"/>
          <w:bCs/>
          <w:sz w:val="24"/>
          <w:szCs w:val="24"/>
          <w:lang w:eastAsia="en-ZA"/>
        </w:rPr>
        <w:t xml:space="preserve"> </w:t>
      </w:r>
      <w:r w:rsidRPr="007457B1">
        <w:rPr>
          <w:rFonts w:ascii="Times New Roman" w:hAnsi="Times New Roman" w:cs="Times New Roman"/>
          <w:bCs/>
          <w:sz w:val="24"/>
          <w:szCs w:val="24"/>
          <w:lang w:eastAsia="en-ZA"/>
        </w:rPr>
        <w:t>women. The expectation is that, over time, the factory will increase the proportion of women within its workforce to at least 50</w:t>
      </w:r>
      <w:r w:rsidR="00862262" w:rsidRPr="007457B1">
        <w:rPr>
          <w:rFonts w:ascii="Times New Roman" w:hAnsi="Times New Roman" w:cs="Times New Roman"/>
          <w:sz w:val="24"/>
          <w:szCs w:val="24"/>
        </w:rPr>
        <w:t xml:space="preserve"> percent.</w:t>
      </w:r>
    </w:p>
    <w:p w14:paraId="0D841883" w14:textId="77777777" w:rsidR="006C2EC0" w:rsidRPr="007457B1" w:rsidRDefault="006C2EC0" w:rsidP="00C07A5A">
      <w:pPr>
        <w:spacing w:line="360" w:lineRule="auto"/>
        <w:jc w:val="both"/>
        <w:rPr>
          <w:rFonts w:ascii="Times New Roman" w:hAnsi="Times New Roman" w:cs="Times New Roman"/>
          <w:b/>
          <w:sz w:val="24"/>
          <w:szCs w:val="24"/>
        </w:rPr>
      </w:pPr>
    </w:p>
    <w:p w14:paraId="1FAD1F93"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South Africa’s urban areas are hubs of economic activity and it is, therefore, crucial that they maintain optimal functionality and remain engines of socio-economic growth. Integrated public transports are central to the functioning of these hubs as they provide sustainable, affordable and functional transport solutions to urban areas. To this end, the Department makes allocations in the Public Transport programme for the Public Transport Network Grant (PTNG) that funds the in</w:t>
      </w:r>
      <w:r w:rsidR="00747C47" w:rsidRPr="007457B1">
        <w:rPr>
          <w:rFonts w:ascii="Times New Roman" w:hAnsi="Times New Roman" w:cs="Times New Roman"/>
          <w:sz w:val="24"/>
          <w:szCs w:val="24"/>
        </w:rPr>
        <w:t>frastructure and operations of I</w:t>
      </w:r>
      <w:r w:rsidRPr="007457B1">
        <w:rPr>
          <w:rFonts w:ascii="Times New Roman" w:hAnsi="Times New Roman" w:cs="Times New Roman"/>
          <w:sz w:val="24"/>
          <w:szCs w:val="24"/>
        </w:rPr>
        <w:t xml:space="preserve">ntegrated </w:t>
      </w:r>
      <w:r w:rsidR="00747C47" w:rsidRPr="007457B1">
        <w:rPr>
          <w:rFonts w:ascii="Times New Roman" w:hAnsi="Times New Roman" w:cs="Times New Roman"/>
          <w:sz w:val="24"/>
          <w:szCs w:val="24"/>
        </w:rPr>
        <w:t>P</w:t>
      </w:r>
      <w:r w:rsidRPr="007457B1">
        <w:rPr>
          <w:rFonts w:ascii="Times New Roman" w:hAnsi="Times New Roman" w:cs="Times New Roman"/>
          <w:sz w:val="24"/>
          <w:szCs w:val="24"/>
        </w:rPr>
        <w:t xml:space="preserve">ublic </w:t>
      </w:r>
      <w:r w:rsidR="00747C47" w:rsidRPr="007457B1">
        <w:rPr>
          <w:rFonts w:ascii="Times New Roman" w:hAnsi="Times New Roman" w:cs="Times New Roman"/>
          <w:sz w:val="24"/>
          <w:szCs w:val="24"/>
        </w:rPr>
        <w:t>T</w:t>
      </w:r>
      <w:r w:rsidRPr="007457B1">
        <w:rPr>
          <w:rFonts w:ascii="Times New Roman" w:hAnsi="Times New Roman" w:cs="Times New Roman"/>
          <w:sz w:val="24"/>
          <w:szCs w:val="24"/>
        </w:rPr>
        <w:t xml:space="preserve">ransport </w:t>
      </w:r>
      <w:r w:rsidR="00747C47" w:rsidRPr="007457B1">
        <w:rPr>
          <w:rFonts w:ascii="Times New Roman" w:hAnsi="Times New Roman" w:cs="Times New Roman"/>
          <w:sz w:val="24"/>
          <w:szCs w:val="24"/>
        </w:rPr>
        <w:t>N</w:t>
      </w:r>
      <w:r w:rsidRPr="007457B1">
        <w:rPr>
          <w:rFonts w:ascii="Times New Roman" w:hAnsi="Times New Roman" w:cs="Times New Roman"/>
          <w:sz w:val="24"/>
          <w:szCs w:val="24"/>
        </w:rPr>
        <w:t>etworks (IPTNs) in 13 cities across South Africa.</w:t>
      </w:r>
    </w:p>
    <w:p w14:paraId="4FA116E7" w14:textId="77777777" w:rsidR="006C2EC0" w:rsidRPr="007457B1" w:rsidRDefault="006C2EC0" w:rsidP="00C07A5A">
      <w:pPr>
        <w:spacing w:line="360" w:lineRule="auto"/>
        <w:jc w:val="both"/>
        <w:rPr>
          <w:rFonts w:ascii="Times New Roman" w:hAnsi="Times New Roman" w:cs="Times New Roman"/>
          <w:sz w:val="24"/>
          <w:szCs w:val="24"/>
        </w:rPr>
      </w:pPr>
    </w:p>
    <w:p w14:paraId="71F88736" w14:textId="77777777" w:rsidR="006C2EC0" w:rsidRPr="007457B1" w:rsidRDefault="006C2EC0"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4.4 Agenda 2063</w:t>
      </w:r>
    </w:p>
    <w:p w14:paraId="66682703" w14:textId="77777777" w:rsidR="006C2EC0" w:rsidRPr="007457B1" w:rsidRDefault="006C2EC0" w:rsidP="00C07A5A">
      <w:pPr>
        <w:spacing w:line="360" w:lineRule="auto"/>
        <w:jc w:val="both"/>
        <w:rPr>
          <w:rFonts w:ascii="Times New Roman" w:hAnsi="Times New Roman" w:cs="Times New Roman"/>
          <w:sz w:val="24"/>
          <w:szCs w:val="24"/>
        </w:rPr>
      </w:pPr>
    </w:p>
    <w:p w14:paraId="44AD9CCB"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bCs/>
          <w:sz w:val="24"/>
          <w:szCs w:val="24"/>
        </w:rPr>
        <w:t>The African Union (AU) envisions that by 2063 the necessary infrastructure will be in place to support Africa’s accelerated integration and growth, technological transformation, trade and development. This will include high-speed rail networks, roads, shipping lines, sea and air transport, as well as Information and Communications Technology (ICT) and digital economy. A Pan-African high-speed rail network will connect all the major cities of the continent with adjacent ways and pipelines for gas,</w:t>
      </w:r>
      <w:r w:rsidRPr="007457B1">
        <w:rPr>
          <w:rFonts w:ascii="Times New Roman" w:hAnsi="Times New Roman" w:cs="Times New Roman"/>
          <w:sz w:val="24"/>
          <w:szCs w:val="24"/>
        </w:rPr>
        <w:t xml:space="preserve"> </w:t>
      </w:r>
      <w:r w:rsidRPr="007457B1">
        <w:rPr>
          <w:rFonts w:ascii="Times New Roman" w:hAnsi="Times New Roman" w:cs="Times New Roman"/>
          <w:bCs/>
          <w:sz w:val="24"/>
          <w:szCs w:val="24"/>
        </w:rPr>
        <w:t>oil, water, ICT broadband cables and other infrastructure. This will serve as a catalyst for manufacturing skills development, integration and intra-African trade, investment and tourism. The Department has committed itself to contributing to the aspirations of “an integrated continent, politically united and based on the ideals of Pan Africanism and the vision of Africa’s Renaissance”.</w:t>
      </w:r>
      <w:r w:rsidRPr="007457B1">
        <w:rPr>
          <w:rStyle w:val="FootnoteReference"/>
          <w:rFonts w:ascii="Times New Roman" w:hAnsi="Times New Roman" w:cs="Times New Roman"/>
          <w:bCs/>
          <w:sz w:val="24"/>
          <w:szCs w:val="24"/>
        </w:rPr>
        <w:footnoteReference w:id="13"/>
      </w:r>
    </w:p>
    <w:p w14:paraId="5364F781" w14:textId="77777777" w:rsidR="006C2EC0" w:rsidRPr="007457B1" w:rsidRDefault="006C2EC0" w:rsidP="00C07A5A">
      <w:pPr>
        <w:spacing w:line="360" w:lineRule="auto"/>
        <w:jc w:val="both"/>
        <w:rPr>
          <w:rFonts w:ascii="Times New Roman" w:hAnsi="Times New Roman" w:cs="Times New Roman"/>
          <w:bCs/>
          <w:sz w:val="24"/>
          <w:szCs w:val="24"/>
        </w:rPr>
      </w:pPr>
    </w:p>
    <w:p w14:paraId="6377EEF2" w14:textId="77777777" w:rsidR="006C2EC0" w:rsidRPr="007457B1" w:rsidRDefault="006C2EC0" w:rsidP="00C07A5A">
      <w:pPr>
        <w:spacing w:line="360" w:lineRule="auto"/>
        <w:jc w:val="both"/>
        <w:rPr>
          <w:rFonts w:ascii="Times New Roman" w:hAnsi="Times New Roman" w:cs="Times New Roman"/>
          <w:bCs/>
          <w:sz w:val="24"/>
          <w:szCs w:val="24"/>
        </w:rPr>
      </w:pPr>
      <w:r w:rsidRPr="007457B1">
        <w:rPr>
          <w:rFonts w:ascii="Times New Roman" w:hAnsi="Times New Roman" w:cs="Times New Roman"/>
          <w:bCs/>
          <w:sz w:val="24"/>
          <w:szCs w:val="24"/>
        </w:rPr>
        <w:t xml:space="preserve">Investment in infrastructure is vital in addressing the challenges encountered in infrastructure maintenance and expansion that are crucial for the stabilisation of the country’s economy and creation of new opportunities for growth, equity and employment. The current socio-economic challenges, cannot be resolved utilising only the scope and resources of Government or any single role player. Enduring economic partnerships between Government and the private sector are needed to develop trusting relationships for integrated operations, investments and management of transportation infrastructure. The partnership between Government and the private sector was underscored by President Ramaphosa in the </w:t>
      </w:r>
      <w:r w:rsidR="00F04BC6" w:rsidRPr="007457B1">
        <w:rPr>
          <w:rFonts w:ascii="Times New Roman" w:hAnsi="Times New Roman" w:cs="Times New Roman"/>
          <w:bCs/>
          <w:sz w:val="24"/>
          <w:szCs w:val="24"/>
        </w:rPr>
        <w:t xml:space="preserve">February </w:t>
      </w:r>
      <w:r w:rsidRPr="007457B1">
        <w:rPr>
          <w:rFonts w:ascii="Times New Roman" w:hAnsi="Times New Roman" w:cs="Times New Roman"/>
          <w:bCs/>
          <w:sz w:val="24"/>
          <w:szCs w:val="24"/>
        </w:rPr>
        <w:t>2019 SONA which committed Government to over a ten-year period, contributing R100 billion into the Infrastructure Fund.</w:t>
      </w:r>
      <w:r w:rsidRPr="007457B1">
        <w:rPr>
          <w:rStyle w:val="FootnoteReference"/>
          <w:rFonts w:ascii="Times New Roman" w:hAnsi="Times New Roman" w:cs="Times New Roman"/>
          <w:bCs/>
          <w:sz w:val="24"/>
          <w:szCs w:val="24"/>
        </w:rPr>
        <w:footnoteReference w:id="14"/>
      </w:r>
    </w:p>
    <w:p w14:paraId="0B16A703" w14:textId="77777777" w:rsidR="006C2EC0" w:rsidRPr="007457B1" w:rsidRDefault="006C2EC0" w:rsidP="00C07A5A">
      <w:pPr>
        <w:spacing w:line="360" w:lineRule="auto"/>
        <w:jc w:val="both"/>
        <w:rPr>
          <w:rFonts w:ascii="Times New Roman" w:hAnsi="Times New Roman" w:cs="Times New Roman"/>
          <w:bCs/>
          <w:sz w:val="24"/>
          <w:szCs w:val="24"/>
        </w:rPr>
      </w:pPr>
    </w:p>
    <w:p w14:paraId="7F11E38B" w14:textId="77777777" w:rsidR="006C2EC0" w:rsidRPr="007457B1" w:rsidRDefault="006C2EC0" w:rsidP="00C07A5A">
      <w:pPr>
        <w:spacing w:line="360" w:lineRule="auto"/>
        <w:jc w:val="both"/>
        <w:rPr>
          <w:rFonts w:ascii="Times New Roman" w:hAnsi="Times New Roman" w:cs="Times New Roman"/>
          <w:bCs/>
          <w:sz w:val="24"/>
          <w:szCs w:val="24"/>
        </w:rPr>
      </w:pPr>
      <w:r w:rsidRPr="007457B1">
        <w:rPr>
          <w:rFonts w:ascii="Times New Roman" w:hAnsi="Times New Roman" w:cs="Times New Roman"/>
          <w:bCs/>
          <w:sz w:val="24"/>
          <w:szCs w:val="24"/>
        </w:rPr>
        <w:t>A perusal of the Departm</w:t>
      </w:r>
      <w:r w:rsidR="00747C47" w:rsidRPr="007457B1">
        <w:rPr>
          <w:rFonts w:ascii="Times New Roman" w:hAnsi="Times New Roman" w:cs="Times New Roman"/>
          <w:bCs/>
          <w:sz w:val="24"/>
          <w:szCs w:val="24"/>
        </w:rPr>
        <w:t>ent’s budget allocation for 2019</w:t>
      </w:r>
      <w:r w:rsidRPr="007457B1">
        <w:rPr>
          <w:rFonts w:ascii="Times New Roman" w:hAnsi="Times New Roman" w:cs="Times New Roman"/>
          <w:bCs/>
          <w:sz w:val="24"/>
          <w:szCs w:val="24"/>
        </w:rPr>
        <w:t>/</w:t>
      </w:r>
      <w:r w:rsidR="00747C47" w:rsidRPr="007457B1">
        <w:rPr>
          <w:rFonts w:ascii="Times New Roman" w:hAnsi="Times New Roman" w:cs="Times New Roman"/>
          <w:bCs/>
          <w:sz w:val="24"/>
          <w:szCs w:val="24"/>
        </w:rPr>
        <w:t>20</w:t>
      </w:r>
      <w:r w:rsidRPr="007457B1">
        <w:rPr>
          <w:rFonts w:ascii="Times New Roman" w:hAnsi="Times New Roman" w:cs="Times New Roman"/>
          <w:bCs/>
          <w:sz w:val="24"/>
          <w:szCs w:val="24"/>
        </w:rPr>
        <w:t xml:space="preserve"> indicates its commitment to national, regional, continental and global imperatives. This is evidenced by strong investments in Road, Rail and Public Transport programmes respectively.</w:t>
      </w:r>
    </w:p>
    <w:p w14:paraId="6C535A4F" w14:textId="77777777" w:rsidR="006C2EC0" w:rsidRPr="007457B1" w:rsidRDefault="006C2EC0" w:rsidP="00C07A5A">
      <w:pPr>
        <w:spacing w:line="360" w:lineRule="auto"/>
        <w:jc w:val="both"/>
        <w:rPr>
          <w:rFonts w:ascii="Times New Roman" w:hAnsi="Times New Roman" w:cs="Times New Roman"/>
          <w:bCs/>
          <w:sz w:val="24"/>
          <w:szCs w:val="24"/>
        </w:rPr>
      </w:pPr>
    </w:p>
    <w:p w14:paraId="54BC6AA1" w14:textId="77777777" w:rsidR="006C2EC0" w:rsidRPr="007457B1" w:rsidRDefault="006C2EC0" w:rsidP="00C07A5A">
      <w:pPr>
        <w:spacing w:line="360" w:lineRule="auto"/>
        <w:jc w:val="both"/>
        <w:rPr>
          <w:rFonts w:ascii="Times New Roman" w:hAnsi="Times New Roman" w:cs="Times New Roman"/>
          <w:bCs/>
          <w:sz w:val="24"/>
          <w:szCs w:val="24"/>
        </w:rPr>
      </w:pPr>
      <w:r w:rsidRPr="007457B1">
        <w:rPr>
          <w:rFonts w:ascii="Times New Roman" w:hAnsi="Times New Roman" w:cs="Times New Roman"/>
          <w:bCs/>
          <w:sz w:val="24"/>
          <w:szCs w:val="24"/>
        </w:rPr>
        <w:t>It is a truism that an efficient transport infrastructure provides social and economic benefits to both advanced and emerging economies by improving market accessibility. In addition, it ensures balanced regional, continental and global economic development. Last, but by no means least, an efficient transport infrastructure creates employment, promotes labour mobility, and connects communities.</w:t>
      </w:r>
    </w:p>
    <w:p w14:paraId="5B538BE9" w14:textId="77777777" w:rsidR="00F200B9" w:rsidRPr="007457B1" w:rsidRDefault="00F200B9" w:rsidP="00C07A5A">
      <w:pPr>
        <w:keepNext/>
        <w:keepLines/>
        <w:spacing w:before="240" w:after="0" w:line="360" w:lineRule="auto"/>
        <w:jc w:val="both"/>
        <w:outlineLvl w:val="0"/>
        <w:rPr>
          <w:rFonts w:ascii="Times New Roman" w:eastAsia="Times New Roman" w:hAnsi="Times New Roman" w:cs="Times New Roman"/>
          <w:bCs/>
          <w:color w:val="000000" w:themeColor="text1"/>
          <w:sz w:val="24"/>
          <w:szCs w:val="24"/>
          <w:lang w:val="en-GB" w:eastAsia="en-GB"/>
        </w:rPr>
      </w:pPr>
    </w:p>
    <w:p w14:paraId="2F2B594A" w14:textId="77777777" w:rsidR="00BB5DA5" w:rsidRPr="005D4F5C" w:rsidRDefault="00F200B9" w:rsidP="00C07A5A">
      <w:pPr>
        <w:keepNext/>
        <w:keepLines/>
        <w:spacing w:before="240" w:after="0" w:line="360" w:lineRule="auto"/>
        <w:jc w:val="both"/>
        <w:outlineLvl w:val="0"/>
        <w:rPr>
          <w:rFonts w:ascii="Times New Roman" w:eastAsia="Times New Roman" w:hAnsi="Times New Roman" w:cs="Times New Roman"/>
          <w:b/>
          <w:color w:val="000000" w:themeColor="text1"/>
          <w:sz w:val="28"/>
          <w:szCs w:val="28"/>
          <w:lang w:val="en-GB" w:eastAsia="en-GB"/>
        </w:rPr>
      </w:pPr>
      <w:r w:rsidRPr="005D4F5C">
        <w:rPr>
          <w:rFonts w:ascii="Times New Roman" w:eastAsia="Times New Roman" w:hAnsi="Times New Roman" w:cs="Times New Roman"/>
          <w:b/>
          <w:bCs/>
          <w:color w:val="000000" w:themeColor="text1"/>
          <w:sz w:val="28"/>
          <w:szCs w:val="28"/>
          <w:lang w:val="en-GB" w:eastAsia="en-GB"/>
        </w:rPr>
        <w:t>5.</w:t>
      </w:r>
      <w:r w:rsidRPr="005D4F5C">
        <w:rPr>
          <w:rFonts w:ascii="Times New Roman" w:eastAsia="Times New Roman" w:hAnsi="Times New Roman" w:cs="Times New Roman"/>
          <w:bCs/>
          <w:color w:val="000000" w:themeColor="text1"/>
          <w:sz w:val="28"/>
          <w:szCs w:val="28"/>
          <w:lang w:val="en-GB" w:eastAsia="en-GB"/>
        </w:rPr>
        <w:tab/>
      </w:r>
      <w:r w:rsidR="00BB5DA5" w:rsidRPr="005D4F5C">
        <w:rPr>
          <w:rFonts w:ascii="Times New Roman" w:eastAsia="Times New Roman" w:hAnsi="Times New Roman" w:cs="Times New Roman"/>
          <w:b/>
          <w:color w:val="000000" w:themeColor="text1"/>
          <w:sz w:val="28"/>
          <w:szCs w:val="28"/>
          <w:lang w:val="en-GB" w:eastAsia="en-GB"/>
        </w:rPr>
        <w:t>B</w:t>
      </w:r>
      <w:bookmarkEnd w:id="2"/>
      <w:r w:rsidR="00BB5DA5" w:rsidRPr="005D4F5C">
        <w:rPr>
          <w:rFonts w:ascii="Times New Roman" w:eastAsia="Times New Roman" w:hAnsi="Times New Roman" w:cs="Times New Roman"/>
          <w:b/>
          <w:color w:val="000000" w:themeColor="text1"/>
          <w:sz w:val="28"/>
          <w:szCs w:val="28"/>
          <w:lang w:val="en-GB" w:eastAsia="en-GB"/>
        </w:rPr>
        <w:t>UDGET ANALYSIS</w:t>
      </w:r>
    </w:p>
    <w:p w14:paraId="2D0D3816" w14:textId="77777777" w:rsidR="00BB5DA5" w:rsidRPr="007457B1" w:rsidRDefault="00BB5DA5" w:rsidP="00C07A5A">
      <w:pPr>
        <w:spacing w:after="60" w:line="360" w:lineRule="auto"/>
        <w:jc w:val="both"/>
        <w:rPr>
          <w:rFonts w:ascii="Times New Roman" w:eastAsia="Times New Roman" w:hAnsi="Times New Roman" w:cs="Times New Roman"/>
          <w:b/>
          <w:color w:val="000000" w:themeColor="text1"/>
          <w:sz w:val="24"/>
          <w:szCs w:val="24"/>
          <w:lang w:val="en-GB" w:eastAsia="en-GB"/>
        </w:rPr>
      </w:pPr>
    </w:p>
    <w:p w14:paraId="6F2D736A" w14:textId="77777777" w:rsidR="007B5832" w:rsidRPr="007457B1" w:rsidRDefault="007B5832" w:rsidP="007B5832">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During the presentations to the Committee, members noted that some of the figures presented below, as per the 2019 Estimates of National Expenditure for the Department under Vote 35: Transport, differed from those contained in the APP as tabled before the Committee for consideration. The Committee highlighted these discrepancies during the discussion on the Department’s presentation and were informed that the anomalies could be due to instances where the figures published by National Treasury in the Estimates of National Expenditure documents may not have been the final figures submitted after finalisation of the APP by the Department and submitted to National Treasury. The Committee further pointed out that some of the budget figures indicated in the APP of the Department did not correlate in the narrative of the document from page to page and the Department undertook to correct those.</w:t>
      </w:r>
    </w:p>
    <w:p w14:paraId="3DB19807" w14:textId="77777777" w:rsidR="007B5832" w:rsidRPr="007457B1" w:rsidRDefault="007B5832" w:rsidP="00C07A5A">
      <w:pPr>
        <w:spacing w:after="60" w:line="360" w:lineRule="auto"/>
        <w:jc w:val="both"/>
        <w:rPr>
          <w:rFonts w:ascii="Times New Roman" w:eastAsia="Times New Roman" w:hAnsi="Times New Roman" w:cs="Times New Roman"/>
          <w:b/>
          <w:color w:val="000000" w:themeColor="text1"/>
          <w:sz w:val="24"/>
          <w:szCs w:val="24"/>
          <w:lang w:val="en-GB" w:eastAsia="en-GB"/>
        </w:rPr>
      </w:pPr>
    </w:p>
    <w:p w14:paraId="61221B62" w14:textId="77777777" w:rsidR="006C2EC0" w:rsidRPr="007457B1" w:rsidRDefault="006C2EC0"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 xml:space="preserve">Table 4: Overall Budget – Transport </w:t>
      </w:r>
    </w:p>
    <w:tbl>
      <w:tblPr>
        <w:tblStyle w:val="TableGrid"/>
        <w:tblW w:w="0" w:type="auto"/>
        <w:tblLook w:val="04A0" w:firstRow="1" w:lastRow="0" w:firstColumn="1" w:lastColumn="0" w:noHBand="0" w:noVBand="1"/>
      </w:tblPr>
      <w:tblGrid>
        <w:gridCol w:w="2425"/>
        <w:gridCol w:w="1096"/>
        <w:gridCol w:w="1096"/>
        <w:gridCol w:w="1232"/>
        <w:gridCol w:w="1231"/>
        <w:gridCol w:w="1096"/>
        <w:gridCol w:w="1066"/>
      </w:tblGrid>
      <w:tr w:rsidR="006C2EC0" w:rsidRPr="00490066" w14:paraId="0BBD3444" w14:textId="77777777" w:rsidTr="00AA480F">
        <w:trPr>
          <w:trHeight w:val="765"/>
        </w:trPr>
        <w:tc>
          <w:tcPr>
            <w:tcW w:w="2522"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74816C72"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Programme</w:t>
            </w:r>
          </w:p>
        </w:tc>
        <w:tc>
          <w:tcPr>
            <w:tcW w:w="2268" w:type="dxa"/>
            <w:gridSpan w:val="2"/>
            <w:tcBorders>
              <w:top w:val="thinThickSmallGap" w:sz="12" w:space="0" w:color="auto"/>
              <w:left w:val="thinThickSmallGap" w:sz="12" w:space="0" w:color="auto"/>
              <w:bottom w:val="double" w:sz="4" w:space="0" w:color="auto"/>
              <w:right w:val="thinThickSmallGap" w:sz="12" w:space="0" w:color="auto"/>
            </w:tcBorders>
            <w:shd w:val="pct15" w:color="auto" w:fill="auto"/>
            <w:hideMark/>
          </w:tcPr>
          <w:p w14:paraId="242A3632"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Budget</w:t>
            </w:r>
          </w:p>
        </w:tc>
        <w:tc>
          <w:tcPr>
            <w:tcW w:w="1276" w:type="dxa"/>
            <w:vMerge w:val="restart"/>
            <w:tcBorders>
              <w:top w:val="thinThickSmallGap" w:sz="12" w:space="0" w:color="auto"/>
              <w:left w:val="thinThickSmallGap" w:sz="12" w:space="0" w:color="auto"/>
              <w:bottom w:val="double" w:sz="4" w:space="0" w:color="auto"/>
              <w:right w:val="thinThickSmallGap" w:sz="12" w:space="0" w:color="auto"/>
            </w:tcBorders>
            <w:shd w:val="pct15" w:color="auto" w:fill="auto"/>
            <w:hideMark/>
          </w:tcPr>
          <w:p w14:paraId="026DDB7C"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Nominal Increase / Decrease in 2019/20</w:t>
            </w:r>
          </w:p>
        </w:tc>
        <w:tc>
          <w:tcPr>
            <w:tcW w:w="1275" w:type="dxa"/>
            <w:vMerge w:val="restart"/>
            <w:tcBorders>
              <w:top w:val="thinThickSmallGap" w:sz="12" w:space="0" w:color="auto"/>
              <w:left w:val="thinThickSmallGap" w:sz="12" w:space="0" w:color="auto"/>
              <w:bottom w:val="double" w:sz="4" w:space="0" w:color="auto"/>
              <w:right w:val="thinThickSmallGap" w:sz="12" w:space="0" w:color="auto"/>
            </w:tcBorders>
            <w:shd w:val="pct15" w:color="auto" w:fill="auto"/>
            <w:hideMark/>
          </w:tcPr>
          <w:p w14:paraId="4B89C3D1"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Real Increase / Decrease in 2019/20</w:t>
            </w:r>
          </w:p>
        </w:tc>
        <w:tc>
          <w:tcPr>
            <w:tcW w:w="1134" w:type="dxa"/>
            <w:vMerge w:val="restart"/>
            <w:tcBorders>
              <w:top w:val="thinThickSmallGap" w:sz="12" w:space="0" w:color="auto"/>
              <w:left w:val="thinThickSmallGap" w:sz="12" w:space="0" w:color="auto"/>
              <w:bottom w:val="double" w:sz="4" w:space="0" w:color="auto"/>
              <w:right w:val="thinThickSmallGap" w:sz="12" w:space="0" w:color="auto"/>
            </w:tcBorders>
            <w:shd w:val="pct15" w:color="auto" w:fill="auto"/>
            <w:hideMark/>
          </w:tcPr>
          <w:p w14:paraId="7F2A035D"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Nominal Percent change in 2019/20</w:t>
            </w:r>
          </w:p>
        </w:tc>
        <w:tc>
          <w:tcPr>
            <w:tcW w:w="1103" w:type="dxa"/>
            <w:vMerge w:val="restart"/>
            <w:tcBorders>
              <w:top w:val="thinThickSmallGap" w:sz="12" w:space="0" w:color="auto"/>
              <w:left w:val="thinThickSmallGap" w:sz="12" w:space="0" w:color="auto"/>
              <w:bottom w:val="double" w:sz="4" w:space="0" w:color="auto"/>
              <w:right w:val="thinThickSmallGap" w:sz="12" w:space="0" w:color="auto"/>
            </w:tcBorders>
            <w:shd w:val="pct15" w:color="auto" w:fill="auto"/>
            <w:hideMark/>
          </w:tcPr>
          <w:p w14:paraId="09D000D9"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Real Percent change in 2019/20</w:t>
            </w:r>
          </w:p>
        </w:tc>
      </w:tr>
      <w:tr w:rsidR="006C2EC0" w:rsidRPr="00490066" w14:paraId="40D29FEF" w14:textId="77777777" w:rsidTr="00AA480F">
        <w:trPr>
          <w:trHeight w:val="264"/>
        </w:trPr>
        <w:tc>
          <w:tcPr>
            <w:tcW w:w="2522"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748AC75A"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R million</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0B0EBFCF"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2018/19</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4FE12245"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2019/20</w:t>
            </w:r>
          </w:p>
        </w:tc>
        <w:tc>
          <w:tcPr>
            <w:tcW w:w="1276" w:type="dxa"/>
            <w:vMerge/>
            <w:tcBorders>
              <w:top w:val="double" w:sz="4" w:space="0" w:color="auto"/>
              <w:left w:val="thinThickSmallGap" w:sz="12" w:space="0" w:color="auto"/>
              <w:bottom w:val="thinThickSmallGap" w:sz="12" w:space="0" w:color="auto"/>
              <w:right w:val="thinThickSmallGap" w:sz="12" w:space="0" w:color="auto"/>
            </w:tcBorders>
            <w:hideMark/>
          </w:tcPr>
          <w:p w14:paraId="0AEC8224" w14:textId="77777777" w:rsidR="006C2EC0" w:rsidRPr="00490066" w:rsidRDefault="006C2EC0" w:rsidP="00C07A5A">
            <w:pPr>
              <w:spacing w:line="360" w:lineRule="auto"/>
              <w:jc w:val="both"/>
              <w:rPr>
                <w:rFonts w:ascii="Times New Roman" w:hAnsi="Times New Roman" w:cs="Times New Roman"/>
                <w:bCs/>
              </w:rPr>
            </w:pPr>
          </w:p>
        </w:tc>
        <w:tc>
          <w:tcPr>
            <w:tcW w:w="1275" w:type="dxa"/>
            <w:vMerge/>
            <w:tcBorders>
              <w:top w:val="double" w:sz="4" w:space="0" w:color="auto"/>
              <w:left w:val="thinThickSmallGap" w:sz="12" w:space="0" w:color="auto"/>
              <w:bottom w:val="thinThickSmallGap" w:sz="12" w:space="0" w:color="auto"/>
              <w:right w:val="thinThickSmallGap" w:sz="12" w:space="0" w:color="auto"/>
            </w:tcBorders>
            <w:hideMark/>
          </w:tcPr>
          <w:p w14:paraId="2E496716" w14:textId="77777777" w:rsidR="006C2EC0" w:rsidRPr="00490066" w:rsidRDefault="006C2EC0" w:rsidP="00C07A5A">
            <w:pPr>
              <w:spacing w:line="360" w:lineRule="auto"/>
              <w:jc w:val="both"/>
              <w:rPr>
                <w:rFonts w:ascii="Times New Roman" w:hAnsi="Times New Roman" w:cs="Times New Roman"/>
                <w:bCs/>
              </w:rPr>
            </w:pPr>
          </w:p>
        </w:tc>
        <w:tc>
          <w:tcPr>
            <w:tcW w:w="1134" w:type="dxa"/>
            <w:vMerge/>
            <w:tcBorders>
              <w:top w:val="double" w:sz="4" w:space="0" w:color="auto"/>
              <w:left w:val="thinThickSmallGap" w:sz="12" w:space="0" w:color="auto"/>
              <w:bottom w:val="thinThickSmallGap" w:sz="12" w:space="0" w:color="auto"/>
              <w:right w:val="thinThickSmallGap" w:sz="12" w:space="0" w:color="auto"/>
            </w:tcBorders>
            <w:hideMark/>
          </w:tcPr>
          <w:p w14:paraId="51047FD2" w14:textId="77777777" w:rsidR="006C2EC0" w:rsidRPr="00490066" w:rsidRDefault="006C2EC0" w:rsidP="00C07A5A">
            <w:pPr>
              <w:spacing w:line="360" w:lineRule="auto"/>
              <w:jc w:val="both"/>
              <w:rPr>
                <w:rFonts w:ascii="Times New Roman" w:hAnsi="Times New Roman" w:cs="Times New Roman"/>
                <w:bCs/>
              </w:rPr>
            </w:pPr>
          </w:p>
        </w:tc>
        <w:tc>
          <w:tcPr>
            <w:tcW w:w="1103" w:type="dxa"/>
            <w:vMerge/>
            <w:tcBorders>
              <w:top w:val="double" w:sz="4" w:space="0" w:color="auto"/>
              <w:left w:val="thinThickSmallGap" w:sz="12" w:space="0" w:color="auto"/>
              <w:bottom w:val="thinThickSmallGap" w:sz="12" w:space="0" w:color="auto"/>
              <w:right w:val="thinThickSmallGap" w:sz="12" w:space="0" w:color="auto"/>
            </w:tcBorders>
            <w:hideMark/>
          </w:tcPr>
          <w:p w14:paraId="34A88A69" w14:textId="77777777" w:rsidR="006C2EC0" w:rsidRPr="00490066" w:rsidRDefault="006C2EC0" w:rsidP="00C07A5A">
            <w:pPr>
              <w:spacing w:line="360" w:lineRule="auto"/>
              <w:jc w:val="both"/>
              <w:rPr>
                <w:rFonts w:ascii="Times New Roman" w:hAnsi="Times New Roman" w:cs="Times New Roman"/>
                <w:bCs/>
              </w:rPr>
            </w:pPr>
          </w:p>
        </w:tc>
      </w:tr>
      <w:tr w:rsidR="006C2EC0" w:rsidRPr="00490066" w14:paraId="6BECF4CE" w14:textId="77777777" w:rsidTr="00AA480F">
        <w:trPr>
          <w:trHeight w:val="264"/>
        </w:trPr>
        <w:tc>
          <w:tcPr>
            <w:tcW w:w="2522" w:type="dxa"/>
            <w:tcBorders>
              <w:top w:val="thinThickSmallGap" w:sz="12" w:space="0" w:color="auto"/>
              <w:left w:val="single" w:sz="4" w:space="0" w:color="auto"/>
              <w:bottom w:val="single" w:sz="4" w:space="0" w:color="auto"/>
              <w:right w:val="single" w:sz="4" w:space="0" w:color="auto"/>
            </w:tcBorders>
            <w:noWrap/>
            <w:hideMark/>
          </w:tcPr>
          <w:p w14:paraId="6B4E59B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 Administration</w:t>
            </w:r>
          </w:p>
        </w:tc>
        <w:tc>
          <w:tcPr>
            <w:tcW w:w="1134" w:type="dxa"/>
            <w:tcBorders>
              <w:top w:val="thinThickSmallGap" w:sz="12" w:space="0" w:color="auto"/>
              <w:left w:val="single" w:sz="4" w:space="0" w:color="auto"/>
              <w:bottom w:val="single" w:sz="4" w:space="0" w:color="auto"/>
              <w:right w:val="single" w:sz="4" w:space="0" w:color="auto"/>
            </w:tcBorders>
            <w:noWrap/>
            <w:hideMark/>
          </w:tcPr>
          <w:p w14:paraId="37D546D5"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430.1</w:t>
            </w:r>
          </w:p>
        </w:tc>
        <w:tc>
          <w:tcPr>
            <w:tcW w:w="1134" w:type="dxa"/>
            <w:tcBorders>
              <w:top w:val="thinThickSmallGap" w:sz="12" w:space="0" w:color="auto"/>
              <w:left w:val="single" w:sz="4" w:space="0" w:color="auto"/>
            </w:tcBorders>
            <w:noWrap/>
            <w:hideMark/>
          </w:tcPr>
          <w:p w14:paraId="0C0B227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463.0</w:t>
            </w:r>
          </w:p>
        </w:tc>
        <w:tc>
          <w:tcPr>
            <w:tcW w:w="1276" w:type="dxa"/>
            <w:tcBorders>
              <w:top w:val="thinThickSmallGap" w:sz="12" w:space="0" w:color="auto"/>
            </w:tcBorders>
            <w:noWrap/>
            <w:hideMark/>
          </w:tcPr>
          <w:p w14:paraId="2234D9FD"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32.9</w:t>
            </w:r>
          </w:p>
        </w:tc>
        <w:tc>
          <w:tcPr>
            <w:tcW w:w="1275" w:type="dxa"/>
            <w:tcBorders>
              <w:top w:val="thinThickSmallGap" w:sz="12" w:space="0" w:color="auto"/>
            </w:tcBorders>
            <w:noWrap/>
            <w:hideMark/>
          </w:tcPr>
          <w:p w14:paraId="609B7455"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10.0</w:t>
            </w:r>
          </w:p>
        </w:tc>
        <w:tc>
          <w:tcPr>
            <w:tcW w:w="1134" w:type="dxa"/>
            <w:tcBorders>
              <w:top w:val="thinThickSmallGap" w:sz="12" w:space="0" w:color="auto"/>
            </w:tcBorders>
            <w:noWrap/>
            <w:hideMark/>
          </w:tcPr>
          <w:p w14:paraId="46CACE46"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7.7%</w:t>
            </w:r>
          </w:p>
        </w:tc>
        <w:tc>
          <w:tcPr>
            <w:tcW w:w="1103" w:type="dxa"/>
            <w:tcBorders>
              <w:top w:val="thinThickSmallGap" w:sz="12" w:space="0" w:color="auto"/>
            </w:tcBorders>
            <w:noWrap/>
            <w:hideMark/>
          </w:tcPr>
          <w:p w14:paraId="6D5834C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2.3%</w:t>
            </w:r>
          </w:p>
        </w:tc>
      </w:tr>
      <w:tr w:rsidR="006C2EC0" w:rsidRPr="00490066" w14:paraId="0B3AA3D2" w14:textId="77777777" w:rsidTr="00AA480F">
        <w:trPr>
          <w:trHeight w:val="264"/>
        </w:trPr>
        <w:tc>
          <w:tcPr>
            <w:tcW w:w="2522" w:type="dxa"/>
            <w:tcBorders>
              <w:top w:val="single" w:sz="4" w:space="0" w:color="auto"/>
            </w:tcBorders>
            <w:noWrap/>
            <w:hideMark/>
          </w:tcPr>
          <w:p w14:paraId="7C78664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2. Integrated Transport Planning</w:t>
            </w:r>
          </w:p>
        </w:tc>
        <w:tc>
          <w:tcPr>
            <w:tcW w:w="1134" w:type="dxa"/>
            <w:tcBorders>
              <w:top w:val="single" w:sz="4" w:space="0" w:color="auto"/>
            </w:tcBorders>
            <w:noWrap/>
            <w:hideMark/>
          </w:tcPr>
          <w:p w14:paraId="31F81A0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90.0</w:t>
            </w:r>
          </w:p>
        </w:tc>
        <w:tc>
          <w:tcPr>
            <w:tcW w:w="1134" w:type="dxa"/>
            <w:noWrap/>
            <w:hideMark/>
          </w:tcPr>
          <w:p w14:paraId="160BDBA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169.2</w:t>
            </w:r>
          </w:p>
        </w:tc>
        <w:tc>
          <w:tcPr>
            <w:tcW w:w="1276" w:type="dxa"/>
            <w:noWrap/>
            <w:hideMark/>
          </w:tcPr>
          <w:p w14:paraId="5FF696B1"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79.2</w:t>
            </w:r>
          </w:p>
        </w:tc>
        <w:tc>
          <w:tcPr>
            <w:tcW w:w="1275" w:type="dxa"/>
            <w:noWrap/>
            <w:hideMark/>
          </w:tcPr>
          <w:p w14:paraId="11FFFC4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70.8</w:t>
            </w:r>
          </w:p>
        </w:tc>
        <w:tc>
          <w:tcPr>
            <w:tcW w:w="1134" w:type="dxa"/>
            <w:noWrap/>
            <w:hideMark/>
          </w:tcPr>
          <w:p w14:paraId="247D68C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88.0%</w:t>
            </w:r>
          </w:p>
        </w:tc>
        <w:tc>
          <w:tcPr>
            <w:tcW w:w="1103" w:type="dxa"/>
            <w:noWrap/>
            <w:hideMark/>
          </w:tcPr>
          <w:p w14:paraId="7A28D32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78.7%</w:t>
            </w:r>
          </w:p>
        </w:tc>
      </w:tr>
      <w:tr w:rsidR="006C2EC0" w:rsidRPr="00490066" w14:paraId="5025E604" w14:textId="77777777" w:rsidTr="00AA480F">
        <w:trPr>
          <w:trHeight w:val="264"/>
        </w:trPr>
        <w:tc>
          <w:tcPr>
            <w:tcW w:w="2522" w:type="dxa"/>
            <w:noWrap/>
            <w:hideMark/>
          </w:tcPr>
          <w:p w14:paraId="63AB589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3. Rail Transport</w:t>
            </w:r>
          </w:p>
        </w:tc>
        <w:tc>
          <w:tcPr>
            <w:tcW w:w="1134" w:type="dxa"/>
            <w:noWrap/>
            <w:hideMark/>
          </w:tcPr>
          <w:p w14:paraId="3F71DC77"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15 887.3</w:t>
            </w:r>
          </w:p>
        </w:tc>
        <w:tc>
          <w:tcPr>
            <w:tcW w:w="1134" w:type="dxa"/>
            <w:noWrap/>
            <w:hideMark/>
          </w:tcPr>
          <w:p w14:paraId="0E238BA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16 573.8</w:t>
            </w:r>
          </w:p>
        </w:tc>
        <w:tc>
          <w:tcPr>
            <w:tcW w:w="1276" w:type="dxa"/>
            <w:noWrap/>
            <w:hideMark/>
          </w:tcPr>
          <w:p w14:paraId="04B0ADD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686.5</w:t>
            </w:r>
          </w:p>
        </w:tc>
        <w:tc>
          <w:tcPr>
            <w:tcW w:w="1275" w:type="dxa"/>
            <w:noWrap/>
            <w:hideMark/>
          </w:tcPr>
          <w:p w14:paraId="090A628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132.7</w:t>
            </w:r>
          </w:p>
        </w:tc>
        <w:tc>
          <w:tcPr>
            <w:tcW w:w="1134" w:type="dxa"/>
            <w:noWrap/>
            <w:hideMark/>
          </w:tcPr>
          <w:p w14:paraId="6E72C92E"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4.3%</w:t>
            </w:r>
          </w:p>
        </w:tc>
        <w:tc>
          <w:tcPr>
            <w:tcW w:w="1103" w:type="dxa"/>
            <w:noWrap/>
            <w:hideMark/>
          </w:tcPr>
          <w:p w14:paraId="449CD861"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-0.8%</w:t>
            </w:r>
          </w:p>
        </w:tc>
      </w:tr>
      <w:tr w:rsidR="006C2EC0" w:rsidRPr="00490066" w14:paraId="4EE32939" w14:textId="77777777" w:rsidTr="00AA480F">
        <w:trPr>
          <w:trHeight w:val="264"/>
        </w:trPr>
        <w:tc>
          <w:tcPr>
            <w:tcW w:w="2522" w:type="dxa"/>
            <w:noWrap/>
            <w:hideMark/>
          </w:tcPr>
          <w:p w14:paraId="58F60D0E"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4. Road Transport</w:t>
            </w:r>
          </w:p>
        </w:tc>
        <w:tc>
          <w:tcPr>
            <w:tcW w:w="1134" w:type="dxa"/>
            <w:noWrap/>
            <w:hideMark/>
          </w:tcPr>
          <w:p w14:paraId="725FB79C"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30 098.8</w:t>
            </w:r>
          </w:p>
        </w:tc>
        <w:tc>
          <w:tcPr>
            <w:tcW w:w="1134" w:type="dxa"/>
            <w:noWrap/>
            <w:hideMark/>
          </w:tcPr>
          <w:p w14:paraId="5D13E09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33 018.1</w:t>
            </w:r>
          </w:p>
        </w:tc>
        <w:tc>
          <w:tcPr>
            <w:tcW w:w="1276" w:type="dxa"/>
            <w:noWrap/>
            <w:hideMark/>
          </w:tcPr>
          <w:p w14:paraId="5E9C0A0C"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2 919.3</w:t>
            </w:r>
          </w:p>
        </w:tc>
        <w:tc>
          <w:tcPr>
            <w:tcW w:w="1275" w:type="dxa"/>
            <w:noWrap/>
            <w:hideMark/>
          </w:tcPr>
          <w:p w14:paraId="233A5E9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1 287.2</w:t>
            </w:r>
          </w:p>
        </w:tc>
        <w:tc>
          <w:tcPr>
            <w:tcW w:w="1134" w:type="dxa"/>
            <w:noWrap/>
            <w:hideMark/>
          </w:tcPr>
          <w:p w14:paraId="114C178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9.7%</w:t>
            </w:r>
          </w:p>
        </w:tc>
        <w:tc>
          <w:tcPr>
            <w:tcW w:w="1103" w:type="dxa"/>
            <w:noWrap/>
            <w:hideMark/>
          </w:tcPr>
          <w:p w14:paraId="2F2F913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4.3%</w:t>
            </w:r>
          </w:p>
        </w:tc>
      </w:tr>
      <w:tr w:rsidR="006C2EC0" w:rsidRPr="00490066" w14:paraId="0A6A9850" w14:textId="77777777" w:rsidTr="00AA480F">
        <w:trPr>
          <w:trHeight w:val="264"/>
        </w:trPr>
        <w:tc>
          <w:tcPr>
            <w:tcW w:w="2522" w:type="dxa"/>
            <w:noWrap/>
            <w:hideMark/>
          </w:tcPr>
          <w:p w14:paraId="7BB150A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5. Civil Aviation Transport</w:t>
            </w:r>
          </w:p>
        </w:tc>
        <w:tc>
          <w:tcPr>
            <w:tcW w:w="1134" w:type="dxa"/>
            <w:noWrap/>
            <w:hideMark/>
          </w:tcPr>
          <w:p w14:paraId="5C70653E"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182.3</w:t>
            </w:r>
          </w:p>
        </w:tc>
        <w:tc>
          <w:tcPr>
            <w:tcW w:w="1134" w:type="dxa"/>
            <w:noWrap/>
            <w:hideMark/>
          </w:tcPr>
          <w:p w14:paraId="5EE8F37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245.1</w:t>
            </w:r>
          </w:p>
        </w:tc>
        <w:tc>
          <w:tcPr>
            <w:tcW w:w="1276" w:type="dxa"/>
            <w:noWrap/>
            <w:hideMark/>
          </w:tcPr>
          <w:p w14:paraId="29D1AE7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62.8</w:t>
            </w:r>
          </w:p>
        </w:tc>
        <w:tc>
          <w:tcPr>
            <w:tcW w:w="1275" w:type="dxa"/>
            <w:noWrap/>
            <w:hideMark/>
          </w:tcPr>
          <w:p w14:paraId="6C1F03F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50.7</w:t>
            </w:r>
          </w:p>
        </w:tc>
        <w:tc>
          <w:tcPr>
            <w:tcW w:w="1134" w:type="dxa"/>
            <w:noWrap/>
            <w:hideMark/>
          </w:tcPr>
          <w:p w14:paraId="7CE6FFED"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34.5%</w:t>
            </w:r>
          </w:p>
        </w:tc>
        <w:tc>
          <w:tcPr>
            <w:tcW w:w="1103" w:type="dxa"/>
            <w:noWrap/>
            <w:hideMark/>
          </w:tcPr>
          <w:p w14:paraId="44F51D1C"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27.8%</w:t>
            </w:r>
          </w:p>
        </w:tc>
      </w:tr>
      <w:tr w:rsidR="006C2EC0" w:rsidRPr="00490066" w14:paraId="43CF826A" w14:textId="77777777" w:rsidTr="00AA480F">
        <w:trPr>
          <w:trHeight w:val="264"/>
        </w:trPr>
        <w:tc>
          <w:tcPr>
            <w:tcW w:w="2522" w:type="dxa"/>
            <w:noWrap/>
            <w:hideMark/>
          </w:tcPr>
          <w:p w14:paraId="3661E01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6. Maritime Transport</w:t>
            </w:r>
          </w:p>
        </w:tc>
        <w:tc>
          <w:tcPr>
            <w:tcW w:w="1134" w:type="dxa"/>
            <w:noWrap/>
            <w:hideMark/>
          </w:tcPr>
          <w:p w14:paraId="63DDF66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119.9</w:t>
            </w:r>
          </w:p>
        </w:tc>
        <w:tc>
          <w:tcPr>
            <w:tcW w:w="1134" w:type="dxa"/>
            <w:noWrap/>
            <w:hideMark/>
          </w:tcPr>
          <w:p w14:paraId="5543459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136.8</w:t>
            </w:r>
          </w:p>
        </w:tc>
        <w:tc>
          <w:tcPr>
            <w:tcW w:w="1276" w:type="dxa"/>
            <w:noWrap/>
            <w:hideMark/>
          </w:tcPr>
          <w:p w14:paraId="10D12F6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16.9</w:t>
            </w:r>
          </w:p>
        </w:tc>
        <w:tc>
          <w:tcPr>
            <w:tcW w:w="1275" w:type="dxa"/>
            <w:noWrap/>
            <w:hideMark/>
          </w:tcPr>
          <w:p w14:paraId="44139CA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10.1</w:t>
            </w:r>
          </w:p>
        </w:tc>
        <w:tc>
          <w:tcPr>
            <w:tcW w:w="1134" w:type="dxa"/>
            <w:noWrap/>
            <w:hideMark/>
          </w:tcPr>
          <w:p w14:paraId="3F6E0C56"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14.1%</w:t>
            </w:r>
          </w:p>
        </w:tc>
        <w:tc>
          <w:tcPr>
            <w:tcW w:w="1103" w:type="dxa"/>
            <w:noWrap/>
            <w:hideMark/>
          </w:tcPr>
          <w:p w14:paraId="7BDC0C4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8.5%</w:t>
            </w:r>
          </w:p>
        </w:tc>
      </w:tr>
      <w:tr w:rsidR="006C2EC0" w:rsidRPr="00490066" w14:paraId="3F6023A2" w14:textId="77777777" w:rsidTr="00AA480F">
        <w:trPr>
          <w:trHeight w:val="264"/>
        </w:trPr>
        <w:tc>
          <w:tcPr>
            <w:tcW w:w="2522" w:type="dxa"/>
            <w:tcBorders>
              <w:bottom w:val="thinThickSmallGap" w:sz="12" w:space="0" w:color="auto"/>
            </w:tcBorders>
            <w:noWrap/>
            <w:hideMark/>
          </w:tcPr>
          <w:p w14:paraId="0ACB042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7. Public Transport</w:t>
            </w:r>
          </w:p>
        </w:tc>
        <w:tc>
          <w:tcPr>
            <w:tcW w:w="1134" w:type="dxa"/>
            <w:tcBorders>
              <w:bottom w:val="thinThickSmallGap" w:sz="12" w:space="0" w:color="auto"/>
            </w:tcBorders>
            <w:noWrap/>
            <w:hideMark/>
          </w:tcPr>
          <w:p w14:paraId="296A6E36"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13 023.0</w:t>
            </w:r>
          </w:p>
        </w:tc>
        <w:tc>
          <w:tcPr>
            <w:tcW w:w="1134" w:type="dxa"/>
            <w:tcBorders>
              <w:bottom w:val="thinThickSmallGap" w:sz="12" w:space="0" w:color="auto"/>
            </w:tcBorders>
            <w:noWrap/>
            <w:hideMark/>
          </w:tcPr>
          <w:p w14:paraId="7312C9A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13 588.1</w:t>
            </w:r>
          </w:p>
        </w:tc>
        <w:tc>
          <w:tcPr>
            <w:tcW w:w="1276" w:type="dxa"/>
            <w:tcBorders>
              <w:bottom w:val="thinThickSmallGap" w:sz="12" w:space="0" w:color="auto"/>
            </w:tcBorders>
            <w:noWrap/>
            <w:hideMark/>
          </w:tcPr>
          <w:p w14:paraId="32CE38A6"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565.1</w:t>
            </w:r>
          </w:p>
        </w:tc>
        <w:tc>
          <w:tcPr>
            <w:tcW w:w="1275" w:type="dxa"/>
            <w:tcBorders>
              <w:bottom w:val="thinThickSmallGap" w:sz="12" w:space="0" w:color="auto"/>
            </w:tcBorders>
            <w:noWrap/>
            <w:hideMark/>
          </w:tcPr>
          <w:p w14:paraId="2C600841"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106.6</w:t>
            </w:r>
          </w:p>
        </w:tc>
        <w:tc>
          <w:tcPr>
            <w:tcW w:w="1134" w:type="dxa"/>
            <w:tcBorders>
              <w:bottom w:val="thinThickSmallGap" w:sz="12" w:space="0" w:color="auto"/>
            </w:tcBorders>
            <w:noWrap/>
            <w:hideMark/>
          </w:tcPr>
          <w:p w14:paraId="7B29782E"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4.3%</w:t>
            </w:r>
          </w:p>
        </w:tc>
        <w:tc>
          <w:tcPr>
            <w:tcW w:w="1103" w:type="dxa"/>
            <w:tcBorders>
              <w:bottom w:val="thinThickSmallGap" w:sz="12" w:space="0" w:color="auto"/>
            </w:tcBorders>
            <w:noWrap/>
            <w:hideMark/>
          </w:tcPr>
          <w:p w14:paraId="00F4835C"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-0.8%</w:t>
            </w:r>
          </w:p>
        </w:tc>
      </w:tr>
      <w:tr w:rsidR="006C2EC0" w:rsidRPr="00490066" w14:paraId="2AD2B153" w14:textId="77777777" w:rsidTr="00AA480F">
        <w:trPr>
          <w:trHeight w:val="264"/>
        </w:trPr>
        <w:tc>
          <w:tcPr>
            <w:tcW w:w="2522"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6643D511"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TOTAL</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5351E2F6"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 xml:space="preserve"> 59 831.3</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077CE5E4"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64 194.2</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5D8C0C3B"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 xml:space="preserve"> 4 362.9</w:t>
            </w:r>
          </w:p>
        </w:tc>
        <w:tc>
          <w:tcPr>
            <w:tcW w:w="1275"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60BE1A4F"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 xml:space="preserve"> 1 189.8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78043199"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7.3%</w:t>
            </w:r>
          </w:p>
        </w:tc>
        <w:tc>
          <w:tcPr>
            <w:tcW w:w="1103"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53EF9FCF"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2.0%</w:t>
            </w:r>
          </w:p>
        </w:tc>
      </w:tr>
    </w:tbl>
    <w:p w14:paraId="6FE990EB"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(Source: National Treasury (2019)</w:t>
      </w:r>
    </w:p>
    <w:p w14:paraId="6E698A6B" w14:textId="77777777" w:rsidR="006C2EC0" w:rsidRPr="007457B1" w:rsidRDefault="006C2EC0" w:rsidP="00C07A5A">
      <w:pPr>
        <w:spacing w:line="360" w:lineRule="auto"/>
        <w:jc w:val="both"/>
        <w:rPr>
          <w:rFonts w:ascii="Times New Roman" w:hAnsi="Times New Roman" w:cs="Times New Roman"/>
          <w:sz w:val="24"/>
          <w:szCs w:val="24"/>
        </w:rPr>
      </w:pPr>
    </w:p>
    <w:p w14:paraId="61F01F3C"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For 2019/20, the Department of Transport receives R64.2 billion (excluding direct charges) – constituting 7.3</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xml:space="preserve"> of the R882.6 billion national budget vote.</w:t>
      </w:r>
      <w:r w:rsidRPr="007457B1">
        <w:rPr>
          <w:rStyle w:val="FootnoteReference"/>
          <w:rFonts w:ascii="Times New Roman" w:hAnsi="Times New Roman" w:cs="Times New Roman"/>
          <w:sz w:val="24"/>
          <w:szCs w:val="24"/>
        </w:rPr>
        <w:footnoteReference w:id="15"/>
      </w:r>
      <w:r w:rsidRPr="007457B1">
        <w:rPr>
          <w:rFonts w:ascii="Times New Roman" w:hAnsi="Times New Roman" w:cs="Times New Roman"/>
          <w:sz w:val="24"/>
          <w:szCs w:val="24"/>
        </w:rPr>
        <w:t xml:space="preserve"> Without inflation (nominally), the Department’s budget increases by 7.3</w:t>
      </w:r>
      <w:r w:rsidR="00862262" w:rsidRPr="007457B1">
        <w:rPr>
          <w:rFonts w:ascii="Times New Roman" w:hAnsi="Times New Roman" w:cs="Times New Roman"/>
          <w:sz w:val="24"/>
          <w:szCs w:val="24"/>
        </w:rPr>
        <w:t xml:space="preserve"> percent </w:t>
      </w:r>
      <w:r w:rsidRPr="007457B1">
        <w:rPr>
          <w:rFonts w:ascii="Times New Roman" w:hAnsi="Times New Roman" w:cs="Times New Roman"/>
          <w:sz w:val="24"/>
          <w:szCs w:val="24"/>
        </w:rPr>
        <w:t>from the previous year. This allocation is still higher than inflation; i.e. 2</w:t>
      </w:r>
      <w:r w:rsidR="00862262" w:rsidRPr="007457B1">
        <w:rPr>
          <w:rFonts w:ascii="Times New Roman" w:hAnsi="Times New Roman" w:cs="Times New Roman"/>
          <w:sz w:val="24"/>
          <w:szCs w:val="24"/>
        </w:rPr>
        <w:t xml:space="preserve"> percent </w:t>
      </w:r>
      <w:r w:rsidRPr="007457B1">
        <w:rPr>
          <w:rFonts w:ascii="Times New Roman" w:hAnsi="Times New Roman" w:cs="Times New Roman"/>
          <w:sz w:val="24"/>
          <w:szCs w:val="24"/>
        </w:rPr>
        <w:t>(real terms). The strongest growth is recorded for the Integrated Transport Planning (78.7</w:t>
      </w:r>
      <w:r w:rsidR="00862262" w:rsidRPr="007457B1">
        <w:rPr>
          <w:rFonts w:ascii="Times New Roman" w:hAnsi="Times New Roman" w:cs="Times New Roman"/>
          <w:sz w:val="24"/>
          <w:szCs w:val="24"/>
        </w:rPr>
        <w:t xml:space="preserve"> percent </w:t>
      </w:r>
      <w:r w:rsidRPr="007457B1">
        <w:rPr>
          <w:rFonts w:ascii="Times New Roman" w:hAnsi="Times New Roman" w:cs="Times New Roman"/>
          <w:sz w:val="24"/>
          <w:szCs w:val="24"/>
        </w:rPr>
        <w:t>above inflation) and Civil Aviation Transport (27.8</w:t>
      </w:r>
      <w:r w:rsidR="00862262" w:rsidRPr="007457B1">
        <w:rPr>
          <w:rFonts w:ascii="Times New Roman" w:hAnsi="Times New Roman" w:cs="Times New Roman"/>
          <w:sz w:val="24"/>
          <w:szCs w:val="24"/>
        </w:rPr>
        <w:t xml:space="preserve"> percent </w:t>
      </w:r>
      <w:r w:rsidRPr="007457B1">
        <w:rPr>
          <w:rFonts w:ascii="Times New Roman" w:hAnsi="Times New Roman" w:cs="Times New Roman"/>
          <w:sz w:val="24"/>
          <w:szCs w:val="24"/>
        </w:rPr>
        <w:t>above inflation) programmes.</w:t>
      </w:r>
    </w:p>
    <w:p w14:paraId="53EB1E15" w14:textId="77777777" w:rsidR="006C2EC0" w:rsidRPr="007457B1" w:rsidRDefault="006C2EC0" w:rsidP="00C07A5A">
      <w:pPr>
        <w:spacing w:line="360" w:lineRule="auto"/>
        <w:jc w:val="both"/>
        <w:rPr>
          <w:rFonts w:ascii="Times New Roman" w:hAnsi="Times New Roman" w:cs="Times New Roman"/>
          <w:sz w:val="24"/>
          <w:szCs w:val="24"/>
        </w:rPr>
      </w:pPr>
    </w:p>
    <w:p w14:paraId="7DEDEAEF"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In terms of economic classification, transfers and subsidies constitute R62.8 billion (or 97.8</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of the departmental budget, and the bulk is allocated to the following bodies:</w:t>
      </w:r>
      <w:r w:rsidRPr="007457B1">
        <w:rPr>
          <w:rStyle w:val="FootnoteReference"/>
          <w:rFonts w:ascii="Times New Roman" w:hAnsi="Times New Roman" w:cs="Times New Roman"/>
          <w:sz w:val="24"/>
          <w:szCs w:val="24"/>
        </w:rPr>
        <w:footnoteReference w:id="16"/>
      </w:r>
    </w:p>
    <w:p w14:paraId="2B5AD4D4" w14:textId="77777777" w:rsidR="006C2EC0" w:rsidRPr="007457B1" w:rsidRDefault="006C2EC0" w:rsidP="00C07A5A">
      <w:pPr>
        <w:pStyle w:val="ListParagraph"/>
        <w:numPr>
          <w:ilvl w:val="0"/>
          <w:numId w:val="28"/>
        </w:numPr>
        <w:spacing w:line="360" w:lineRule="auto"/>
        <w:jc w:val="both"/>
        <w:rPr>
          <w:rFonts w:ascii="Times New Roman" w:hAnsi="Times New Roman"/>
          <w:sz w:val="24"/>
          <w:szCs w:val="24"/>
          <w:lang w:val="en-GB"/>
        </w:rPr>
      </w:pPr>
      <w:r w:rsidRPr="007457B1">
        <w:rPr>
          <w:rFonts w:ascii="Times New Roman" w:hAnsi="Times New Roman"/>
          <w:sz w:val="24"/>
          <w:szCs w:val="24"/>
          <w:lang w:val="en-GB"/>
        </w:rPr>
        <w:t>Provinces and municipalities (R24.3 billion);</w:t>
      </w:r>
    </w:p>
    <w:p w14:paraId="56A3822F" w14:textId="77777777" w:rsidR="006C2EC0" w:rsidRPr="007457B1" w:rsidRDefault="006C2EC0" w:rsidP="00C07A5A">
      <w:pPr>
        <w:pStyle w:val="ListParagraph"/>
        <w:numPr>
          <w:ilvl w:val="0"/>
          <w:numId w:val="28"/>
        </w:numPr>
        <w:spacing w:line="360" w:lineRule="auto"/>
        <w:jc w:val="both"/>
        <w:rPr>
          <w:rFonts w:ascii="Times New Roman" w:hAnsi="Times New Roman"/>
          <w:sz w:val="24"/>
          <w:szCs w:val="24"/>
          <w:lang w:val="en-GB"/>
        </w:rPr>
      </w:pPr>
      <w:r w:rsidRPr="007457B1">
        <w:rPr>
          <w:rFonts w:ascii="Times New Roman" w:hAnsi="Times New Roman"/>
          <w:sz w:val="24"/>
          <w:szCs w:val="24"/>
          <w:lang w:val="en-GB"/>
        </w:rPr>
        <w:t>Departmental agencies and accounts (21.5 billion); and</w:t>
      </w:r>
    </w:p>
    <w:p w14:paraId="59C6359E" w14:textId="77777777" w:rsidR="006C2EC0" w:rsidRPr="007457B1" w:rsidRDefault="006C2EC0" w:rsidP="00C07A5A">
      <w:pPr>
        <w:pStyle w:val="ListParagraph"/>
        <w:numPr>
          <w:ilvl w:val="0"/>
          <w:numId w:val="28"/>
        </w:numPr>
        <w:spacing w:line="360" w:lineRule="auto"/>
        <w:jc w:val="both"/>
        <w:rPr>
          <w:rFonts w:ascii="Times New Roman" w:hAnsi="Times New Roman"/>
          <w:sz w:val="24"/>
          <w:szCs w:val="24"/>
          <w:lang w:val="en-GB"/>
        </w:rPr>
      </w:pPr>
      <w:r w:rsidRPr="007457B1">
        <w:rPr>
          <w:rFonts w:ascii="Times New Roman" w:hAnsi="Times New Roman"/>
          <w:sz w:val="24"/>
          <w:szCs w:val="24"/>
          <w:lang w:val="en-GB"/>
        </w:rPr>
        <w:t>Public corporations and private enterprises (R16.5 billion).</w:t>
      </w:r>
    </w:p>
    <w:p w14:paraId="2403C17F" w14:textId="77777777" w:rsidR="006C2EC0" w:rsidRPr="007457B1" w:rsidRDefault="006C2EC0" w:rsidP="00C07A5A">
      <w:pPr>
        <w:pStyle w:val="ListParagraph"/>
        <w:spacing w:line="360" w:lineRule="auto"/>
        <w:ind w:left="360"/>
        <w:jc w:val="both"/>
        <w:rPr>
          <w:rFonts w:ascii="Times New Roman" w:hAnsi="Times New Roman"/>
          <w:sz w:val="24"/>
          <w:szCs w:val="24"/>
          <w:lang w:val="en-GB"/>
        </w:rPr>
      </w:pPr>
    </w:p>
    <w:p w14:paraId="3F22E979"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overall allocation to compensation of employees increases from R496.7 million previously to R534.7 million in 2019/20. This year, expenditure on consultants (business and advisory services) is set to increase from R266.2 million to R463.8 million, indicating an above-inflation increase of 65.6</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xml:space="preserve">. The exponential increase for consultants (business and advisory services) is linked to changes in the Integrated Transport Planning and Public Transport programmes. Conversely, funding for the use of consultants  in the Maritime Transport programme declines from R17.0 million in 2018/19 to R9.7 million in 2019/20 (-45.8 </w:t>
      </w:r>
      <w:r w:rsidR="00862262" w:rsidRPr="007457B1">
        <w:rPr>
          <w:rFonts w:ascii="Times New Roman" w:hAnsi="Times New Roman" w:cs="Times New Roman"/>
          <w:sz w:val="24"/>
          <w:szCs w:val="24"/>
        </w:rPr>
        <w:t xml:space="preserve">percent </w:t>
      </w:r>
      <w:r w:rsidRPr="007457B1">
        <w:rPr>
          <w:rFonts w:ascii="Times New Roman" w:hAnsi="Times New Roman" w:cs="Times New Roman"/>
          <w:sz w:val="24"/>
          <w:szCs w:val="24"/>
        </w:rPr>
        <w:t xml:space="preserve">in real terms). </w:t>
      </w:r>
    </w:p>
    <w:p w14:paraId="3963939C" w14:textId="77777777" w:rsidR="006C2EC0" w:rsidRPr="007457B1" w:rsidRDefault="006C2EC0" w:rsidP="00C07A5A">
      <w:pPr>
        <w:spacing w:line="360" w:lineRule="auto"/>
        <w:jc w:val="both"/>
        <w:rPr>
          <w:rFonts w:ascii="Times New Roman" w:hAnsi="Times New Roman" w:cs="Times New Roman"/>
          <w:b/>
          <w:color w:val="525252" w:themeColor="accent3" w:themeShade="80"/>
          <w:sz w:val="24"/>
          <w:szCs w:val="24"/>
        </w:rPr>
      </w:pPr>
    </w:p>
    <w:p w14:paraId="3C229A8B" w14:textId="77777777" w:rsidR="006C2EC0" w:rsidRPr="007457B1" w:rsidRDefault="006C2EC0"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5.1 Programme Analysis</w:t>
      </w:r>
    </w:p>
    <w:p w14:paraId="168F9C4B" w14:textId="77777777" w:rsidR="006C2EC0" w:rsidRPr="007457B1" w:rsidRDefault="006C2EC0" w:rsidP="00C07A5A">
      <w:pPr>
        <w:spacing w:line="360" w:lineRule="auto"/>
        <w:jc w:val="both"/>
        <w:rPr>
          <w:rFonts w:ascii="Times New Roman" w:hAnsi="Times New Roman" w:cs="Times New Roman"/>
          <w:b/>
          <w:color w:val="525252" w:themeColor="accent3" w:themeShade="80"/>
          <w:sz w:val="24"/>
          <w:szCs w:val="24"/>
        </w:rPr>
      </w:pPr>
    </w:p>
    <w:p w14:paraId="1E6B9BE6"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As </w:t>
      </w:r>
      <w:r w:rsidR="00E2146F" w:rsidRPr="007457B1">
        <w:rPr>
          <w:rFonts w:ascii="Times New Roman" w:hAnsi="Times New Roman" w:cs="Times New Roman"/>
          <w:sz w:val="24"/>
          <w:szCs w:val="24"/>
        </w:rPr>
        <w:t xml:space="preserve">previously </w:t>
      </w:r>
      <w:r w:rsidRPr="007457B1">
        <w:rPr>
          <w:rFonts w:ascii="Times New Roman" w:hAnsi="Times New Roman" w:cs="Times New Roman"/>
          <w:sz w:val="24"/>
          <w:szCs w:val="24"/>
        </w:rPr>
        <w:t xml:space="preserve">stated </w:t>
      </w:r>
      <w:r w:rsidR="00E2146F" w:rsidRPr="007457B1">
        <w:rPr>
          <w:rFonts w:ascii="Times New Roman" w:hAnsi="Times New Roman" w:cs="Times New Roman"/>
          <w:sz w:val="24"/>
          <w:szCs w:val="24"/>
        </w:rPr>
        <w:t>under the mandate of the Department’s section</w:t>
      </w:r>
      <w:r w:rsidRPr="007457B1">
        <w:rPr>
          <w:rFonts w:ascii="Times New Roman" w:hAnsi="Times New Roman" w:cs="Times New Roman"/>
          <w:sz w:val="24"/>
          <w:szCs w:val="24"/>
        </w:rPr>
        <w:t>, the Department has seven programmes. What follows below is an analysis of the budget allocation for each programme, and where relevant or necessary, reference is made to the programmes’ sub-programmes.</w:t>
      </w:r>
    </w:p>
    <w:p w14:paraId="2148984E" w14:textId="77777777" w:rsidR="006C2EC0" w:rsidRPr="007457B1" w:rsidRDefault="006C2EC0" w:rsidP="00C07A5A">
      <w:pPr>
        <w:spacing w:line="360" w:lineRule="auto"/>
        <w:jc w:val="both"/>
        <w:rPr>
          <w:rFonts w:ascii="Times New Roman" w:hAnsi="Times New Roman" w:cs="Times New Roman"/>
          <w:b/>
          <w:i/>
          <w:sz w:val="24"/>
          <w:szCs w:val="24"/>
        </w:rPr>
      </w:pPr>
      <w:r w:rsidRPr="007457B1">
        <w:rPr>
          <w:rFonts w:ascii="Times New Roman" w:hAnsi="Times New Roman" w:cs="Times New Roman"/>
          <w:b/>
          <w:sz w:val="24"/>
          <w:szCs w:val="24"/>
        </w:rPr>
        <w:t>5</w:t>
      </w:r>
      <w:r w:rsidRPr="007457B1">
        <w:rPr>
          <w:rFonts w:ascii="Times New Roman" w:hAnsi="Times New Roman" w:cs="Times New Roman"/>
          <w:b/>
          <w:i/>
          <w:sz w:val="24"/>
          <w:szCs w:val="24"/>
        </w:rPr>
        <w:t>.1.1 Programme 1: Administration</w:t>
      </w:r>
    </w:p>
    <w:p w14:paraId="7907A254" w14:textId="77777777" w:rsidR="006C2EC0" w:rsidRPr="007457B1" w:rsidRDefault="006C2EC0" w:rsidP="00C07A5A">
      <w:pPr>
        <w:spacing w:line="360" w:lineRule="auto"/>
        <w:jc w:val="both"/>
        <w:rPr>
          <w:rFonts w:ascii="Times New Roman" w:hAnsi="Times New Roman" w:cs="Times New Roman"/>
          <w:b/>
          <w:color w:val="525252" w:themeColor="accent3" w:themeShade="80"/>
          <w:sz w:val="24"/>
          <w:szCs w:val="24"/>
        </w:rPr>
      </w:pPr>
    </w:p>
    <w:p w14:paraId="34EB60FC"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Administration programme is entrusted with providing strategic leadership, management and support services to the Department. It comprises five sub-programmes, as illustrated in the table below:</w:t>
      </w:r>
    </w:p>
    <w:p w14:paraId="44F46FC0" w14:textId="77777777" w:rsidR="006C2EC0" w:rsidRPr="007457B1" w:rsidRDefault="006C2EC0"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Table 5: Programme 1: Administration</w:t>
      </w:r>
    </w:p>
    <w:tbl>
      <w:tblPr>
        <w:tblStyle w:val="TableGrid"/>
        <w:tblW w:w="0" w:type="auto"/>
        <w:tblLook w:val="04A0" w:firstRow="1" w:lastRow="0" w:firstColumn="1" w:lastColumn="0" w:noHBand="0" w:noVBand="1"/>
      </w:tblPr>
      <w:tblGrid>
        <w:gridCol w:w="2384"/>
        <w:gridCol w:w="1140"/>
        <w:gridCol w:w="1100"/>
        <w:gridCol w:w="1219"/>
        <w:gridCol w:w="1240"/>
        <w:gridCol w:w="1189"/>
        <w:gridCol w:w="970"/>
      </w:tblGrid>
      <w:tr w:rsidR="006C2EC0" w:rsidRPr="00490066" w14:paraId="2AABEAE5" w14:textId="77777777" w:rsidTr="00AA480F">
        <w:trPr>
          <w:trHeight w:val="765"/>
        </w:trPr>
        <w:tc>
          <w:tcPr>
            <w:tcW w:w="2487" w:type="dxa"/>
            <w:tcBorders>
              <w:top w:val="single" w:sz="12" w:space="0" w:color="auto"/>
              <w:left w:val="single" w:sz="12" w:space="0" w:color="auto"/>
              <w:bottom w:val="double" w:sz="4" w:space="0" w:color="auto"/>
              <w:right w:val="single" w:sz="12" w:space="0" w:color="auto"/>
            </w:tcBorders>
            <w:shd w:val="pct15" w:color="auto" w:fill="auto"/>
            <w:noWrap/>
            <w:hideMark/>
          </w:tcPr>
          <w:p w14:paraId="706FE82C"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Programme</w:t>
            </w:r>
          </w:p>
        </w:tc>
        <w:tc>
          <w:tcPr>
            <w:tcW w:w="2326" w:type="dxa"/>
            <w:gridSpan w:val="2"/>
            <w:tcBorders>
              <w:top w:val="single" w:sz="12" w:space="0" w:color="auto"/>
              <w:left w:val="single" w:sz="12" w:space="0" w:color="auto"/>
              <w:bottom w:val="double" w:sz="4" w:space="0" w:color="auto"/>
              <w:right w:val="single" w:sz="12" w:space="0" w:color="auto"/>
            </w:tcBorders>
            <w:shd w:val="pct15" w:color="auto" w:fill="auto"/>
            <w:hideMark/>
          </w:tcPr>
          <w:p w14:paraId="102ACE82"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Budget</w:t>
            </w:r>
          </w:p>
        </w:tc>
        <w:tc>
          <w:tcPr>
            <w:tcW w:w="1266" w:type="dxa"/>
            <w:vMerge w:val="restart"/>
            <w:tcBorders>
              <w:top w:val="single" w:sz="12" w:space="0" w:color="auto"/>
              <w:left w:val="single" w:sz="12" w:space="0" w:color="auto"/>
              <w:bottom w:val="double" w:sz="4" w:space="0" w:color="auto"/>
              <w:right w:val="single" w:sz="12" w:space="0" w:color="auto"/>
            </w:tcBorders>
            <w:shd w:val="pct15" w:color="auto" w:fill="auto"/>
            <w:hideMark/>
          </w:tcPr>
          <w:p w14:paraId="554101B4"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Nominal Increase/ Decrease in 2019/20</w:t>
            </w:r>
          </w:p>
        </w:tc>
        <w:tc>
          <w:tcPr>
            <w:tcW w:w="1288" w:type="dxa"/>
            <w:vMerge w:val="restart"/>
            <w:tcBorders>
              <w:top w:val="single" w:sz="12" w:space="0" w:color="auto"/>
              <w:left w:val="single" w:sz="12" w:space="0" w:color="auto"/>
              <w:bottom w:val="double" w:sz="4" w:space="0" w:color="auto"/>
              <w:right w:val="single" w:sz="12" w:space="0" w:color="auto"/>
            </w:tcBorders>
            <w:shd w:val="pct15" w:color="auto" w:fill="auto"/>
            <w:hideMark/>
          </w:tcPr>
          <w:p w14:paraId="39EB443C"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Real Increase/ Decrease in 2019/20</w:t>
            </w:r>
          </w:p>
        </w:tc>
        <w:tc>
          <w:tcPr>
            <w:tcW w:w="1235" w:type="dxa"/>
            <w:vMerge w:val="restart"/>
            <w:tcBorders>
              <w:top w:val="single" w:sz="12" w:space="0" w:color="auto"/>
              <w:left w:val="single" w:sz="12" w:space="0" w:color="auto"/>
              <w:bottom w:val="double" w:sz="4" w:space="0" w:color="auto"/>
              <w:right w:val="single" w:sz="12" w:space="0" w:color="auto"/>
            </w:tcBorders>
            <w:shd w:val="pct15" w:color="auto" w:fill="auto"/>
            <w:hideMark/>
          </w:tcPr>
          <w:p w14:paraId="11A59694"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Nominal Percent change in 2019/20</w:t>
            </w:r>
          </w:p>
        </w:tc>
        <w:tc>
          <w:tcPr>
            <w:tcW w:w="1006" w:type="dxa"/>
            <w:vMerge w:val="restart"/>
            <w:tcBorders>
              <w:top w:val="single" w:sz="12" w:space="0" w:color="auto"/>
              <w:left w:val="single" w:sz="12" w:space="0" w:color="auto"/>
              <w:bottom w:val="double" w:sz="4" w:space="0" w:color="auto"/>
              <w:right w:val="single" w:sz="12" w:space="0" w:color="auto"/>
            </w:tcBorders>
            <w:shd w:val="pct15" w:color="auto" w:fill="auto"/>
            <w:hideMark/>
          </w:tcPr>
          <w:p w14:paraId="188E6B02"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Real Percent change in 2019/20</w:t>
            </w:r>
          </w:p>
        </w:tc>
      </w:tr>
      <w:tr w:rsidR="006C2EC0" w:rsidRPr="00490066" w14:paraId="06260C98" w14:textId="77777777" w:rsidTr="00AA480F">
        <w:trPr>
          <w:trHeight w:val="264"/>
        </w:trPr>
        <w:tc>
          <w:tcPr>
            <w:tcW w:w="2487" w:type="dxa"/>
            <w:tcBorders>
              <w:top w:val="single" w:sz="12" w:space="0" w:color="auto"/>
              <w:left w:val="single" w:sz="12" w:space="0" w:color="auto"/>
              <w:bottom w:val="single" w:sz="12" w:space="0" w:color="auto"/>
              <w:right w:val="single" w:sz="12" w:space="0" w:color="auto"/>
            </w:tcBorders>
            <w:shd w:val="pct15" w:color="auto" w:fill="auto"/>
            <w:noWrap/>
            <w:hideMark/>
          </w:tcPr>
          <w:p w14:paraId="205F0B64"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R million</w:t>
            </w:r>
          </w:p>
        </w:tc>
        <w:tc>
          <w:tcPr>
            <w:tcW w:w="1184" w:type="dxa"/>
            <w:tcBorders>
              <w:top w:val="single" w:sz="12" w:space="0" w:color="auto"/>
              <w:left w:val="single" w:sz="12" w:space="0" w:color="auto"/>
              <w:bottom w:val="single" w:sz="12" w:space="0" w:color="auto"/>
              <w:right w:val="single" w:sz="12" w:space="0" w:color="auto"/>
            </w:tcBorders>
            <w:shd w:val="pct15" w:color="auto" w:fill="auto"/>
            <w:noWrap/>
            <w:hideMark/>
          </w:tcPr>
          <w:p w14:paraId="7944B7A4"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2018/19</w:t>
            </w:r>
          </w:p>
        </w:tc>
        <w:tc>
          <w:tcPr>
            <w:tcW w:w="1142" w:type="dxa"/>
            <w:tcBorders>
              <w:top w:val="single" w:sz="12" w:space="0" w:color="auto"/>
              <w:left w:val="single" w:sz="12" w:space="0" w:color="auto"/>
              <w:bottom w:val="single" w:sz="12" w:space="0" w:color="auto"/>
              <w:right w:val="single" w:sz="12" w:space="0" w:color="auto"/>
            </w:tcBorders>
            <w:shd w:val="pct15" w:color="auto" w:fill="auto"/>
            <w:noWrap/>
            <w:hideMark/>
          </w:tcPr>
          <w:p w14:paraId="5C46173F"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2019/20</w:t>
            </w:r>
          </w:p>
        </w:tc>
        <w:tc>
          <w:tcPr>
            <w:tcW w:w="1266" w:type="dxa"/>
            <w:vMerge/>
            <w:tcBorders>
              <w:top w:val="double" w:sz="4" w:space="0" w:color="auto"/>
              <w:left w:val="single" w:sz="12" w:space="0" w:color="auto"/>
              <w:bottom w:val="single" w:sz="12" w:space="0" w:color="auto"/>
              <w:right w:val="single" w:sz="12" w:space="0" w:color="auto"/>
            </w:tcBorders>
            <w:hideMark/>
          </w:tcPr>
          <w:p w14:paraId="07F6B1B8" w14:textId="77777777" w:rsidR="006C2EC0" w:rsidRPr="00490066" w:rsidRDefault="006C2EC0" w:rsidP="00C07A5A">
            <w:pPr>
              <w:spacing w:line="360" w:lineRule="auto"/>
              <w:jc w:val="both"/>
              <w:rPr>
                <w:rFonts w:ascii="Times New Roman" w:hAnsi="Times New Roman" w:cs="Times New Roman"/>
                <w:b/>
                <w:bCs/>
              </w:rPr>
            </w:pPr>
          </w:p>
        </w:tc>
        <w:tc>
          <w:tcPr>
            <w:tcW w:w="1288" w:type="dxa"/>
            <w:vMerge/>
            <w:tcBorders>
              <w:top w:val="double" w:sz="4" w:space="0" w:color="auto"/>
              <w:left w:val="single" w:sz="12" w:space="0" w:color="auto"/>
              <w:bottom w:val="single" w:sz="12" w:space="0" w:color="auto"/>
              <w:right w:val="single" w:sz="12" w:space="0" w:color="auto"/>
            </w:tcBorders>
            <w:hideMark/>
          </w:tcPr>
          <w:p w14:paraId="1E0C8D8D" w14:textId="77777777" w:rsidR="006C2EC0" w:rsidRPr="00490066" w:rsidRDefault="006C2EC0" w:rsidP="00C07A5A">
            <w:pPr>
              <w:spacing w:line="360" w:lineRule="auto"/>
              <w:jc w:val="both"/>
              <w:rPr>
                <w:rFonts w:ascii="Times New Roman" w:hAnsi="Times New Roman" w:cs="Times New Roman"/>
                <w:b/>
                <w:bCs/>
              </w:rPr>
            </w:pPr>
          </w:p>
        </w:tc>
        <w:tc>
          <w:tcPr>
            <w:tcW w:w="1235" w:type="dxa"/>
            <w:vMerge/>
            <w:tcBorders>
              <w:top w:val="double" w:sz="4" w:space="0" w:color="auto"/>
              <w:left w:val="single" w:sz="12" w:space="0" w:color="auto"/>
              <w:bottom w:val="single" w:sz="12" w:space="0" w:color="auto"/>
              <w:right w:val="single" w:sz="12" w:space="0" w:color="auto"/>
            </w:tcBorders>
            <w:hideMark/>
          </w:tcPr>
          <w:p w14:paraId="629F2C6B" w14:textId="77777777" w:rsidR="006C2EC0" w:rsidRPr="00490066" w:rsidRDefault="006C2EC0" w:rsidP="00C07A5A">
            <w:pPr>
              <w:spacing w:line="360" w:lineRule="auto"/>
              <w:jc w:val="both"/>
              <w:rPr>
                <w:rFonts w:ascii="Times New Roman" w:hAnsi="Times New Roman" w:cs="Times New Roman"/>
                <w:b/>
                <w:bCs/>
              </w:rPr>
            </w:pPr>
          </w:p>
        </w:tc>
        <w:tc>
          <w:tcPr>
            <w:tcW w:w="1006" w:type="dxa"/>
            <w:vMerge/>
            <w:tcBorders>
              <w:top w:val="double" w:sz="4" w:space="0" w:color="auto"/>
              <w:left w:val="single" w:sz="12" w:space="0" w:color="auto"/>
              <w:bottom w:val="single" w:sz="12" w:space="0" w:color="auto"/>
              <w:right w:val="single" w:sz="12" w:space="0" w:color="auto"/>
            </w:tcBorders>
            <w:hideMark/>
          </w:tcPr>
          <w:p w14:paraId="0F77E8AE" w14:textId="77777777" w:rsidR="006C2EC0" w:rsidRPr="00490066" w:rsidRDefault="006C2EC0" w:rsidP="00C07A5A">
            <w:pPr>
              <w:spacing w:line="360" w:lineRule="auto"/>
              <w:jc w:val="both"/>
              <w:rPr>
                <w:rFonts w:ascii="Times New Roman" w:hAnsi="Times New Roman" w:cs="Times New Roman"/>
                <w:b/>
                <w:bCs/>
              </w:rPr>
            </w:pPr>
          </w:p>
        </w:tc>
      </w:tr>
      <w:tr w:rsidR="006C2EC0" w:rsidRPr="00490066" w14:paraId="71CBA1AD" w14:textId="77777777" w:rsidTr="00AA480F">
        <w:trPr>
          <w:trHeight w:val="264"/>
        </w:trPr>
        <w:tc>
          <w:tcPr>
            <w:tcW w:w="2487" w:type="dxa"/>
            <w:tcBorders>
              <w:top w:val="single" w:sz="12" w:space="0" w:color="auto"/>
            </w:tcBorders>
            <w:noWrap/>
            <w:hideMark/>
          </w:tcPr>
          <w:p w14:paraId="7CBDCB3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Ministry</w:t>
            </w:r>
          </w:p>
        </w:tc>
        <w:tc>
          <w:tcPr>
            <w:tcW w:w="1184" w:type="dxa"/>
            <w:tcBorders>
              <w:top w:val="single" w:sz="12" w:space="0" w:color="auto"/>
            </w:tcBorders>
            <w:noWrap/>
            <w:hideMark/>
          </w:tcPr>
          <w:p w14:paraId="182A702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35.2</w:t>
            </w:r>
          </w:p>
        </w:tc>
        <w:tc>
          <w:tcPr>
            <w:tcW w:w="1142" w:type="dxa"/>
            <w:tcBorders>
              <w:top w:val="single" w:sz="12" w:space="0" w:color="auto"/>
            </w:tcBorders>
            <w:noWrap/>
            <w:hideMark/>
          </w:tcPr>
          <w:p w14:paraId="2F1C3F7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37.5</w:t>
            </w:r>
          </w:p>
        </w:tc>
        <w:tc>
          <w:tcPr>
            <w:tcW w:w="1266" w:type="dxa"/>
            <w:tcBorders>
              <w:top w:val="single" w:sz="12" w:space="0" w:color="auto"/>
            </w:tcBorders>
            <w:noWrap/>
            <w:hideMark/>
          </w:tcPr>
          <w:p w14:paraId="69BA6DEC"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2.3</w:t>
            </w:r>
          </w:p>
        </w:tc>
        <w:tc>
          <w:tcPr>
            <w:tcW w:w="1288" w:type="dxa"/>
            <w:tcBorders>
              <w:top w:val="single" w:sz="12" w:space="0" w:color="auto"/>
            </w:tcBorders>
            <w:noWrap/>
            <w:hideMark/>
          </w:tcPr>
          <w:p w14:paraId="3017E67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0.4</w:t>
            </w:r>
          </w:p>
        </w:tc>
        <w:tc>
          <w:tcPr>
            <w:tcW w:w="1235" w:type="dxa"/>
            <w:tcBorders>
              <w:top w:val="single" w:sz="12" w:space="0" w:color="auto"/>
            </w:tcBorders>
            <w:noWrap/>
            <w:hideMark/>
          </w:tcPr>
          <w:p w14:paraId="1FF0C35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6.5%</w:t>
            </w:r>
          </w:p>
        </w:tc>
        <w:tc>
          <w:tcPr>
            <w:tcW w:w="1006" w:type="dxa"/>
            <w:tcBorders>
              <w:top w:val="single" w:sz="12" w:space="0" w:color="auto"/>
            </w:tcBorders>
            <w:noWrap/>
            <w:hideMark/>
          </w:tcPr>
          <w:p w14:paraId="72819F5D"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1.3%</w:t>
            </w:r>
          </w:p>
        </w:tc>
      </w:tr>
      <w:tr w:rsidR="006C2EC0" w:rsidRPr="00490066" w14:paraId="3A623265" w14:textId="77777777" w:rsidTr="00AA480F">
        <w:trPr>
          <w:trHeight w:val="264"/>
        </w:trPr>
        <w:tc>
          <w:tcPr>
            <w:tcW w:w="2487" w:type="dxa"/>
            <w:noWrap/>
            <w:hideMark/>
          </w:tcPr>
          <w:p w14:paraId="2C066375"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Management</w:t>
            </w:r>
          </w:p>
        </w:tc>
        <w:tc>
          <w:tcPr>
            <w:tcW w:w="1184" w:type="dxa"/>
            <w:noWrap/>
            <w:hideMark/>
          </w:tcPr>
          <w:p w14:paraId="0C2251D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75.8</w:t>
            </w:r>
          </w:p>
        </w:tc>
        <w:tc>
          <w:tcPr>
            <w:tcW w:w="1142" w:type="dxa"/>
            <w:noWrap/>
            <w:hideMark/>
          </w:tcPr>
          <w:p w14:paraId="1BAAE39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84.1</w:t>
            </w:r>
          </w:p>
        </w:tc>
        <w:tc>
          <w:tcPr>
            <w:tcW w:w="1266" w:type="dxa"/>
            <w:noWrap/>
            <w:hideMark/>
          </w:tcPr>
          <w:p w14:paraId="05E94DE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8.3</w:t>
            </w:r>
          </w:p>
        </w:tc>
        <w:tc>
          <w:tcPr>
            <w:tcW w:w="1288" w:type="dxa"/>
            <w:noWrap/>
            <w:hideMark/>
          </w:tcPr>
          <w:p w14:paraId="625E660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4.1</w:t>
            </w:r>
          </w:p>
        </w:tc>
        <w:tc>
          <w:tcPr>
            <w:tcW w:w="1235" w:type="dxa"/>
            <w:noWrap/>
            <w:hideMark/>
          </w:tcPr>
          <w:p w14:paraId="5A7D86A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11.0%</w:t>
            </w:r>
          </w:p>
        </w:tc>
        <w:tc>
          <w:tcPr>
            <w:tcW w:w="1006" w:type="dxa"/>
            <w:noWrap/>
            <w:hideMark/>
          </w:tcPr>
          <w:p w14:paraId="1CA328D5"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5.5%</w:t>
            </w:r>
          </w:p>
        </w:tc>
      </w:tr>
      <w:tr w:rsidR="006C2EC0" w:rsidRPr="00490066" w14:paraId="28DF893A" w14:textId="77777777" w:rsidTr="00AA480F">
        <w:trPr>
          <w:trHeight w:val="264"/>
        </w:trPr>
        <w:tc>
          <w:tcPr>
            <w:tcW w:w="2487" w:type="dxa"/>
            <w:noWrap/>
            <w:hideMark/>
          </w:tcPr>
          <w:p w14:paraId="64341D5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Corporate Services</w:t>
            </w:r>
          </w:p>
        </w:tc>
        <w:tc>
          <w:tcPr>
            <w:tcW w:w="1184" w:type="dxa"/>
            <w:noWrap/>
            <w:hideMark/>
          </w:tcPr>
          <w:p w14:paraId="3E5570FC"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227.6</w:t>
            </w:r>
          </w:p>
        </w:tc>
        <w:tc>
          <w:tcPr>
            <w:tcW w:w="1142" w:type="dxa"/>
            <w:noWrap/>
            <w:hideMark/>
          </w:tcPr>
          <w:p w14:paraId="6EDC551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244.6</w:t>
            </w:r>
          </w:p>
        </w:tc>
        <w:tc>
          <w:tcPr>
            <w:tcW w:w="1266" w:type="dxa"/>
            <w:noWrap/>
            <w:hideMark/>
          </w:tcPr>
          <w:p w14:paraId="15B9B35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17.0</w:t>
            </w:r>
          </w:p>
        </w:tc>
        <w:tc>
          <w:tcPr>
            <w:tcW w:w="1288" w:type="dxa"/>
            <w:noWrap/>
            <w:hideMark/>
          </w:tcPr>
          <w:p w14:paraId="1021016C"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4.9</w:t>
            </w:r>
          </w:p>
        </w:tc>
        <w:tc>
          <w:tcPr>
            <w:tcW w:w="1235" w:type="dxa"/>
            <w:noWrap/>
            <w:hideMark/>
          </w:tcPr>
          <w:p w14:paraId="5D403B4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7.5%</w:t>
            </w:r>
          </w:p>
        </w:tc>
        <w:tc>
          <w:tcPr>
            <w:tcW w:w="1006" w:type="dxa"/>
            <w:noWrap/>
            <w:hideMark/>
          </w:tcPr>
          <w:p w14:paraId="042F626C"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2.2%</w:t>
            </w:r>
          </w:p>
        </w:tc>
      </w:tr>
      <w:tr w:rsidR="006C2EC0" w:rsidRPr="00490066" w14:paraId="0452827F" w14:textId="77777777" w:rsidTr="00AA480F">
        <w:trPr>
          <w:trHeight w:val="264"/>
        </w:trPr>
        <w:tc>
          <w:tcPr>
            <w:tcW w:w="2487" w:type="dxa"/>
            <w:noWrap/>
            <w:hideMark/>
          </w:tcPr>
          <w:p w14:paraId="22A02E3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Communications</w:t>
            </w:r>
          </w:p>
        </w:tc>
        <w:tc>
          <w:tcPr>
            <w:tcW w:w="1184" w:type="dxa"/>
            <w:noWrap/>
            <w:hideMark/>
          </w:tcPr>
          <w:p w14:paraId="7618E98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35.6</w:t>
            </w:r>
          </w:p>
        </w:tc>
        <w:tc>
          <w:tcPr>
            <w:tcW w:w="1142" w:type="dxa"/>
            <w:noWrap/>
            <w:hideMark/>
          </w:tcPr>
          <w:p w14:paraId="34C32D05"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37.9</w:t>
            </w:r>
          </w:p>
        </w:tc>
        <w:tc>
          <w:tcPr>
            <w:tcW w:w="1266" w:type="dxa"/>
            <w:noWrap/>
            <w:hideMark/>
          </w:tcPr>
          <w:p w14:paraId="3EA2D7F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2.3</w:t>
            </w:r>
          </w:p>
        </w:tc>
        <w:tc>
          <w:tcPr>
            <w:tcW w:w="1288" w:type="dxa"/>
            <w:noWrap/>
            <w:hideMark/>
          </w:tcPr>
          <w:p w14:paraId="084496B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0.4</w:t>
            </w:r>
          </w:p>
        </w:tc>
        <w:tc>
          <w:tcPr>
            <w:tcW w:w="1235" w:type="dxa"/>
            <w:noWrap/>
            <w:hideMark/>
          </w:tcPr>
          <w:p w14:paraId="4A57D9B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6.5%</w:t>
            </w:r>
          </w:p>
        </w:tc>
        <w:tc>
          <w:tcPr>
            <w:tcW w:w="1006" w:type="dxa"/>
            <w:noWrap/>
            <w:hideMark/>
          </w:tcPr>
          <w:p w14:paraId="2747B0B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1.2%</w:t>
            </w:r>
          </w:p>
        </w:tc>
      </w:tr>
      <w:tr w:rsidR="006C2EC0" w:rsidRPr="00490066" w14:paraId="14D3DD7C" w14:textId="77777777" w:rsidTr="00AA480F">
        <w:trPr>
          <w:trHeight w:val="264"/>
        </w:trPr>
        <w:tc>
          <w:tcPr>
            <w:tcW w:w="2487" w:type="dxa"/>
            <w:tcBorders>
              <w:bottom w:val="single" w:sz="12" w:space="0" w:color="auto"/>
            </w:tcBorders>
            <w:noWrap/>
            <w:hideMark/>
          </w:tcPr>
          <w:p w14:paraId="6C64EFD7"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Office Accommodation</w:t>
            </w:r>
          </w:p>
        </w:tc>
        <w:tc>
          <w:tcPr>
            <w:tcW w:w="1184" w:type="dxa"/>
            <w:tcBorders>
              <w:bottom w:val="single" w:sz="12" w:space="0" w:color="auto"/>
            </w:tcBorders>
            <w:noWrap/>
            <w:hideMark/>
          </w:tcPr>
          <w:p w14:paraId="775203A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55.9</w:t>
            </w:r>
          </w:p>
        </w:tc>
        <w:tc>
          <w:tcPr>
            <w:tcW w:w="1142" w:type="dxa"/>
            <w:tcBorders>
              <w:bottom w:val="single" w:sz="12" w:space="0" w:color="auto"/>
            </w:tcBorders>
            <w:noWrap/>
            <w:hideMark/>
          </w:tcPr>
          <w:p w14:paraId="206374A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59.0</w:t>
            </w:r>
          </w:p>
        </w:tc>
        <w:tc>
          <w:tcPr>
            <w:tcW w:w="1266" w:type="dxa"/>
            <w:tcBorders>
              <w:bottom w:val="single" w:sz="12" w:space="0" w:color="auto"/>
            </w:tcBorders>
            <w:noWrap/>
            <w:hideMark/>
          </w:tcPr>
          <w:p w14:paraId="227E700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3.1</w:t>
            </w:r>
          </w:p>
        </w:tc>
        <w:tc>
          <w:tcPr>
            <w:tcW w:w="1288" w:type="dxa"/>
            <w:tcBorders>
              <w:bottom w:val="single" w:sz="12" w:space="0" w:color="auto"/>
            </w:tcBorders>
            <w:noWrap/>
            <w:hideMark/>
          </w:tcPr>
          <w:p w14:paraId="679B813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0.2</w:t>
            </w:r>
          </w:p>
        </w:tc>
        <w:tc>
          <w:tcPr>
            <w:tcW w:w="1235" w:type="dxa"/>
            <w:tcBorders>
              <w:bottom w:val="single" w:sz="12" w:space="0" w:color="auto"/>
            </w:tcBorders>
            <w:noWrap/>
            <w:hideMark/>
          </w:tcPr>
          <w:p w14:paraId="53B93DA6"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5.6%</w:t>
            </w:r>
          </w:p>
        </w:tc>
        <w:tc>
          <w:tcPr>
            <w:tcW w:w="1006" w:type="dxa"/>
            <w:tcBorders>
              <w:bottom w:val="single" w:sz="12" w:space="0" w:color="auto"/>
            </w:tcBorders>
            <w:noWrap/>
            <w:hideMark/>
          </w:tcPr>
          <w:p w14:paraId="047EF04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0.3%</w:t>
            </w:r>
          </w:p>
        </w:tc>
      </w:tr>
      <w:tr w:rsidR="006C2EC0" w:rsidRPr="00490066" w14:paraId="1588FCF1" w14:textId="77777777" w:rsidTr="00AA480F">
        <w:trPr>
          <w:trHeight w:val="264"/>
        </w:trPr>
        <w:tc>
          <w:tcPr>
            <w:tcW w:w="2487" w:type="dxa"/>
            <w:tcBorders>
              <w:top w:val="single" w:sz="12" w:space="0" w:color="auto"/>
              <w:left w:val="single" w:sz="12" w:space="0" w:color="auto"/>
              <w:bottom w:val="single" w:sz="12" w:space="0" w:color="auto"/>
              <w:right w:val="double" w:sz="4" w:space="0" w:color="auto"/>
            </w:tcBorders>
            <w:shd w:val="pct15" w:color="auto" w:fill="auto"/>
            <w:noWrap/>
            <w:hideMark/>
          </w:tcPr>
          <w:p w14:paraId="1EE498CB"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TOTAL</w:t>
            </w:r>
          </w:p>
        </w:tc>
        <w:tc>
          <w:tcPr>
            <w:tcW w:w="1184" w:type="dxa"/>
            <w:tcBorders>
              <w:top w:val="single" w:sz="12" w:space="0" w:color="auto"/>
              <w:left w:val="double" w:sz="4" w:space="0" w:color="auto"/>
              <w:bottom w:val="single" w:sz="12" w:space="0" w:color="auto"/>
              <w:right w:val="double" w:sz="4" w:space="0" w:color="auto"/>
            </w:tcBorders>
            <w:shd w:val="pct15" w:color="auto" w:fill="auto"/>
            <w:noWrap/>
            <w:hideMark/>
          </w:tcPr>
          <w:p w14:paraId="42C666CF"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 xml:space="preserve">  430.1</w:t>
            </w:r>
          </w:p>
        </w:tc>
        <w:tc>
          <w:tcPr>
            <w:tcW w:w="1142" w:type="dxa"/>
            <w:tcBorders>
              <w:top w:val="single" w:sz="12" w:space="0" w:color="auto"/>
              <w:left w:val="double" w:sz="4" w:space="0" w:color="auto"/>
              <w:bottom w:val="single" w:sz="12" w:space="0" w:color="auto"/>
              <w:right w:val="double" w:sz="4" w:space="0" w:color="auto"/>
            </w:tcBorders>
            <w:shd w:val="pct15" w:color="auto" w:fill="auto"/>
            <w:noWrap/>
            <w:hideMark/>
          </w:tcPr>
          <w:p w14:paraId="5062DC7A"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 xml:space="preserve">  463.0</w:t>
            </w:r>
          </w:p>
        </w:tc>
        <w:tc>
          <w:tcPr>
            <w:tcW w:w="1266" w:type="dxa"/>
            <w:tcBorders>
              <w:top w:val="single" w:sz="12" w:space="0" w:color="auto"/>
              <w:left w:val="double" w:sz="4" w:space="0" w:color="auto"/>
              <w:bottom w:val="single" w:sz="12" w:space="0" w:color="auto"/>
              <w:right w:val="double" w:sz="4" w:space="0" w:color="auto"/>
            </w:tcBorders>
            <w:shd w:val="pct15" w:color="auto" w:fill="auto"/>
            <w:noWrap/>
            <w:hideMark/>
          </w:tcPr>
          <w:p w14:paraId="7BB126E2"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 xml:space="preserve">  32.9</w:t>
            </w:r>
          </w:p>
        </w:tc>
        <w:tc>
          <w:tcPr>
            <w:tcW w:w="1288" w:type="dxa"/>
            <w:tcBorders>
              <w:top w:val="single" w:sz="12" w:space="0" w:color="auto"/>
              <w:left w:val="double" w:sz="4" w:space="0" w:color="auto"/>
              <w:bottom w:val="single" w:sz="12" w:space="0" w:color="auto"/>
              <w:right w:val="double" w:sz="4" w:space="0" w:color="auto"/>
            </w:tcBorders>
            <w:shd w:val="pct15" w:color="auto" w:fill="auto"/>
            <w:noWrap/>
            <w:hideMark/>
          </w:tcPr>
          <w:p w14:paraId="562DA1E3"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 xml:space="preserve">  10.0</w:t>
            </w:r>
          </w:p>
        </w:tc>
        <w:tc>
          <w:tcPr>
            <w:tcW w:w="1235" w:type="dxa"/>
            <w:tcBorders>
              <w:top w:val="single" w:sz="12" w:space="0" w:color="auto"/>
              <w:left w:val="double" w:sz="4" w:space="0" w:color="auto"/>
              <w:bottom w:val="single" w:sz="12" w:space="0" w:color="auto"/>
              <w:right w:val="double" w:sz="4" w:space="0" w:color="auto"/>
            </w:tcBorders>
            <w:shd w:val="pct15" w:color="auto" w:fill="auto"/>
            <w:noWrap/>
            <w:hideMark/>
          </w:tcPr>
          <w:p w14:paraId="2FA86FFC"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7.6%</w:t>
            </w:r>
          </w:p>
        </w:tc>
        <w:tc>
          <w:tcPr>
            <w:tcW w:w="1006" w:type="dxa"/>
            <w:tcBorders>
              <w:top w:val="single" w:sz="12" w:space="0" w:color="auto"/>
              <w:left w:val="double" w:sz="4" w:space="0" w:color="auto"/>
              <w:bottom w:val="single" w:sz="12" w:space="0" w:color="auto"/>
              <w:right w:val="single" w:sz="12" w:space="0" w:color="auto"/>
            </w:tcBorders>
            <w:shd w:val="pct15" w:color="auto" w:fill="auto"/>
            <w:noWrap/>
            <w:hideMark/>
          </w:tcPr>
          <w:p w14:paraId="6BDCED50"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2.3%</w:t>
            </w:r>
          </w:p>
        </w:tc>
      </w:tr>
    </w:tbl>
    <w:p w14:paraId="435C6C2A"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(Source: National Treasury (2019)</w:t>
      </w:r>
    </w:p>
    <w:p w14:paraId="4BAE4D17" w14:textId="77777777" w:rsidR="006C2EC0" w:rsidRPr="007457B1" w:rsidRDefault="006C2EC0" w:rsidP="00C07A5A">
      <w:pPr>
        <w:tabs>
          <w:tab w:val="left" w:pos="3837"/>
        </w:tabs>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ab/>
      </w:r>
    </w:p>
    <w:p w14:paraId="78D05048"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Administration programme receives R463.0 million, translating into a 2.3</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xml:space="preserve"> above-inflation increase from the previous year. All sub-programmes have above-inflation increases from the previous year. The </w:t>
      </w:r>
      <w:r w:rsidRPr="007457B1">
        <w:rPr>
          <w:rFonts w:ascii="Times New Roman" w:hAnsi="Times New Roman" w:cs="Times New Roman"/>
          <w:i/>
          <w:sz w:val="24"/>
          <w:szCs w:val="24"/>
        </w:rPr>
        <w:t>Corporate Services</w:t>
      </w:r>
      <w:r w:rsidRPr="007457B1">
        <w:rPr>
          <w:rFonts w:ascii="Times New Roman" w:hAnsi="Times New Roman" w:cs="Times New Roman"/>
          <w:sz w:val="24"/>
          <w:szCs w:val="24"/>
        </w:rPr>
        <w:t xml:space="preserve"> sub-programme receives the biggest share of the Administration allocation; i.e. 52</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xml:space="preserve">. The highest increase is to the </w:t>
      </w:r>
      <w:r w:rsidRPr="007457B1">
        <w:rPr>
          <w:rFonts w:ascii="Times New Roman" w:hAnsi="Times New Roman" w:cs="Times New Roman"/>
          <w:i/>
          <w:sz w:val="24"/>
          <w:szCs w:val="24"/>
        </w:rPr>
        <w:t>Management</w:t>
      </w:r>
      <w:r w:rsidRPr="007457B1">
        <w:rPr>
          <w:rFonts w:ascii="Times New Roman" w:hAnsi="Times New Roman" w:cs="Times New Roman"/>
          <w:sz w:val="24"/>
          <w:szCs w:val="24"/>
        </w:rPr>
        <w:t xml:space="preserve"> sub-programme (i.e. 5.5</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xml:space="preserve"> above inflation). </w:t>
      </w:r>
    </w:p>
    <w:p w14:paraId="6AA4CDB2" w14:textId="77777777" w:rsidR="006C2EC0" w:rsidRPr="007457B1" w:rsidRDefault="006C2EC0" w:rsidP="00C07A5A">
      <w:pPr>
        <w:spacing w:line="360" w:lineRule="auto"/>
        <w:jc w:val="both"/>
        <w:rPr>
          <w:rFonts w:ascii="Times New Roman" w:hAnsi="Times New Roman" w:cs="Times New Roman"/>
          <w:sz w:val="24"/>
          <w:szCs w:val="24"/>
        </w:rPr>
      </w:pPr>
    </w:p>
    <w:p w14:paraId="4F740319" w14:textId="77777777" w:rsidR="006C2EC0" w:rsidRPr="007457B1" w:rsidRDefault="006C2EC0" w:rsidP="00C07A5A">
      <w:pPr>
        <w:spacing w:line="360" w:lineRule="auto"/>
        <w:jc w:val="both"/>
        <w:rPr>
          <w:rFonts w:ascii="Times New Roman" w:hAnsi="Times New Roman" w:cs="Times New Roman"/>
          <w:b/>
          <w:i/>
          <w:sz w:val="24"/>
          <w:szCs w:val="24"/>
        </w:rPr>
      </w:pPr>
      <w:r w:rsidRPr="007457B1">
        <w:rPr>
          <w:rFonts w:ascii="Times New Roman" w:hAnsi="Times New Roman" w:cs="Times New Roman"/>
          <w:b/>
          <w:i/>
          <w:sz w:val="24"/>
          <w:szCs w:val="24"/>
        </w:rPr>
        <w:t>5.1.2 Programme 2: Integrated Transport Planning</w:t>
      </w:r>
    </w:p>
    <w:p w14:paraId="30A7C354" w14:textId="77777777" w:rsidR="006C2EC0" w:rsidRPr="007457B1" w:rsidRDefault="006C2EC0" w:rsidP="00C07A5A">
      <w:pPr>
        <w:spacing w:line="360" w:lineRule="auto"/>
        <w:jc w:val="both"/>
        <w:rPr>
          <w:rFonts w:ascii="Times New Roman" w:hAnsi="Times New Roman" w:cs="Times New Roman"/>
          <w:sz w:val="24"/>
          <w:szCs w:val="24"/>
        </w:rPr>
      </w:pPr>
    </w:p>
    <w:p w14:paraId="2EFD40EA"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Integrated Transport planning programme integrates and harmonises macro-transport sector policies, strategies and legislation. In addition, it coordinates and develops sector-related policies, research activities, as well as regional and inter-sphere relations. The programme also facilitates sector information and provides sector economic modelling and analysis. </w:t>
      </w:r>
    </w:p>
    <w:p w14:paraId="44B00ADA" w14:textId="77777777" w:rsidR="006C2EC0" w:rsidRPr="007457B1" w:rsidRDefault="006C2EC0" w:rsidP="00C07A5A">
      <w:pPr>
        <w:spacing w:line="360" w:lineRule="auto"/>
        <w:jc w:val="both"/>
        <w:rPr>
          <w:rFonts w:ascii="Times New Roman" w:hAnsi="Times New Roman" w:cs="Times New Roman"/>
          <w:sz w:val="24"/>
          <w:szCs w:val="24"/>
        </w:rPr>
      </w:pPr>
    </w:p>
    <w:p w14:paraId="309D2FBA" w14:textId="77777777" w:rsidR="006C2EC0" w:rsidRPr="007457B1" w:rsidRDefault="006C2EC0"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 xml:space="preserve">Table 6: Programme 2: Integrated Transport Planning </w:t>
      </w:r>
    </w:p>
    <w:tbl>
      <w:tblPr>
        <w:tblStyle w:val="TableGrid"/>
        <w:tblW w:w="9057" w:type="dxa"/>
        <w:tblLook w:val="04A0" w:firstRow="1" w:lastRow="0" w:firstColumn="1" w:lastColumn="0" w:noHBand="0" w:noVBand="1"/>
      </w:tblPr>
      <w:tblGrid>
        <w:gridCol w:w="3017"/>
        <w:gridCol w:w="938"/>
        <w:gridCol w:w="938"/>
        <w:gridCol w:w="1072"/>
        <w:gridCol w:w="1072"/>
        <w:gridCol w:w="1038"/>
        <w:gridCol w:w="1099"/>
      </w:tblGrid>
      <w:tr w:rsidR="006C2EC0" w:rsidRPr="00490066" w14:paraId="4E7A8339" w14:textId="77777777" w:rsidTr="00490066">
        <w:trPr>
          <w:trHeight w:val="765"/>
        </w:trPr>
        <w:tc>
          <w:tcPr>
            <w:tcW w:w="3017" w:type="dxa"/>
            <w:tcBorders>
              <w:top w:val="single" w:sz="12" w:space="0" w:color="auto"/>
              <w:left w:val="double" w:sz="4" w:space="0" w:color="auto"/>
              <w:bottom w:val="single" w:sz="12" w:space="0" w:color="auto"/>
              <w:right w:val="single" w:sz="12" w:space="0" w:color="auto"/>
            </w:tcBorders>
            <w:shd w:val="pct15" w:color="auto" w:fill="auto"/>
            <w:noWrap/>
            <w:hideMark/>
          </w:tcPr>
          <w:p w14:paraId="193CC6F1"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Programme</w:t>
            </w:r>
          </w:p>
        </w:tc>
        <w:tc>
          <w:tcPr>
            <w:tcW w:w="1815" w:type="dxa"/>
            <w:gridSpan w:val="2"/>
            <w:tcBorders>
              <w:top w:val="single" w:sz="12" w:space="0" w:color="auto"/>
              <w:left w:val="single" w:sz="12" w:space="0" w:color="auto"/>
              <w:bottom w:val="single" w:sz="12" w:space="0" w:color="auto"/>
              <w:right w:val="single" w:sz="12" w:space="0" w:color="auto"/>
            </w:tcBorders>
            <w:shd w:val="pct15" w:color="auto" w:fill="auto"/>
            <w:hideMark/>
          </w:tcPr>
          <w:p w14:paraId="4BA8D342"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Budget</w:t>
            </w:r>
          </w:p>
        </w:tc>
        <w:tc>
          <w:tcPr>
            <w:tcW w:w="1044" w:type="dxa"/>
            <w:vMerge w:val="restart"/>
            <w:tcBorders>
              <w:top w:val="single" w:sz="12" w:space="0" w:color="auto"/>
              <w:left w:val="single" w:sz="12" w:space="0" w:color="auto"/>
              <w:right w:val="single" w:sz="12" w:space="0" w:color="auto"/>
            </w:tcBorders>
            <w:shd w:val="pct15" w:color="auto" w:fill="auto"/>
            <w:hideMark/>
          </w:tcPr>
          <w:p w14:paraId="26BD5E4C"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Nominal Increase/ Decrease in 2019/20</w:t>
            </w:r>
          </w:p>
        </w:tc>
        <w:tc>
          <w:tcPr>
            <w:tcW w:w="1044" w:type="dxa"/>
            <w:vMerge w:val="restart"/>
            <w:tcBorders>
              <w:top w:val="single" w:sz="12" w:space="0" w:color="auto"/>
              <w:left w:val="single" w:sz="12" w:space="0" w:color="auto"/>
              <w:right w:val="single" w:sz="12" w:space="0" w:color="auto"/>
            </w:tcBorders>
            <w:shd w:val="pct15" w:color="auto" w:fill="auto"/>
            <w:hideMark/>
          </w:tcPr>
          <w:p w14:paraId="49D762D9"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Real Increase/  Decrease in 2019/20</w:t>
            </w:r>
          </w:p>
        </w:tc>
        <w:tc>
          <w:tcPr>
            <w:tcW w:w="1038" w:type="dxa"/>
            <w:vMerge w:val="restart"/>
            <w:tcBorders>
              <w:top w:val="single" w:sz="12" w:space="0" w:color="auto"/>
              <w:left w:val="single" w:sz="12" w:space="0" w:color="auto"/>
              <w:right w:val="single" w:sz="12" w:space="0" w:color="auto"/>
            </w:tcBorders>
            <w:shd w:val="pct15" w:color="auto" w:fill="auto"/>
            <w:hideMark/>
          </w:tcPr>
          <w:p w14:paraId="66F8057B"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Nominal Percent change in 2019/20</w:t>
            </w:r>
          </w:p>
        </w:tc>
        <w:tc>
          <w:tcPr>
            <w:tcW w:w="1099" w:type="dxa"/>
            <w:vMerge w:val="restart"/>
            <w:tcBorders>
              <w:top w:val="single" w:sz="12" w:space="0" w:color="auto"/>
              <w:left w:val="single" w:sz="12" w:space="0" w:color="auto"/>
              <w:right w:val="single" w:sz="12" w:space="0" w:color="auto"/>
            </w:tcBorders>
            <w:shd w:val="pct15" w:color="auto" w:fill="auto"/>
            <w:hideMark/>
          </w:tcPr>
          <w:p w14:paraId="53F73A0A"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Real Percent change in 2019/20</w:t>
            </w:r>
          </w:p>
        </w:tc>
      </w:tr>
      <w:tr w:rsidR="006C2EC0" w:rsidRPr="00490066" w14:paraId="4970D8CD" w14:textId="77777777" w:rsidTr="00490066">
        <w:trPr>
          <w:trHeight w:val="264"/>
        </w:trPr>
        <w:tc>
          <w:tcPr>
            <w:tcW w:w="3017" w:type="dxa"/>
            <w:tcBorders>
              <w:top w:val="single" w:sz="12" w:space="0" w:color="auto"/>
              <w:left w:val="single" w:sz="12" w:space="0" w:color="auto"/>
              <w:bottom w:val="single" w:sz="12" w:space="0" w:color="auto"/>
              <w:right w:val="single" w:sz="12" w:space="0" w:color="auto"/>
            </w:tcBorders>
            <w:shd w:val="pct15" w:color="auto" w:fill="auto"/>
            <w:noWrap/>
            <w:hideMark/>
          </w:tcPr>
          <w:p w14:paraId="4D0909A2"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R million</w:t>
            </w:r>
          </w:p>
        </w:tc>
        <w:tc>
          <w:tcPr>
            <w:tcW w:w="926" w:type="dxa"/>
            <w:tcBorders>
              <w:top w:val="single" w:sz="12" w:space="0" w:color="auto"/>
              <w:left w:val="single" w:sz="12" w:space="0" w:color="auto"/>
              <w:bottom w:val="single" w:sz="12" w:space="0" w:color="auto"/>
              <w:right w:val="single" w:sz="12" w:space="0" w:color="auto"/>
            </w:tcBorders>
            <w:shd w:val="pct15" w:color="auto" w:fill="auto"/>
            <w:noWrap/>
            <w:hideMark/>
          </w:tcPr>
          <w:p w14:paraId="6EC36337"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2018/19</w:t>
            </w:r>
          </w:p>
        </w:tc>
        <w:tc>
          <w:tcPr>
            <w:tcW w:w="889" w:type="dxa"/>
            <w:tcBorders>
              <w:top w:val="single" w:sz="12" w:space="0" w:color="auto"/>
              <w:left w:val="single" w:sz="12" w:space="0" w:color="auto"/>
              <w:bottom w:val="single" w:sz="12" w:space="0" w:color="auto"/>
              <w:right w:val="single" w:sz="12" w:space="0" w:color="auto"/>
            </w:tcBorders>
            <w:shd w:val="pct15" w:color="auto" w:fill="auto"/>
            <w:noWrap/>
            <w:hideMark/>
          </w:tcPr>
          <w:p w14:paraId="58C22D3D"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2019/20</w:t>
            </w:r>
          </w:p>
        </w:tc>
        <w:tc>
          <w:tcPr>
            <w:tcW w:w="1044" w:type="dxa"/>
            <w:vMerge/>
            <w:tcBorders>
              <w:left w:val="single" w:sz="12" w:space="0" w:color="auto"/>
              <w:bottom w:val="single" w:sz="12" w:space="0" w:color="auto"/>
              <w:right w:val="single" w:sz="12" w:space="0" w:color="auto"/>
            </w:tcBorders>
            <w:hideMark/>
          </w:tcPr>
          <w:p w14:paraId="2C4E6B88" w14:textId="77777777" w:rsidR="006C2EC0" w:rsidRPr="00490066" w:rsidRDefault="006C2EC0" w:rsidP="00C07A5A">
            <w:pPr>
              <w:spacing w:line="360" w:lineRule="auto"/>
              <w:jc w:val="both"/>
              <w:rPr>
                <w:rFonts w:ascii="Times New Roman" w:hAnsi="Times New Roman" w:cs="Times New Roman"/>
                <w:b/>
                <w:bCs/>
              </w:rPr>
            </w:pPr>
          </w:p>
        </w:tc>
        <w:tc>
          <w:tcPr>
            <w:tcW w:w="1044" w:type="dxa"/>
            <w:vMerge/>
            <w:tcBorders>
              <w:left w:val="single" w:sz="12" w:space="0" w:color="auto"/>
              <w:bottom w:val="single" w:sz="12" w:space="0" w:color="auto"/>
              <w:right w:val="single" w:sz="12" w:space="0" w:color="auto"/>
            </w:tcBorders>
            <w:hideMark/>
          </w:tcPr>
          <w:p w14:paraId="5780093C" w14:textId="77777777" w:rsidR="006C2EC0" w:rsidRPr="00490066" w:rsidRDefault="006C2EC0" w:rsidP="00C07A5A">
            <w:pPr>
              <w:spacing w:line="360" w:lineRule="auto"/>
              <w:jc w:val="both"/>
              <w:rPr>
                <w:rFonts w:ascii="Times New Roman" w:hAnsi="Times New Roman" w:cs="Times New Roman"/>
                <w:b/>
                <w:bCs/>
              </w:rPr>
            </w:pPr>
          </w:p>
        </w:tc>
        <w:tc>
          <w:tcPr>
            <w:tcW w:w="1038" w:type="dxa"/>
            <w:vMerge/>
            <w:tcBorders>
              <w:left w:val="single" w:sz="12" w:space="0" w:color="auto"/>
              <w:bottom w:val="single" w:sz="12" w:space="0" w:color="auto"/>
              <w:right w:val="single" w:sz="12" w:space="0" w:color="auto"/>
            </w:tcBorders>
            <w:hideMark/>
          </w:tcPr>
          <w:p w14:paraId="65EF31EA" w14:textId="77777777" w:rsidR="006C2EC0" w:rsidRPr="00490066" w:rsidRDefault="006C2EC0" w:rsidP="00C07A5A">
            <w:pPr>
              <w:spacing w:line="360" w:lineRule="auto"/>
              <w:jc w:val="both"/>
              <w:rPr>
                <w:rFonts w:ascii="Times New Roman" w:hAnsi="Times New Roman" w:cs="Times New Roman"/>
                <w:b/>
                <w:bCs/>
              </w:rPr>
            </w:pPr>
          </w:p>
        </w:tc>
        <w:tc>
          <w:tcPr>
            <w:tcW w:w="1099" w:type="dxa"/>
            <w:vMerge/>
            <w:tcBorders>
              <w:left w:val="single" w:sz="12" w:space="0" w:color="auto"/>
              <w:bottom w:val="single" w:sz="12" w:space="0" w:color="auto"/>
              <w:right w:val="single" w:sz="12" w:space="0" w:color="auto"/>
            </w:tcBorders>
            <w:hideMark/>
          </w:tcPr>
          <w:p w14:paraId="245AC629" w14:textId="77777777" w:rsidR="006C2EC0" w:rsidRPr="00490066" w:rsidRDefault="006C2EC0" w:rsidP="00C07A5A">
            <w:pPr>
              <w:spacing w:line="360" w:lineRule="auto"/>
              <w:jc w:val="both"/>
              <w:rPr>
                <w:rFonts w:ascii="Times New Roman" w:hAnsi="Times New Roman" w:cs="Times New Roman"/>
                <w:b/>
                <w:bCs/>
              </w:rPr>
            </w:pPr>
          </w:p>
        </w:tc>
      </w:tr>
      <w:tr w:rsidR="006C2EC0" w:rsidRPr="00490066" w14:paraId="29EFD0A5" w14:textId="77777777" w:rsidTr="00490066">
        <w:trPr>
          <w:trHeight w:val="264"/>
        </w:trPr>
        <w:tc>
          <w:tcPr>
            <w:tcW w:w="3017" w:type="dxa"/>
            <w:tcBorders>
              <w:top w:val="single" w:sz="12" w:space="0" w:color="auto"/>
            </w:tcBorders>
            <w:noWrap/>
            <w:hideMark/>
          </w:tcPr>
          <w:p w14:paraId="093A1C6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Macro Sector Planning</w:t>
            </w:r>
          </w:p>
        </w:tc>
        <w:tc>
          <w:tcPr>
            <w:tcW w:w="926" w:type="dxa"/>
            <w:tcBorders>
              <w:top w:val="single" w:sz="12" w:space="0" w:color="auto"/>
            </w:tcBorders>
            <w:noWrap/>
            <w:hideMark/>
          </w:tcPr>
          <w:p w14:paraId="155F319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15.9</w:t>
            </w:r>
          </w:p>
        </w:tc>
        <w:tc>
          <w:tcPr>
            <w:tcW w:w="889" w:type="dxa"/>
            <w:tcBorders>
              <w:top w:val="single" w:sz="12" w:space="0" w:color="auto"/>
            </w:tcBorders>
            <w:noWrap/>
            <w:hideMark/>
          </w:tcPr>
          <w:p w14:paraId="7FFD6555"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17.0</w:t>
            </w:r>
          </w:p>
        </w:tc>
        <w:tc>
          <w:tcPr>
            <w:tcW w:w="1044" w:type="dxa"/>
            <w:tcBorders>
              <w:top w:val="single" w:sz="12" w:space="0" w:color="auto"/>
            </w:tcBorders>
            <w:noWrap/>
            <w:hideMark/>
          </w:tcPr>
          <w:p w14:paraId="3725700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1.1</w:t>
            </w:r>
          </w:p>
        </w:tc>
        <w:tc>
          <w:tcPr>
            <w:tcW w:w="1044" w:type="dxa"/>
            <w:tcBorders>
              <w:top w:val="single" w:sz="12" w:space="0" w:color="auto"/>
            </w:tcBorders>
            <w:noWrap/>
            <w:hideMark/>
          </w:tcPr>
          <w:p w14:paraId="3247AA0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0.3</w:t>
            </w:r>
          </w:p>
        </w:tc>
        <w:tc>
          <w:tcPr>
            <w:tcW w:w="1038" w:type="dxa"/>
            <w:tcBorders>
              <w:top w:val="single" w:sz="12" w:space="0" w:color="auto"/>
            </w:tcBorders>
            <w:noWrap/>
            <w:hideMark/>
          </w:tcPr>
          <w:p w14:paraId="02521D65"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6.9%</w:t>
            </w:r>
          </w:p>
        </w:tc>
        <w:tc>
          <w:tcPr>
            <w:tcW w:w="1099" w:type="dxa"/>
            <w:tcBorders>
              <w:top w:val="single" w:sz="12" w:space="0" w:color="auto"/>
            </w:tcBorders>
            <w:noWrap/>
            <w:hideMark/>
          </w:tcPr>
          <w:p w14:paraId="233E592D"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1.6%</w:t>
            </w:r>
          </w:p>
        </w:tc>
      </w:tr>
      <w:tr w:rsidR="006C2EC0" w:rsidRPr="00490066" w14:paraId="0DB010F1" w14:textId="77777777" w:rsidTr="00490066">
        <w:trPr>
          <w:trHeight w:val="264"/>
        </w:trPr>
        <w:tc>
          <w:tcPr>
            <w:tcW w:w="3017" w:type="dxa"/>
            <w:noWrap/>
            <w:hideMark/>
          </w:tcPr>
          <w:p w14:paraId="7024046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Freight Logistics</w:t>
            </w:r>
          </w:p>
        </w:tc>
        <w:tc>
          <w:tcPr>
            <w:tcW w:w="926" w:type="dxa"/>
            <w:noWrap/>
            <w:hideMark/>
          </w:tcPr>
          <w:p w14:paraId="30C9178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19.0</w:t>
            </w:r>
          </w:p>
        </w:tc>
        <w:tc>
          <w:tcPr>
            <w:tcW w:w="889" w:type="dxa"/>
            <w:noWrap/>
            <w:hideMark/>
          </w:tcPr>
          <w:p w14:paraId="2D97FCC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20.2</w:t>
            </w:r>
          </w:p>
        </w:tc>
        <w:tc>
          <w:tcPr>
            <w:tcW w:w="1044" w:type="dxa"/>
            <w:noWrap/>
            <w:hideMark/>
          </w:tcPr>
          <w:p w14:paraId="3AC9C96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1.2</w:t>
            </w:r>
          </w:p>
        </w:tc>
        <w:tc>
          <w:tcPr>
            <w:tcW w:w="1044" w:type="dxa"/>
            <w:noWrap/>
            <w:hideMark/>
          </w:tcPr>
          <w:p w14:paraId="6A40E74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0.2</w:t>
            </w:r>
          </w:p>
        </w:tc>
        <w:tc>
          <w:tcPr>
            <w:tcW w:w="1038" w:type="dxa"/>
            <w:noWrap/>
            <w:hideMark/>
          </w:tcPr>
          <w:p w14:paraId="56F4C39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6.3%</w:t>
            </w:r>
          </w:p>
        </w:tc>
        <w:tc>
          <w:tcPr>
            <w:tcW w:w="1099" w:type="dxa"/>
            <w:noWrap/>
            <w:hideMark/>
          </w:tcPr>
          <w:p w14:paraId="06FF5D6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1.1%</w:t>
            </w:r>
          </w:p>
        </w:tc>
      </w:tr>
      <w:tr w:rsidR="006C2EC0" w:rsidRPr="00490066" w14:paraId="10EE0AC1" w14:textId="77777777" w:rsidTr="00490066">
        <w:trPr>
          <w:trHeight w:val="264"/>
        </w:trPr>
        <w:tc>
          <w:tcPr>
            <w:tcW w:w="3017" w:type="dxa"/>
            <w:noWrap/>
            <w:hideMark/>
          </w:tcPr>
          <w:p w14:paraId="3686A81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Modelling and Economic Analysis</w:t>
            </w:r>
          </w:p>
        </w:tc>
        <w:tc>
          <w:tcPr>
            <w:tcW w:w="926" w:type="dxa"/>
            <w:noWrap/>
            <w:hideMark/>
          </w:tcPr>
          <w:p w14:paraId="66EA8F0E"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19.3</w:t>
            </w:r>
          </w:p>
        </w:tc>
        <w:tc>
          <w:tcPr>
            <w:tcW w:w="889" w:type="dxa"/>
            <w:noWrap/>
            <w:hideMark/>
          </w:tcPr>
          <w:p w14:paraId="4F7F0817"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93.7</w:t>
            </w:r>
          </w:p>
        </w:tc>
        <w:tc>
          <w:tcPr>
            <w:tcW w:w="1044" w:type="dxa"/>
            <w:noWrap/>
            <w:hideMark/>
          </w:tcPr>
          <w:p w14:paraId="57664BCC"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74.4</w:t>
            </w:r>
          </w:p>
        </w:tc>
        <w:tc>
          <w:tcPr>
            <w:tcW w:w="1044" w:type="dxa"/>
            <w:noWrap/>
            <w:hideMark/>
          </w:tcPr>
          <w:p w14:paraId="0A76AB1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69.8</w:t>
            </w:r>
          </w:p>
        </w:tc>
        <w:tc>
          <w:tcPr>
            <w:tcW w:w="1038" w:type="dxa"/>
            <w:noWrap/>
            <w:hideMark/>
          </w:tcPr>
          <w:p w14:paraId="058EBDB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385.5%</w:t>
            </w:r>
          </w:p>
        </w:tc>
        <w:tc>
          <w:tcPr>
            <w:tcW w:w="1099" w:type="dxa"/>
            <w:noWrap/>
            <w:hideMark/>
          </w:tcPr>
          <w:p w14:paraId="5010007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361.5%</w:t>
            </w:r>
          </w:p>
        </w:tc>
      </w:tr>
      <w:tr w:rsidR="006C2EC0" w:rsidRPr="00490066" w14:paraId="4F53841B" w14:textId="77777777" w:rsidTr="00490066">
        <w:trPr>
          <w:trHeight w:val="264"/>
        </w:trPr>
        <w:tc>
          <w:tcPr>
            <w:tcW w:w="3017" w:type="dxa"/>
            <w:noWrap/>
            <w:hideMark/>
          </w:tcPr>
          <w:p w14:paraId="171F52D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Regional Integration</w:t>
            </w:r>
          </w:p>
        </w:tc>
        <w:tc>
          <w:tcPr>
            <w:tcW w:w="926" w:type="dxa"/>
            <w:noWrap/>
            <w:hideMark/>
          </w:tcPr>
          <w:p w14:paraId="27B931C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12.7</w:t>
            </w:r>
          </w:p>
        </w:tc>
        <w:tc>
          <w:tcPr>
            <w:tcW w:w="889" w:type="dxa"/>
            <w:noWrap/>
            <w:hideMark/>
          </w:tcPr>
          <w:p w14:paraId="06B7AA4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13.5</w:t>
            </w:r>
          </w:p>
        </w:tc>
        <w:tc>
          <w:tcPr>
            <w:tcW w:w="1044" w:type="dxa"/>
            <w:noWrap/>
            <w:hideMark/>
          </w:tcPr>
          <w:p w14:paraId="4F0C8A2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0.8</w:t>
            </w:r>
          </w:p>
        </w:tc>
        <w:tc>
          <w:tcPr>
            <w:tcW w:w="1044" w:type="dxa"/>
            <w:noWrap/>
            <w:hideMark/>
          </w:tcPr>
          <w:p w14:paraId="2F1E1AD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0.1</w:t>
            </w:r>
          </w:p>
        </w:tc>
        <w:tc>
          <w:tcPr>
            <w:tcW w:w="1038" w:type="dxa"/>
            <w:noWrap/>
            <w:hideMark/>
          </w:tcPr>
          <w:p w14:paraId="30F8AE4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6.3%</w:t>
            </w:r>
          </w:p>
        </w:tc>
        <w:tc>
          <w:tcPr>
            <w:tcW w:w="1099" w:type="dxa"/>
            <w:noWrap/>
            <w:hideMark/>
          </w:tcPr>
          <w:p w14:paraId="4F42C38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1.0%</w:t>
            </w:r>
          </w:p>
        </w:tc>
      </w:tr>
      <w:tr w:rsidR="006C2EC0" w:rsidRPr="00490066" w14:paraId="31D38F91" w14:textId="77777777" w:rsidTr="00490066">
        <w:trPr>
          <w:trHeight w:val="264"/>
        </w:trPr>
        <w:tc>
          <w:tcPr>
            <w:tcW w:w="3017" w:type="dxa"/>
            <w:noWrap/>
            <w:hideMark/>
          </w:tcPr>
          <w:p w14:paraId="51FFE1E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Research and Innovation</w:t>
            </w:r>
          </w:p>
        </w:tc>
        <w:tc>
          <w:tcPr>
            <w:tcW w:w="926" w:type="dxa"/>
            <w:noWrap/>
            <w:hideMark/>
          </w:tcPr>
          <w:p w14:paraId="6089B8C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15.3</w:t>
            </w:r>
          </w:p>
        </w:tc>
        <w:tc>
          <w:tcPr>
            <w:tcW w:w="889" w:type="dxa"/>
            <w:noWrap/>
            <w:hideMark/>
          </w:tcPr>
          <w:p w14:paraId="1E817E2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16.4</w:t>
            </w:r>
          </w:p>
        </w:tc>
        <w:tc>
          <w:tcPr>
            <w:tcW w:w="1044" w:type="dxa"/>
            <w:noWrap/>
            <w:hideMark/>
          </w:tcPr>
          <w:p w14:paraId="68D2A225"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1.1</w:t>
            </w:r>
          </w:p>
        </w:tc>
        <w:tc>
          <w:tcPr>
            <w:tcW w:w="1044" w:type="dxa"/>
            <w:noWrap/>
            <w:hideMark/>
          </w:tcPr>
          <w:p w14:paraId="73A353C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0.3</w:t>
            </w:r>
          </w:p>
        </w:tc>
        <w:tc>
          <w:tcPr>
            <w:tcW w:w="1038" w:type="dxa"/>
            <w:noWrap/>
            <w:hideMark/>
          </w:tcPr>
          <w:p w14:paraId="5BD31B6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7.2%</w:t>
            </w:r>
          </w:p>
        </w:tc>
        <w:tc>
          <w:tcPr>
            <w:tcW w:w="1099" w:type="dxa"/>
            <w:noWrap/>
            <w:hideMark/>
          </w:tcPr>
          <w:p w14:paraId="4CCEBA7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1.9%</w:t>
            </w:r>
          </w:p>
        </w:tc>
      </w:tr>
      <w:tr w:rsidR="006C2EC0" w:rsidRPr="00490066" w14:paraId="350659B1" w14:textId="77777777" w:rsidTr="00490066">
        <w:trPr>
          <w:trHeight w:val="264"/>
        </w:trPr>
        <w:tc>
          <w:tcPr>
            <w:tcW w:w="3017" w:type="dxa"/>
            <w:tcBorders>
              <w:bottom w:val="single" w:sz="12" w:space="0" w:color="auto"/>
            </w:tcBorders>
            <w:noWrap/>
            <w:hideMark/>
          </w:tcPr>
          <w:p w14:paraId="1C377396"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Integrated Transport Planning Administration Support</w:t>
            </w:r>
          </w:p>
        </w:tc>
        <w:tc>
          <w:tcPr>
            <w:tcW w:w="926" w:type="dxa"/>
            <w:tcBorders>
              <w:bottom w:val="single" w:sz="12" w:space="0" w:color="auto"/>
            </w:tcBorders>
            <w:noWrap/>
            <w:hideMark/>
          </w:tcPr>
          <w:p w14:paraId="165A0707"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7.7</w:t>
            </w:r>
          </w:p>
        </w:tc>
        <w:tc>
          <w:tcPr>
            <w:tcW w:w="889" w:type="dxa"/>
            <w:tcBorders>
              <w:bottom w:val="single" w:sz="12" w:space="0" w:color="auto"/>
            </w:tcBorders>
            <w:noWrap/>
            <w:hideMark/>
          </w:tcPr>
          <w:p w14:paraId="16CC609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8.3</w:t>
            </w:r>
          </w:p>
        </w:tc>
        <w:tc>
          <w:tcPr>
            <w:tcW w:w="1044" w:type="dxa"/>
            <w:tcBorders>
              <w:bottom w:val="single" w:sz="12" w:space="0" w:color="auto"/>
            </w:tcBorders>
            <w:noWrap/>
            <w:hideMark/>
          </w:tcPr>
          <w:p w14:paraId="39A2AB3E"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0.6</w:t>
            </w:r>
          </w:p>
        </w:tc>
        <w:tc>
          <w:tcPr>
            <w:tcW w:w="1044" w:type="dxa"/>
            <w:tcBorders>
              <w:bottom w:val="single" w:sz="12" w:space="0" w:color="auto"/>
            </w:tcBorders>
            <w:noWrap/>
            <w:hideMark/>
          </w:tcPr>
          <w:p w14:paraId="3090455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0.2</w:t>
            </w:r>
          </w:p>
        </w:tc>
        <w:tc>
          <w:tcPr>
            <w:tcW w:w="1038" w:type="dxa"/>
            <w:tcBorders>
              <w:bottom w:val="single" w:sz="12" w:space="0" w:color="auto"/>
            </w:tcBorders>
            <w:noWrap/>
            <w:hideMark/>
          </w:tcPr>
          <w:p w14:paraId="29BFD51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7.8%</w:t>
            </w:r>
          </w:p>
        </w:tc>
        <w:tc>
          <w:tcPr>
            <w:tcW w:w="1099" w:type="dxa"/>
            <w:tcBorders>
              <w:bottom w:val="single" w:sz="12" w:space="0" w:color="auto"/>
            </w:tcBorders>
            <w:noWrap/>
            <w:hideMark/>
          </w:tcPr>
          <w:p w14:paraId="3F5EDB0D"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2.5%</w:t>
            </w:r>
          </w:p>
        </w:tc>
      </w:tr>
      <w:tr w:rsidR="006C2EC0" w:rsidRPr="00490066" w14:paraId="0849690B" w14:textId="77777777" w:rsidTr="00490066">
        <w:trPr>
          <w:trHeight w:val="264"/>
        </w:trPr>
        <w:tc>
          <w:tcPr>
            <w:tcW w:w="3017" w:type="dxa"/>
            <w:tcBorders>
              <w:top w:val="single" w:sz="12" w:space="0" w:color="auto"/>
              <w:left w:val="single" w:sz="12" w:space="0" w:color="auto"/>
              <w:bottom w:val="single" w:sz="12" w:space="0" w:color="auto"/>
            </w:tcBorders>
            <w:shd w:val="pct15" w:color="auto" w:fill="auto"/>
            <w:noWrap/>
            <w:hideMark/>
          </w:tcPr>
          <w:p w14:paraId="4FAB9838"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TOTAL</w:t>
            </w:r>
          </w:p>
        </w:tc>
        <w:tc>
          <w:tcPr>
            <w:tcW w:w="926" w:type="dxa"/>
            <w:tcBorders>
              <w:top w:val="single" w:sz="12" w:space="0" w:color="auto"/>
              <w:bottom w:val="single" w:sz="12" w:space="0" w:color="auto"/>
            </w:tcBorders>
            <w:shd w:val="pct15" w:color="auto" w:fill="auto"/>
            <w:noWrap/>
            <w:hideMark/>
          </w:tcPr>
          <w:p w14:paraId="04FB69AC"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 xml:space="preserve">  90.0</w:t>
            </w:r>
          </w:p>
        </w:tc>
        <w:tc>
          <w:tcPr>
            <w:tcW w:w="889" w:type="dxa"/>
            <w:tcBorders>
              <w:top w:val="single" w:sz="12" w:space="0" w:color="auto"/>
              <w:bottom w:val="single" w:sz="12" w:space="0" w:color="auto"/>
            </w:tcBorders>
            <w:shd w:val="pct15" w:color="auto" w:fill="auto"/>
            <w:noWrap/>
            <w:hideMark/>
          </w:tcPr>
          <w:p w14:paraId="3C11B058"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 xml:space="preserve">  169.2</w:t>
            </w:r>
          </w:p>
        </w:tc>
        <w:tc>
          <w:tcPr>
            <w:tcW w:w="1044" w:type="dxa"/>
            <w:tcBorders>
              <w:top w:val="single" w:sz="12" w:space="0" w:color="auto"/>
              <w:bottom w:val="single" w:sz="12" w:space="0" w:color="auto"/>
            </w:tcBorders>
            <w:shd w:val="pct15" w:color="auto" w:fill="auto"/>
            <w:noWrap/>
            <w:hideMark/>
          </w:tcPr>
          <w:p w14:paraId="0DA6F70A"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 xml:space="preserve">  79.2</w:t>
            </w:r>
          </w:p>
        </w:tc>
        <w:tc>
          <w:tcPr>
            <w:tcW w:w="1044" w:type="dxa"/>
            <w:tcBorders>
              <w:top w:val="single" w:sz="12" w:space="0" w:color="auto"/>
              <w:bottom w:val="single" w:sz="12" w:space="0" w:color="auto"/>
            </w:tcBorders>
            <w:shd w:val="pct15" w:color="auto" w:fill="auto"/>
            <w:noWrap/>
            <w:hideMark/>
          </w:tcPr>
          <w:p w14:paraId="595FF0A8"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 xml:space="preserve">  70.8</w:t>
            </w:r>
          </w:p>
        </w:tc>
        <w:tc>
          <w:tcPr>
            <w:tcW w:w="1038" w:type="dxa"/>
            <w:tcBorders>
              <w:top w:val="single" w:sz="12" w:space="0" w:color="auto"/>
              <w:bottom w:val="single" w:sz="12" w:space="0" w:color="auto"/>
            </w:tcBorders>
            <w:shd w:val="pct15" w:color="auto" w:fill="auto"/>
            <w:noWrap/>
            <w:hideMark/>
          </w:tcPr>
          <w:p w14:paraId="50A03572"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88.0%</w:t>
            </w:r>
          </w:p>
        </w:tc>
        <w:tc>
          <w:tcPr>
            <w:tcW w:w="1099" w:type="dxa"/>
            <w:tcBorders>
              <w:top w:val="single" w:sz="12" w:space="0" w:color="auto"/>
              <w:bottom w:val="single" w:sz="12" w:space="0" w:color="auto"/>
              <w:right w:val="single" w:sz="12" w:space="0" w:color="auto"/>
            </w:tcBorders>
            <w:shd w:val="pct15" w:color="auto" w:fill="auto"/>
            <w:noWrap/>
            <w:hideMark/>
          </w:tcPr>
          <w:p w14:paraId="2D2F3D24"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78.7%</w:t>
            </w:r>
          </w:p>
        </w:tc>
      </w:tr>
    </w:tbl>
    <w:p w14:paraId="034F921B"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(Source: National Treasury (2019)</w:t>
      </w:r>
    </w:p>
    <w:p w14:paraId="1EA4D7BF" w14:textId="77777777" w:rsidR="006C2EC0" w:rsidRPr="007457B1" w:rsidRDefault="006C2EC0" w:rsidP="00C07A5A">
      <w:pPr>
        <w:spacing w:line="360" w:lineRule="auto"/>
        <w:jc w:val="both"/>
        <w:rPr>
          <w:rFonts w:ascii="Times New Roman" w:hAnsi="Times New Roman" w:cs="Times New Roman"/>
          <w:sz w:val="24"/>
          <w:szCs w:val="24"/>
        </w:rPr>
      </w:pPr>
    </w:p>
    <w:p w14:paraId="34F58E3C"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Integrated Transport Planning programme budget increases by 78.7</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xml:space="preserve"> above inflation. The allocation totals R169.2 million for 2019/20. This exponential increase is due to the</w:t>
      </w:r>
      <w:r w:rsidRPr="007457B1">
        <w:rPr>
          <w:rFonts w:ascii="Times New Roman" w:hAnsi="Times New Roman" w:cs="Times New Roman"/>
          <w:i/>
          <w:sz w:val="24"/>
          <w:szCs w:val="24"/>
        </w:rPr>
        <w:t xml:space="preserve"> Modelling and Economic Analysis</w:t>
      </w:r>
      <w:r w:rsidRPr="007457B1">
        <w:rPr>
          <w:rFonts w:ascii="Times New Roman" w:hAnsi="Times New Roman" w:cs="Times New Roman"/>
          <w:sz w:val="24"/>
          <w:szCs w:val="24"/>
        </w:rPr>
        <w:t xml:space="preserve"> sub-programme – its budget surges from R19.3 million previously to R93.7 million in 2019/20.  The sub-programme’s allocation increase with 361.5</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xml:space="preserve"> above inflation (real terms). </w:t>
      </w:r>
    </w:p>
    <w:p w14:paraId="4B5E6817" w14:textId="77777777" w:rsidR="006C2EC0" w:rsidRPr="007457B1" w:rsidRDefault="006C2EC0" w:rsidP="00C07A5A">
      <w:pPr>
        <w:spacing w:line="360" w:lineRule="auto"/>
        <w:jc w:val="both"/>
        <w:rPr>
          <w:rFonts w:ascii="Times New Roman" w:hAnsi="Times New Roman" w:cs="Times New Roman"/>
          <w:sz w:val="24"/>
          <w:szCs w:val="24"/>
        </w:rPr>
      </w:pPr>
    </w:p>
    <w:p w14:paraId="7FCC2174"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w:t>
      </w:r>
      <w:r w:rsidRPr="007457B1">
        <w:rPr>
          <w:rFonts w:ascii="Times New Roman" w:hAnsi="Times New Roman" w:cs="Times New Roman"/>
          <w:i/>
          <w:sz w:val="24"/>
          <w:szCs w:val="24"/>
        </w:rPr>
        <w:t>Modelling and Economic Analysis</w:t>
      </w:r>
      <w:r w:rsidRPr="007457B1">
        <w:rPr>
          <w:rFonts w:ascii="Times New Roman" w:hAnsi="Times New Roman" w:cs="Times New Roman"/>
          <w:sz w:val="24"/>
          <w:szCs w:val="24"/>
        </w:rPr>
        <w:t xml:space="preserve"> sub-programme is responsible for undertaking economic studies and providing “innovative and enabling transport infrastructure funding options that respond to the socioeconomic needs of the national agenda”.</w:t>
      </w:r>
      <w:r w:rsidRPr="007457B1">
        <w:rPr>
          <w:rStyle w:val="FootnoteReference"/>
          <w:rFonts w:ascii="Times New Roman" w:hAnsi="Times New Roman" w:cs="Times New Roman"/>
          <w:sz w:val="24"/>
          <w:szCs w:val="24"/>
        </w:rPr>
        <w:footnoteReference w:id="17"/>
      </w:r>
      <w:r w:rsidRPr="007457B1">
        <w:rPr>
          <w:rFonts w:ascii="Times New Roman" w:hAnsi="Times New Roman" w:cs="Times New Roman"/>
          <w:sz w:val="24"/>
          <w:szCs w:val="24"/>
        </w:rPr>
        <w:t xml:space="preserve"> The strong growth in its allocation bodes well for the attainment of the Department’s policy priorities for 2019/20. Government has identified investment in transport infrastructure as one of the enablers of economic growth and job creation. However, the sub-programme’s budget is likely to decline over the next two years to R24.3 million (2020/21) and R22.7 million (2021/22). </w:t>
      </w:r>
    </w:p>
    <w:p w14:paraId="552C5CF2" w14:textId="77777777" w:rsidR="006C2EC0" w:rsidRPr="007457B1" w:rsidRDefault="006C2EC0" w:rsidP="00C07A5A">
      <w:pPr>
        <w:spacing w:line="360" w:lineRule="auto"/>
        <w:ind w:left="360"/>
        <w:jc w:val="both"/>
        <w:rPr>
          <w:rFonts w:ascii="Times New Roman" w:hAnsi="Times New Roman" w:cs="Times New Roman"/>
          <w:b/>
          <w:i/>
          <w:color w:val="525252" w:themeColor="accent3" w:themeShade="80"/>
          <w:sz w:val="24"/>
          <w:szCs w:val="24"/>
        </w:rPr>
      </w:pPr>
    </w:p>
    <w:p w14:paraId="21F688DB" w14:textId="77777777" w:rsidR="006C2EC0" w:rsidRPr="007457B1" w:rsidRDefault="006C2EC0" w:rsidP="00C07A5A">
      <w:pPr>
        <w:spacing w:line="360" w:lineRule="auto"/>
        <w:jc w:val="both"/>
        <w:rPr>
          <w:rFonts w:ascii="Times New Roman" w:hAnsi="Times New Roman" w:cs="Times New Roman"/>
          <w:b/>
          <w:i/>
          <w:sz w:val="24"/>
          <w:szCs w:val="24"/>
        </w:rPr>
      </w:pPr>
      <w:r w:rsidRPr="007457B1">
        <w:rPr>
          <w:rFonts w:ascii="Times New Roman" w:hAnsi="Times New Roman" w:cs="Times New Roman"/>
          <w:b/>
          <w:i/>
          <w:sz w:val="24"/>
          <w:szCs w:val="24"/>
        </w:rPr>
        <w:t>5.1.3 Programme 3: Rail Transport</w:t>
      </w:r>
    </w:p>
    <w:p w14:paraId="09ED0457" w14:textId="77777777" w:rsidR="006C2EC0" w:rsidRPr="007457B1" w:rsidRDefault="006C2EC0" w:rsidP="00C07A5A">
      <w:pPr>
        <w:spacing w:line="360" w:lineRule="auto"/>
        <w:jc w:val="both"/>
        <w:rPr>
          <w:rFonts w:ascii="Times New Roman" w:hAnsi="Times New Roman" w:cs="Times New Roman"/>
          <w:sz w:val="24"/>
          <w:szCs w:val="24"/>
        </w:rPr>
      </w:pPr>
    </w:p>
    <w:p w14:paraId="64CC3BB8"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Rail Transport programme facilitates and coordinates the development of sustainable rail transport policies, rail economic and safety regulation, and infrastructure development strategies that reduce system costs and improve customer service. In addition, it oversees rail public entities and the implementation of integrated rail services. Five sub-programmes fall under this programme.</w:t>
      </w:r>
    </w:p>
    <w:p w14:paraId="0A1BF1F1" w14:textId="77777777" w:rsidR="006C2EC0" w:rsidRPr="007457B1" w:rsidRDefault="006C2EC0" w:rsidP="00C07A5A">
      <w:pPr>
        <w:spacing w:line="360" w:lineRule="auto"/>
        <w:jc w:val="both"/>
        <w:rPr>
          <w:rFonts w:ascii="Times New Roman" w:hAnsi="Times New Roman" w:cs="Times New Roman"/>
          <w:sz w:val="24"/>
          <w:szCs w:val="24"/>
        </w:rPr>
      </w:pPr>
    </w:p>
    <w:p w14:paraId="6D1D53D5" w14:textId="77777777" w:rsidR="006C2EC0" w:rsidRPr="007457B1" w:rsidRDefault="006C2EC0"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Table 7: Programme 3: Rail Transport</w:t>
      </w:r>
    </w:p>
    <w:tbl>
      <w:tblPr>
        <w:tblStyle w:val="TableGrid"/>
        <w:tblW w:w="9057" w:type="dxa"/>
        <w:tblLook w:val="04A0" w:firstRow="1" w:lastRow="0" w:firstColumn="1" w:lastColumn="0" w:noHBand="0" w:noVBand="1"/>
      </w:tblPr>
      <w:tblGrid>
        <w:gridCol w:w="2751"/>
        <w:gridCol w:w="986"/>
        <w:gridCol w:w="986"/>
        <w:gridCol w:w="1084"/>
        <w:gridCol w:w="1084"/>
        <w:gridCol w:w="1039"/>
        <w:gridCol w:w="1225"/>
      </w:tblGrid>
      <w:tr w:rsidR="006C2EC0" w:rsidRPr="00490066" w14:paraId="1E9C1F25" w14:textId="77777777" w:rsidTr="00490066">
        <w:trPr>
          <w:trHeight w:val="765"/>
        </w:trPr>
        <w:tc>
          <w:tcPr>
            <w:tcW w:w="2751" w:type="dxa"/>
            <w:tcBorders>
              <w:top w:val="single" w:sz="12" w:space="0" w:color="auto"/>
              <w:left w:val="single" w:sz="12" w:space="0" w:color="auto"/>
              <w:bottom w:val="single" w:sz="4" w:space="0" w:color="auto"/>
            </w:tcBorders>
            <w:shd w:val="pct15" w:color="auto" w:fill="auto"/>
            <w:noWrap/>
            <w:hideMark/>
          </w:tcPr>
          <w:p w14:paraId="192615CE"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Programme</w:t>
            </w:r>
          </w:p>
        </w:tc>
        <w:tc>
          <w:tcPr>
            <w:tcW w:w="1874" w:type="dxa"/>
            <w:gridSpan w:val="2"/>
            <w:tcBorders>
              <w:top w:val="single" w:sz="12" w:space="0" w:color="auto"/>
              <w:bottom w:val="single" w:sz="4" w:space="0" w:color="auto"/>
            </w:tcBorders>
            <w:shd w:val="pct15" w:color="auto" w:fill="auto"/>
            <w:hideMark/>
          </w:tcPr>
          <w:p w14:paraId="651F4A63"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Budget</w:t>
            </w:r>
          </w:p>
        </w:tc>
        <w:tc>
          <w:tcPr>
            <w:tcW w:w="1084" w:type="dxa"/>
            <w:vMerge w:val="restart"/>
            <w:tcBorders>
              <w:top w:val="single" w:sz="12" w:space="0" w:color="auto"/>
            </w:tcBorders>
            <w:shd w:val="pct15" w:color="auto" w:fill="auto"/>
            <w:hideMark/>
          </w:tcPr>
          <w:p w14:paraId="7C75ADE6"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Nominal Increase/ Decrease in 2019/20</w:t>
            </w:r>
          </w:p>
        </w:tc>
        <w:tc>
          <w:tcPr>
            <w:tcW w:w="1084" w:type="dxa"/>
            <w:vMerge w:val="restart"/>
            <w:tcBorders>
              <w:top w:val="single" w:sz="12" w:space="0" w:color="auto"/>
            </w:tcBorders>
            <w:shd w:val="pct15" w:color="auto" w:fill="auto"/>
            <w:hideMark/>
          </w:tcPr>
          <w:p w14:paraId="499D4D03"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Real Increase/ Decrease in 2019/20</w:t>
            </w:r>
          </w:p>
        </w:tc>
        <w:tc>
          <w:tcPr>
            <w:tcW w:w="1039" w:type="dxa"/>
            <w:vMerge w:val="restart"/>
            <w:tcBorders>
              <w:top w:val="single" w:sz="12" w:space="0" w:color="auto"/>
            </w:tcBorders>
            <w:shd w:val="pct15" w:color="auto" w:fill="auto"/>
            <w:hideMark/>
          </w:tcPr>
          <w:p w14:paraId="32A03AB1"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Nominal Percent change in 2019/20</w:t>
            </w:r>
          </w:p>
        </w:tc>
        <w:tc>
          <w:tcPr>
            <w:tcW w:w="1225" w:type="dxa"/>
            <w:vMerge w:val="restart"/>
            <w:tcBorders>
              <w:top w:val="single" w:sz="12" w:space="0" w:color="auto"/>
              <w:right w:val="single" w:sz="12" w:space="0" w:color="auto"/>
            </w:tcBorders>
            <w:shd w:val="pct15" w:color="auto" w:fill="auto"/>
            <w:hideMark/>
          </w:tcPr>
          <w:p w14:paraId="47F86088"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Real Percent change in 2019/20</w:t>
            </w:r>
          </w:p>
        </w:tc>
      </w:tr>
      <w:tr w:rsidR="006C2EC0" w:rsidRPr="00490066" w14:paraId="75470CBB" w14:textId="77777777" w:rsidTr="00490066">
        <w:trPr>
          <w:trHeight w:val="264"/>
        </w:trPr>
        <w:tc>
          <w:tcPr>
            <w:tcW w:w="2751" w:type="dxa"/>
            <w:tcBorders>
              <w:top w:val="single" w:sz="12" w:space="0" w:color="auto"/>
              <w:left w:val="single" w:sz="12" w:space="0" w:color="auto"/>
              <w:bottom w:val="single" w:sz="12" w:space="0" w:color="auto"/>
            </w:tcBorders>
            <w:shd w:val="pct15" w:color="auto" w:fill="auto"/>
            <w:noWrap/>
            <w:hideMark/>
          </w:tcPr>
          <w:p w14:paraId="66638AD5"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R million</w:t>
            </w:r>
          </w:p>
        </w:tc>
        <w:tc>
          <w:tcPr>
            <w:tcW w:w="937" w:type="dxa"/>
            <w:tcBorders>
              <w:top w:val="single" w:sz="12" w:space="0" w:color="auto"/>
              <w:bottom w:val="single" w:sz="12" w:space="0" w:color="auto"/>
            </w:tcBorders>
            <w:shd w:val="pct15" w:color="auto" w:fill="auto"/>
            <w:noWrap/>
            <w:hideMark/>
          </w:tcPr>
          <w:p w14:paraId="13D1F6A8"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2018/19</w:t>
            </w:r>
          </w:p>
        </w:tc>
        <w:tc>
          <w:tcPr>
            <w:tcW w:w="937" w:type="dxa"/>
            <w:tcBorders>
              <w:top w:val="single" w:sz="12" w:space="0" w:color="auto"/>
              <w:bottom w:val="single" w:sz="12" w:space="0" w:color="auto"/>
            </w:tcBorders>
            <w:shd w:val="pct15" w:color="auto" w:fill="auto"/>
            <w:noWrap/>
            <w:hideMark/>
          </w:tcPr>
          <w:p w14:paraId="78F0465F"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2019/20</w:t>
            </w:r>
          </w:p>
        </w:tc>
        <w:tc>
          <w:tcPr>
            <w:tcW w:w="1084" w:type="dxa"/>
            <w:vMerge/>
            <w:tcBorders>
              <w:bottom w:val="single" w:sz="12" w:space="0" w:color="auto"/>
            </w:tcBorders>
            <w:hideMark/>
          </w:tcPr>
          <w:p w14:paraId="34C8A552" w14:textId="77777777" w:rsidR="006C2EC0" w:rsidRPr="00490066" w:rsidRDefault="006C2EC0" w:rsidP="00C07A5A">
            <w:pPr>
              <w:spacing w:line="360" w:lineRule="auto"/>
              <w:jc w:val="both"/>
              <w:rPr>
                <w:rFonts w:ascii="Times New Roman" w:hAnsi="Times New Roman" w:cs="Times New Roman"/>
                <w:b/>
                <w:bCs/>
              </w:rPr>
            </w:pPr>
          </w:p>
        </w:tc>
        <w:tc>
          <w:tcPr>
            <w:tcW w:w="1084" w:type="dxa"/>
            <w:vMerge/>
            <w:tcBorders>
              <w:bottom w:val="single" w:sz="12" w:space="0" w:color="auto"/>
            </w:tcBorders>
            <w:hideMark/>
          </w:tcPr>
          <w:p w14:paraId="107B098B" w14:textId="77777777" w:rsidR="006C2EC0" w:rsidRPr="00490066" w:rsidRDefault="006C2EC0" w:rsidP="00C07A5A">
            <w:pPr>
              <w:spacing w:line="360" w:lineRule="auto"/>
              <w:jc w:val="both"/>
              <w:rPr>
                <w:rFonts w:ascii="Times New Roman" w:hAnsi="Times New Roman" w:cs="Times New Roman"/>
                <w:b/>
                <w:bCs/>
              </w:rPr>
            </w:pPr>
          </w:p>
        </w:tc>
        <w:tc>
          <w:tcPr>
            <w:tcW w:w="1039" w:type="dxa"/>
            <w:vMerge/>
            <w:tcBorders>
              <w:bottom w:val="single" w:sz="12" w:space="0" w:color="auto"/>
            </w:tcBorders>
            <w:hideMark/>
          </w:tcPr>
          <w:p w14:paraId="5B29C94D" w14:textId="77777777" w:rsidR="006C2EC0" w:rsidRPr="00490066" w:rsidRDefault="006C2EC0" w:rsidP="00C07A5A">
            <w:pPr>
              <w:spacing w:line="360" w:lineRule="auto"/>
              <w:jc w:val="both"/>
              <w:rPr>
                <w:rFonts w:ascii="Times New Roman" w:hAnsi="Times New Roman" w:cs="Times New Roman"/>
                <w:b/>
                <w:bCs/>
              </w:rPr>
            </w:pPr>
          </w:p>
        </w:tc>
        <w:tc>
          <w:tcPr>
            <w:tcW w:w="1225" w:type="dxa"/>
            <w:vMerge/>
            <w:tcBorders>
              <w:bottom w:val="single" w:sz="12" w:space="0" w:color="auto"/>
              <w:right w:val="single" w:sz="12" w:space="0" w:color="auto"/>
            </w:tcBorders>
            <w:hideMark/>
          </w:tcPr>
          <w:p w14:paraId="6D1C6477" w14:textId="77777777" w:rsidR="006C2EC0" w:rsidRPr="00490066" w:rsidRDefault="006C2EC0" w:rsidP="00C07A5A">
            <w:pPr>
              <w:spacing w:line="360" w:lineRule="auto"/>
              <w:jc w:val="both"/>
              <w:rPr>
                <w:rFonts w:ascii="Times New Roman" w:hAnsi="Times New Roman" w:cs="Times New Roman"/>
                <w:b/>
                <w:bCs/>
              </w:rPr>
            </w:pPr>
          </w:p>
        </w:tc>
      </w:tr>
      <w:tr w:rsidR="006C2EC0" w:rsidRPr="00490066" w14:paraId="1B716ED2" w14:textId="77777777" w:rsidTr="00490066">
        <w:trPr>
          <w:trHeight w:val="264"/>
        </w:trPr>
        <w:tc>
          <w:tcPr>
            <w:tcW w:w="2751" w:type="dxa"/>
            <w:tcBorders>
              <w:top w:val="single" w:sz="12" w:space="0" w:color="auto"/>
            </w:tcBorders>
            <w:noWrap/>
            <w:hideMark/>
          </w:tcPr>
          <w:p w14:paraId="41C06A87"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Rail Regulation</w:t>
            </w:r>
          </w:p>
        </w:tc>
        <w:tc>
          <w:tcPr>
            <w:tcW w:w="937" w:type="dxa"/>
            <w:tcBorders>
              <w:top w:val="single" w:sz="12" w:space="0" w:color="auto"/>
            </w:tcBorders>
            <w:noWrap/>
            <w:hideMark/>
          </w:tcPr>
          <w:p w14:paraId="0DC39BF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19.8</w:t>
            </w:r>
          </w:p>
        </w:tc>
        <w:tc>
          <w:tcPr>
            <w:tcW w:w="937" w:type="dxa"/>
            <w:tcBorders>
              <w:top w:val="single" w:sz="12" w:space="0" w:color="auto"/>
            </w:tcBorders>
            <w:noWrap/>
            <w:hideMark/>
          </w:tcPr>
          <w:p w14:paraId="2443A4F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21.1</w:t>
            </w:r>
          </w:p>
        </w:tc>
        <w:tc>
          <w:tcPr>
            <w:tcW w:w="1084" w:type="dxa"/>
            <w:tcBorders>
              <w:top w:val="single" w:sz="12" w:space="0" w:color="auto"/>
            </w:tcBorders>
            <w:noWrap/>
            <w:hideMark/>
          </w:tcPr>
          <w:p w14:paraId="521CFEE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1.3</w:t>
            </w:r>
          </w:p>
        </w:tc>
        <w:tc>
          <w:tcPr>
            <w:tcW w:w="1084" w:type="dxa"/>
            <w:tcBorders>
              <w:top w:val="single" w:sz="12" w:space="0" w:color="auto"/>
            </w:tcBorders>
            <w:noWrap/>
            <w:hideMark/>
          </w:tcPr>
          <w:p w14:paraId="3D6B0BCE"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0.3</w:t>
            </w:r>
          </w:p>
        </w:tc>
        <w:tc>
          <w:tcPr>
            <w:tcW w:w="1039" w:type="dxa"/>
            <w:tcBorders>
              <w:top w:val="single" w:sz="12" w:space="0" w:color="auto"/>
            </w:tcBorders>
            <w:noWrap/>
            <w:hideMark/>
          </w:tcPr>
          <w:p w14:paraId="4EB0A04C"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6.6%</w:t>
            </w:r>
          </w:p>
        </w:tc>
        <w:tc>
          <w:tcPr>
            <w:tcW w:w="1225" w:type="dxa"/>
            <w:tcBorders>
              <w:top w:val="single" w:sz="12" w:space="0" w:color="auto"/>
            </w:tcBorders>
            <w:noWrap/>
            <w:hideMark/>
          </w:tcPr>
          <w:p w14:paraId="690261DE"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1.3%</w:t>
            </w:r>
          </w:p>
        </w:tc>
      </w:tr>
      <w:tr w:rsidR="006C2EC0" w:rsidRPr="00490066" w14:paraId="549B5DE0" w14:textId="77777777" w:rsidTr="00490066">
        <w:trPr>
          <w:trHeight w:val="264"/>
        </w:trPr>
        <w:tc>
          <w:tcPr>
            <w:tcW w:w="2751" w:type="dxa"/>
            <w:noWrap/>
            <w:hideMark/>
          </w:tcPr>
          <w:p w14:paraId="69B53AB7"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Rail Infrastructure and Industry Development</w:t>
            </w:r>
          </w:p>
        </w:tc>
        <w:tc>
          <w:tcPr>
            <w:tcW w:w="937" w:type="dxa"/>
            <w:noWrap/>
            <w:hideMark/>
          </w:tcPr>
          <w:p w14:paraId="689A62C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9.5</w:t>
            </w:r>
          </w:p>
        </w:tc>
        <w:tc>
          <w:tcPr>
            <w:tcW w:w="937" w:type="dxa"/>
            <w:noWrap/>
            <w:hideMark/>
          </w:tcPr>
          <w:p w14:paraId="05CD815C"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10.1</w:t>
            </w:r>
          </w:p>
        </w:tc>
        <w:tc>
          <w:tcPr>
            <w:tcW w:w="1084" w:type="dxa"/>
            <w:noWrap/>
            <w:hideMark/>
          </w:tcPr>
          <w:p w14:paraId="37E857F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0.6</w:t>
            </w:r>
          </w:p>
        </w:tc>
        <w:tc>
          <w:tcPr>
            <w:tcW w:w="1084" w:type="dxa"/>
            <w:noWrap/>
            <w:hideMark/>
          </w:tcPr>
          <w:p w14:paraId="6782E196"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0.1</w:t>
            </w:r>
          </w:p>
        </w:tc>
        <w:tc>
          <w:tcPr>
            <w:tcW w:w="1039" w:type="dxa"/>
            <w:noWrap/>
            <w:hideMark/>
          </w:tcPr>
          <w:p w14:paraId="23152F4E"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6.3%</w:t>
            </w:r>
          </w:p>
        </w:tc>
        <w:tc>
          <w:tcPr>
            <w:tcW w:w="1225" w:type="dxa"/>
            <w:noWrap/>
            <w:hideMark/>
          </w:tcPr>
          <w:p w14:paraId="7EC487D1"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1.1%</w:t>
            </w:r>
          </w:p>
        </w:tc>
      </w:tr>
      <w:tr w:rsidR="006C2EC0" w:rsidRPr="00490066" w14:paraId="587DD527" w14:textId="77777777" w:rsidTr="00490066">
        <w:trPr>
          <w:trHeight w:val="264"/>
        </w:trPr>
        <w:tc>
          <w:tcPr>
            <w:tcW w:w="2751" w:type="dxa"/>
            <w:noWrap/>
            <w:hideMark/>
          </w:tcPr>
          <w:p w14:paraId="676D4B71"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Rail Operations</w:t>
            </w:r>
          </w:p>
        </w:tc>
        <w:tc>
          <w:tcPr>
            <w:tcW w:w="937" w:type="dxa"/>
            <w:noWrap/>
            <w:hideMark/>
          </w:tcPr>
          <w:p w14:paraId="66F40B8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10.6</w:t>
            </w:r>
          </w:p>
        </w:tc>
        <w:tc>
          <w:tcPr>
            <w:tcW w:w="937" w:type="dxa"/>
            <w:noWrap/>
            <w:hideMark/>
          </w:tcPr>
          <w:p w14:paraId="3B6C612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10.8</w:t>
            </w:r>
          </w:p>
        </w:tc>
        <w:tc>
          <w:tcPr>
            <w:tcW w:w="1084" w:type="dxa"/>
            <w:noWrap/>
            <w:hideMark/>
          </w:tcPr>
          <w:p w14:paraId="47D8578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0.2</w:t>
            </w:r>
          </w:p>
        </w:tc>
        <w:tc>
          <w:tcPr>
            <w:tcW w:w="1084" w:type="dxa"/>
            <w:noWrap/>
            <w:hideMark/>
          </w:tcPr>
          <w:p w14:paraId="51A2DCFD"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0.3</w:t>
            </w:r>
          </w:p>
        </w:tc>
        <w:tc>
          <w:tcPr>
            <w:tcW w:w="1039" w:type="dxa"/>
            <w:noWrap/>
            <w:hideMark/>
          </w:tcPr>
          <w:p w14:paraId="7004B4E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1.9%</w:t>
            </w:r>
          </w:p>
        </w:tc>
        <w:tc>
          <w:tcPr>
            <w:tcW w:w="1225" w:type="dxa"/>
            <w:noWrap/>
            <w:hideMark/>
          </w:tcPr>
          <w:p w14:paraId="7F9D817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-3.2%</w:t>
            </w:r>
          </w:p>
        </w:tc>
      </w:tr>
      <w:tr w:rsidR="006C2EC0" w:rsidRPr="00490066" w14:paraId="4EB9206F" w14:textId="77777777" w:rsidTr="00490066">
        <w:trPr>
          <w:trHeight w:val="264"/>
        </w:trPr>
        <w:tc>
          <w:tcPr>
            <w:tcW w:w="2751" w:type="dxa"/>
            <w:noWrap/>
            <w:hideMark/>
          </w:tcPr>
          <w:p w14:paraId="6E67284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Rail Oversight</w:t>
            </w:r>
          </w:p>
        </w:tc>
        <w:tc>
          <w:tcPr>
            <w:tcW w:w="937" w:type="dxa"/>
            <w:noWrap/>
            <w:hideMark/>
          </w:tcPr>
          <w:p w14:paraId="068160AC"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15 842.0</w:t>
            </w:r>
          </w:p>
        </w:tc>
        <w:tc>
          <w:tcPr>
            <w:tcW w:w="937" w:type="dxa"/>
            <w:noWrap/>
            <w:hideMark/>
          </w:tcPr>
          <w:p w14:paraId="2C666C8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16 525.7</w:t>
            </w:r>
          </w:p>
        </w:tc>
        <w:tc>
          <w:tcPr>
            <w:tcW w:w="1084" w:type="dxa"/>
            <w:noWrap/>
            <w:hideMark/>
          </w:tcPr>
          <w:p w14:paraId="705EE3F7"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683.7</w:t>
            </w:r>
          </w:p>
        </w:tc>
        <w:tc>
          <w:tcPr>
            <w:tcW w:w="1084" w:type="dxa"/>
            <w:noWrap/>
            <w:hideMark/>
          </w:tcPr>
          <w:p w14:paraId="035C61E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133.2</w:t>
            </w:r>
          </w:p>
        </w:tc>
        <w:tc>
          <w:tcPr>
            <w:tcW w:w="1039" w:type="dxa"/>
            <w:noWrap/>
            <w:hideMark/>
          </w:tcPr>
          <w:p w14:paraId="0A24DFC5"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4.3%</w:t>
            </w:r>
          </w:p>
        </w:tc>
        <w:tc>
          <w:tcPr>
            <w:tcW w:w="1225" w:type="dxa"/>
            <w:noWrap/>
            <w:hideMark/>
          </w:tcPr>
          <w:p w14:paraId="43A93DE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-0.8%</w:t>
            </w:r>
          </w:p>
        </w:tc>
      </w:tr>
      <w:tr w:rsidR="006C2EC0" w:rsidRPr="00490066" w14:paraId="2023F9B7" w14:textId="77777777" w:rsidTr="00490066">
        <w:trPr>
          <w:trHeight w:val="264"/>
        </w:trPr>
        <w:tc>
          <w:tcPr>
            <w:tcW w:w="2751" w:type="dxa"/>
            <w:tcBorders>
              <w:bottom w:val="single" w:sz="12" w:space="0" w:color="auto"/>
            </w:tcBorders>
            <w:noWrap/>
            <w:hideMark/>
          </w:tcPr>
          <w:p w14:paraId="2F1E27C7"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Rail Administration Support</w:t>
            </w:r>
          </w:p>
        </w:tc>
        <w:tc>
          <w:tcPr>
            <w:tcW w:w="937" w:type="dxa"/>
            <w:tcBorders>
              <w:bottom w:val="single" w:sz="12" w:space="0" w:color="auto"/>
            </w:tcBorders>
            <w:noWrap/>
            <w:hideMark/>
          </w:tcPr>
          <w:p w14:paraId="32E8D4E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5.4</w:t>
            </w:r>
          </w:p>
        </w:tc>
        <w:tc>
          <w:tcPr>
            <w:tcW w:w="937" w:type="dxa"/>
            <w:tcBorders>
              <w:bottom w:val="single" w:sz="12" w:space="0" w:color="auto"/>
            </w:tcBorders>
            <w:noWrap/>
            <w:hideMark/>
          </w:tcPr>
          <w:p w14:paraId="293BC8E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6.0</w:t>
            </w:r>
          </w:p>
        </w:tc>
        <w:tc>
          <w:tcPr>
            <w:tcW w:w="1084" w:type="dxa"/>
            <w:tcBorders>
              <w:bottom w:val="single" w:sz="12" w:space="0" w:color="auto"/>
            </w:tcBorders>
            <w:noWrap/>
            <w:hideMark/>
          </w:tcPr>
          <w:p w14:paraId="759727D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0.6</w:t>
            </w:r>
          </w:p>
        </w:tc>
        <w:tc>
          <w:tcPr>
            <w:tcW w:w="1084" w:type="dxa"/>
            <w:tcBorders>
              <w:bottom w:val="single" w:sz="12" w:space="0" w:color="auto"/>
            </w:tcBorders>
            <w:noWrap/>
            <w:hideMark/>
          </w:tcPr>
          <w:p w14:paraId="42E0992E"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0.3</w:t>
            </w:r>
          </w:p>
        </w:tc>
        <w:tc>
          <w:tcPr>
            <w:tcW w:w="1039" w:type="dxa"/>
            <w:tcBorders>
              <w:bottom w:val="single" w:sz="12" w:space="0" w:color="auto"/>
            </w:tcBorders>
            <w:noWrap/>
            <w:hideMark/>
          </w:tcPr>
          <w:p w14:paraId="3D61628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11.1%</w:t>
            </w:r>
          </w:p>
        </w:tc>
        <w:tc>
          <w:tcPr>
            <w:tcW w:w="1225" w:type="dxa"/>
            <w:tcBorders>
              <w:bottom w:val="single" w:sz="12" w:space="0" w:color="auto"/>
            </w:tcBorders>
            <w:noWrap/>
            <w:hideMark/>
          </w:tcPr>
          <w:p w14:paraId="5C0E0007"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5.6%</w:t>
            </w:r>
          </w:p>
        </w:tc>
      </w:tr>
      <w:tr w:rsidR="006C2EC0" w:rsidRPr="00490066" w14:paraId="673CDDE3" w14:textId="77777777" w:rsidTr="00490066">
        <w:trPr>
          <w:trHeight w:val="264"/>
        </w:trPr>
        <w:tc>
          <w:tcPr>
            <w:tcW w:w="2751" w:type="dxa"/>
            <w:tcBorders>
              <w:top w:val="single" w:sz="12" w:space="0" w:color="auto"/>
              <w:left w:val="single" w:sz="12" w:space="0" w:color="auto"/>
              <w:bottom w:val="single" w:sz="12" w:space="0" w:color="auto"/>
            </w:tcBorders>
            <w:shd w:val="pct15" w:color="auto" w:fill="auto"/>
            <w:noWrap/>
            <w:hideMark/>
          </w:tcPr>
          <w:p w14:paraId="1F2FADE9"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TOTAL</w:t>
            </w:r>
          </w:p>
        </w:tc>
        <w:tc>
          <w:tcPr>
            <w:tcW w:w="937" w:type="dxa"/>
            <w:tcBorders>
              <w:top w:val="single" w:sz="12" w:space="0" w:color="auto"/>
              <w:bottom w:val="single" w:sz="12" w:space="0" w:color="auto"/>
            </w:tcBorders>
            <w:shd w:val="pct15" w:color="auto" w:fill="auto"/>
            <w:noWrap/>
            <w:hideMark/>
          </w:tcPr>
          <w:p w14:paraId="032F819D" w14:textId="77777777" w:rsidR="006C2EC0" w:rsidRPr="00490066" w:rsidRDefault="006C2EC0" w:rsidP="00490066">
            <w:pPr>
              <w:spacing w:line="360" w:lineRule="auto"/>
              <w:jc w:val="both"/>
              <w:rPr>
                <w:rFonts w:ascii="Times New Roman" w:hAnsi="Times New Roman" w:cs="Times New Roman"/>
                <w:b/>
                <w:bCs/>
              </w:rPr>
            </w:pPr>
            <w:r w:rsidRPr="00490066">
              <w:rPr>
                <w:rFonts w:ascii="Times New Roman" w:hAnsi="Times New Roman" w:cs="Times New Roman"/>
                <w:b/>
                <w:bCs/>
              </w:rPr>
              <w:t>15 887.3</w:t>
            </w:r>
          </w:p>
        </w:tc>
        <w:tc>
          <w:tcPr>
            <w:tcW w:w="937" w:type="dxa"/>
            <w:tcBorders>
              <w:top w:val="single" w:sz="12" w:space="0" w:color="auto"/>
              <w:bottom w:val="single" w:sz="12" w:space="0" w:color="auto"/>
            </w:tcBorders>
            <w:shd w:val="pct15" w:color="auto" w:fill="auto"/>
            <w:noWrap/>
            <w:hideMark/>
          </w:tcPr>
          <w:p w14:paraId="508C1FD4" w14:textId="77777777" w:rsidR="006C2EC0" w:rsidRPr="00490066" w:rsidRDefault="006C2EC0" w:rsidP="00490066">
            <w:pPr>
              <w:spacing w:line="360" w:lineRule="auto"/>
              <w:jc w:val="both"/>
              <w:rPr>
                <w:rFonts w:ascii="Times New Roman" w:hAnsi="Times New Roman" w:cs="Times New Roman"/>
                <w:b/>
                <w:bCs/>
              </w:rPr>
            </w:pPr>
            <w:r w:rsidRPr="00490066">
              <w:rPr>
                <w:rFonts w:ascii="Times New Roman" w:hAnsi="Times New Roman" w:cs="Times New Roman"/>
                <w:b/>
                <w:bCs/>
              </w:rPr>
              <w:t>16 573.8</w:t>
            </w:r>
          </w:p>
        </w:tc>
        <w:tc>
          <w:tcPr>
            <w:tcW w:w="1084" w:type="dxa"/>
            <w:tcBorders>
              <w:top w:val="single" w:sz="12" w:space="0" w:color="auto"/>
              <w:bottom w:val="single" w:sz="12" w:space="0" w:color="auto"/>
            </w:tcBorders>
            <w:shd w:val="pct15" w:color="auto" w:fill="auto"/>
            <w:noWrap/>
            <w:hideMark/>
          </w:tcPr>
          <w:p w14:paraId="2AADDFE9" w14:textId="77777777" w:rsidR="006C2EC0" w:rsidRPr="00490066" w:rsidRDefault="006C2EC0" w:rsidP="00490066">
            <w:pPr>
              <w:spacing w:line="360" w:lineRule="auto"/>
              <w:jc w:val="both"/>
              <w:rPr>
                <w:rFonts w:ascii="Times New Roman" w:hAnsi="Times New Roman" w:cs="Times New Roman"/>
                <w:b/>
                <w:bCs/>
              </w:rPr>
            </w:pPr>
            <w:r w:rsidRPr="00490066">
              <w:rPr>
                <w:rFonts w:ascii="Times New Roman" w:hAnsi="Times New Roman" w:cs="Times New Roman"/>
                <w:b/>
                <w:bCs/>
              </w:rPr>
              <w:t xml:space="preserve">  686.5</w:t>
            </w:r>
          </w:p>
        </w:tc>
        <w:tc>
          <w:tcPr>
            <w:tcW w:w="1084" w:type="dxa"/>
            <w:tcBorders>
              <w:top w:val="single" w:sz="12" w:space="0" w:color="auto"/>
              <w:bottom w:val="single" w:sz="12" w:space="0" w:color="auto"/>
            </w:tcBorders>
            <w:shd w:val="pct15" w:color="auto" w:fill="auto"/>
            <w:noWrap/>
            <w:hideMark/>
          </w:tcPr>
          <w:p w14:paraId="6B73BA98"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  132.7</w:t>
            </w:r>
          </w:p>
        </w:tc>
        <w:tc>
          <w:tcPr>
            <w:tcW w:w="1039" w:type="dxa"/>
            <w:tcBorders>
              <w:top w:val="single" w:sz="12" w:space="0" w:color="auto"/>
              <w:bottom w:val="single" w:sz="12" w:space="0" w:color="auto"/>
            </w:tcBorders>
            <w:shd w:val="pct15" w:color="auto" w:fill="auto"/>
            <w:noWrap/>
            <w:hideMark/>
          </w:tcPr>
          <w:p w14:paraId="51CA47F6"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4.3%</w:t>
            </w:r>
          </w:p>
        </w:tc>
        <w:tc>
          <w:tcPr>
            <w:tcW w:w="1225" w:type="dxa"/>
            <w:tcBorders>
              <w:top w:val="single" w:sz="12" w:space="0" w:color="auto"/>
              <w:bottom w:val="single" w:sz="12" w:space="0" w:color="auto"/>
              <w:right w:val="single" w:sz="12" w:space="0" w:color="auto"/>
            </w:tcBorders>
            <w:shd w:val="pct15" w:color="auto" w:fill="auto"/>
            <w:noWrap/>
            <w:hideMark/>
          </w:tcPr>
          <w:p w14:paraId="58379430"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-0.8%</w:t>
            </w:r>
          </w:p>
        </w:tc>
      </w:tr>
    </w:tbl>
    <w:p w14:paraId="25192F4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b/>
        </w:rPr>
        <w:t>(Source: National Treasury (2019)</w:t>
      </w:r>
    </w:p>
    <w:p w14:paraId="52365F4C" w14:textId="77777777" w:rsidR="006C2EC0" w:rsidRPr="007457B1" w:rsidRDefault="006C2EC0" w:rsidP="00C07A5A">
      <w:pPr>
        <w:spacing w:line="360" w:lineRule="auto"/>
        <w:jc w:val="both"/>
        <w:rPr>
          <w:rFonts w:ascii="Times New Roman" w:hAnsi="Times New Roman" w:cs="Times New Roman"/>
          <w:sz w:val="24"/>
          <w:szCs w:val="24"/>
        </w:rPr>
      </w:pPr>
    </w:p>
    <w:p w14:paraId="0AF2D788"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Constituting 25.8</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xml:space="preserve"> of the Department’s budget, the Rail Transport programme is the second largest departmental spending area. The programme’s budget increases from R15.9 billion previously, to R16.6 billion in 2019/20. While this constitutes a nominal increase, when taking into account the effects of inflation (real terms), its allocation in fact declines with 0.8</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xml:space="preserve">. The </w:t>
      </w:r>
      <w:r w:rsidRPr="007457B1">
        <w:rPr>
          <w:rFonts w:ascii="Times New Roman" w:hAnsi="Times New Roman" w:cs="Times New Roman"/>
          <w:i/>
          <w:sz w:val="24"/>
          <w:szCs w:val="24"/>
        </w:rPr>
        <w:t>Rail Oversight</w:t>
      </w:r>
      <w:r w:rsidRPr="007457B1">
        <w:rPr>
          <w:rFonts w:ascii="Times New Roman" w:hAnsi="Times New Roman" w:cs="Times New Roman"/>
          <w:sz w:val="24"/>
          <w:szCs w:val="24"/>
        </w:rPr>
        <w:t xml:space="preserve"> sub-programme receives the biggest allocation of the programme’s budget, and increases from R15.8 billion previously to R16.5 billion in 2019/20. However, this increase is below inflation, and declines with -0.8</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xml:space="preserve"> (real terms) from its allocation in 2018/19. Transfers to PRASA to the value of R16.5 billion and R63.5 million to the Railway Safety Regulator (RSR) are funded from this sub-programme.</w:t>
      </w:r>
    </w:p>
    <w:p w14:paraId="2143259E"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 </w:t>
      </w:r>
    </w:p>
    <w:p w14:paraId="2806F47E"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Transfers to PRASA to the tune of R16.5 billion are divided up as per the tables below:</w:t>
      </w:r>
    </w:p>
    <w:p w14:paraId="2DDE544D" w14:textId="77777777" w:rsidR="006C2EC0" w:rsidRPr="007457B1" w:rsidRDefault="006C2EC0"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 xml:space="preserve">Table </w:t>
      </w:r>
      <w:r w:rsidR="00ED73A6" w:rsidRPr="007457B1">
        <w:rPr>
          <w:rFonts w:ascii="Times New Roman" w:hAnsi="Times New Roman" w:cs="Times New Roman"/>
          <w:b/>
          <w:sz w:val="24"/>
          <w:szCs w:val="24"/>
        </w:rPr>
        <w:t>8</w:t>
      </w:r>
      <w:r w:rsidRPr="007457B1">
        <w:rPr>
          <w:rFonts w:ascii="Times New Roman" w:hAnsi="Times New Roman" w:cs="Times New Roman"/>
          <w:b/>
          <w:sz w:val="24"/>
          <w:szCs w:val="24"/>
        </w:rPr>
        <w:t>: PRASA Transfers: Capital</w:t>
      </w:r>
    </w:p>
    <w:tbl>
      <w:tblPr>
        <w:tblStyle w:val="TableGrid"/>
        <w:tblW w:w="0" w:type="auto"/>
        <w:tblLook w:val="04A0" w:firstRow="1" w:lastRow="0" w:firstColumn="1" w:lastColumn="0" w:noHBand="0" w:noVBand="1"/>
      </w:tblPr>
      <w:tblGrid>
        <w:gridCol w:w="4508"/>
        <w:gridCol w:w="2281"/>
        <w:gridCol w:w="2227"/>
      </w:tblGrid>
      <w:tr w:rsidR="006C2EC0" w:rsidRPr="00490066" w14:paraId="038D9742" w14:textId="77777777" w:rsidTr="00AA480F">
        <w:trPr>
          <w:trHeight w:val="309"/>
          <w:tblHeader/>
        </w:trPr>
        <w:tc>
          <w:tcPr>
            <w:tcW w:w="4508" w:type="dxa"/>
            <w:vMerge w:val="restart"/>
            <w:tcBorders>
              <w:top w:val="single" w:sz="12" w:space="0" w:color="auto"/>
              <w:left w:val="single" w:sz="12" w:space="0" w:color="auto"/>
              <w:right w:val="single" w:sz="12" w:space="0" w:color="auto"/>
            </w:tcBorders>
            <w:shd w:val="pct15" w:color="auto" w:fill="auto"/>
          </w:tcPr>
          <w:p w14:paraId="4554CF3C"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Entity/Programme</w:t>
            </w:r>
          </w:p>
          <w:p w14:paraId="619F12A7" w14:textId="77777777" w:rsidR="006C2EC0" w:rsidRPr="00490066" w:rsidRDefault="006C2EC0" w:rsidP="00C07A5A">
            <w:pPr>
              <w:spacing w:line="360" w:lineRule="auto"/>
              <w:jc w:val="both"/>
              <w:rPr>
                <w:rFonts w:ascii="Times New Roman" w:hAnsi="Times New Roman" w:cs="Times New Roman"/>
                <w:b/>
              </w:rPr>
            </w:pPr>
          </w:p>
          <w:p w14:paraId="2E9B730D"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R million</w:t>
            </w:r>
          </w:p>
        </w:tc>
        <w:tc>
          <w:tcPr>
            <w:tcW w:w="4508" w:type="dxa"/>
            <w:gridSpan w:val="2"/>
            <w:tcBorders>
              <w:top w:val="single" w:sz="12" w:space="0" w:color="auto"/>
              <w:left w:val="single" w:sz="12" w:space="0" w:color="auto"/>
              <w:bottom w:val="single" w:sz="12" w:space="0" w:color="auto"/>
              <w:right w:val="single" w:sz="12" w:space="0" w:color="auto"/>
            </w:tcBorders>
            <w:shd w:val="pct15" w:color="auto" w:fill="auto"/>
          </w:tcPr>
          <w:p w14:paraId="1C998028"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 xml:space="preserve">                        Budget </w:t>
            </w:r>
          </w:p>
          <w:p w14:paraId="47D64E7B" w14:textId="77777777" w:rsidR="006C2EC0" w:rsidRPr="00490066" w:rsidRDefault="006C2EC0" w:rsidP="00C07A5A">
            <w:pPr>
              <w:spacing w:line="360" w:lineRule="auto"/>
              <w:jc w:val="both"/>
              <w:rPr>
                <w:rFonts w:ascii="Times New Roman" w:hAnsi="Times New Roman" w:cs="Times New Roman"/>
                <w:b/>
              </w:rPr>
            </w:pPr>
          </w:p>
        </w:tc>
      </w:tr>
      <w:tr w:rsidR="006C2EC0" w:rsidRPr="00490066" w14:paraId="2289094E" w14:textId="77777777" w:rsidTr="00AA480F">
        <w:trPr>
          <w:trHeight w:val="195"/>
          <w:tblHeader/>
        </w:trPr>
        <w:tc>
          <w:tcPr>
            <w:tcW w:w="4508" w:type="dxa"/>
            <w:vMerge/>
            <w:tcBorders>
              <w:left w:val="single" w:sz="12" w:space="0" w:color="auto"/>
              <w:right w:val="single" w:sz="12" w:space="0" w:color="auto"/>
            </w:tcBorders>
            <w:shd w:val="pct15" w:color="auto" w:fill="auto"/>
          </w:tcPr>
          <w:p w14:paraId="69F078E5" w14:textId="77777777" w:rsidR="006C2EC0" w:rsidRPr="00490066" w:rsidRDefault="006C2EC0" w:rsidP="00C07A5A">
            <w:pPr>
              <w:spacing w:line="360" w:lineRule="auto"/>
              <w:jc w:val="both"/>
              <w:rPr>
                <w:rFonts w:ascii="Times New Roman" w:hAnsi="Times New Roman" w:cs="Times New Roman"/>
                <w:b/>
              </w:rPr>
            </w:pPr>
          </w:p>
        </w:tc>
        <w:tc>
          <w:tcPr>
            <w:tcW w:w="2281" w:type="dxa"/>
            <w:tcBorders>
              <w:top w:val="single" w:sz="12" w:space="0" w:color="auto"/>
              <w:left w:val="single" w:sz="12" w:space="0" w:color="auto"/>
              <w:bottom w:val="single" w:sz="12" w:space="0" w:color="auto"/>
              <w:right w:val="single" w:sz="12" w:space="0" w:color="auto"/>
            </w:tcBorders>
            <w:shd w:val="pct15" w:color="auto" w:fill="auto"/>
          </w:tcPr>
          <w:p w14:paraId="495AD2B1"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2018/19</w:t>
            </w:r>
          </w:p>
        </w:tc>
        <w:tc>
          <w:tcPr>
            <w:tcW w:w="2227" w:type="dxa"/>
            <w:tcBorders>
              <w:top w:val="single" w:sz="12" w:space="0" w:color="auto"/>
              <w:left w:val="single" w:sz="12" w:space="0" w:color="auto"/>
              <w:bottom w:val="single" w:sz="12" w:space="0" w:color="auto"/>
              <w:right w:val="single" w:sz="12" w:space="0" w:color="auto"/>
            </w:tcBorders>
            <w:shd w:val="pct15" w:color="auto" w:fill="auto"/>
          </w:tcPr>
          <w:p w14:paraId="3C51A08D"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2019/20</w:t>
            </w:r>
          </w:p>
        </w:tc>
      </w:tr>
      <w:tr w:rsidR="006C2EC0" w:rsidRPr="00490066" w14:paraId="433F744F" w14:textId="77777777" w:rsidTr="00AA480F">
        <w:trPr>
          <w:trHeight w:val="195"/>
          <w:tblHeader/>
        </w:trPr>
        <w:tc>
          <w:tcPr>
            <w:tcW w:w="4508" w:type="dxa"/>
            <w:tcBorders>
              <w:left w:val="single" w:sz="12" w:space="0" w:color="auto"/>
              <w:right w:val="single" w:sz="12" w:space="0" w:color="auto"/>
            </w:tcBorders>
            <w:shd w:val="clear" w:color="auto" w:fill="auto"/>
          </w:tcPr>
          <w:p w14:paraId="7E36C522"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rPr>
              <w:t>PRASA: Capital</w:t>
            </w:r>
          </w:p>
        </w:tc>
        <w:tc>
          <w:tcPr>
            <w:tcW w:w="2281" w:type="dxa"/>
            <w:tcBorders>
              <w:top w:val="single" w:sz="12" w:space="0" w:color="auto"/>
              <w:left w:val="single" w:sz="12" w:space="0" w:color="auto"/>
              <w:bottom w:val="single" w:sz="12" w:space="0" w:color="auto"/>
              <w:right w:val="single" w:sz="12" w:space="0" w:color="auto"/>
            </w:tcBorders>
            <w:shd w:val="clear" w:color="auto" w:fill="auto"/>
          </w:tcPr>
          <w:p w14:paraId="1635945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R91.9 million</w:t>
            </w:r>
          </w:p>
        </w:tc>
        <w:tc>
          <w:tcPr>
            <w:tcW w:w="2227" w:type="dxa"/>
            <w:tcBorders>
              <w:top w:val="single" w:sz="12" w:space="0" w:color="auto"/>
              <w:left w:val="single" w:sz="12" w:space="0" w:color="auto"/>
              <w:bottom w:val="single" w:sz="12" w:space="0" w:color="auto"/>
              <w:right w:val="single" w:sz="12" w:space="0" w:color="auto"/>
            </w:tcBorders>
            <w:shd w:val="clear" w:color="auto" w:fill="auto"/>
          </w:tcPr>
          <w:p w14:paraId="208902DC"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rPr>
              <w:t>R600 million</w:t>
            </w:r>
          </w:p>
        </w:tc>
      </w:tr>
      <w:tr w:rsidR="006C2EC0" w:rsidRPr="00490066" w14:paraId="1FA98B67" w14:textId="77777777" w:rsidTr="00AA480F">
        <w:trPr>
          <w:trHeight w:val="195"/>
          <w:tblHeader/>
        </w:trPr>
        <w:tc>
          <w:tcPr>
            <w:tcW w:w="4508" w:type="dxa"/>
            <w:tcBorders>
              <w:left w:val="single" w:sz="12" w:space="0" w:color="auto"/>
              <w:right w:val="single" w:sz="12" w:space="0" w:color="auto"/>
            </w:tcBorders>
            <w:shd w:val="clear" w:color="auto" w:fill="auto"/>
          </w:tcPr>
          <w:p w14:paraId="745DD1FD"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PRASA: Rolling Stock Fleet Renewal</w:t>
            </w:r>
          </w:p>
        </w:tc>
        <w:tc>
          <w:tcPr>
            <w:tcW w:w="2281" w:type="dxa"/>
            <w:tcBorders>
              <w:top w:val="single" w:sz="12" w:space="0" w:color="auto"/>
              <w:left w:val="single" w:sz="12" w:space="0" w:color="auto"/>
              <w:bottom w:val="single" w:sz="12" w:space="0" w:color="auto"/>
              <w:right w:val="single" w:sz="12" w:space="0" w:color="auto"/>
            </w:tcBorders>
            <w:shd w:val="clear" w:color="auto" w:fill="auto"/>
          </w:tcPr>
          <w:p w14:paraId="4E4DC83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R4.7 billion</w:t>
            </w:r>
          </w:p>
        </w:tc>
        <w:tc>
          <w:tcPr>
            <w:tcW w:w="2227" w:type="dxa"/>
            <w:tcBorders>
              <w:top w:val="single" w:sz="12" w:space="0" w:color="auto"/>
              <w:left w:val="single" w:sz="12" w:space="0" w:color="auto"/>
              <w:bottom w:val="single" w:sz="12" w:space="0" w:color="auto"/>
              <w:right w:val="single" w:sz="12" w:space="0" w:color="auto"/>
            </w:tcBorders>
            <w:shd w:val="clear" w:color="auto" w:fill="auto"/>
          </w:tcPr>
          <w:p w14:paraId="19063EF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R5.8 billion</w:t>
            </w:r>
          </w:p>
        </w:tc>
      </w:tr>
      <w:tr w:rsidR="006C2EC0" w:rsidRPr="00490066" w14:paraId="41243B57" w14:textId="77777777" w:rsidTr="00AA480F">
        <w:trPr>
          <w:trHeight w:val="195"/>
          <w:tblHeader/>
        </w:trPr>
        <w:tc>
          <w:tcPr>
            <w:tcW w:w="4508" w:type="dxa"/>
            <w:tcBorders>
              <w:left w:val="single" w:sz="12" w:space="0" w:color="auto"/>
              <w:right w:val="single" w:sz="12" w:space="0" w:color="auto"/>
            </w:tcBorders>
            <w:shd w:val="clear" w:color="auto" w:fill="auto"/>
          </w:tcPr>
          <w:p w14:paraId="4655BED1"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PRASA: Signalling</w:t>
            </w:r>
          </w:p>
        </w:tc>
        <w:tc>
          <w:tcPr>
            <w:tcW w:w="2281" w:type="dxa"/>
            <w:tcBorders>
              <w:top w:val="single" w:sz="12" w:space="0" w:color="auto"/>
              <w:left w:val="single" w:sz="12" w:space="0" w:color="auto"/>
              <w:bottom w:val="single" w:sz="12" w:space="0" w:color="auto"/>
              <w:right w:val="single" w:sz="12" w:space="0" w:color="auto"/>
            </w:tcBorders>
            <w:shd w:val="clear" w:color="auto" w:fill="auto"/>
          </w:tcPr>
          <w:p w14:paraId="62862DF1"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R2.0 billion</w:t>
            </w:r>
          </w:p>
        </w:tc>
        <w:tc>
          <w:tcPr>
            <w:tcW w:w="2227" w:type="dxa"/>
            <w:tcBorders>
              <w:top w:val="single" w:sz="12" w:space="0" w:color="auto"/>
              <w:left w:val="single" w:sz="12" w:space="0" w:color="auto"/>
              <w:bottom w:val="single" w:sz="12" w:space="0" w:color="auto"/>
              <w:right w:val="single" w:sz="12" w:space="0" w:color="auto"/>
            </w:tcBorders>
            <w:shd w:val="clear" w:color="auto" w:fill="auto"/>
          </w:tcPr>
          <w:p w14:paraId="509D647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R2.1 billion</w:t>
            </w:r>
          </w:p>
        </w:tc>
      </w:tr>
      <w:tr w:rsidR="006C2EC0" w:rsidRPr="00490066" w14:paraId="590EDC82" w14:textId="77777777" w:rsidTr="00AA480F">
        <w:trPr>
          <w:trHeight w:val="195"/>
          <w:tblHeader/>
        </w:trPr>
        <w:tc>
          <w:tcPr>
            <w:tcW w:w="4508" w:type="dxa"/>
            <w:tcBorders>
              <w:left w:val="single" w:sz="12" w:space="0" w:color="auto"/>
              <w:right w:val="single" w:sz="12" w:space="0" w:color="auto"/>
            </w:tcBorders>
            <w:shd w:val="clear" w:color="auto" w:fill="auto"/>
          </w:tcPr>
          <w:p w14:paraId="26055A17"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PRASA: Metrorail (Refurbishment of caches)</w:t>
            </w:r>
          </w:p>
        </w:tc>
        <w:tc>
          <w:tcPr>
            <w:tcW w:w="2281" w:type="dxa"/>
            <w:tcBorders>
              <w:top w:val="single" w:sz="12" w:space="0" w:color="auto"/>
              <w:left w:val="single" w:sz="12" w:space="0" w:color="auto"/>
              <w:bottom w:val="single" w:sz="12" w:space="0" w:color="auto"/>
              <w:right w:val="single" w:sz="12" w:space="0" w:color="auto"/>
            </w:tcBorders>
            <w:shd w:val="clear" w:color="auto" w:fill="auto"/>
          </w:tcPr>
          <w:p w14:paraId="365DE3E5"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R1.4 billion</w:t>
            </w:r>
          </w:p>
        </w:tc>
        <w:tc>
          <w:tcPr>
            <w:tcW w:w="2227" w:type="dxa"/>
            <w:tcBorders>
              <w:top w:val="single" w:sz="12" w:space="0" w:color="auto"/>
              <w:left w:val="single" w:sz="12" w:space="0" w:color="auto"/>
              <w:bottom w:val="single" w:sz="12" w:space="0" w:color="auto"/>
              <w:right w:val="single" w:sz="12" w:space="0" w:color="auto"/>
            </w:tcBorders>
            <w:shd w:val="clear" w:color="auto" w:fill="auto"/>
          </w:tcPr>
          <w:p w14:paraId="4AFCA33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R1.5 billion</w:t>
            </w:r>
          </w:p>
        </w:tc>
      </w:tr>
      <w:tr w:rsidR="006C2EC0" w:rsidRPr="00490066" w14:paraId="001004EB" w14:textId="77777777" w:rsidTr="00AA480F">
        <w:trPr>
          <w:trHeight w:val="195"/>
          <w:tblHeader/>
        </w:trPr>
        <w:tc>
          <w:tcPr>
            <w:tcW w:w="4508" w:type="dxa"/>
            <w:tcBorders>
              <w:left w:val="single" w:sz="12" w:space="0" w:color="auto"/>
              <w:right w:val="single" w:sz="12" w:space="0" w:color="auto"/>
            </w:tcBorders>
            <w:shd w:val="clear" w:color="auto" w:fill="auto"/>
          </w:tcPr>
          <w:p w14:paraId="2A2E4B6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PRASA: Mainline Passenger Service (Refurbishment of coaches)</w:t>
            </w:r>
          </w:p>
        </w:tc>
        <w:tc>
          <w:tcPr>
            <w:tcW w:w="2281" w:type="dxa"/>
            <w:tcBorders>
              <w:top w:val="single" w:sz="12" w:space="0" w:color="auto"/>
              <w:left w:val="single" w:sz="12" w:space="0" w:color="auto"/>
              <w:bottom w:val="single" w:sz="12" w:space="0" w:color="auto"/>
              <w:right w:val="single" w:sz="12" w:space="0" w:color="auto"/>
            </w:tcBorders>
            <w:shd w:val="clear" w:color="auto" w:fill="auto"/>
          </w:tcPr>
          <w:p w14:paraId="4D0FA90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R160.2 million</w:t>
            </w:r>
          </w:p>
        </w:tc>
        <w:tc>
          <w:tcPr>
            <w:tcW w:w="2227" w:type="dxa"/>
            <w:tcBorders>
              <w:top w:val="single" w:sz="12" w:space="0" w:color="auto"/>
              <w:left w:val="single" w:sz="12" w:space="0" w:color="auto"/>
              <w:bottom w:val="single" w:sz="12" w:space="0" w:color="auto"/>
              <w:right w:val="single" w:sz="12" w:space="0" w:color="auto"/>
            </w:tcBorders>
            <w:shd w:val="clear" w:color="auto" w:fill="auto"/>
          </w:tcPr>
          <w:p w14:paraId="6CD34521"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R169.2 million</w:t>
            </w:r>
          </w:p>
        </w:tc>
      </w:tr>
      <w:tr w:rsidR="006C2EC0" w:rsidRPr="00490066" w14:paraId="56676F9E" w14:textId="77777777" w:rsidTr="00AA480F">
        <w:trPr>
          <w:trHeight w:val="195"/>
          <w:tblHeader/>
        </w:trPr>
        <w:tc>
          <w:tcPr>
            <w:tcW w:w="4508" w:type="dxa"/>
            <w:tcBorders>
              <w:left w:val="single" w:sz="12" w:space="0" w:color="auto"/>
              <w:bottom w:val="single" w:sz="12" w:space="0" w:color="auto"/>
              <w:right w:val="single" w:sz="12" w:space="0" w:color="auto"/>
            </w:tcBorders>
            <w:shd w:val="pct15" w:color="auto" w:fill="auto"/>
          </w:tcPr>
          <w:p w14:paraId="01995DA7"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b/>
              </w:rPr>
              <w:t>TOTAL</w:t>
            </w:r>
          </w:p>
        </w:tc>
        <w:tc>
          <w:tcPr>
            <w:tcW w:w="2281" w:type="dxa"/>
            <w:tcBorders>
              <w:top w:val="single" w:sz="12" w:space="0" w:color="auto"/>
              <w:left w:val="single" w:sz="12" w:space="0" w:color="auto"/>
              <w:bottom w:val="single" w:sz="12" w:space="0" w:color="auto"/>
              <w:right w:val="single" w:sz="12" w:space="0" w:color="auto"/>
            </w:tcBorders>
            <w:shd w:val="pct15" w:color="auto" w:fill="auto"/>
          </w:tcPr>
          <w:p w14:paraId="73AA7E92"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R8.4 billion</w:t>
            </w:r>
          </w:p>
        </w:tc>
        <w:tc>
          <w:tcPr>
            <w:tcW w:w="2227" w:type="dxa"/>
            <w:tcBorders>
              <w:top w:val="single" w:sz="12" w:space="0" w:color="auto"/>
              <w:left w:val="single" w:sz="12" w:space="0" w:color="auto"/>
              <w:bottom w:val="single" w:sz="12" w:space="0" w:color="auto"/>
              <w:right w:val="single" w:sz="12" w:space="0" w:color="auto"/>
            </w:tcBorders>
            <w:shd w:val="pct15" w:color="auto" w:fill="auto"/>
          </w:tcPr>
          <w:p w14:paraId="6EC6A9A7"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b/>
              </w:rPr>
              <w:t>R10.2 billion</w:t>
            </w:r>
          </w:p>
        </w:tc>
      </w:tr>
    </w:tbl>
    <w:p w14:paraId="5931D54A"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(Source: National Treasury (2019)</w:t>
      </w:r>
    </w:p>
    <w:p w14:paraId="67D0705E" w14:textId="77777777" w:rsidR="006C2EC0" w:rsidRPr="007457B1" w:rsidRDefault="006C2EC0" w:rsidP="00C07A5A">
      <w:pPr>
        <w:spacing w:line="360" w:lineRule="auto"/>
        <w:jc w:val="both"/>
        <w:rPr>
          <w:rFonts w:ascii="Times New Roman" w:hAnsi="Times New Roman" w:cs="Times New Roman"/>
          <w:b/>
          <w:sz w:val="24"/>
          <w:szCs w:val="24"/>
        </w:rPr>
      </w:pPr>
    </w:p>
    <w:p w14:paraId="4273A2FC" w14:textId="77777777" w:rsidR="006C2EC0" w:rsidRPr="007457B1" w:rsidRDefault="006C2EC0"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 xml:space="preserve">Table </w:t>
      </w:r>
      <w:r w:rsidR="00ED73A6" w:rsidRPr="007457B1">
        <w:rPr>
          <w:rFonts w:ascii="Times New Roman" w:hAnsi="Times New Roman" w:cs="Times New Roman"/>
          <w:b/>
          <w:sz w:val="24"/>
          <w:szCs w:val="24"/>
        </w:rPr>
        <w:t>9</w:t>
      </w:r>
      <w:r w:rsidRPr="007457B1">
        <w:rPr>
          <w:rFonts w:ascii="Times New Roman" w:hAnsi="Times New Roman" w:cs="Times New Roman"/>
          <w:b/>
          <w:sz w:val="24"/>
          <w:szCs w:val="24"/>
        </w:rPr>
        <w:t>: PRASA Transfers: Current</w:t>
      </w:r>
    </w:p>
    <w:tbl>
      <w:tblPr>
        <w:tblStyle w:val="TableGrid"/>
        <w:tblW w:w="0" w:type="auto"/>
        <w:tblLook w:val="04A0" w:firstRow="1" w:lastRow="0" w:firstColumn="1" w:lastColumn="0" w:noHBand="0" w:noVBand="1"/>
      </w:tblPr>
      <w:tblGrid>
        <w:gridCol w:w="4508"/>
        <w:gridCol w:w="2281"/>
        <w:gridCol w:w="2227"/>
      </w:tblGrid>
      <w:tr w:rsidR="006C2EC0" w:rsidRPr="00490066" w14:paraId="10CA3E22" w14:textId="77777777" w:rsidTr="00AA480F">
        <w:trPr>
          <w:trHeight w:val="309"/>
          <w:tblHeader/>
        </w:trPr>
        <w:tc>
          <w:tcPr>
            <w:tcW w:w="4508" w:type="dxa"/>
            <w:vMerge w:val="restart"/>
            <w:tcBorders>
              <w:top w:val="single" w:sz="12" w:space="0" w:color="auto"/>
              <w:left w:val="single" w:sz="12" w:space="0" w:color="auto"/>
              <w:right w:val="single" w:sz="12" w:space="0" w:color="auto"/>
            </w:tcBorders>
            <w:shd w:val="pct15" w:color="auto" w:fill="auto"/>
          </w:tcPr>
          <w:p w14:paraId="69407968"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Entity/Programme</w:t>
            </w:r>
          </w:p>
          <w:p w14:paraId="697E7F25" w14:textId="77777777" w:rsidR="006C2EC0" w:rsidRPr="00490066" w:rsidRDefault="006C2EC0" w:rsidP="00C07A5A">
            <w:pPr>
              <w:spacing w:line="360" w:lineRule="auto"/>
              <w:jc w:val="both"/>
              <w:rPr>
                <w:rFonts w:ascii="Times New Roman" w:hAnsi="Times New Roman" w:cs="Times New Roman"/>
                <w:b/>
              </w:rPr>
            </w:pPr>
          </w:p>
          <w:p w14:paraId="34E08BA7"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R million</w:t>
            </w:r>
          </w:p>
        </w:tc>
        <w:tc>
          <w:tcPr>
            <w:tcW w:w="4508" w:type="dxa"/>
            <w:gridSpan w:val="2"/>
            <w:tcBorders>
              <w:top w:val="single" w:sz="12" w:space="0" w:color="auto"/>
              <w:left w:val="single" w:sz="12" w:space="0" w:color="auto"/>
              <w:bottom w:val="single" w:sz="12" w:space="0" w:color="auto"/>
              <w:right w:val="single" w:sz="12" w:space="0" w:color="auto"/>
            </w:tcBorders>
            <w:shd w:val="pct15" w:color="auto" w:fill="auto"/>
          </w:tcPr>
          <w:p w14:paraId="255A5E03"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 xml:space="preserve">                        Budget </w:t>
            </w:r>
          </w:p>
          <w:p w14:paraId="16D5527D" w14:textId="77777777" w:rsidR="006C2EC0" w:rsidRPr="00490066" w:rsidRDefault="006C2EC0" w:rsidP="00C07A5A">
            <w:pPr>
              <w:spacing w:line="360" w:lineRule="auto"/>
              <w:jc w:val="both"/>
              <w:rPr>
                <w:rFonts w:ascii="Times New Roman" w:hAnsi="Times New Roman" w:cs="Times New Roman"/>
                <w:b/>
              </w:rPr>
            </w:pPr>
          </w:p>
        </w:tc>
      </w:tr>
      <w:tr w:rsidR="006C2EC0" w:rsidRPr="00490066" w14:paraId="582AF8DA" w14:textId="77777777" w:rsidTr="00AA480F">
        <w:trPr>
          <w:trHeight w:val="195"/>
          <w:tblHeader/>
        </w:trPr>
        <w:tc>
          <w:tcPr>
            <w:tcW w:w="4508" w:type="dxa"/>
            <w:vMerge/>
            <w:tcBorders>
              <w:left w:val="single" w:sz="12" w:space="0" w:color="auto"/>
              <w:right w:val="single" w:sz="12" w:space="0" w:color="auto"/>
            </w:tcBorders>
            <w:shd w:val="pct15" w:color="auto" w:fill="auto"/>
          </w:tcPr>
          <w:p w14:paraId="39BE6516" w14:textId="77777777" w:rsidR="006C2EC0" w:rsidRPr="00490066" w:rsidRDefault="006C2EC0" w:rsidP="00C07A5A">
            <w:pPr>
              <w:spacing w:line="360" w:lineRule="auto"/>
              <w:jc w:val="both"/>
              <w:rPr>
                <w:rFonts w:ascii="Times New Roman" w:hAnsi="Times New Roman" w:cs="Times New Roman"/>
                <w:b/>
              </w:rPr>
            </w:pPr>
          </w:p>
        </w:tc>
        <w:tc>
          <w:tcPr>
            <w:tcW w:w="2281" w:type="dxa"/>
            <w:tcBorders>
              <w:top w:val="single" w:sz="12" w:space="0" w:color="auto"/>
              <w:left w:val="single" w:sz="12" w:space="0" w:color="auto"/>
              <w:bottom w:val="single" w:sz="12" w:space="0" w:color="auto"/>
              <w:right w:val="single" w:sz="12" w:space="0" w:color="auto"/>
            </w:tcBorders>
            <w:shd w:val="pct15" w:color="auto" w:fill="auto"/>
          </w:tcPr>
          <w:p w14:paraId="5838C273"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2018/19</w:t>
            </w:r>
          </w:p>
        </w:tc>
        <w:tc>
          <w:tcPr>
            <w:tcW w:w="2227" w:type="dxa"/>
            <w:tcBorders>
              <w:top w:val="single" w:sz="12" w:space="0" w:color="auto"/>
              <w:left w:val="single" w:sz="12" w:space="0" w:color="auto"/>
              <w:bottom w:val="single" w:sz="12" w:space="0" w:color="auto"/>
              <w:right w:val="single" w:sz="12" w:space="0" w:color="auto"/>
            </w:tcBorders>
            <w:shd w:val="pct15" w:color="auto" w:fill="auto"/>
          </w:tcPr>
          <w:p w14:paraId="14889E3B"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2019/20</w:t>
            </w:r>
          </w:p>
        </w:tc>
      </w:tr>
      <w:tr w:rsidR="006C2EC0" w:rsidRPr="00490066" w14:paraId="0A89E90A" w14:textId="77777777" w:rsidTr="00AA480F">
        <w:trPr>
          <w:trHeight w:val="195"/>
          <w:tblHeader/>
        </w:trPr>
        <w:tc>
          <w:tcPr>
            <w:tcW w:w="4508" w:type="dxa"/>
            <w:tcBorders>
              <w:left w:val="single" w:sz="12" w:space="0" w:color="auto"/>
              <w:right w:val="single" w:sz="12" w:space="0" w:color="auto"/>
            </w:tcBorders>
            <w:shd w:val="clear" w:color="auto" w:fill="auto"/>
          </w:tcPr>
          <w:p w14:paraId="03999E9D"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PRASA: Rail maintenance operations and inventories</w:t>
            </w:r>
          </w:p>
        </w:tc>
        <w:tc>
          <w:tcPr>
            <w:tcW w:w="2281" w:type="dxa"/>
            <w:tcBorders>
              <w:top w:val="single" w:sz="12" w:space="0" w:color="auto"/>
              <w:left w:val="single" w:sz="12" w:space="0" w:color="auto"/>
              <w:bottom w:val="single" w:sz="12" w:space="0" w:color="auto"/>
              <w:right w:val="single" w:sz="12" w:space="0" w:color="auto"/>
            </w:tcBorders>
            <w:shd w:val="clear" w:color="auto" w:fill="auto"/>
          </w:tcPr>
          <w:p w14:paraId="3766913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R1.2 billion</w:t>
            </w:r>
          </w:p>
        </w:tc>
        <w:tc>
          <w:tcPr>
            <w:tcW w:w="2227" w:type="dxa"/>
            <w:tcBorders>
              <w:top w:val="single" w:sz="12" w:space="0" w:color="auto"/>
              <w:left w:val="single" w:sz="12" w:space="0" w:color="auto"/>
              <w:bottom w:val="single" w:sz="12" w:space="0" w:color="auto"/>
              <w:right w:val="single" w:sz="12" w:space="0" w:color="auto"/>
            </w:tcBorders>
            <w:shd w:val="clear" w:color="auto" w:fill="auto"/>
          </w:tcPr>
          <w:p w14:paraId="74DE2DA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R811 million</w:t>
            </w:r>
          </w:p>
        </w:tc>
      </w:tr>
      <w:tr w:rsidR="006C2EC0" w:rsidRPr="00490066" w14:paraId="2E1555CF" w14:textId="77777777" w:rsidTr="00AA480F">
        <w:trPr>
          <w:trHeight w:val="195"/>
          <w:tblHeader/>
        </w:trPr>
        <w:tc>
          <w:tcPr>
            <w:tcW w:w="4508" w:type="dxa"/>
            <w:tcBorders>
              <w:left w:val="single" w:sz="12" w:space="0" w:color="auto"/>
              <w:right w:val="single" w:sz="12" w:space="0" w:color="auto"/>
            </w:tcBorders>
            <w:shd w:val="clear" w:color="auto" w:fill="auto"/>
          </w:tcPr>
          <w:p w14:paraId="67BDCCDE"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PRASA: Metrorail (Operations)</w:t>
            </w:r>
          </w:p>
        </w:tc>
        <w:tc>
          <w:tcPr>
            <w:tcW w:w="2281" w:type="dxa"/>
            <w:tcBorders>
              <w:top w:val="single" w:sz="12" w:space="0" w:color="auto"/>
              <w:left w:val="single" w:sz="12" w:space="0" w:color="auto"/>
              <w:bottom w:val="single" w:sz="12" w:space="0" w:color="auto"/>
              <w:right w:val="single" w:sz="12" w:space="0" w:color="auto"/>
            </w:tcBorders>
            <w:shd w:val="clear" w:color="auto" w:fill="auto"/>
          </w:tcPr>
          <w:p w14:paraId="77694F3D"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R4.6 billion</w:t>
            </w:r>
          </w:p>
        </w:tc>
        <w:tc>
          <w:tcPr>
            <w:tcW w:w="2227" w:type="dxa"/>
            <w:tcBorders>
              <w:top w:val="single" w:sz="12" w:space="0" w:color="auto"/>
              <w:left w:val="single" w:sz="12" w:space="0" w:color="auto"/>
              <w:bottom w:val="single" w:sz="12" w:space="0" w:color="auto"/>
              <w:right w:val="single" w:sz="12" w:space="0" w:color="auto"/>
            </w:tcBorders>
            <w:shd w:val="clear" w:color="auto" w:fill="auto"/>
          </w:tcPr>
          <w:p w14:paraId="1E11DB4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R4.4 billion</w:t>
            </w:r>
          </w:p>
        </w:tc>
      </w:tr>
      <w:tr w:rsidR="006C2EC0" w:rsidRPr="00490066" w14:paraId="07A5109C" w14:textId="77777777" w:rsidTr="00AA480F">
        <w:trPr>
          <w:trHeight w:val="195"/>
          <w:tblHeader/>
        </w:trPr>
        <w:tc>
          <w:tcPr>
            <w:tcW w:w="4508" w:type="dxa"/>
            <w:tcBorders>
              <w:left w:val="single" w:sz="12" w:space="0" w:color="auto"/>
              <w:right w:val="single" w:sz="12" w:space="0" w:color="auto"/>
            </w:tcBorders>
            <w:shd w:val="clear" w:color="auto" w:fill="auto"/>
          </w:tcPr>
          <w:p w14:paraId="0389B015"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PRASA: Mainline Passenger Services (Operations)</w:t>
            </w:r>
          </w:p>
        </w:tc>
        <w:tc>
          <w:tcPr>
            <w:tcW w:w="2281" w:type="dxa"/>
            <w:tcBorders>
              <w:top w:val="single" w:sz="12" w:space="0" w:color="auto"/>
              <w:left w:val="single" w:sz="12" w:space="0" w:color="auto"/>
              <w:bottom w:val="single" w:sz="12" w:space="0" w:color="auto"/>
              <w:right w:val="single" w:sz="12" w:space="0" w:color="auto"/>
            </w:tcBorders>
            <w:shd w:val="clear" w:color="auto" w:fill="auto"/>
          </w:tcPr>
          <w:p w14:paraId="5434CCD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R1.6 billion</w:t>
            </w:r>
          </w:p>
        </w:tc>
        <w:tc>
          <w:tcPr>
            <w:tcW w:w="2227" w:type="dxa"/>
            <w:tcBorders>
              <w:top w:val="single" w:sz="12" w:space="0" w:color="auto"/>
              <w:left w:val="single" w:sz="12" w:space="0" w:color="auto"/>
              <w:bottom w:val="single" w:sz="12" w:space="0" w:color="auto"/>
              <w:right w:val="single" w:sz="12" w:space="0" w:color="auto"/>
            </w:tcBorders>
            <w:shd w:val="clear" w:color="auto" w:fill="auto"/>
          </w:tcPr>
          <w:p w14:paraId="08A39C05"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R1.1 billion</w:t>
            </w:r>
          </w:p>
        </w:tc>
      </w:tr>
      <w:tr w:rsidR="006C2EC0" w:rsidRPr="00490066" w14:paraId="5175239B" w14:textId="77777777" w:rsidTr="00AA480F">
        <w:trPr>
          <w:trHeight w:val="195"/>
          <w:tblHeader/>
        </w:trPr>
        <w:tc>
          <w:tcPr>
            <w:tcW w:w="4508" w:type="dxa"/>
            <w:tcBorders>
              <w:left w:val="single" w:sz="12" w:space="0" w:color="auto"/>
              <w:right w:val="single" w:sz="12" w:space="0" w:color="auto"/>
            </w:tcBorders>
            <w:shd w:val="pct15" w:color="auto" w:fill="auto"/>
          </w:tcPr>
          <w:p w14:paraId="627AEB44"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TOTAL</w:t>
            </w:r>
          </w:p>
        </w:tc>
        <w:tc>
          <w:tcPr>
            <w:tcW w:w="2281" w:type="dxa"/>
            <w:tcBorders>
              <w:top w:val="single" w:sz="12" w:space="0" w:color="auto"/>
              <w:left w:val="single" w:sz="12" w:space="0" w:color="auto"/>
              <w:bottom w:val="single" w:sz="12" w:space="0" w:color="auto"/>
              <w:right w:val="single" w:sz="12" w:space="0" w:color="auto"/>
            </w:tcBorders>
            <w:shd w:val="pct15" w:color="auto" w:fill="auto"/>
          </w:tcPr>
          <w:p w14:paraId="20A06B31"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R7.4 billion</w:t>
            </w:r>
          </w:p>
        </w:tc>
        <w:tc>
          <w:tcPr>
            <w:tcW w:w="2227" w:type="dxa"/>
            <w:tcBorders>
              <w:top w:val="single" w:sz="12" w:space="0" w:color="auto"/>
              <w:left w:val="single" w:sz="12" w:space="0" w:color="auto"/>
              <w:bottom w:val="single" w:sz="12" w:space="0" w:color="auto"/>
              <w:right w:val="single" w:sz="12" w:space="0" w:color="auto"/>
            </w:tcBorders>
            <w:shd w:val="pct15" w:color="auto" w:fill="auto"/>
          </w:tcPr>
          <w:p w14:paraId="453D085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b/>
              </w:rPr>
              <w:t>R6.3 billion</w:t>
            </w:r>
          </w:p>
        </w:tc>
      </w:tr>
    </w:tbl>
    <w:p w14:paraId="15E3C7C7"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(Source: National Treasury (2019)</w:t>
      </w:r>
    </w:p>
    <w:p w14:paraId="5E73E84B" w14:textId="77777777" w:rsidR="006C2EC0" w:rsidRPr="007457B1" w:rsidRDefault="006C2EC0" w:rsidP="00C07A5A">
      <w:pPr>
        <w:spacing w:line="360" w:lineRule="auto"/>
        <w:jc w:val="both"/>
        <w:rPr>
          <w:rFonts w:ascii="Times New Roman" w:hAnsi="Times New Roman" w:cs="Times New Roman"/>
          <w:sz w:val="24"/>
          <w:szCs w:val="24"/>
        </w:rPr>
      </w:pPr>
    </w:p>
    <w:p w14:paraId="1FA37EA2" w14:textId="77777777" w:rsidR="006C2EC0" w:rsidRPr="007457B1" w:rsidRDefault="006C2EC0" w:rsidP="00C07A5A">
      <w:pPr>
        <w:spacing w:line="360" w:lineRule="auto"/>
        <w:jc w:val="both"/>
        <w:rPr>
          <w:rFonts w:ascii="Times New Roman" w:hAnsi="Times New Roman" w:cs="Times New Roman"/>
          <w:b/>
          <w:i/>
          <w:sz w:val="24"/>
          <w:szCs w:val="24"/>
        </w:rPr>
      </w:pPr>
      <w:r w:rsidRPr="007457B1">
        <w:rPr>
          <w:rFonts w:ascii="Times New Roman" w:hAnsi="Times New Roman" w:cs="Times New Roman"/>
          <w:b/>
          <w:i/>
          <w:sz w:val="24"/>
          <w:szCs w:val="24"/>
        </w:rPr>
        <w:t>5.1.4 Programme 4: Road Transport</w:t>
      </w:r>
    </w:p>
    <w:p w14:paraId="5E3DCA37" w14:textId="77777777" w:rsidR="006C2EC0" w:rsidRPr="007457B1" w:rsidRDefault="006C2EC0" w:rsidP="00C07A5A">
      <w:pPr>
        <w:spacing w:line="360" w:lineRule="auto"/>
        <w:jc w:val="both"/>
        <w:rPr>
          <w:rFonts w:ascii="Times New Roman" w:hAnsi="Times New Roman" w:cs="Times New Roman"/>
          <w:b/>
          <w:color w:val="525252" w:themeColor="accent3" w:themeShade="80"/>
          <w:sz w:val="24"/>
          <w:szCs w:val="24"/>
        </w:rPr>
      </w:pPr>
    </w:p>
    <w:p w14:paraId="0383971F" w14:textId="77777777" w:rsidR="006C2EC0" w:rsidRPr="007457B1" w:rsidRDefault="006C2EC0" w:rsidP="00C07A5A">
      <w:pPr>
        <w:tabs>
          <w:tab w:val="left" w:pos="1968"/>
        </w:tabs>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Road Transport programme is entrusted with developing and managing an integrated road infrastructure network, as well as regulating transport and ensuring safer roads. Moreover, it oversees road transport public entities. The programme is divided into five sub-programmes.</w:t>
      </w:r>
    </w:p>
    <w:p w14:paraId="6A492C64" w14:textId="77777777" w:rsidR="006C2EC0" w:rsidRPr="007457B1" w:rsidRDefault="006C2EC0" w:rsidP="00C07A5A">
      <w:pPr>
        <w:spacing w:line="360" w:lineRule="auto"/>
        <w:jc w:val="both"/>
        <w:rPr>
          <w:rFonts w:ascii="Times New Roman" w:hAnsi="Times New Roman" w:cs="Times New Roman"/>
          <w:b/>
          <w:color w:val="525252" w:themeColor="accent3" w:themeShade="80"/>
          <w:sz w:val="24"/>
          <w:szCs w:val="24"/>
        </w:rPr>
      </w:pPr>
    </w:p>
    <w:p w14:paraId="1438F802" w14:textId="77777777" w:rsidR="006C2EC0" w:rsidRPr="007457B1" w:rsidRDefault="006C2EC0"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 xml:space="preserve">Table </w:t>
      </w:r>
      <w:r w:rsidR="00ED73A6" w:rsidRPr="007457B1">
        <w:rPr>
          <w:rFonts w:ascii="Times New Roman" w:hAnsi="Times New Roman" w:cs="Times New Roman"/>
          <w:b/>
          <w:sz w:val="24"/>
          <w:szCs w:val="24"/>
        </w:rPr>
        <w:t>10</w:t>
      </w:r>
      <w:r w:rsidRPr="007457B1">
        <w:rPr>
          <w:rFonts w:ascii="Times New Roman" w:hAnsi="Times New Roman" w:cs="Times New Roman"/>
          <w:b/>
          <w:sz w:val="24"/>
          <w:szCs w:val="24"/>
        </w:rPr>
        <w:t>: Programme 4: Road Transport</w:t>
      </w:r>
    </w:p>
    <w:tbl>
      <w:tblPr>
        <w:tblStyle w:val="TableGrid"/>
        <w:tblW w:w="0" w:type="auto"/>
        <w:tblLayout w:type="fixed"/>
        <w:tblLook w:val="04A0" w:firstRow="1" w:lastRow="0" w:firstColumn="1" w:lastColumn="0" w:noHBand="0" w:noVBand="1"/>
      </w:tblPr>
      <w:tblGrid>
        <w:gridCol w:w="2679"/>
        <w:gridCol w:w="1134"/>
        <w:gridCol w:w="1134"/>
        <w:gridCol w:w="1195"/>
        <w:gridCol w:w="1214"/>
        <w:gridCol w:w="1135"/>
        <w:gridCol w:w="1117"/>
      </w:tblGrid>
      <w:tr w:rsidR="006C2EC0" w:rsidRPr="00490066" w14:paraId="15E3ADF9" w14:textId="77777777" w:rsidTr="00AA480F">
        <w:trPr>
          <w:trHeight w:val="765"/>
        </w:trPr>
        <w:tc>
          <w:tcPr>
            <w:tcW w:w="2679" w:type="dxa"/>
            <w:tcBorders>
              <w:top w:val="single" w:sz="12" w:space="0" w:color="auto"/>
              <w:left w:val="single" w:sz="12" w:space="0" w:color="auto"/>
              <w:bottom w:val="single" w:sz="4" w:space="0" w:color="auto"/>
            </w:tcBorders>
            <w:shd w:val="pct15" w:color="auto" w:fill="auto"/>
            <w:noWrap/>
            <w:hideMark/>
          </w:tcPr>
          <w:p w14:paraId="688F2BFB"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Programme</w:t>
            </w:r>
          </w:p>
        </w:tc>
        <w:tc>
          <w:tcPr>
            <w:tcW w:w="2268" w:type="dxa"/>
            <w:gridSpan w:val="2"/>
            <w:tcBorders>
              <w:top w:val="single" w:sz="12" w:space="0" w:color="auto"/>
              <w:bottom w:val="single" w:sz="4" w:space="0" w:color="auto"/>
            </w:tcBorders>
            <w:shd w:val="pct15" w:color="auto" w:fill="auto"/>
            <w:hideMark/>
          </w:tcPr>
          <w:p w14:paraId="5797326B"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Budget</w:t>
            </w:r>
          </w:p>
        </w:tc>
        <w:tc>
          <w:tcPr>
            <w:tcW w:w="1195" w:type="dxa"/>
            <w:vMerge w:val="restart"/>
            <w:tcBorders>
              <w:top w:val="single" w:sz="12" w:space="0" w:color="auto"/>
            </w:tcBorders>
            <w:shd w:val="pct15" w:color="auto" w:fill="auto"/>
            <w:hideMark/>
          </w:tcPr>
          <w:p w14:paraId="5E7624D6"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Nominal Increase/ Decrease in 2019/20</w:t>
            </w:r>
          </w:p>
        </w:tc>
        <w:tc>
          <w:tcPr>
            <w:tcW w:w="1214" w:type="dxa"/>
            <w:vMerge w:val="restart"/>
            <w:tcBorders>
              <w:top w:val="single" w:sz="12" w:space="0" w:color="auto"/>
            </w:tcBorders>
            <w:shd w:val="pct15" w:color="auto" w:fill="auto"/>
            <w:hideMark/>
          </w:tcPr>
          <w:p w14:paraId="75700A25"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Real Increase/ Decrease in 2019/20</w:t>
            </w:r>
          </w:p>
        </w:tc>
        <w:tc>
          <w:tcPr>
            <w:tcW w:w="1135" w:type="dxa"/>
            <w:vMerge w:val="restart"/>
            <w:tcBorders>
              <w:top w:val="single" w:sz="12" w:space="0" w:color="auto"/>
            </w:tcBorders>
            <w:shd w:val="pct15" w:color="auto" w:fill="auto"/>
            <w:hideMark/>
          </w:tcPr>
          <w:p w14:paraId="66421690"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Nominal Percent change in 2019/20</w:t>
            </w:r>
          </w:p>
        </w:tc>
        <w:tc>
          <w:tcPr>
            <w:tcW w:w="1117" w:type="dxa"/>
            <w:vMerge w:val="restart"/>
            <w:tcBorders>
              <w:top w:val="single" w:sz="12" w:space="0" w:color="auto"/>
              <w:right w:val="single" w:sz="12" w:space="0" w:color="auto"/>
            </w:tcBorders>
            <w:shd w:val="pct15" w:color="auto" w:fill="auto"/>
            <w:hideMark/>
          </w:tcPr>
          <w:p w14:paraId="10688C86"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Real Percent change in 2019/20</w:t>
            </w:r>
          </w:p>
        </w:tc>
      </w:tr>
      <w:tr w:rsidR="006C2EC0" w:rsidRPr="00490066" w14:paraId="2CC0F981" w14:textId="77777777" w:rsidTr="00AA480F">
        <w:trPr>
          <w:trHeight w:val="264"/>
        </w:trPr>
        <w:tc>
          <w:tcPr>
            <w:tcW w:w="2679" w:type="dxa"/>
            <w:tcBorders>
              <w:left w:val="single" w:sz="12" w:space="0" w:color="auto"/>
              <w:bottom w:val="single" w:sz="12" w:space="0" w:color="auto"/>
            </w:tcBorders>
            <w:shd w:val="pct15" w:color="auto" w:fill="auto"/>
            <w:noWrap/>
            <w:hideMark/>
          </w:tcPr>
          <w:p w14:paraId="5A95F343"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R million</w:t>
            </w:r>
          </w:p>
        </w:tc>
        <w:tc>
          <w:tcPr>
            <w:tcW w:w="1134" w:type="dxa"/>
            <w:tcBorders>
              <w:bottom w:val="single" w:sz="12" w:space="0" w:color="auto"/>
            </w:tcBorders>
            <w:shd w:val="pct15" w:color="auto" w:fill="auto"/>
            <w:noWrap/>
            <w:hideMark/>
          </w:tcPr>
          <w:p w14:paraId="45A227F5"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2018/19</w:t>
            </w:r>
          </w:p>
        </w:tc>
        <w:tc>
          <w:tcPr>
            <w:tcW w:w="1134" w:type="dxa"/>
            <w:tcBorders>
              <w:bottom w:val="single" w:sz="12" w:space="0" w:color="auto"/>
            </w:tcBorders>
            <w:shd w:val="pct15" w:color="auto" w:fill="auto"/>
            <w:noWrap/>
            <w:hideMark/>
          </w:tcPr>
          <w:p w14:paraId="78E3BAF1"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2019/20</w:t>
            </w:r>
          </w:p>
        </w:tc>
        <w:tc>
          <w:tcPr>
            <w:tcW w:w="1195" w:type="dxa"/>
            <w:vMerge/>
            <w:tcBorders>
              <w:bottom w:val="single" w:sz="12" w:space="0" w:color="auto"/>
            </w:tcBorders>
            <w:hideMark/>
          </w:tcPr>
          <w:p w14:paraId="5387A0B1" w14:textId="77777777" w:rsidR="006C2EC0" w:rsidRPr="00490066" w:rsidRDefault="006C2EC0" w:rsidP="00C07A5A">
            <w:pPr>
              <w:spacing w:line="360" w:lineRule="auto"/>
              <w:jc w:val="both"/>
              <w:rPr>
                <w:rFonts w:ascii="Times New Roman" w:hAnsi="Times New Roman" w:cs="Times New Roman"/>
                <w:b/>
                <w:bCs/>
              </w:rPr>
            </w:pPr>
          </w:p>
        </w:tc>
        <w:tc>
          <w:tcPr>
            <w:tcW w:w="1214" w:type="dxa"/>
            <w:vMerge/>
            <w:tcBorders>
              <w:bottom w:val="single" w:sz="12" w:space="0" w:color="auto"/>
            </w:tcBorders>
            <w:hideMark/>
          </w:tcPr>
          <w:p w14:paraId="152C8AEF" w14:textId="77777777" w:rsidR="006C2EC0" w:rsidRPr="00490066" w:rsidRDefault="006C2EC0" w:rsidP="00C07A5A">
            <w:pPr>
              <w:spacing w:line="360" w:lineRule="auto"/>
              <w:jc w:val="both"/>
              <w:rPr>
                <w:rFonts w:ascii="Times New Roman" w:hAnsi="Times New Roman" w:cs="Times New Roman"/>
                <w:b/>
                <w:bCs/>
              </w:rPr>
            </w:pPr>
          </w:p>
        </w:tc>
        <w:tc>
          <w:tcPr>
            <w:tcW w:w="1135" w:type="dxa"/>
            <w:vMerge/>
            <w:tcBorders>
              <w:bottom w:val="single" w:sz="12" w:space="0" w:color="auto"/>
            </w:tcBorders>
            <w:hideMark/>
          </w:tcPr>
          <w:p w14:paraId="68DAA420" w14:textId="77777777" w:rsidR="006C2EC0" w:rsidRPr="00490066" w:rsidRDefault="006C2EC0" w:rsidP="00C07A5A">
            <w:pPr>
              <w:spacing w:line="360" w:lineRule="auto"/>
              <w:jc w:val="both"/>
              <w:rPr>
                <w:rFonts w:ascii="Times New Roman" w:hAnsi="Times New Roman" w:cs="Times New Roman"/>
                <w:b/>
                <w:bCs/>
              </w:rPr>
            </w:pPr>
          </w:p>
        </w:tc>
        <w:tc>
          <w:tcPr>
            <w:tcW w:w="1117" w:type="dxa"/>
            <w:vMerge/>
            <w:tcBorders>
              <w:bottom w:val="single" w:sz="12" w:space="0" w:color="auto"/>
              <w:right w:val="single" w:sz="12" w:space="0" w:color="auto"/>
            </w:tcBorders>
            <w:hideMark/>
          </w:tcPr>
          <w:p w14:paraId="26D74D66" w14:textId="77777777" w:rsidR="006C2EC0" w:rsidRPr="00490066" w:rsidRDefault="006C2EC0" w:rsidP="00C07A5A">
            <w:pPr>
              <w:spacing w:line="360" w:lineRule="auto"/>
              <w:jc w:val="both"/>
              <w:rPr>
                <w:rFonts w:ascii="Times New Roman" w:hAnsi="Times New Roman" w:cs="Times New Roman"/>
                <w:b/>
                <w:bCs/>
              </w:rPr>
            </w:pPr>
          </w:p>
        </w:tc>
      </w:tr>
      <w:tr w:rsidR="006C2EC0" w:rsidRPr="00490066" w14:paraId="34F8A878" w14:textId="77777777" w:rsidTr="00AA480F">
        <w:trPr>
          <w:trHeight w:val="264"/>
        </w:trPr>
        <w:tc>
          <w:tcPr>
            <w:tcW w:w="2679" w:type="dxa"/>
            <w:tcBorders>
              <w:top w:val="single" w:sz="12" w:space="0" w:color="auto"/>
            </w:tcBorders>
            <w:noWrap/>
            <w:hideMark/>
          </w:tcPr>
          <w:p w14:paraId="02308D3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Road Regulation</w:t>
            </w:r>
          </w:p>
        </w:tc>
        <w:tc>
          <w:tcPr>
            <w:tcW w:w="1134" w:type="dxa"/>
            <w:tcBorders>
              <w:top w:val="single" w:sz="12" w:space="0" w:color="auto"/>
            </w:tcBorders>
            <w:noWrap/>
            <w:hideMark/>
          </w:tcPr>
          <w:p w14:paraId="1BA6A8DD"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42.3</w:t>
            </w:r>
          </w:p>
        </w:tc>
        <w:tc>
          <w:tcPr>
            <w:tcW w:w="1134" w:type="dxa"/>
            <w:tcBorders>
              <w:top w:val="single" w:sz="12" w:space="0" w:color="auto"/>
            </w:tcBorders>
            <w:noWrap/>
            <w:hideMark/>
          </w:tcPr>
          <w:p w14:paraId="63A8E201"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45.0</w:t>
            </w:r>
          </w:p>
        </w:tc>
        <w:tc>
          <w:tcPr>
            <w:tcW w:w="1195" w:type="dxa"/>
            <w:tcBorders>
              <w:top w:val="single" w:sz="12" w:space="0" w:color="auto"/>
            </w:tcBorders>
            <w:noWrap/>
            <w:hideMark/>
          </w:tcPr>
          <w:p w14:paraId="60F3284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2.7</w:t>
            </w:r>
          </w:p>
        </w:tc>
        <w:tc>
          <w:tcPr>
            <w:tcW w:w="1214" w:type="dxa"/>
            <w:tcBorders>
              <w:top w:val="single" w:sz="12" w:space="0" w:color="auto"/>
            </w:tcBorders>
            <w:noWrap/>
            <w:hideMark/>
          </w:tcPr>
          <w:p w14:paraId="6B5D763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0.5</w:t>
            </w:r>
          </w:p>
        </w:tc>
        <w:tc>
          <w:tcPr>
            <w:tcW w:w="1135" w:type="dxa"/>
            <w:tcBorders>
              <w:top w:val="single" w:sz="12" w:space="0" w:color="auto"/>
            </w:tcBorders>
            <w:noWrap/>
            <w:hideMark/>
          </w:tcPr>
          <w:p w14:paraId="7B8E4725"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6.4%</w:t>
            </w:r>
          </w:p>
        </w:tc>
        <w:tc>
          <w:tcPr>
            <w:tcW w:w="1117" w:type="dxa"/>
            <w:tcBorders>
              <w:top w:val="single" w:sz="12" w:space="0" w:color="auto"/>
            </w:tcBorders>
            <w:noWrap/>
            <w:hideMark/>
          </w:tcPr>
          <w:p w14:paraId="1C4C44D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1.1%</w:t>
            </w:r>
          </w:p>
        </w:tc>
      </w:tr>
      <w:tr w:rsidR="006C2EC0" w:rsidRPr="00490066" w14:paraId="06B267E5" w14:textId="77777777" w:rsidTr="00AA480F">
        <w:trPr>
          <w:trHeight w:val="264"/>
        </w:trPr>
        <w:tc>
          <w:tcPr>
            <w:tcW w:w="2679" w:type="dxa"/>
            <w:noWrap/>
            <w:hideMark/>
          </w:tcPr>
          <w:p w14:paraId="4263D351"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Road Infrastructure and Industry Development</w:t>
            </w:r>
          </w:p>
        </w:tc>
        <w:tc>
          <w:tcPr>
            <w:tcW w:w="1134" w:type="dxa"/>
            <w:noWrap/>
            <w:hideMark/>
          </w:tcPr>
          <w:p w14:paraId="0AAEAE75"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33.9</w:t>
            </w:r>
          </w:p>
        </w:tc>
        <w:tc>
          <w:tcPr>
            <w:tcW w:w="1134" w:type="dxa"/>
            <w:noWrap/>
            <w:hideMark/>
          </w:tcPr>
          <w:p w14:paraId="6A6784C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36.1</w:t>
            </w:r>
          </w:p>
        </w:tc>
        <w:tc>
          <w:tcPr>
            <w:tcW w:w="1195" w:type="dxa"/>
            <w:noWrap/>
            <w:hideMark/>
          </w:tcPr>
          <w:p w14:paraId="205DFB66"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2.2</w:t>
            </w:r>
          </w:p>
        </w:tc>
        <w:tc>
          <w:tcPr>
            <w:tcW w:w="1214" w:type="dxa"/>
            <w:noWrap/>
            <w:hideMark/>
          </w:tcPr>
          <w:p w14:paraId="50822C81"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0.4</w:t>
            </w:r>
          </w:p>
        </w:tc>
        <w:tc>
          <w:tcPr>
            <w:tcW w:w="1135" w:type="dxa"/>
            <w:noWrap/>
            <w:hideMark/>
          </w:tcPr>
          <w:p w14:paraId="2CF23066"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6.5%</w:t>
            </w:r>
          </w:p>
        </w:tc>
        <w:tc>
          <w:tcPr>
            <w:tcW w:w="1117" w:type="dxa"/>
            <w:noWrap/>
            <w:hideMark/>
          </w:tcPr>
          <w:p w14:paraId="6237833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1.2%</w:t>
            </w:r>
          </w:p>
        </w:tc>
      </w:tr>
      <w:tr w:rsidR="006C2EC0" w:rsidRPr="00490066" w14:paraId="549E1721" w14:textId="77777777" w:rsidTr="00AA480F">
        <w:trPr>
          <w:trHeight w:val="264"/>
        </w:trPr>
        <w:tc>
          <w:tcPr>
            <w:tcW w:w="2679" w:type="dxa"/>
            <w:noWrap/>
            <w:hideMark/>
          </w:tcPr>
          <w:p w14:paraId="0548808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Road Oversight</w:t>
            </w:r>
          </w:p>
        </w:tc>
        <w:tc>
          <w:tcPr>
            <w:tcW w:w="1134" w:type="dxa"/>
            <w:noWrap/>
            <w:hideMark/>
          </w:tcPr>
          <w:p w14:paraId="497787B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29 988.2</w:t>
            </w:r>
          </w:p>
        </w:tc>
        <w:tc>
          <w:tcPr>
            <w:tcW w:w="1134" w:type="dxa"/>
            <w:noWrap/>
            <w:hideMark/>
          </w:tcPr>
          <w:p w14:paraId="099D8A8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32 900.3</w:t>
            </w:r>
          </w:p>
        </w:tc>
        <w:tc>
          <w:tcPr>
            <w:tcW w:w="1195" w:type="dxa"/>
            <w:noWrap/>
            <w:hideMark/>
          </w:tcPr>
          <w:p w14:paraId="7BD87F8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2 912.1</w:t>
            </w:r>
          </w:p>
        </w:tc>
        <w:tc>
          <w:tcPr>
            <w:tcW w:w="1214" w:type="dxa"/>
            <w:noWrap/>
            <w:hideMark/>
          </w:tcPr>
          <w:p w14:paraId="3BA2905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1 285.8</w:t>
            </w:r>
          </w:p>
        </w:tc>
        <w:tc>
          <w:tcPr>
            <w:tcW w:w="1135" w:type="dxa"/>
            <w:noWrap/>
            <w:hideMark/>
          </w:tcPr>
          <w:p w14:paraId="6687B84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9.7%</w:t>
            </w:r>
          </w:p>
        </w:tc>
        <w:tc>
          <w:tcPr>
            <w:tcW w:w="1117" w:type="dxa"/>
            <w:noWrap/>
            <w:hideMark/>
          </w:tcPr>
          <w:p w14:paraId="7FB4C2B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4.3%</w:t>
            </w:r>
          </w:p>
        </w:tc>
      </w:tr>
      <w:tr w:rsidR="006C2EC0" w:rsidRPr="00490066" w14:paraId="4A55B16C" w14:textId="77777777" w:rsidTr="00AA480F">
        <w:trPr>
          <w:trHeight w:val="264"/>
        </w:trPr>
        <w:tc>
          <w:tcPr>
            <w:tcW w:w="2679" w:type="dxa"/>
            <w:noWrap/>
            <w:hideMark/>
          </w:tcPr>
          <w:p w14:paraId="4FEA3F8E"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Road Administration Support</w:t>
            </w:r>
          </w:p>
        </w:tc>
        <w:tc>
          <w:tcPr>
            <w:tcW w:w="1134" w:type="dxa"/>
            <w:noWrap/>
            <w:hideMark/>
          </w:tcPr>
          <w:p w14:paraId="6894FA0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8.3</w:t>
            </w:r>
          </w:p>
        </w:tc>
        <w:tc>
          <w:tcPr>
            <w:tcW w:w="1134" w:type="dxa"/>
            <w:noWrap/>
            <w:hideMark/>
          </w:tcPr>
          <w:p w14:paraId="36480D3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9,0</w:t>
            </w:r>
          </w:p>
        </w:tc>
        <w:tc>
          <w:tcPr>
            <w:tcW w:w="1195" w:type="dxa"/>
            <w:noWrap/>
            <w:hideMark/>
          </w:tcPr>
          <w:p w14:paraId="053100A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0.7</w:t>
            </w:r>
          </w:p>
        </w:tc>
        <w:tc>
          <w:tcPr>
            <w:tcW w:w="1214" w:type="dxa"/>
            <w:noWrap/>
            <w:hideMark/>
          </w:tcPr>
          <w:p w14:paraId="43F2ED8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0.3</w:t>
            </w:r>
          </w:p>
        </w:tc>
        <w:tc>
          <w:tcPr>
            <w:tcW w:w="1135" w:type="dxa"/>
            <w:noWrap/>
            <w:hideMark/>
          </w:tcPr>
          <w:p w14:paraId="598FD665"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8.4%</w:t>
            </w:r>
          </w:p>
        </w:tc>
        <w:tc>
          <w:tcPr>
            <w:tcW w:w="1117" w:type="dxa"/>
            <w:noWrap/>
            <w:hideMark/>
          </w:tcPr>
          <w:p w14:paraId="7E20C5E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3.1%</w:t>
            </w:r>
          </w:p>
        </w:tc>
      </w:tr>
      <w:tr w:rsidR="006C2EC0" w:rsidRPr="00490066" w14:paraId="4BF6A26E" w14:textId="77777777" w:rsidTr="00AA480F">
        <w:trPr>
          <w:trHeight w:val="264"/>
        </w:trPr>
        <w:tc>
          <w:tcPr>
            <w:tcW w:w="2679" w:type="dxa"/>
            <w:tcBorders>
              <w:bottom w:val="single" w:sz="12" w:space="0" w:color="auto"/>
            </w:tcBorders>
            <w:noWrap/>
            <w:hideMark/>
          </w:tcPr>
          <w:p w14:paraId="5484492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Road Engineering Standards</w:t>
            </w:r>
          </w:p>
        </w:tc>
        <w:tc>
          <w:tcPr>
            <w:tcW w:w="1134" w:type="dxa"/>
            <w:tcBorders>
              <w:bottom w:val="single" w:sz="12" w:space="0" w:color="auto"/>
            </w:tcBorders>
            <w:noWrap/>
            <w:hideMark/>
          </w:tcPr>
          <w:p w14:paraId="71F87ED1"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26.1</w:t>
            </w:r>
          </w:p>
        </w:tc>
        <w:tc>
          <w:tcPr>
            <w:tcW w:w="1134" w:type="dxa"/>
            <w:tcBorders>
              <w:bottom w:val="single" w:sz="12" w:space="0" w:color="auto"/>
            </w:tcBorders>
            <w:noWrap/>
            <w:hideMark/>
          </w:tcPr>
          <w:p w14:paraId="6526039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27.7</w:t>
            </w:r>
          </w:p>
        </w:tc>
        <w:tc>
          <w:tcPr>
            <w:tcW w:w="1195" w:type="dxa"/>
            <w:tcBorders>
              <w:bottom w:val="single" w:sz="12" w:space="0" w:color="auto"/>
            </w:tcBorders>
            <w:noWrap/>
            <w:hideMark/>
          </w:tcPr>
          <w:p w14:paraId="7E64DF2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1.6</w:t>
            </w:r>
          </w:p>
        </w:tc>
        <w:tc>
          <w:tcPr>
            <w:tcW w:w="1214" w:type="dxa"/>
            <w:tcBorders>
              <w:bottom w:val="single" w:sz="12" w:space="0" w:color="auto"/>
            </w:tcBorders>
            <w:noWrap/>
            <w:hideMark/>
          </w:tcPr>
          <w:p w14:paraId="7ED2659C"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0.2</w:t>
            </w:r>
          </w:p>
        </w:tc>
        <w:tc>
          <w:tcPr>
            <w:tcW w:w="1135" w:type="dxa"/>
            <w:tcBorders>
              <w:bottom w:val="single" w:sz="12" w:space="0" w:color="auto"/>
            </w:tcBorders>
            <w:noWrap/>
            <w:hideMark/>
          </w:tcPr>
          <w:p w14:paraId="68910E9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6.1%</w:t>
            </w:r>
          </w:p>
        </w:tc>
        <w:tc>
          <w:tcPr>
            <w:tcW w:w="1117" w:type="dxa"/>
            <w:tcBorders>
              <w:bottom w:val="single" w:sz="12" w:space="0" w:color="auto"/>
            </w:tcBorders>
            <w:noWrap/>
            <w:hideMark/>
          </w:tcPr>
          <w:p w14:paraId="1FE915D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0.9%</w:t>
            </w:r>
          </w:p>
        </w:tc>
      </w:tr>
      <w:tr w:rsidR="006C2EC0" w:rsidRPr="00490066" w14:paraId="114BB7D4" w14:textId="77777777" w:rsidTr="00AA480F">
        <w:trPr>
          <w:trHeight w:val="264"/>
        </w:trPr>
        <w:tc>
          <w:tcPr>
            <w:tcW w:w="2679" w:type="dxa"/>
            <w:tcBorders>
              <w:top w:val="single" w:sz="12" w:space="0" w:color="auto"/>
              <w:left w:val="single" w:sz="12" w:space="0" w:color="auto"/>
              <w:bottom w:val="single" w:sz="12" w:space="0" w:color="auto"/>
            </w:tcBorders>
            <w:shd w:val="pct15" w:color="auto" w:fill="auto"/>
            <w:noWrap/>
            <w:hideMark/>
          </w:tcPr>
          <w:p w14:paraId="4FC235F2" w14:textId="77777777" w:rsidR="006C2EC0" w:rsidRPr="00490066" w:rsidRDefault="006C2EC0" w:rsidP="00C07A5A">
            <w:pPr>
              <w:spacing w:line="360" w:lineRule="auto"/>
              <w:jc w:val="both"/>
              <w:rPr>
                <w:rFonts w:ascii="Times New Roman" w:hAnsi="Times New Roman" w:cs="Times New Roman"/>
                <w:b/>
                <w:bCs/>
              </w:rPr>
            </w:pPr>
          </w:p>
          <w:p w14:paraId="689C528A"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TOTAL</w:t>
            </w:r>
          </w:p>
        </w:tc>
        <w:tc>
          <w:tcPr>
            <w:tcW w:w="1134" w:type="dxa"/>
            <w:tcBorders>
              <w:top w:val="single" w:sz="12" w:space="0" w:color="auto"/>
              <w:bottom w:val="single" w:sz="12" w:space="0" w:color="auto"/>
            </w:tcBorders>
            <w:shd w:val="pct15" w:color="auto" w:fill="auto"/>
            <w:noWrap/>
            <w:hideMark/>
          </w:tcPr>
          <w:p w14:paraId="501758DD" w14:textId="77777777" w:rsidR="006C2EC0" w:rsidRPr="00490066" w:rsidRDefault="006C2EC0" w:rsidP="00C07A5A">
            <w:pPr>
              <w:spacing w:line="360" w:lineRule="auto"/>
              <w:jc w:val="both"/>
              <w:rPr>
                <w:rFonts w:ascii="Times New Roman" w:hAnsi="Times New Roman" w:cs="Times New Roman"/>
                <w:b/>
                <w:bCs/>
              </w:rPr>
            </w:pPr>
          </w:p>
          <w:p w14:paraId="2AB9033C"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30 098.8</w:t>
            </w:r>
          </w:p>
        </w:tc>
        <w:tc>
          <w:tcPr>
            <w:tcW w:w="1134" w:type="dxa"/>
            <w:tcBorders>
              <w:top w:val="single" w:sz="12" w:space="0" w:color="auto"/>
              <w:bottom w:val="single" w:sz="12" w:space="0" w:color="auto"/>
            </w:tcBorders>
            <w:shd w:val="pct15" w:color="auto" w:fill="auto"/>
            <w:noWrap/>
            <w:hideMark/>
          </w:tcPr>
          <w:p w14:paraId="16BDCC52"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 xml:space="preserve"> </w:t>
            </w:r>
          </w:p>
          <w:p w14:paraId="0A54301F"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33 018.1</w:t>
            </w:r>
          </w:p>
        </w:tc>
        <w:tc>
          <w:tcPr>
            <w:tcW w:w="1195" w:type="dxa"/>
            <w:tcBorders>
              <w:top w:val="single" w:sz="12" w:space="0" w:color="auto"/>
              <w:bottom w:val="single" w:sz="12" w:space="0" w:color="auto"/>
            </w:tcBorders>
            <w:shd w:val="pct15" w:color="auto" w:fill="auto"/>
            <w:noWrap/>
            <w:hideMark/>
          </w:tcPr>
          <w:p w14:paraId="5AC6CFEE" w14:textId="77777777" w:rsidR="006C2EC0" w:rsidRPr="00490066" w:rsidRDefault="006C2EC0" w:rsidP="00C07A5A">
            <w:pPr>
              <w:spacing w:line="360" w:lineRule="auto"/>
              <w:jc w:val="both"/>
              <w:rPr>
                <w:rFonts w:ascii="Times New Roman" w:hAnsi="Times New Roman" w:cs="Times New Roman"/>
                <w:b/>
                <w:bCs/>
              </w:rPr>
            </w:pPr>
          </w:p>
          <w:p w14:paraId="1823BFEB"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2 919.3</w:t>
            </w:r>
          </w:p>
        </w:tc>
        <w:tc>
          <w:tcPr>
            <w:tcW w:w="1214" w:type="dxa"/>
            <w:tcBorders>
              <w:top w:val="single" w:sz="12" w:space="0" w:color="auto"/>
              <w:bottom w:val="single" w:sz="12" w:space="0" w:color="auto"/>
            </w:tcBorders>
            <w:shd w:val="pct15" w:color="auto" w:fill="auto"/>
            <w:noWrap/>
            <w:hideMark/>
          </w:tcPr>
          <w:p w14:paraId="2E8667C6"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 xml:space="preserve"> </w:t>
            </w:r>
          </w:p>
          <w:p w14:paraId="7547E2C1"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1 287.2</w:t>
            </w:r>
          </w:p>
        </w:tc>
        <w:tc>
          <w:tcPr>
            <w:tcW w:w="1135" w:type="dxa"/>
            <w:tcBorders>
              <w:top w:val="single" w:sz="12" w:space="0" w:color="auto"/>
              <w:bottom w:val="single" w:sz="12" w:space="0" w:color="auto"/>
            </w:tcBorders>
            <w:shd w:val="pct15" w:color="auto" w:fill="auto"/>
            <w:noWrap/>
            <w:hideMark/>
          </w:tcPr>
          <w:p w14:paraId="61D2FF6C" w14:textId="77777777" w:rsidR="006C2EC0" w:rsidRPr="00490066" w:rsidRDefault="006C2EC0" w:rsidP="00C07A5A">
            <w:pPr>
              <w:spacing w:line="360" w:lineRule="auto"/>
              <w:jc w:val="both"/>
              <w:rPr>
                <w:rFonts w:ascii="Times New Roman" w:hAnsi="Times New Roman" w:cs="Times New Roman"/>
                <w:b/>
                <w:bCs/>
              </w:rPr>
            </w:pPr>
          </w:p>
          <w:p w14:paraId="769DAF11"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9.7%</w:t>
            </w:r>
          </w:p>
        </w:tc>
        <w:tc>
          <w:tcPr>
            <w:tcW w:w="1117" w:type="dxa"/>
            <w:tcBorders>
              <w:top w:val="single" w:sz="12" w:space="0" w:color="auto"/>
              <w:bottom w:val="single" w:sz="12" w:space="0" w:color="auto"/>
              <w:right w:val="single" w:sz="12" w:space="0" w:color="auto"/>
            </w:tcBorders>
            <w:shd w:val="pct15" w:color="auto" w:fill="auto"/>
            <w:noWrap/>
            <w:hideMark/>
          </w:tcPr>
          <w:p w14:paraId="1A522167" w14:textId="77777777" w:rsidR="006C2EC0" w:rsidRPr="00490066" w:rsidRDefault="006C2EC0" w:rsidP="00C07A5A">
            <w:pPr>
              <w:spacing w:line="360" w:lineRule="auto"/>
              <w:jc w:val="both"/>
              <w:rPr>
                <w:rFonts w:ascii="Times New Roman" w:hAnsi="Times New Roman" w:cs="Times New Roman"/>
                <w:b/>
                <w:bCs/>
              </w:rPr>
            </w:pPr>
          </w:p>
          <w:p w14:paraId="5BD83A91"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4.3%</w:t>
            </w:r>
          </w:p>
        </w:tc>
      </w:tr>
    </w:tbl>
    <w:p w14:paraId="20D7E9C1"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b/>
        </w:rPr>
        <w:t>(Source: National Treasury (2019)</w:t>
      </w:r>
    </w:p>
    <w:p w14:paraId="162F4B43" w14:textId="77777777" w:rsidR="006C2EC0" w:rsidRPr="007457B1" w:rsidRDefault="006C2EC0" w:rsidP="00C07A5A">
      <w:pPr>
        <w:tabs>
          <w:tab w:val="left" w:pos="3281"/>
        </w:tabs>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ab/>
      </w:r>
    </w:p>
    <w:p w14:paraId="2F66FB05"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total expenditure for the Road Transport programme grows from R30.1 billion in 2018/19 to R33.0 billion in 2019/20. Its above-inflation increase is 4.3</w:t>
      </w:r>
      <w:r w:rsidR="00862262" w:rsidRPr="007457B1">
        <w:rPr>
          <w:rFonts w:ascii="Times New Roman" w:hAnsi="Times New Roman" w:cs="Times New Roman"/>
          <w:sz w:val="24"/>
          <w:szCs w:val="24"/>
        </w:rPr>
        <w:t xml:space="preserve"> percent </w:t>
      </w:r>
      <w:r w:rsidRPr="007457B1">
        <w:rPr>
          <w:rFonts w:ascii="Times New Roman" w:hAnsi="Times New Roman" w:cs="Times New Roman"/>
          <w:sz w:val="24"/>
          <w:szCs w:val="24"/>
        </w:rPr>
        <w:t xml:space="preserve">from the previous year. </w:t>
      </w:r>
    </w:p>
    <w:p w14:paraId="1CB8B2B4" w14:textId="77777777" w:rsidR="006C2EC0" w:rsidRPr="007457B1" w:rsidRDefault="006C2EC0" w:rsidP="00C07A5A">
      <w:pPr>
        <w:spacing w:line="360" w:lineRule="auto"/>
        <w:jc w:val="both"/>
        <w:rPr>
          <w:rFonts w:ascii="Times New Roman" w:hAnsi="Times New Roman" w:cs="Times New Roman"/>
          <w:sz w:val="24"/>
          <w:szCs w:val="24"/>
        </w:rPr>
      </w:pPr>
    </w:p>
    <w:p w14:paraId="74AC6C98"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For this programme, the highest increase is for the </w:t>
      </w:r>
      <w:r w:rsidRPr="007457B1">
        <w:rPr>
          <w:rFonts w:ascii="Times New Roman" w:hAnsi="Times New Roman" w:cs="Times New Roman"/>
          <w:i/>
          <w:sz w:val="24"/>
          <w:szCs w:val="24"/>
        </w:rPr>
        <w:t>Road Oversight</w:t>
      </w:r>
      <w:r w:rsidRPr="007457B1">
        <w:rPr>
          <w:rFonts w:ascii="Times New Roman" w:hAnsi="Times New Roman" w:cs="Times New Roman"/>
          <w:sz w:val="24"/>
          <w:szCs w:val="24"/>
        </w:rPr>
        <w:t xml:space="preserve"> sub-programme - its allocation grows from R30 billion to R32.9 billion, resulting in 4.3</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xml:space="preserve"> above-inflation. This is also the sub-programme that dominates the programme budget.  The </w:t>
      </w:r>
      <w:r w:rsidRPr="007457B1">
        <w:rPr>
          <w:rFonts w:ascii="Times New Roman" w:hAnsi="Times New Roman" w:cs="Times New Roman"/>
          <w:i/>
          <w:sz w:val="24"/>
          <w:szCs w:val="24"/>
        </w:rPr>
        <w:t>Road Oversight</w:t>
      </w:r>
      <w:r w:rsidRPr="007457B1">
        <w:rPr>
          <w:rFonts w:ascii="Times New Roman" w:hAnsi="Times New Roman" w:cs="Times New Roman"/>
          <w:sz w:val="24"/>
          <w:szCs w:val="24"/>
        </w:rPr>
        <w:t xml:space="preserve"> sub-programme reviews and analyses the performance of road transport public entities and monitors their compliance with regulations and legislation. It also transfers funds to SANRAL, the Road Traffic Management Corporation (RTMC), and the Road Traffic Infringement Agency (RTIA). Moreover, the sub-programme makes provision for the </w:t>
      </w:r>
      <w:r w:rsidR="005D4F5C" w:rsidRPr="005D4F5C">
        <w:rPr>
          <w:rFonts w:ascii="Times New Roman" w:hAnsi="Times New Roman" w:cs="Times New Roman"/>
          <w:sz w:val="24"/>
          <w:szCs w:val="24"/>
        </w:rPr>
        <w:t xml:space="preserve">Provincial Roads Maintenance Grant </w:t>
      </w:r>
      <w:r w:rsidR="005D4F5C">
        <w:rPr>
          <w:rFonts w:ascii="Times New Roman" w:hAnsi="Times New Roman" w:cs="Times New Roman"/>
          <w:sz w:val="24"/>
          <w:szCs w:val="24"/>
        </w:rPr>
        <w:t>(</w:t>
      </w:r>
      <w:r w:rsidRPr="007457B1">
        <w:rPr>
          <w:rFonts w:ascii="Times New Roman" w:hAnsi="Times New Roman" w:cs="Times New Roman"/>
          <w:sz w:val="24"/>
          <w:szCs w:val="24"/>
        </w:rPr>
        <w:t>PRMG</w:t>
      </w:r>
      <w:r w:rsidR="005D4F5C">
        <w:rPr>
          <w:rFonts w:ascii="Times New Roman" w:hAnsi="Times New Roman" w:cs="Times New Roman"/>
          <w:sz w:val="24"/>
          <w:szCs w:val="24"/>
        </w:rPr>
        <w:t>)</w:t>
      </w:r>
      <w:r w:rsidRPr="007457B1">
        <w:rPr>
          <w:rFonts w:ascii="Times New Roman" w:hAnsi="Times New Roman" w:cs="Times New Roman"/>
          <w:sz w:val="24"/>
          <w:szCs w:val="24"/>
        </w:rPr>
        <w:t>.</w:t>
      </w:r>
    </w:p>
    <w:p w14:paraId="15CEEED2" w14:textId="77777777" w:rsidR="006C2EC0" w:rsidRPr="007457B1" w:rsidRDefault="006C2EC0" w:rsidP="00C07A5A">
      <w:pPr>
        <w:spacing w:line="360" w:lineRule="auto"/>
        <w:jc w:val="both"/>
        <w:rPr>
          <w:rFonts w:ascii="Times New Roman" w:hAnsi="Times New Roman" w:cs="Times New Roman"/>
          <w:sz w:val="24"/>
          <w:szCs w:val="24"/>
        </w:rPr>
      </w:pPr>
    </w:p>
    <w:p w14:paraId="3EAC9B79"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Major transfers from the Road Transport programme are as follows:</w:t>
      </w:r>
      <w:r w:rsidRPr="007457B1">
        <w:rPr>
          <w:rStyle w:val="FootnoteReference"/>
          <w:rFonts w:ascii="Times New Roman" w:hAnsi="Times New Roman" w:cs="Times New Roman"/>
          <w:sz w:val="24"/>
          <w:szCs w:val="24"/>
        </w:rPr>
        <w:footnoteReference w:id="18"/>
      </w:r>
    </w:p>
    <w:p w14:paraId="7ED538BC" w14:textId="77777777" w:rsidR="006C2EC0" w:rsidRPr="007457B1" w:rsidRDefault="00ED73A6"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Table 11</w:t>
      </w:r>
      <w:r w:rsidR="006C2EC0" w:rsidRPr="007457B1">
        <w:rPr>
          <w:rFonts w:ascii="Times New Roman" w:hAnsi="Times New Roman" w:cs="Times New Roman"/>
          <w:b/>
          <w:sz w:val="24"/>
          <w:szCs w:val="24"/>
        </w:rPr>
        <w:t>: Major Transfers from the Road Transport Programme</w:t>
      </w:r>
    </w:p>
    <w:tbl>
      <w:tblPr>
        <w:tblStyle w:val="TableGrid"/>
        <w:tblW w:w="0" w:type="auto"/>
        <w:tblLook w:val="04A0" w:firstRow="1" w:lastRow="0" w:firstColumn="1" w:lastColumn="0" w:noHBand="0" w:noVBand="1"/>
      </w:tblPr>
      <w:tblGrid>
        <w:gridCol w:w="5514"/>
        <w:gridCol w:w="1711"/>
        <w:gridCol w:w="1771"/>
      </w:tblGrid>
      <w:tr w:rsidR="006C2EC0" w:rsidRPr="00490066" w14:paraId="0DEA1D36" w14:textId="77777777" w:rsidTr="00490066">
        <w:trPr>
          <w:trHeight w:val="537"/>
          <w:tblHeader/>
        </w:trPr>
        <w:tc>
          <w:tcPr>
            <w:tcW w:w="5514" w:type="dxa"/>
            <w:vMerge w:val="restart"/>
            <w:tcBorders>
              <w:top w:val="single" w:sz="12" w:space="0" w:color="auto"/>
              <w:left w:val="single" w:sz="12" w:space="0" w:color="auto"/>
              <w:right w:val="single" w:sz="12" w:space="0" w:color="auto"/>
            </w:tcBorders>
            <w:shd w:val="pct15" w:color="auto" w:fill="auto"/>
          </w:tcPr>
          <w:p w14:paraId="54EE84F3" w14:textId="77777777" w:rsidR="006C2EC0" w:rsidRPr="00490066" w:rsidRDefault="009008E4" w:rsidP="00C07A5A">
            <w:pPr>
              <w:spacing w:line="360" w:lineRule="auto"/>
              <w:jc w:val="both"/>
              <w:rPr>
                <w:rFonts w:ascii="Times New Roman" w:hAnsi="Times New Roman" w:cs="Times New Roman"/>
                <w:b/>
              </w:rPr>
            </w:pPr>
            <w:r w:rsidRPr="00490066">
              <w:rPr>
                <w:rFonts w:ascii="Times New Roman" w:hAnsi="Times New Roman" w:cs="Times New Roman"/>
                <w:b/>
              </w:rPr>
              <w:t>Entity/ Programme</w:t>
            </w:r>
          </w:p>
          <w:p w14:paraId="5D6F3378"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R million</w:t>
            </w:r>
          </w:p>
        </w:tc>
        <w:tc>
          <w:tcPr>
            <w:tcW w:w="3482" w:type="dxa"/>
            <w:gridSpan w:val="2"/>
            <w:tcBorders>
              <w:top w:val="single" w:sz="12" w:space="0" w:color="auto"/>
              <w:left w:val="single" w:sz="12" w:space="0" w:color="auto"/>
              <w:bottom w:val="single" w:sz="12" w:space="0" w:color="auto"/>
              <w:right w:val="single" w:sz="12" w:space="0" w:color="auto"/>
            </w:tcBorders>
            <w:shd w:val="pct15" w:color="auto" w:fill="auto"/>
          </w:tcPr>
          <w:p w14:paraId="0E167098"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 xml:space="preserve">                        Budget</w:t>
            </w:r>
            <w:r w:rsidR="009008E4" w:rsidRPr="00490066">
              <w:rPr>
                <w:rFonts w:ascii="Times New Roman" w:hAnsi="Times New Roman" w:cs="Times New Roman"/>
                <w:b/>
              </w:rPr>
              <w:t xml:space="preserve"> </w:t>
            </w:r>
          </w:p>
        </w:tc>
      </w:tr>
      <w:tr w:rsidR="006C2EC0" w:rsidRPr="00490066" w14:paraId="69D75999" w14:textId="77777777" w:rsidTr="00490066">
        <w:trPr>
          <w:trHeight w:val="195"/>
          <w:tblHeader/>
        </w:trPr>
        <w:tc>
          <w:tcPr>
            <w:tcW w:w="5514" w:type="dxa"/>
            <w:vMerge/>
            <w:tcBorders>
              <w:left w:val="single" w:sz="12" w:space="0" w:color="auto"/>
              <w:bottom w:val="single" w:sz="12" w:space="0" w:color="auto"/>
              <w:right w:val="single" w:sz="12" w:space="0" w:color="auto"/>
            </w:tcBorders>
            <w:shd w:val="pct15" w:color="auto" w:fill="auto"/>
          </w:tcPr>
          <w:p w14:paraId="696F579D" w14:textId="77777777" w:rsidR="006C2EC0" w:rsidRPr="00490066" w:rsidRDefault="006C2EC0" w:rsidP="00C07A5A">
            <w:pPr>
              <w:spacing w:line="360" w:lineRule="auto"/>
              <w:jc w:val="both"/>
              <w:rPr>
                <w:rFonts w:ascii="Times New Roman" w:hAnsi="Times New Roman" w:cs="Times New Roman"/>
                <w:b/>
              </w:rPr>
            </w:pPr>
          </w:p>
        </w:tc>
        <w:tc>
          <w:tcPr>
            <w:tcW w:w="1711" w:type="dxa"/>
            <w:tcBorders>
              <w:top w:val="single" w:sz="12" w:space="0" w:color="auto"/>
              <w:left w:val="single" w:sz="12" w:space="0" w:color="auto"/>
              <w:bottom w:val="single" w:sz="12" w:space="0" w:color="auto"/>
              <w:right w:val="single" w:sz="12" w:space="0" w:color="auto"/>
            </w:tcBorders>
            <w:shd w:val="pct15" w:color="auto" w:fill="auto"/>
          </w:tcPr>
          <w:p w14:paraId="6F81084F"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2018/19</w:t>
            </w:r>
          </w:p>
        </w:tc>
        <w:tc>
          <w:tcPr>
            <w:tcW w:w="1771" w:type="dxa"/>
            <w:tcBorders>
              <w:top w:val="single" w:sz="12" w:space="0" w:color="auto"/>
              <w:left w:val="single" w:sz="12" w:space="0" w:color="auto"/>
              <w:bottom w:val="single" w:sz="12" w:space="0" w:color="auto"/>
              <w:right w:val="single" w:sz="12" w:space="0" w:color="auto"/>
            </w:tcBorders>
            <w:shd w:val="pct15" w:color="auto" w:fill="auto"/>
          </w:tcPr>
          <w:p w14:paraId="4428BC94"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2019/20</w:t>
            </w:r>
          </w:p>
        </w:tc>
      </w:tr>
      <w:tr w:rsidR="006C2EC0" w:rsidRPr="00490066" w14:paraId="06E63AC4" w14:textId="77777777" w:rsidTr="00490066">
        <w:trPr>
          <w:trHeight w:val="195"/>
          <w:tblHeader/>
        </w:trPr>
        <w:tc>
          <w:tcPr>
            <w:tcW w:w="5514" w:type="dxa"/>
            <w:tcBorders>
              <w:top w:val="single" w:sz="12" w:space="0" w:color="auto"/>
            </w:tcBorders>
            <w:shd w:val="clear" w:color="auto" w:fill="auto"/>
          </w:tcPr>
          <w:p w14:paraId="059528A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RTMC</w:t>
            </w:r>
          </w:p>
        </w:tc>
        <w:tc>
          <w:tcPr>
            <w:tcW w:w="1711" w:type="dxa"/>
            <w:tcBorders>
              <w:top w:val="single" w:sz="12" w:space="0" w:color="auto"/>
            </w:tcBorders>
            <w:shd w:val="clear" w:color="auto" w:fill="auto"/>
          </w:tcPr>
          <w:p w14:paraId="4644B7D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R200.2 million</w:t>
            </w:r>
          </w:p>
        </w:tc>
        <w:tc>
          <w:tcPr>
            <w:tcW w:w="1771" w:type="dxa"/>
            <w:tcBorders>
              <w:top w:val="single" w:sz="12" w:space="0" w:color="auto"/>
              <w:bottom w:val="single" w:sz="4" w:space="0" w:color="auto"/>
            </w:tcBorders>
            <w:shd w:val="clear" w:color="auto" w:fill="auto"/>
          </w:tcPr>
          <w:p w14:paraId="554D05D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R210. 2 million</w:t>
            </w:r>
          </w:p>
        </w:tc>
      </w:tr>
      <w:tr w:rsidR="006C2EC0" w:rsidRPr="00490066" w14:paraId="1FEBF0BC" w14:textId="77777777" w:rsidTr="00490066">
        <w:trPr>
          <w:trHeight w:val="195"/>
          <w:tblHeader/>
        </w:trPr>
        <w:tc>
          <w:tcPr>
            <w:tcW w:w="5514" w:type="dxa"/>
            <w:shd w:val="clear" w:color="auto" w:fill="auto"/>
          </w:tcPr>
          <w:p w14:paraId="4969180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SANRAL: Gauteng Freeway Improvement Project (GFIP)</w:t>
            </w:r>
          </w:p>
        </w:tc>
        <w:tc>
          <w:tcPr>
            <w:tcW w:w="1711" w:type="dxa"/>
            <w:shd w:val="clear" w:color="auto" w:fill="auto"/>
          </w:tcPr>
          <w:p w14:paraId="5FCB2EBD"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R6.3 billion</w:t>
            </w:r>
          </w:p>
        </w:tc>
        <w:tc>
          <w:tcPr>
            <w:tcW w:w="1771" w:type="dxa"/>
            <w:tcBorders>
              <w:top w:val="single" w:sz="4" w:space="0" w:color="auto"/>
            </w:tcBorders>
            <w:shd w:val="clear" w:color="auto" w:fill="auto"/>
          </w:tcPr>
          <w:p w14:paraId="10CCE7F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R550.5 million</w:t>
            </w:r>
          </w:p>
        </w:tc>
      </w:tr>
      <w:tr w:rsidR="006C2EC0" w:rsidRPr="00490066" w14:paraId="7988B9AC" w14:textId="77777777" w:rsidTr="00490066">
        <w:trPr>
          <w:trHeight w:val="195"/>
          <w:tblHeader/>
        </w:trPr>
        <w:tc>
          <w:tcPr>
            <w:tcW w:w="5514" w:type="dxa"/>
            <w:shd w:val="clear" w:color="auto" w:fill="auto"/>
          </w:tcPr>
          <w:p w14:paraId="397F1565"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RTIA</w:t>
            </w:r>
          </w:p>
        </w:tc>
        <w:tc>
          <w:tcPr>
            <w:tcW w:w="1711" w:type="dxa"/>
            <w:shd w:val="clear" w:color="auto" w:fill="auto"/>
          </w:tcPr>
          <w:p w14:paraId="5B6486E7"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R11.7 million</w:t>
            </w:r>
          </w:p>
        </w:tc>
        <w:tc>
          <w:tcPr>
            <w:tcW w:w="1771" w:type="dxa"/>
            <w:shd w:val="clear" w:color="auto" w:fill="auto"/>
          </w:tcPr>
          <w:p w14:paraId="3A98232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R7.8 million</w:t>
            </w:r>
          </w:p>
        </w:tc>
      </w:tr>
      <w:tr w:rsidR="006C2EC0" w:rsidRPr="00490066" w14:paraId="3A5F0FAA" w14:textId="77777777" w:rsidTr="00490066">
        <w:trPr>
          <w:trHeight w:val="195"/>
          <w:tblHeader/>
        </w:trPr>
        <w:tc>
          <w:tcPr>
            <w:tcW w:w="5514" w:type="dxa"/>
            <w:shd w:val="clear" w:color="auto" w:fill="auto"/>
          </w:tcPr>
          <w:p w14:paraId="0D47F206"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SANRAL</w:t>
            </w:r>
          </w:p>
        </w:tc>
        <w:tc>
          <w:tcPr>
            <w:tcW w:w="1711" w:type="dxa"/>
            <w:shd w:val="clear" w:color="auto" w:fill="auto"/>
          </w:tcPr>
          <w:p w14:paraId="1C1C917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R5.5 billion</w:t>
            </w:r>
          </w:p>
        </w:tc>
        <w:tc>
          <w:tcPr>
            <w:tcW w:w="1771" w:type="dxa"/>
            <w:shd w:val="clear" w:color="auto" w:fill="auto"/>
          </w:tcPr>
          <w:p w14:paraId="0F047DE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R5.6 billion</w:t>
            </w:r>
          </w:p>
        </w:tc>
      </w:tr>
      <w:tr w:rsidR="006C2EC0" w:rsidRPr="00490066" w14:paraId="52C95FF1" w14:textId="77777777" w:rsidTr="00490066">
        <w:trPr>
          <w:trHeight w:val="195"/>
          <w:tblHeader/>
        </w:trPr>
        <w:tc>
          <w:tcPr>
            <w:tcW w:w="5514" w:type="dxa"/>
            <w:shd w:val="clear" w:color="auto" w:fill="auto"/>
          </w:tcPr>
          <w:p w14:paraId="6BE8B33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SANRAL: Non-toll network</w:t>
            </w:r>
          </w:p>
        </w:tc>
        <w:tc>
          <w:tcPr>
            <w:tcW w:w="1711" w:type="dxa"/>
            <w:shd w:val="clear" w:color="auto" w:fill="auto"/>
          </w:tcPr>
          <w:p w14:paraId="592F2EC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R5.1 billion</w:t>
            </w:r>
          </w:p>
        </w:tc>
        <w:tc>
          <w:tcPr>
            <w:tcW w:w="1771" w:type="dxa"/>
            <w:shd w:val="clear" w:color="auto" w:fill="auto"/>
          </w:tcPr>
          <w:p w14:paraId="02214E66"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R12.3 billion</w:t>
            </w:r>
          </w:p>
        </w:tc>
      </w:tr>
      <w:tr w:rsidR="006C2EC0" w:rsidRPr="00490066" w14:paraId="6CCCFB36" w14:textId="77777777" w:rsidTr="00490066">
        <w:trPr>
          <w:trHeight w:val="195"/>
          <w:tblHeader/>
        </w:trPr>
        <w:tc>
          <w:tcPr>
            <w:tcW w:w="5514" w:type="dxa"/>
            <w:shd w:val="clear" w:color="auto" w:fill="auto"/>
          </w:tcPr>
          <w:p w14:paraId="127285E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SANRAL: Moloto Road upgrade</w:t>
            </w:r>
          </w:p>
        </w:tc>
        <w:tc>
          <w:tcPr>
            <w:tcW w:w="1711" w:type="dxa"/>
            <w:shd w:val="clear" w:color="auto" w:fill="auto"/>
          </w:tcPr>
          <w:p w14:paraId="4E88E316"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R1.8 billion</w:t>
            </w:r>
          </w:p>
        </w:tc>
        <w:tc>
          <w:tcPr>
            <w:tcW w:w="1771" w:type="dxa"/>
            <w:shd w:val="clear" w:color="auto" w:fill="auto"/>
          </w:tcPr>
          <w:p w14:paraId="747CA4D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R1.7 billion</w:t>
            </w:r>
          </w:p>
        </w:tc>
      </w:tr>
      <w:tr w:rsidR="006C2EC0" w:rsidRPr="00490066" w14:paraId="19FC4348" w14:textId="77777777" w:rsidTr="00490066">
        <w:trPr>
          <w:trHeight w:val="195"/>
          <w:tblHeader/>
        </w:trPr>
        <w:tc>
          <w:tcPr>
            <w:tcW w:w="5514" w:type="dxa"/>
            <w:shd w:val="clear" w:color="auto" w:fill="auto"/>
          </w:tcPr>
          <w:p w14:paraId="0ECE337E"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SANRAL: N2 Wild Coast</w:t>
            </w:r>
          </w:p>
        </w:tc>
        <w:tc>
          <w:tcPr>
            <w:tcW w:w="1711" w:type="dxa"/>
            <w:shd w:val="clear" w:color="auto" w:fill="auto"/>
          </w:tcPr>
          <w:p w14:paraId="179A196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w:t>
            </w:r>
          </w:p>
        </w:tc>
        <w:tc>
          <w:tcPr>
            <w:tcW w:w="1771" w:type="dxa"/>
            <w:shd w:val="clear" w:color="auto" w:fill="auto"/>
          </w:tcPr>
          <w:p w14:paraId="0DCD59D7"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R1 billion</w:t>
            </w:r>
          </w:p>
        </w:tc>
      </w:tr>
      <w:tr w:rsidR="006C2EC0" w:rsidRPr="00490066" w14:paraId="19022480" w14:textId="77777777" w:rsidTr="00490066">
        <w:trPr>
          <w:trHeight w:val="195"/>
          <w:tblHeader/>
        </w:trPr>
        <w:tc>
          <w:tcPr>
            <w:tcW w:w="5514" w:type="dxa"/>
            <w:shd w:val="clear" w:color="auto" w:fill="auto"/>
          </w:tcPr>
          <w:p w14:paraId="7DADE12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Rural Roads Asset Management Systems (RRAMS) Grant</w:t>
            </w:r>
          </w:p>
        </w:tc>
        <w:tc>
          <w:tcPr>
            <w:tcW w:w="1711" w:type="dxa"/>
            <w:shd w:val="clear" w:color="auto" w:fill="auto"/>
          </w:tcPr>
          <w:p w14:paraId="12A326EE"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R107.5 million</w:t>
            </w:r>
          </w:p>
        </w:tc>
        <w:tc>
          <w:tcPr>
            <w:tcW w:w="1771" w:type="dxa"/>
            <w:shd w:val="clear" w:color="auto" w:fill="auto"/>
          </w:tcPr>
          <w:p w14:paraId="18192DE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R113.9 million</w:t>
            </w:r>
          </w:p>
        </w:tc>
      </w:tr>
      <w:tr w:rsidR="006C2EC0" w:rsidRPr="00490066" w14:paraId="5070C4C3" w14:textId="77777777" w:rsidTr="00490066">
        <w:trPr>
          <w:trHeight w:val="195"/>
          <w:tblHeader/>
        </w:trPr>
        <w:tc>
          <w:tcPr>
            <w:tcW w:w="5514" w:type="dxa"/>
            <w:shd w:val="clear" w:color="auto" w:fill="auto"/>
          </w:tcPr>
          <w:p w14:paraId="023EFD7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PRMG: Road maintenance component</w:t>
            </w:r>
          </w:p>
        </w:tc>
        <w:tc>
          <w:tcPr>
            <w:tcW w:w="1711" w:type="dxa"/>
            <w:shd w:val="clear" w:color="auto" w:fill="auto"/>
          </w:tcPr>
          <w:p w14:paraId="458EBC8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R10.3 billion</w:t>
            </w:r>
          </w:p>
        </w:tc>
        <w:tc>
          <w:tcPr>
            <w:tcW w:w="1771" w:type="dxa"/>
            <w:shd w:val="clear" w:color="auto" w:fill="auto"/>
          </w:tcPr>
          <w:p w14:paraId="0FE49D3C"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R10.6 billion</w:t>
            </w:r>
          </w:p>
        </w:tc>
      </w:tr>
      <w:tr w:rsidR="006C2EC0" w:rsidRPr="00490066" w14:paraId="43045381" w14:textId="77777777" w:rsidTr="00490066">
        <w:trPr>
          <w:trHeight w:val="195"/>
          <w:tblHeader/>
        </w:trPr>
        <w:tc>
          <w:tcPr>
            <w:tcW w:w="5514" w:type="dxa"/>
            <w:shd w:val="clear" w:color="auto" w:fill="auto"/>
          </w:tcPr>
          <w:p w14:paraId="11394F0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PRMG: Disaster relief component</w:t>
            </w:r>
          </w:p>
        </w:tc>
        <w:tc>
          <w:tcPr>
            <w:tcW w:w="1711" w:type="dxa"/>
            <w:shd w:val="clear" w:color="auto" w:fill="auto"/>
          </w:tcPr>
          <w:p w14:paraId="5E986487"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R210.0 million</w:t>
            </w:r>
          </w:p>
        </w:tc>
        <w:tc>
          <w:tcPr>
            <w:tcW w:w="1771" w:type="dxa"/>
            <w:shd w:val="clear" w:color="auto" w:fill="auto"/>
          </w:tcPr>
          <w:p w14:paraId="17556B5C"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R206.2 million</w:t>
            </w:r>
          </w:p>
        </w:tc>
      </w:tr>
      <w:tr w:rsidR="006C2EC0" w:rsidRPr="00490066" w14:paraId="313EA625" w14:textId="77777777" w:rsidTr="00490066">
        <w:trPr>
          <w:trHeight w:val="195"/>
          <w:tblHeader/>
        </w:trPr>
        <w:tc>
          <w:tcPr>
            <w:tcW w:w="5514" w:type="dxa"/>
            <w:tcBorders>
              <w:bottom w:val="single" w:sz="12" w:space="0" w:color="auto"/>
            </w:tcBorders>
            <w:shd w:val="clear" w:color="auto" w:fill="auto"/>
          </w:tcPr>
          <w:p w14:paraId="180466B7"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PRMG: Mpumalanga coal haulage roads maintenance</w:t>
            </w:r>
          </w:p>
        </w:tc>
        <w:tc>
          <w:tcPr>
            <w:tcW w:w="1711" w:type="dxa"/>
            <w:tcBorders>
              <w:bottom w:val="single" w:sz="12" w:space="0" w:color="auto"/>
            </w:tcBorders>
            <w:shd w:val="clear" w:color="auto" w:fill="auto"/>
          </w:tcPr>
          <w:p w14:paraId="7BE52EB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R501.1 million</w:t>
            </w:r>
          </w:p>
        </w:tc>
        <w:tc>
          <w:tcPr>
            <w:tcW w:w="1771" w:type="dxa"/>
            <w:tcBorders>
              <w:bottom w:val="single" w:sz="12" w:space="0" w:color="auto"/>
            </w:tcBorders>
            <w:shd w:val="clear" w:color="auto" w:fill="auto"/>
          </w:tcPr>
          <w:p w14:paraId="223DA06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R526.2 million</w:t>
            </w:r>
          </w:p>
        </w:tc>
      </w:tr>
    </w:tbl>
    <w:p w14:paraId="4B78AB6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b/>
        </w:rPr>
        <w:t>(Source: National Treasury (2019)</w:t>
      </w:r>
    </w:p>
    <w:p w14:paraId="6F54D068" w14:textId="77777777" w:rsidR="006C2EC0" w:rsidRPr="007457B1" w:rsidRDefault="006C2EC0" w:rsidP="00C07A5A">
      <w:pPr>
        <w:tabs>
          <w:tab w:val="left" w:pos="1481"/>
        </w:tabs>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ab/>
      </w:r>
    </w:p>
    <w:p w14:paraId="23CC09E3"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Expenditure under Programme 4 lends credence to policy priorities for 2019/20. Poor road conditions are a significant contributor to the costs of moving people and goods within South Africa and across the Southern African region, increasing travel time and vehicle operating costs. There is, therefore, an imperative to improve national, provincial and municipal road networks.</w:t>
      </w:r>
    </w:p>
    <w:p w14:paraId="65A416B7" w14:textId="77777777" w:rsidR="006C2EC0" w:rsidRPr="007457B1" w:rsidRDefault="006C2EC0" w:rsidP="00C07A5A">
      <w:pPr>
        <w:spacing w:line="360" w:lineRule="auto"/>
        <w:jc w:val="both"/>
        <w:rPr>
          <w:rFonts w:ascii="Times New Roman" w:hAnsi="Times New Roman" w:cs="Times New Roman"/>
          <w:sz w:val="24"/>
          <w:szCs w:val="24"/>
        </w:rPr>
      </w:pPr>
    </w:p>
    <w:p w14:paraId="63084EBC" w14:textId="77777777" w:rsidR="00490066" w:rsidRDefault="00490066">
      <w:pPr>
        <w:rPr>
          <w:rFonts w:ascii="Times New Roman" w:hAnsi="Times New Roman" w:cs="Times New Roman"/>
          <w:b/>
          <w:i/>
          <w:sz w:val="24"/>
          <w:szCs w:val="24"/>
        </w:rPr>
      </w:pPr>
      <w:r>
        <w:rPr>
          <w:rFonts w:ascii="Times New Roman" w:hAnsi="Times New Roman" w:cs="Times New Roman"/>
          <w:b/>
          <w:i/>
          <w:sz w:val="24"/>
          <w:szCs w:val="24"/>
        </w:rPr>
        <w:br w:type="page"/>
      </w:r>
    </w:p>
    <w:p w14:paraId="50C15D7C" w14:textId="77777777" w:rsidR="006C2EC0" w:rsidRPr="007457B1" w:rsidRDefault="006C2EC0" w:rsidP="00C07A5A">
      <w:pPr>
        <w:spacing w:line="360" w:lineRule="auto"/>
        <w:jc w:val="both"/>
        <w:rPr>
          <w:rFonts w:ascii="Times New Roman" w:hAnsi="Times New Roman" w:cs="Times New Roman"/>
          <w:b/>
          <w:i/>
          <w:sz w:val="24"/>
          <w:szCs w:val="24"/>
        </w:rPr>
      </w:pPr>
      <w:r w:rsidRPr="007457B1">
        <w:rPr>
          <w:rFonts w:ascii="Times New Roman" w:hAnsi="Times New Roman" w:cs="Times New Roman"/>
          <w:b/>
          <w:i/>
          <w:sz w:val="24"/>
          <w:szCs w:val="24"/>
        </w:rPr>
        <w:t>5.1.5 Programme 5: Civil Aviation Transport</w:t>
      </w:r>
    </w:p>
    <w:p w14:paraId="252C3A10" w14:textId="77777777" w:rsidR="006C2EC0" w:rsidRPr="007457B1" w:rsidRDefault="006C2EC0" w:rsidP="00C07A5A">
      <w:pPr>
        <w:spacing w:line="360" w:lineRule="auto"/>
        <w:jc w:val="both"/>
        <w:rPr>
          <w:rFonts w:ascii="Times New Roman" w:hAnsi="Times New Roman" w:cs="Times New Roman"/>
          <w:b/>
          <w:i/>
          <w:color w:val="525252" w:themeColor="accent3" w:themeShade="80"/>
          <w:sz w:val="24"/>
          <w:szCs w:val="24"/>
        </w:rPr>
      </w:pPr>
    </w:p>
    <w:p w14:paraId="2CBC2D63"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Civil Aviation Transport programme facilitates the development of an economically viable air transport industry that is safe, secure, efficient, environmentally friendly and compliant with international standards through regulations and investigations. Moreover, it oversees aviation transport public entities.</w:t>
      </w:r>
    </w:p>
    <w:p w14:paraId="4A2603EF" w14:textId="77777777" w:rsidR="006C2EC0" w:rsidRPr="007457B1" w:rsidRDefault="006C2EC0" w:rsidP="00C07A5A">
      <w:pPr>
        <w:spacing w:line="360" w:lineRule="auto"/>
        <w:jc w:val="both"/>
        <w:rPr>
          <w:rFonts w:ascii="Times New Roman" w:hAnsi="Times New Roman" w:cs="Times New Roman"/>
          <w:b/>
          <w:sz w:val="24"/>
          <w:szCs w:val="24"/>
        </w:rPr>
      </w:pPr>
    </w:p>
    <w:p w14:paraId="2F71C0EA" w14:textId="77777777" w:rsidR="006C2EC0" w:rsidRPr="007457B1" w:rsidRDefault="00ED73A6"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Table 12</w:t>
      </w:r>
      <w:r w:rsidR="006C2EC0" w:rsidRPr="007457B1">
        <w:rPr>
          <w:rFonts w:ascii="Times New Roman" w:hAnsi="Times New Roman" w:cs="Times New Roman"/>
          <w:b/>
          <w:sz w:val="24"/>
          <w:szCs w:val="24"/>
        </w:rPr>
        <w:t>: Programme 5: Civil Aviation Transport</w:t>
      </w:r>
    </w:p>
    <w:tbl>
      <w:tblPr>
        <w:tblStyle w:val="TableGrid"/>
        <w:tblW w:w="9776" w:type="dxa"/>
        <w:tblLayout w:type="fixed"/>
        <w:tblLook w:val="04A0" w:firstRow="1" w:lastRow="0" w:firstColumn="1" w:lastColumn="0" w:noHBand="0" w:noVBand="1"/>
      </w:tblPr>
      <w:tblGrid>
        <w:gridCol w:w="3387"/>
        <w:gridCol w:w="993"/>
        <w:gridCol w:w="992"/>
        <w:gridCol w:w="1144"/>
        <w:gridCol w:w="1134"/>
        <w:gridCol w:w="1134"/>
        <w:gridCol w:w="992"/>
      </w:tblGrid>
      <w:tr w:rsidR="006C2EC0" w:rsidRPr="00490066" w14:paraId="796BC51E" w14:textId="77777777" w:rsidTr="00AA480F">
        <w:trPr>
          <w:trHeight w:val="765"/>
        </w:trPr>
        <w:tc>
          <w:tcPr>
            <w:tcW w:w="3387" w:type="dxa"/>
            <w:tcBorders>
              <w:top w:val="single" w:sz="12" w:space="0" w:color="auto"/>
              <w:left w:val="single" w:sz="12" w:space="0" w:color="auto"/>
              <w:bottom w:val="single" w:sz="12" w:space="0" w:color="auto"/>
            </w:tcBorders>
            <w:shd w:val="pct15" w:color="auto" w:fill="auto"/>
            <w:noWrap/>
            <w:hideMark/>
          </w:tcPr>
          <w:p w14:paraId="3A02A9B9"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Programme</w:t>
            </w:r>
          </w:p>
        </w:tc>
        <w:tc>
          <w:tcPr>
            <w:tcW w:w="1985" w:type="dxa"/>
            <w:gridSpan w:val="2"/>
            <w:tcBorders>
              <w:top w:val="single" w:sz="12" w:space="0" w:color="auto"/>
              <w:bottom w:val="single" w:sz="12" w:space="0" w:color="auto"/>
            </w:tcBorders>
            <w:shd w:val="pct15" w:color="auto" w:fill="auto"/>
            <w:hideMark/>
          </w:tcPr>
          <w:p w14:paraId="1335FA72"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Budget</w:t>
            </w:r>
          </w:p>
        </w:tc>
        <w:tc>
          <w:tcPr>
            <w:tcW w:w="1144" w:type="dxa"/>
            <w:vMerge w:val="restart"/>
            <w:tcBorders>
              <w:top w:val="single" w:sz="12" w:space="0" w:color="auto"/>
            </w:tcBorders>
            <w:shd w:val="pct15" w:color="auto" w:fill="auto"/>
            <w:hideMark/>
          </w:tcPr>
          <w:p w14:paraId="18D5B1E5"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Nominal Increase/ Decrease in 2019/20</w:t>
            </w:r>
          </w:p>
        </w:tc>
        <w:tc>
          <w:tcPr>
            <w:tcW w:w="1134" w:type="dxa"/>
            <w:vMerge w:val="restart"/>
            <w:tcBorders>
              <w:top w:val="single" w:sz="12" w:space="0" w:color="auto"/>
            </w:tcBorders>
            <w:shd w:val="pct15" w:color="auto" w:fill="auto"/>
            <w:hideMark/>
          </w:tcPr>
          <w:p w14:paraId="591666CC"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Real Increase/ Decrease in 2019/20</w:t>
            </w:r>
          </w:p>
        </w:tc>
        <w:tc>
          <w:tcPr>
            <w:tcW w:w="1134" w:type="dxa"/>
            <w:vMerge w:val="restart"/>
            <w:tcBorders>
              <w:top w:val="single" w:sz="12" w:space="0" w:color="auto"/>
            </w:tcBorders>
            <w:shd w:val="pct15" w:color="auto" w:fill="auto"/>
            <w:hideMark/>
          </w:tcPr>
          <w:p w14:paraId="4B727A53"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Nominal Percent change in 2019/20</w:t>
            </w:r>
          </w:p>
        </w:tc>
        <w:tc>
          <w:tcPr>
            <w:tcW w:w="992" w:type="dxa"/>
            <w:vMerge w:val="restart"/>
            <w:tcBorders>
              <w:top w:val="single" w:sz="12" w:space="0" w:color="auto"/>
              <w:right w:val="single" w:sz="12" w:space="0" w:color="auto"/>
            </w:tcBorders>
            <w:shd w:val="pct15" w:color="auto" w:fill="auto"/>
            <w:hideMark/>
          </w:tcPr>
          <w:p w14:paraId="01CB904F"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Real Percent change in 2019/20</w:t>
            </w:r>
          </w:p>
        </w:tc>
      </w:tr>
      <w:tr w:rsidR="006C2EC0" w:rsidRPr="00490066" w14:paraId="738424F3" w14:textId="77777777" w:rsidTr="00AA480F">
        <w:trPr>
          <w:trHeight w:val="264"/>
        </w:trPr>
        <w:tc>
          <w:tcPr>
            <w:tcW w:w="3387" w:type="dxa"/>
            <w:tcBorders>
              <w:top w:val="single" w:sz="12" w:space="0" w:color="auto"/>
              <w:left w:val="single" w:sz="12" w:space="0" w:color="auto"/>
              <w:bottom w:val="single" w:sz="12" w:space="0" w:color="auto"/>
            </w:tcBorders>
            <w:shd w:val="pct15" w:color="auto" w:fill="auto"/>
            <w:noWrap/>
            <w:hideMark/>
          </w:tcPr>
          <w:p w14:paraId="3676065D"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R million</w:t>
            </w:r>
          </w:p>
        </w:tc>
        <w:tc>
          <w:tcPr>
            <w:tcW w:w="993" w:type="dxa"/>
            <w:tcBorders>
              <w:top w:val="single" w:sz="12" w:space="0" w:color="auto"/>
              <w:bottom w:val="single" w:sz="12" w:space="0" w:color="auto"/>
            </w:tcBorders>
            <w:shd w:val="pct15" w:color="auto" w:fill="auto"/>
            <w:noWrap/>
            <w:hideMark/>
          </w:tcPr>
          <w:p w14:paraId="68DEEEEE"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2018/19</w:t>
            </w:r>
          </w:p>
        </w:tc>
        <w:tc>
          <w:tcPr>
            <w:tcW w:w="992" w:type="dxa"/>
            <w:tcBorders>
              <w:top w:val="single" w:sz="12" w:space="0" w:color="auto"/>
              <w:bottom w:val="single" w:sz="12" w:space="0" w:color="auto"/>
            </w:tcBorders>
            <w:shd w:val="pct15" w:color="auto" w:fill="auto"/>
            <w:noWrap/>
            <w:hideMark/>
          </w:tcPr>
          <w:p w14:paraId="4B8115CC"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2019/20</w:t>
            </w:r>
          </w:p>
        </w:tc>
        <w:tc>
          <w:tcPr>
            <w:tcW w:w="1144" w:type="dxa"/>
            <w:vMerge/>
            <w:tcBorders>
              <w:bottom w:val="single" w:sz="12" w:space="0" w:color="auto"/>
            </w:tcBorders>
            <w:hideMark/>
          </w:tcPr>
          <w:p w14:paraId="322E1E2F" w14:textId="77777777" w:rsidR="006C2EC0" w:rsidRPr="00490066" w:rsidRDefault="006C2EC0" w:rsidP="00C07A5A">
            <w:pPr>
              <w:spacing w:line="360" w:lineRule="auto"/>
              <w:jc w:val="both"/>
              <w:rPr>
                <w:rFonts w:ascii="Times New Roman" w:hAnsi="Times New Roman" w:cs="Times New Roman"/>
                <w:b/>
                <w:bCs/>
              </w:rPr>
            </w:pPr>
          </w:p>
        </w:tc>
        <w:tc>
          <w:tcPr>
            <w:tcW w:w="1134" w:type="dxa"/>
            <w:vMerge/>
            <w:tcBorders>
              <w:bottom w:val="single" w:sz="12" w:space="0" w:color="auto"/>
            </w:tcBorders>
            <w:hideMark/>
          </w:tcPr>
          <w:p w14:paraId="2E48BA35" w14:textId="77777777" w:rsidR="006C2EC0" w:rsidRPr="00490066" w:rsidRDefault="006C2EC0" w:rsidP="00C07A5A">
            <w:pPr>
              <w:spacing w:line="360" w:lineRule="auto"/>
              <w:jc w:val="both"/>
              <w:rPr>
                <w:rFonts w:ascii="Times New Roman" w:hAnsi="Times New Roman" w:cs="Times New Roman"/>
                <w:b/>
                <w:bCs/>
              </w:rPr>
            </w:pPr>
          </w:p>
        </w:tc>
        <w:tc>
          <w:tcPr>
            <w:tcW w:w="1134" w:type="dxa"/>
            <w:vMerge/>
            <w:tcBorders>
              <w:bottom w:val="single" w:sz="12" w:space="0" w:color="auto"/>
            </w:tcBorders>
            <w:hideMark/>
          </w:tcPr>
          <w:p w14:paraId="371C4185" w14:textId="77777777" w:rsidR="006C2EC0" w:rsidRPr="00490066" w:rsidRDefault="006C2EC0" w:rsidP="00C07A5A">
            <w:pPr>
              <w:spacing w:line="360" w:lineRule="auto"/>
              <w:jc w:val="both"/>
              <w:rPr>
                <w:rFonts w:ascii="Times New Roman" w:hAnsi="Times New Roman" w:cs="Times New Roman"/>
                <w:b/>
                <w:bCs/>
              </w:rPr>
            </w:pPr>
          </w:p>
        </w:tc>
        <w:tc>
          <w:tcPr>
            <w:tcW w:w="992" w:type="dxa"/>
            <w:vMerge/>
            <w:tcBorders>
              <w:bottom w:val="single" w:sz="12" w:space="0" w:color="auto"/>
              <w:right w:val="single" w:sz="12" w:space="0" w:color="auto"/>
            </w:tcBorders>
            <w:hideMark/>
          </w:tcPr>
          <w:p w14:paraId="520A62FB" w14:textId="77777777" w:rsidR="006C2EC0" w:rsidRPr="00490066" w:rsidRDefault="006C2EC0" w:rsidP="00C07A5A">
            <w:pPr>
              <w:spacing w:line="360" w:lineRule="auto"/>
              <w:jc w:val="both"/>
              <w:rPr>
                <w:rFonts w:ascii="Times New Roman" w:hAnsi="Times New Roman" w:cs="Times New Roman"/>
                <w:b/>
                <w:bCs/>
              </w:rPr>
            </w:pPr>
          </w:p>
        </w:tc>
      </w:tr>
      <w:tr w:rsidR="006C2EC0" w:rsidRPr="00490066" w14:paraId="43C5FA98" w14:textId="77777777" w:rsidTr="00AA480F">
        <w:trPr>
          <w:trHeight w:val="264"/>
        </w:trPr>
        <w:tc>
          <w:tcPr>
            <w:tcW w:w="3387" w:type="dxa"/>
            <w:tcBorders>
              <w:top w:val="single" w:sz="12" w:space="0" w:color="auto"/>
            </w:tcBorders>
            <w:noWrap/>
            <w:hideMark/>
          </w:tcPr>
          <w:p w14:paraId="2F8A827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Aviation Policy and Regulations</w:t>
            </w:r>
          </w:p>
        </w:tc>
        <w:tc>
          <w:tcPr>
            <w:tcW w:w="993" w:type="dxa"/>
            <w:tcBorders>
              <w:top w:val="single" w:sz="12" w:space="0" w:color="auto"/>
            </w:tcBorders>
            <w:noWrap/>
            <w:hideMark/>
          </w:tcPr>
          <w:p w14:paraId="6FBB5F8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28.0</w:t>
            </w:r>
          </w:p>
        </w:tc>
        <w:tc>
          <w:tcPr>
            <w:tcW w:w="992" w:type="dxa"/>
            <w:tcBorders>
              <w:top w:val="single" w:sz="12" w:space="0" w:color="auto"/>
            </w:tcBorders>
            <w:noWrap/>
            <w:hideMark/>
          </w:tcPr>
          <w:p w14:paraId="024B96A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27.8</w:t>
            </w:r>
          </w:p>
        </w:tc>
        <w:tc>
          <w:tcPr>
            <w:tcW w:w="1144" w:type="dxa"/>
            <w:tcBorders>
              <w:top w:val="single" w:sz="12" w:space="0" w:color="auto"/>
            </w:tcBorders>
            <w:noWrap/>
            <w:hideMark/>
          </w:tcPr>
          <w:p w14:paraId="28DF66E7"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0.2</w:t>
            </w:r>
          </w:p>
        </w:tc>
        <w:tc>
          <w:tcPr>
            <w:tcW w:w="1134" w:type="dxa"/>
            <w:tcBorders>
              <w:top w:val="single" w:sz="12" w:space="0" w:color="auto"/>
            </w:tcBorders>
            <w:noWrap/>
            <w:hideMark/>
          </w:tcPr>
          <w:p w14:paraId="1D7B646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1.6</w:t>
            </w:r>
          </w:p>
        </w:tc>
        <w:tc>
          <w:tcPr>
            <w:tcW w:w="1134" w:type="dxa"/>
            <w:tcBorders>
              <w:top w:val="single" w:sz="12" w:space="0" w:color="auto"/>
            </w:tcBorders>
            <w:noWrap/>
            <w:hideMark/>
          </w:tcPr>
          <w:p w14:paraId="21C825B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-0.7%</w:t>
            </w:r>
          </w:p>
        </w:tc>
        <w:tc>
          <w:tcPr>
            <w:tcW w:w="992" w:type="dxa"/>
            <w:tcBorders>
              <w:top w:val="single" w:sz="12" w:space="0" w:color="auto"/>
            </w:tcBorders>
            <w:noWrap/>
            <w:hideMark/>
          </w:tcPr>
          <w:p w14:paraId="165B3326"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-5.6%</w:t>
            </w:r>
          </w:p>
        </w:tc>
      </w:tr>
      <w:tr w:rsidR="006C2EC0" w:rsidRPr="00490066" w14:paraId="057EFAFC" w14:textId="77777777" w:rsidTr="00AA480F">
        <w:trPr>
          <w:trHeight w:val="264"/>
        </w:trPr>
        <w:tc>
          <w:tcPr>
            <w:tcW w:w="3387" w:type="dxa"/>
            <w:noWrap/>
            <w:hideMark/>
          </w:tcPr>
          <w:p w14:paraId="1D2B5F21"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Aviation Economic Analysis and Industry Development</w:t>
            </w:r>
          </w:p>
        </w:tc>
        <w:tc>
          <w:tcPr>
            <w:tcW w:w="993" w:type="dxa"/>
            <w:noWrap/>
            <w:hideMark/>
          </w:tcPr>
          <w:p w14:paraId="23ED3A86"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13.1</w:t>
            </w:r>
          </w:p>
        </w:tc>
        <w:tc>
          <w:tcPr>
            <w:tcW w:w="992" w:type="dxa"/>
            <w:noWrap/>
            <w:hideMark/>
          </w:tcPr>
          <w:p w14:paraId="5EEAEFBC"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15.0</w:t>
            </w:r>
          </w:p>
        </w:tc>
        <w:tc>
          <w:tcPr>
            <w:tcW w:w="1144" w:type="dxa"/>
            <w:noWrap/>
            <w:hideMark/>
          </w:tcPr>
          <w:p w14:paraId="75FBDCF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1.9</w:t>
            </w:r>
          </w:p>
        </w:tc>
        <w:tc>
          <w:tcPr>
            <w:tcW w:w="1134" w:type="dxa"/>
            <w:noWrap/>
            <w:hideMark/>
          </w:tcPr>
          <w:p w14:paraId="5A587EC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1.2</w:t>
            </w:r>
          </w:p>
        </w:tc>
        <w:tc>
          <w:tcPr>
            <w:tcW w:w="1134" w:type="dxa"/>
            <w:noWrap/>
            <w:hideMark/>
          </w:tcPr>
          <w:p w14:paraId="1004F8D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14.5%</w:t>
            </w:r>
          </w:p>
        </w:tc>
        <w:tc>
          <w:tcPr>
            <w:tcW w:w="992" w:type="dxa"/>
            <w:noWrap/>
            <w:hideMark/>
          </w:tcPr>
          <w:p w14:paraId="29CBAB7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8.8%</w:t>
            </w:r>
          </w:p>
        </w:tc>
      </w:tr>
      <w:tr w:rsidR="006C2EC0" w:rsidRPr="00490066" w14:paraId="5405C4BB" w14:textId="77777777" w:rsidTr="00AA480F">
        <w:trPr>
          <w:trHeight w:val="264"/>
        </w:trPr>
        <w:tc>
          <w:tcPr>
            <w:tcW w:w="3387" w:type="dxa"/>
            <w:noWrap/>
            <w:hideMark/>
          </w:tcPr>
          <w:p w14:paraId="736F52D6"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Aviation Safety, Security, Environment and Search and Rescue</w:t>
            </w:r>
          </w:p>
        </w:tc>
        <w:tc>
          <w:tcPr>
            <w:tcW w:w="993" w:type="dxa"/>
            <w:noWrap/>
            <w:hideMark/>
          </w:tcPr>
          <w:p w14:paraId="10C9CBE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75.9</w:t>
            </w:r>
          </w:p>
        </w:tc>
        <w:tc>
          <w:tcPr>
            <w:tcW w:w="992" w:type="dxa"/>
            <w:noWrap/>
            <w:hideMark/>
          </w:tcPr>
          <w:p w14:paraId="28A08057"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123.5</w:t>
            </w:r>
          </w:p>
        </w:tc>
        <w:tc>
          <w:tcPr>
            <w:tcW w:w="1144" w:type="dxa"/>
            <w:noWrap/>
            <w:hideMark/>
          </w:tcPr>
          <w:p w14:paraId="30684327"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47.6</w:t>
            </w:r>
          </w:p>
        </w:tc>
        <w:tc>
          <w:tcPr>
            <w:tcW w:w="1134" w:type="dxa"/>
            <w:noWrap/>
            <w:hideMark/>
          </w:tcPr>
          <w:p w14:paraId="2AE4F5D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41.5</w:t>
            </w:r>
          </w:p>
        </w:tc>
        <w:tc>
          <w:tcPr>
            <w:tcW w:w="1134" w:type="dxa"/>
            <w:noWrap/>
            <w:hideMark/>
          </w:tcPr>
          <w:p w14:paraId="2CB7848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62.7%</w:t>
            </w:r>
          </w:p>
        </w:tc>
        <w:tc>
          <w:tcPr>
            <w:tcW w:w="992" w:type="dxa"/>
            <w:noWrap/>
            <w:hideMark/>
          </w:tcPr>
          <w:p w14:paraId="1763357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54.7%</w:t>
            </w:r>
          </w:p>
        </w:tc>
      </w:tr>
      <w:tr w:rsidR="006C2EC0" w:rsidRPr="00490066" w14:paraId="15B4A74E" w14:textId="77777777" w:rsidTr="00AA480F">
        <w:trPr>
          <w:trHeight w:val="264"/>
        </w:trPr>
        <w:tc>
          <w:tcPr>
            <w:tcW w:w="3387" w:type="dxa"/>
            <w:noWrap/>
            <w:hideMark/>
          </w:tcPr>
          <w:p w14:paraId="7C5918DD"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Aviation Oversight</w:t>
            </w:r>
          </w:p>
        </w:tc>
        <w:tc>
          <w:tcPr>
            <w:tcW w:w="993" w:type="dxa"/>
            <w:noWrap/>
            <w:hideMark/>
          </w:tcPr>
          <w:p w14:paraId="011BDBD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59.9</w:t>
            </w:r>
          </w:p>
        </w:tc>
        <w:tc>
          <w:tcPr>
            <w:tcW w:w="992" w:type="dxa"/>
            <w:noWrap/>
            <w:hideMark/>
          </w:tcPr>
          <w:p w14:paraId="24CC620D"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73.0</w:t>
            </w:r>
          </w:p>
        </w:tc>
        <w:tc>
          <w:tcPr>
            <w:tcW w:w="1144" w:type="dxa"/>
            <w:noWrap/>
            <w:hideMark/>
          </w:tcPr>
          <w:p w14:paraId="4FDA5BF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13.1</w:t>
            </w:r>
          </w:p>
        </w:tc>
        <w:tc>
          <w:tcPr>
            <w:tcW w:w="1134" w:type="dxa"/>
            <w:noWrap/>
            <w:hideMark/>
          </w:tcPr>
          <w:p w14:paraId="070831B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9.5</w:t>
            </w:r>
          </w:p>
        </w:tc>
        <w:tc>
          <w:tcPr>
            <w:tcW w:w="1134" w:type="dxa"/>
            <w:noWrap/>
            <w:hideMark/>
          </w:tcPr>
          <w:p w14:paraId="60684D8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21.9%</w:t>
            </w:r>
          </w:p>
        </w:tc>
        <w:tc>
          <w:tcPr>
            <w:tcW w:w="992" w:type="dxa"/>
            <w:noWrap/>
            <w:hideMark/>
          </w:tcPr>
          <w:p w14:paraId="1C737DF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15.9%</w:t>
            </w:r>
          </w:p>
        </w:tc>
      </w:tr>
      <w:tr w:rsidR="006C2EC0" w:rsidRPr="00490066" w14:paraId="43333351" w14:textId="77777777" w:rsidTr="00AA480F">
        <w:trPr>
          <w:trHeight w:val="264"/>
        </w:trPr>
        <w:tc>
          <w:tcPr>
            <w:tcW w:w="3387" w:type="dxa"/>
            <w:noWrap/>
            <w:hideMark/>
          </w:tcPr>
          <w:p w14:paraId="4E8319C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Aviation Administration Support</w:t>
            </w:r>
          </w:p>
        </w:tc>
        <w:tc>
          <w:tcPr>
            <w:tcW w:w="993" w:type="dxa"/>
            <w:noWrap/>
            <w:hideMark/>
          </w:tcPr>
          <w:p w14:paraId="167FC05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5.3</w:t>
            </w:r>
          </w:p>
        </w:tc>
        <w:tc>
          <w:tcPr>
            <w:tcW w:w="992" w:type="dxa"/>
            <w:noWrap/>
            <w:hideMark/>
          </w:tcPr>
          <w:p w14:paraId="3E03223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5.8</w:t>
            </w:r>
          </w:p>
        </w:tc>
        <w:tc>
          <w:tcPr>
            <w:tcW w:w="1144" w:type="dxa"/>
            <w:noWrap/>
            <w:hideMark/>
          </w:tcPr>
          <w:p w14:paraId="1944C345"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0.5</w:t>
            </w:r>
          </w:p>
        </w:tc>
        <w:tc>
          <w:tcPr>
            <w:tcW w:w="1134" w:type="dxa"/>
            <w:noWrap/>
            <w:hideMark/>
          </w:tcPr>
          <w:p w14:paraId="7E03EA61"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0.2</w:t>
            </w:r>
          </w:p>
        </w:tc>
        <w:tc>
          <w:tcPr>
            <w:tcW w:w="1134" w:type="dxa"/>
            <w:noWrap/>
            <w:hideMark/>
          </w:tcPr>
          <w:p w14:paraId="774393E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9.4%</w:t>
            </w:r>
          </w:p>
        </w:tc>
        <w:tc>
          <w:tcPr>
            <w:tcW w:w="992" w:type="dxa"/>
            <w:noWrap/>
            <w:hideMark/>
          </w:tcPr>
          <w:p w14:paraId="768E111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4.0%</w:t>
            </w:r>
          </w:p>
        </w:tc>
      </w:tr>
      <w:tr w:rsidR="006C2EC0" w:rsidRPr="00490066" w14:paraId="27E29B9A" w14:textId="77777777" w:rsidTr="00AA480F">
        <w:trPr>
          <w:trHeight w:val="264"/>
        </w:trPr>
        <w:tc>
          <w:tcPr>
            <w:tcW w:w="3387" w:type="dxa"/>
            <w:tcBorders>
              <w:top w:val="single" w:sz="12" w:space="0" w:color="auto"/>
              <w:left w:val="single" w:sz="12" w:space="0" w:color="auto"/>
              <w:bottom w:val="single" w:sz="12" w:space="0" w:color="auto"/>
            </w:tcBorders>
            <w:shd w:val="pct15" w:color="auto" w:fill="auto"/>
            <w:noWrap/>
            <w:hideMark/>
          </w:tcPr>
          <w:p w14:paraId="1E4483AB"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TOTAL</w:t>
            </w:r>
          </w:p>
        </w:tc>
        <w:tc>
          <w:tcPr>
            <w:tcW w:w="993" w:type="dxa"/>
            <w:tcBorders>
              <w:top w:val="single" w:sz="12" w:space="0" w:color="auto"/>
              <w:bottom w:val="single" w:sz="12" w:space="0" w:color="auto"/>
            </w:tcBorders>
            <w:shd w:val="pct15" w:color="auto" w:fill="auto"/>
            <w:noWrap/>
            <w:hideMark/>
          </w:tcPr>
          <w:p w14:paraId="457BF769"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 xml:space="preserve">  182.3</w:t>
            </w:r>
          </w:p>
        </w:tc>
        <w:tc>
          <w:tcPr>
            <w:tcW w:w="992" w:type="dxa"/>
            <w:tcBorders>
              <w:top w:val="single" w:sz="12" w:space="0" w:color="auto"/>
              <w:bottom w:val="single" w:sz="12" w:space="0" w:color="auto"/>
            </w:tcBorders>
            <w:shd w:val="pct15" w:color="auto" w:fill="auto"/>
            <w:noWrap/>
            <w:hideMark/>
          </w:tcPr>
          <w:p w14:paraId="3FCF4B24"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 xml:space="preserve">  245.1</w:t>
            </w:r>
          </w:p>
        </w:tc>
        <w:tc>
          <w:tcPr>
            <w:tcW w:w="1144" w:type="dxa"/>
            <w:tcBorders>
              <w:top w:val="single" w:sz="12" w:space="0" w:color="auto"/>
              <w:bottom w:val="single" w:sz="12" w:space="0" w:color="auto"/>
            </w:tcBorders>
            <w:shd w:val="pct15" w:color="auto" w:fill="auto"/>
            <w:noWrap/>
            <w:hideMark/>
          </w:tcPr>
          <w:p w14:paraId="0E826F4F"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 xml:space="preserve">  62.8</w:t>
            </w:r>
          </w:p>
        </w:tc>
        <w:tc>
          <w:tcPr>
            <w:tcW w:w="1134" w:type="dxa"/>
            <w:tcBorders>
              <w:top w:val="single" w:sz="12" w:space="0" w:color="auto"/>
              <w:bottom w:val="single" w:sz="12" w:space="0" w:color="auto"/>
            </w:tcBorders>
            <w:shd w:val="pct15" w:color="auto" w:fill="auto"/>
            <w:noWrap/>
            <w:hideMark/>
          </w:tcPr>
          <w:p w14:paraId="3CF4EB43"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 xml:space="preserve">  50.7</w:t>
            </w:r>
          </w:p>
        </w:tc>
        <w:tc>
          <w:tcPr>
            <w:tcW w:w="1134" w:type="dxa"/>
            <w:tcBorders>
              <w:top w:val="single" w:sz="12" w:space="0" w:color="auto"/>
              <w:bottom w:val="single" w:sz="12" w:space="0" w:color="auto"/>
            </w:tcBorders>
            <w:shd w:val="pct15" w:color="auto" w:fill="auto"/>
            <w:noWrap/>
            <w:hideMark/>
          </w:tcPr>
          <w:p w14:paraId="1AF240B5"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34.4%</w:t>
            </w:r>
          </w:p>
        </w:tc>
        <w:tc>
          <w:tcPr>
            <w:tcW w:w="992" w:type="dxa"/>
            <w:tcBorders>
              <w:top w:val="single" w:sz="12" w:space="0" w:color="auto"/>
              <w:bottom w:val="single" w:sz="12" w:space="0" w:color="auto"/>
              <w:right w:val="single" w:sz="12" w:space="0" w:color="auto"/>
            </w:tcBorders>
            <w:shd w:val="pct15" w:color="auto" w:fill="auto"/>
            <w:noWrap/>
            <w:hideMark/>
          </w:tcPr>
          <w:p w14:paraId="5AA931A6"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27.8%</w:t>
            </w:r>
          </w:p>
        </w:tc>
      </w:tr>
    </w:tbl>
    <w:p w14:paraId="3B7824C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b/>
        </w:rPr>
        <w:t>(Source: National Treasury (2019)</w:t>
      </w:r>
    </w:p>
    <w:p w14:paraId="0B28E614" w14:textId="77777777" w:rsidR="006C2EC0" w:rsidRPr="007457B1" w:rsidRDefault="006C2EC0" w:rsidP="00C07A5A">
      <w:pPr>
        <w:spacing w:line="360" w:lineRule="auto"/>
        <w:jc w:val="both"/>
        <w:rPr>
          <w:rFonts w:ascii="Times New Roman" w:hAnsi="Times New Roman" w:cs="Times New Roman"/>
          <w:sz w:val="24"/>
          <w:szCs w:val="24"/>
        </w:rPr>
      </w:pPr>
    </w:p>
    <w:p w14:paraId="3B0F4EAE"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For 2019/20, the allocation to the Civil Aviation Transport programme equals R425.1 million, up from R182.3 million previously, translating into an increase of 27.8</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xml:space="preserve"> above inflation. The strong increase in the </w:t>
      </w:r>
      <w:r w:rsidRPr="007457B1">
        <w:rPr>
          <w:rFonts w:ascii="Times New Roman" w:hAnsi="Times New Roman" w:cs="Times New Roman"/>
          <w:i/>
          <w:sz w:val="24"/>
          <w:szCs w:val="24"/>
        </w:rPr>
        <w:t xml:space="preserve">Aviation Safety, Security, Environment and Search and Rescue </w:t>
      </w:r>
      <w:r w:rsidRPr="007457B1">
        <w:rPr>
          <w:rFonts w:ascii="Times New Roman" w:hAnsi="Times New Roman" w:cs="Times New Roman"/>
          <w:sz w:val="24"/>
          <w:szCs w:val="24"/>
        </w:rPr>
        <w:t>sub-programme constitutes 54.7</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xml:space="preserve"> above inflation. The sub-programme allocation grows from R75.9 million to R123.5 million in 2019/20. The next highest increase (15.9</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xml:space="preserve"> above inflation) is for the </w:t>
      </w:r>
      <w:r w:rsidRPr="007457B1">
        <w:rPr>
          <w:rFonts w:ascii="Times New Roman" w:hAnsi="Times New Roman" w:cs="Times New Roman"/>
          <w:i/>
          <w:sz w:val="24"/>
          <w:szCs w:val="24"/>
        </w:rPr>
        <w:t>Aviation Oversight</w:t>
      </w:r>
      <w:r w:rsidRPr="007457B1">
        <w:rPr>
          <w:rFonts w:ascii="Times New Roman" w:hAnsi="Times New Roman" w:cs="Times New Roman"/>
          <w:sz w:val="24"/>
          <w:szCs w:val="24"/>
        </w:rPr>
        <w:t xml:space="preserve"> sub-programme - growth is from R59.9 million in 2018/19 to R73.0 million in 2019/20.</w:t>
      </w:r>
    </w:p>
    <w:p w14:paraId="554A32A4" w14:textId="77777777" w:rsidR="006C2EC0" w:rsidRPr="007457B1" w:rsidRDefault="006C2EC0" w:rsidP="00C07A5A">
      <w:pPr>
        <w:tabs>
          <w:tab w:val="left" w:pos="2664"/>
        </w:tabs>
        <w:spacing w:line="360" w:lineRule="auto"/>
        <w:jc w:val="both"/>
        <w:rPr>
          <w:rFonts w:ascii="Times New Roman" w:hAnsi="Times New Roman" w:cs="Times New Roman"/>
          <w:b/>
          <w:sz w:val="24"/>
          <w:szCs w:val="24"/>
        </w:rPr>
      </w:pPr>
      <w:r w:rsidRPr="007457B1">
        <w:rPr>
          <w:rFonts w:ascii="Times New Roman" w:hAnsi="Times New Roman" w:cs="Times New Roman"/>
          <w:b/>
          <w:i/>
          <w:sz w:val="24"/>
          <w:szCs w:val="24"/>
        </w:rPr>
        <w:t>5.1.6 Programme 6: Maritime Transport</w:t>
      </w:r>
    </w:p>
    <w:p w14:paraId="1A8597B8" w14:textId="77777777" w:rsidR="006C2EC0" w:rsidRPr="007457B1" w:rsidRDefault="006C2EC0" w:rsidP="00C07A5A">
      <w:pPr>
        <w:tabs>
          <w:tab w:val="left" w:pos="2664"/>
        </w:tabs>
        <w:spacing w:line="360" w:lineRule="auto"/>
        <w:jc w:val="both"/>
        <w:rPr>
          <w:rFonts w:ascii="Times New Roman" w:hAnsi="Times New Roman" w:cs="Times New Roman"/>
          <w:b/>
          <w:sz w:val="24"/>
          <w:szCs w:val="24"/>
        </w:rPr>
      </w:pPr>
    </w:p>
    <w:p w14:paraId="121A3507"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Maritime Transport programme promotes a safe, reliable and economically maritime transport sector through the development and implementation of policies and strategies. In addition, the programme oversees maritime public entities. Five sub-programmes fall under the Maritime Transport programme.</w:t>
      </w:r>
    </w:p>
    <w:p w14:paraId="12711674" w14:textId="77777777" w:rsidR="006C2EC0" w:rsidRPr="007457B1" w:rsidRDefault="006C2EC0" w:rsidP="00C07A5A">
      <w:pPr>
        <w:spacing w:line="360" w:lineRule="auto"/>
        <w:jc w:val="both"/>
        <w:rPr>
          <w:rFonts w:ascii="Times New Roman" w:hAnsi="Times New Roman" w:cs="Times New Roman"/>
          <w:sz w:val="24"/>
          <w:szCs w:val="24"/>
        </w:rPr>
      </w:pPr>
    </w:p>
    <w:p w14:paraId="17770981" w14:textId="77777777" w:rsidR="006C2EC0" w:rsidRPr="007457B1" w:rsidRDefault="00ED73A6"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Table 13</w:t>
      </w:r>
      <w:r w:rsidR="006C2EC0" w:rsidRPr="007457B1">
        <w:rPr>
          <w:rFonts w:ascii="Times New Roman" w:hAnsi="Times New Roman" w:cs="Times New Roman"/>
          <w:b/>
          <w:sz w:val="24"/>
          <w:szCs w:val="24"/>
        </w:rPr>
        <w:t>: Programme 6: Maritime Transport</w:t>
      </w:r>
    </w:p>
    <w:tbl>
      <w:tblPr>
        <w:tblStyle w:val="TableGrid"/>
        <w:tblW w:w="9199" w:type="dxa"/>
        <w:tblLook w:val="04A0" w:firstRow="1" w:lastRow="0" w:firstColumn="1" w:lastColumn="0" w:noHBand="0" w:noVBand="1"/>
      </w:tblPr>
      <w:tblGrid>
        <w:gridCol w:w="2869"/>
        <w:gridCol w:w="938"/>
        <w:gridCol w:w="988"/>
        <w:gridCol w:w="1072"/>
        <w:gridCol w:w="1072"/>
        <w:gridCol w:w="1069"/>
        <w:gridCol w:w="1191"/>
      </w:tblGrid>
      <w:tr w:rsidR="006C2EC0" w:rsidRPr="00490066" w14:paraId="0D7E5AC0" w14:textId="77777777" w:rsidTr="00490066">
        <w:trPr>
          <w:trHeight w:val="765"/>
        </w:trPr>
        <w:tc>
          <w:tcPr>
            <w:tcW w:w="2869" w:type="dxa"/>
            <w:tcBorders>
              <w:top w:val="single" w:sz="12" w:space="0" w:color="auto"/>
              <w:left w:val="single" w:sz="12" w:space="0" w:color="auto"/>
              <w:right w:val="single" w:sz="12" w:space="0" w:color="auto"/>
            </w:tcBorders>
            <w:shd w:val="pct15" w:color="auto" w:fill="auto"/>
            <w:noWrap/>
            <w:hideMark/>
          </w:tcPr>
          <w:p w14:paraId="4CB45787" w14:textId="77777777" w:rsidR="006C2EC0" w:rsidRPr="00490066" w:rsidRDefault="006C2EC0" w:rsidP="00C07A5A">
            <w:pPr>
              <w:tabs>
                <w:tab w:val="left" w:pos="2664"/>
              </w:tabs>
              <w:spacing w:line="360" w:lineRule="auto"/>
              <w:jc w:val="both"/>
              <w:rPr>
                <w:rFonts w:ascii="Times New Roman" w:hAnsi="Times New Roman" w:cs="Times New Roman"/>
                <w:b/>
                <w:bCs/>
              </w:rPr>
            </w:pPr>
            <w:r w:rsidRPr="00490066">
              <w:rPr>
                <w:rFonts w:ascii="Times New Roman" w:hAnsi="Times New Roman" w:cs="Times New Roman"/>
                <w:b/>
                <w:bCs/>
              </w:rPr>
              <w:t>Programme</w:t>
            </w:r>
          </w:p>
        </w:tc>
        <w:tc>
          <w:tcPr>
            <w:tcW w:w="1926" w:type="dxa"/>
            <w:gridSpan w:val="2"/>
            <w:tcBorders>
              <w:top w:val="single" w:sz="12" w:space="0" w:color="auto"/>
              <w:left w:val="single" w:sz="12" w:space="0" w:color="auto"/>
              <w:bottom w:val="single" w:sz="12" w:space="0" w:color="auto"/>
              <w:right w:val="single" w:sz="12" w:space="0" w:color="auto"/>
            </w:tcBorders>
            <w:shd w:val="pct15" w:color="auto" w:fill="auto"/>
            <w:hideMark/>
          </w:tcPr>
          <w:p w14:paraId="3D8EC2B1" w14:textId="77777777" w:rsidR="006C2EC0" w:rsidRPr="00490066" w:rsidRDefault="006C2EC0" w:rsidP="00C07A5A">
            <w:pPr>
              <w:tabs>
                <w:tab w:val="left" w:pos="2664"/>
              </w:tabs>
              <w:spacing w:line="360" w:lineRule="auto"/>
              <w:jc w:val="both"/>
              <w:rPr>
                <w:rFonts w:ascii="Times New Roman" w:hAnsi="Times New Roman" w:cs="Times New Roman"/>
                <w:b/>
                <w:bCs/>
              </w:rPr>
            </w:pPr>
            <w:r w:rsidRPr="00490066">
              <w:rPr>
                <w:rFonts w:ascii="Times New Roman" w:hAnsi="Times New Roman" w:cs="Times New Roman"/>
                <w:b/>
                <w:bCs/>
              </w:rPr>
              <w:t>Budget</w:t>
            </w:r>
          </w:p>
        </w:tc>
        <w:tc>
          <w:tcPr>
            <w:tcW w:w="1072" w:type="dxa"/>
            <w:vMerge w:val="restart"/>
            <w:tcBorders>
              <w:top w:val="single" w:sz="12" w:space="0" w:color="auto"/>
              <w:left w:val="single" w:sz="12" w:space="0" w:color="auto"/>
              <w:right w:val="single" w:sz="12" w:space="0" w:color="auto"/>
            </w:tcBorders>
            <w:shd w:val="pct15" w:color="auto" w:fill="auto"/>
            <w:hideMark/>
          </w:tcPr>
          <w:p w14:paraId="28CFC250" w14:textId="77777777" w:rsidR="006C2EC0" w:rsidRPr="00490066" w:rsidRDefault="006C2EC0" w:rsidP="00C07A5A">
            <w:pPr>
              <w:tabs>
                <w:tab w:val="left" w:pos="2664"/>
              </w:tabs>
              <w:spacing w:line="360" w:lineRule="auto"/>
              <w:jc w:val="both"/>
              <w:rPr>
                <w:rFonts w:ascii="Times New Roman" w:hAnsi="Times New Roman" w:cs="Times New Roman"/>
                <w:b/>
                <w:bCs/>
              </w:rPr>
            </w:pPr>
            <w:r w:rsidRPr="00490066">
              <w:rPr>
                <w:rFonts w:ascii="Times New Roman" w:hAnsi="Times New Roman" w:cs="Times New Roman"/>
                <w:b/>
                <w:bCs/>
              </w:rPr>
              <w:t>Nominal Increase/ Decrease in 2019/20</w:t>
            </w:r>
          </w:p>
        </w:tc>
        <w:tc>
          <w:tcPr>
            <w:tcW w:w="1072" w:type="dxa"/>
            <w:vMerge w:val="restart"/>
            <w:tcBorders>
              <w:top w:val="single" w:sz="12" w:space="0" w:color="auto"/>
              <w:left w:val="single" w:sz="12" w:space="0" w:color="auto"/>
              <w:right w:val="single" w:sz="12" w:space="0" w:color="auto"/>
            </w:tcBorders>
            <w:shd w:val="pct15" w:color="auto" w:fill="auto"/>
            <w:hideMark/>
          </w:tcPr>
          <w:p w14:paraId="455E51E0" w14:textId="77777777" w:rsidR="006C2EC0" w:rsidRPr="00490066" w:rsidRDefault="006C2EC0" w:rsidP="00C07A5A">
            <w:pPr>
              <w:tabs>
                <w:tab w:val="left" w:pos="2664"/>
              </w:tabs>
              <w:spacing w:line="360" w:lineRule="auto"/>
              <w:jc w:val="both"/>
              <w:rPr>
                <w:rFonts w:ascii="Times New Roman" w:hAnsi="Times New Roman" w:cs="Times New Roman"/>
                <w:b/>
                <w:bCs/>
              </w:rPr>
            </w:pPr>
            <w:r w:rsidRPr="00490066">
              <w:rPr>
                <w:rFonts w:ascii="Times New Roman" w:hAnsi="Times New Roman" w:cs="Times New Roman"/>
                <w:b/>
                <w:bCs/>
              </w:rPr>
              <w:t>Real Increase/ Decrease in 2019/20</w:t>
            </w:r>
          </w:p>
        </w:tc>
        <w:tc>
          <w:tcPr>
            <w:tcW w:w="1069" w:type="dxa"/>
            <w:vMerge w:val="restart"/>
            <w:tcBorders>
              <w:top w:val="single" w:sz="12" w:space="0" w:color="auto"/>
              <w:left w:val="single" w:sz="12" w:space="0" w:color="auto"/>
              <w:right w:val="single" w:sz="12" w:space="0" w:color="auto"/>
            </w:tcBorders>
            <w:shd w:val="pct15" w:color="auto" w:fill="auto"/>
            <w:hideMark/>
          </w:tcPr>
          <w:p w14:paraId="4E77DDE8" w14:textId="77777777" w:rsidR="006C2EC0" w:rsidRPr="00490066" w:rsidRDefault="006C2EC0" w:rsidP="00C07A5A">
            <w:pPr>
              <w:tabs>
                <w:tab w:val="left" w:pos="2664"/>
              </w:tabs>
              <w:spacing w:line="360" w:lineRule="auto"/>
              <w:jc w:val="both"/>
              <w:rPr>
                <w:rFonts w:ascii="Times New Roman" w:hAnsi="Times New Roman" w:cs="Times New Roman"/>
                <w:b/>
                <w:bCs/>
              </w:rPr>
            </w:pPr>
            <w:r w:rsidRPr="00490066">
              <w:rPr>
                <w:rFonts w:ascii="Times New Roman" w:hAnsi="Times New Roman" w:cs="Times New Roman"/>
                <w:b/>
                <w:bCs/>
              </w:rPr>
              <w:t>Nominal Percent change in 2019/20</w:t>
            </w:r>
          </w:p>
        </w:tc>
        <w:tc>
          <w:tcPr>
            <w:tcW w:w="1191" w:type="dxa"/>
            <w:vMerge w:val="restart"/>
            <w:tcBorders>
              <w:top w:val="single" w:sz="12" w:space="0" w:color="auto"/>
              <w:left w:val="single" w:sz="12" w:space="0" w:color="auto"/>
              <w:right w:val="single" w:sz="12" w:space="0" w:color="auto"/>
            </w:tcBorders>
            <w:shd w:val="pct15" w:color="auto" w:fill="auto"/>
            <w:hideMark/>
          </w:tcPr>
          <w:p w14:paraId="6788FDD2" w14:textId="77777777" w:rsidR="006C2EC0" w:rsidRPr="00490066" w:rsidRDefault="006C2EC0" w:rsidP="00C07A5A">
            <w:pPr>
              <w:tabs>
                <w:tab w:val="left" w:pos="2664"/>
              </w:tabs>
              <w:spacing w:line="360" w:lineRule="auto"/>
              <w:jc w:val="both"/>
              <w:rPr>
                <w:rFonts w:ascii="Times New Roman" w:hAnsi="Times New Roman" w:cs="Times New Roman"/>
                <w:b/>
                <w:bCs/>
              </w:rPr>
            </w:pPr>
            <w:r w:rsidRPr="00490066">
              <w:rPr>
                <w:rFonts w:ascii="Times New Roman" w:hAnsi="Times New Roman" w:cs="Times New Roman"/>
                <w:b/>
                <w:bCs/>
              </w:rPr>
              <w:t>Real Percent change in 2019/20</w:t>
            </w:r>
          </w:p>
        </w:tc>
      </w:tr>
      <w:tr w:rsidR="006C2EC0" w:rsidRPr="00490066" w14:paraId="2639EB24" w14:textId="77777777" w:rsidTr="00490066">
        <w:trPr>
          <w:trHeight w:val="264"/>
        </w:trPr>
        <w:tc>
          <w:tcPr>
            <w:tcW w:w="2869" w:type="dxa"/>
            <w:tcBorders>
              <w:top w:val="single" w:sz="12" w:space="0" w:color="auto"/>
              <w:left w:val="single" w:sz="12" w:space="0" w:color="auto"/>
              <w:bottom w:val="single" w:sz="12" w:space="0" w:color="auto"/>
              <w:right w:val="single" w:sz="12" w:space="0" w:color="auto"/>
            </w:tcBorders>
            <w:shd w:val="pct15" w:color="auto" w:fill="auto"/>
            <w:noWrap/>
            <w:hideMark/>
          </w:tcPr>
          <w:p w14:paraId="436C3C16" w14:textId="77777777" w:rsidR="006C2EC0" w:rsidRPr="00490066" w:rsidRDefault="006C2EC0" w:rsidP="00C07A5A">
            <w:pPr>
              <w:tabs>
                <w:tab w:val="left" w:pos="2664"/>
              </w:tabs>
              <w:spacing w:line="360" w:lineRule="auto"/>
              <w:jc w:val="both"/>
              <w:rPr>
                <w:rFonts w:ascii="Times New Roman" w:hAnsi="Times New Roman" w:cs="Times New Roman"/>
                <w:b/>
                <w:bCs/>
              </w:rPr>
            </w:pPr>
            <w:r w:rsidRPr="00490066">
              <w:rPr>
                <w:rFonts w:ascii="Times New Roman" w:hAnsi="Times New Roman" w:cs="Times New Roman"/>
                <w:b/>
                <w:bCs/>
              </w:rPr>
              <w:t>R million</w:t>
            </w:r>
          </w:p>
        </w:tc>
        <w:tc>
          <w:tcPr>
            <w:tcW w:w="938" w:type="dxa"/>
            <w:tcBorders>
              <w:top w:val="single" w:sz="12" w:space="0" w:color="auto"/>
              <w:left w:val="single" w:sz="12" w:space="0" w:color="auto"/>
              <w:bottom w:val="single" w:sz="12" w:space="0" w:color="auto"/>
              <w:right w:val="single" w:sz="12" w:space="0" w:color="auto"/>
            </w:tcBorders>
            <w:shd w:val="pct15" w:color="auto" w:fill="auto"/>
            <w:noWrap/>
            <w:hideMark/>
          </w:tcPr>
          <w:p w14:paraId="2A49E4A5" w14:textId="77777777" w:rsidR="006C2EC0" w:rsidRPr="00490066" w:rsidRDefault="006C2EC0" w:rsidP="00C07A5A">
            <w:pPr>
              <w:tabs>
                <w:tab w:val="left" w:pos="2664"/>
              </w:tabs>
              <w:spacing w:line="360" w:lineRule="auto"/>
              <w:jc w:val="both"/>
              <w:rPr>
                <w:rFonts w:ascii="Times New Roman" w:hAnsi="Times New Roman" w:cs="Times New Roman"/>
                <w:b/>
                <w:bCs/>
              </w:rPr>
            </w:pPr>
            <w:r w:rsidRPr="00490066">
              <w:rPr>
                <w:rFonts w:ascii="Times New Roman" w:hAnsi="Times New Roman" w:cs="Times New Roman"/>
                <w:b/>
                <w:bCs/>
              </w:rPr>
              <w:t>2018/19</w:t>
            </w:r>
          </w:p>
        </w:tc>
        <w:tc>
          <w:tcPr>
            <w:tcW w:w="988" w:type="dxa"/>
            <w:tcBorders>
              <w:top w:val="single" w:sz="12" w:space="0" w:color="auto"/>
              <w:left w:val="single" w:sz="12" w:space="0" w:color="auto"/>
              <w:bottom w:val="single" w:sz="12" w:space="0" w:color="auto"/>
              <w:right w:val="single" w:sz="12" w:space="0" w:color="auto"/>
            </w:tcBorders>
            <w:shd w:val="pct15" w:color="auto" w:fill="auto"/>
            <w:noWrap/>
            <w:hideMark/>
          </w:tcPr>
          <w:p w14:paraId="6FD560CF" w14:textId="77777777" w:rsidR="006C2EC0" w:rsidRPr="00490066" w:rsidRDefault="006C2EC0" w:rsidP="00C07A5A">
            <w:pPr>
              <w:tabs>
                <w:tab w:val="left" w:pos="2664"/>
              </w:tabs>
              <w:spacing w:line="360" w:lineRule="auto"/>
              <w:jc w:val="both"/>
              <w:rPr>
                <w:rFonts w:ascii="Times New Roman" w:hAnsi="Times New Roman" w:cs="Times New Roman"/>
                <w:b/>
                <w:bCs/>
              </w:rPr>
            </w:pPr>
            <w:r w:rsidRPr="00490066">
              <w:rPr>
                <w:rFonts w:ascii="Times New Roman" w:hAnsi="Times New Roman" w:cs="Times New Roman"/>
                <w:b/>
                <w:bCs/>
              </w:rPr>
              <w:t>2019/20</w:t>
            </w:r>
          </w:p>
        </w:tc>
        <w:tc>
          <w:tcPr>
            <w:tcW w:w="1072" w:type="dxa"/>
            <w:vMerge/>
            <w:tcBorders>
              <w:left w:val="single" w:sz="12" w:space="0" w:color="auto"/>
              <w:bottom w:val="single" w:sz="12" w:space="0" w:color="auto"/>
              <w:right w:val="single" w:sz="12" w:space="0" w:color="auto"/>
            </w:tcBorders>
            <w:hideMark/>
          </w:tcPr>
          <w:p w14:paraId="67EFE15A" w14:textId="77777777" w:rsidR="006C2EC0" w:rsidRPr="00490066" w:rsidRDefault="006C2EC0" w:rsidP="00C07A5A">
            <w:pPr>
              <w:tabs>
                <w:tab w:val="left" w:pos="2664"/>
              </w:tabs>
              <w:spacing w:line="360" w:lineRule="auto"/>
              <w:jc w:val="both"/>
              <w:rPr>
                <w:rFonts w:ascii="Times New Roman" w:hAnsi="Times New Roman" w:cs="Times New Roman"/>
                <w:b/>
                <w:bCs/>
              </w:rPr>
            </w:pPr>
          </w:p>
        </w:tc>
        <w:tc>
          <w:tcPr>
            <w:tcW w:w="1072" w:type="dxa"/>
            <w:vMerge/>
            <w:tcBorders>
              <w:left w:val="single" w:sz="12" w:space="0" w:color="auto"/>
              <w:bottom w:val="single" w:sz="12" w:space="0" w:color="auto"/>
              <w:right w:val="single" w:sz="12" w:space="0" w:color="auto"/>
            </w:tcBorders>
            <w:hideMark/>
          </w:tcPr>
          <w:p w14:paraId="78A53925" w14:textId="77777777" w:rsidR="006C2EC0" w:rsidRPr="00490066" w:rsidRDefault="006C2EC0" w:rsidP="00C07A5A">
            <w:pPr>
              <w:tabs>
                <w:tab w:val="left" w:pos="2664"/>
              </w:tabs>
              <w:spacing w:line="360" w:lineRule="auto"/>
              <w:jc w:val="both"/>
              <w:rPr>
                <w:rFonts w:ascii="Times New Roman" w:hAnsi="Times New Roman" w:cs="Times New Roman"/>
                <w:b/>
                <w:bCs/>
              </w:rPr>
            </w:pPr>
          </w:p>
        </w:tc>
        <w:tc>
          <w:tcPr>
            <w:tcW w:w="1069" w:type="dxa"/>
            <w:vMerge/>
            <w:tcBorders>
              <w:left w:val="single" w:sz="12" w:space="0" w:color="auto"/>
              <w:bottom w:val="single" w:sz="12" w:space="0" w:color="auto"/>
              <w:right w:val="single" w:sz="12" w:space="0" w:color="auto"/>
            </w:tcBorders>
            <w:hideMark/>
          </w:tcPr>
          <w:p w14:paraId="758E3F84" w14:textId="77777777" w:rsidR="006C2EC0" w:rsidRPr="00490066" w:rsidRDefault="006C2EC0" w:rsidP="00C07A5A">
            <w:pPr>
              <w:tabs>
                <w:tab w:val="left" w:pos="2664"/>
              </w:tabs>
              <w:spacing w:line="360" w:lineRule="auto"/>
              <w:jc w:val="both"/>
              <w:rPr>
                <w:rFonts w:ascii="Times New Roman" w:hAnsi="Times New Roman" w:cs="Times New Roman"/>
                <w:b/>
                <w:bCs/>
              </w:rPr>
            </w:pPr>
          </w:p>
        </w:tc>
        <w:tc>
          <w:tcPr>
            <w:tcW w:w="1191" w:type="dxa"/>
            <w:vMerge/>
            <w:tcBorders>
              <w:left w:val="single" w:sz="12" w:space="0" w:color="auto"/>
              <w:bottom w:val="single" w:sz="12" w:space="0" w:color="auto"/>
              <w:right w:val="single" w:sz="12" w:space="0" w:color="auto"/>
            </w:tcBorders>
            <w:hideMark/>
          </w:tcPr>
          <w:p w14:paraId="6D27AD8D" w14:textId="77777777" w:rsidR="006C2EC0" w:rsidRPr="00490066" w:rsidRDefault="006C2EC0" w:rsidP="00C07A5A">
            <w:pPr>
              <w:tabs>
                <w:tab w:val="left" w:pos="2664"/>
              </w:tabs>
              <w:spacing w:line="360" w:lineRule="auto"/>
              <w:jc w:val="both"/>
              <w:rPr>
                <w:rFonts w:ascii="Times New Roman" w:hAnsi="Times New Roman" w:cs="Times New Roman"/>
                <w:b/>
                <w:bCs/>
              </w:rPr>
            </w:pPr>
          </w:p>
        </w:tc>
      </w:tr>
      <w:tr w:rsidR="006C2EC0" w:rsidRPr="00490066" w14:paraId="07BAC925" w14:textId="77777777" w:rsidTr="00490066">
        <w:trPr>
          <w:trHeight w:val="264"/>
        </w:trPr>
        <w:tc>
          <w:tcPr>
            <w:tcW w:w="2869" w:type="dxa"/>
            <w:tcBorders>
              <w:top w:val="single" w:sz="12" w:space="0" w:color="auto"/>
            </w:tcBorders>
            <w:noWrap/>
            <w:hideMark/>
          </w:tcPr>
          <w:p w14:paraId="16FE93BB"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Maritime Policy Development</w:t>
            </w:r>
          </w:p>
        </w:tc>
        <w:tc>
          <w:tcPr>
            <w:tcW w:w="938" w:type="dxa"/>
            <w:tcBorders>
              <w:top w:val="single" w:sz="12" w:space="0" w:color="auto"/>
            </w:tcBorders>
            <w:noWrap/>
            <w:hideMark/>
          </w:tcPr>
          <w:p w14:paraId="3F7623A2"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 xml:space="preserve">  11.6</w:t>
            </w:r>
          </w:p>
        </w:tc>
        <w:tc>
          <w:tcPr>
            <w:tcW w:w="988" w:type="dxa"/>
            <w:tcBorders>
              <w:top w:val="single" w:sz="12" w:space="0" w:color="auto"/>
            </w:tcBorders>
            <w:noWrap/>
            <w:hideMark/>
          </w:tcPr>
          <w:p w14:paraId="3241C842"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 xml:space="preserve">  12.3</w:t>
            </w:r>
          </w:p>
        </w:tc>
        <w:tc>
          <w:tcPr>
            <w:tcW w:w="1072" w:type="dxa"/>
            <w:tcBorders>
              <w:top w:val="single" w:sz="12" w:space="0" w:color="auto"/>
            </w:tcBorders>
            <w:noWrap/>
            <w:hideMark/>
          </w:tcPr>
          <w:p w14:paraId="20AC4D9E"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 xml:space="preserve">  0.7</w:t>
            </w:r>
          </w:p>
        </w:tc>
        <w:tc>
          <w:tcPr>
            <w:tcW w:w="1072" w:type="dxa"/>
            <w:tcBorders>
              <w:top w:val="single" w:sz="12" w:space="0" w:color="auto"/>
            </w:tcBorders>
            <w:noWrap/>
            <w:hideMark/>
          </w:tcPr>
          <w:p w14:paraId="0D2A5E60"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 xml:space="preserve">  0.1</w:t>
            </w:r>
          </w:p>
        </w:tc>
        <w:tc>
          <w:tcPr>
            <w:tcW w:w="1069" w:type="dxa"/>
            <w:tcBorders>
              <w:top w:val="single" w:sz="12" w:space="0" w:color="auto"/>
            </w:tcBorders>
            <w:noWrap/>
            <w:hideMark/>
          </w:tcPr>
          <w:p w14:paraId="2D73304A"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6.0%</w:t>
            </w:r>
          </w:p>
        </w:tc>
        <w:tc>
          <w:tcPr>
            <w:tcW w:w="1191" w:type="dxa"/>
            <w:tcBorders>
              <w:top w:val="single" w:sz="12" w:space="0" w:color="auto"/>
            </w:tcBorders>
            <w:noWrap/>
            <w:hideMark/>
          </w:tcPr>
          <w:p w14:paraId="37104F31"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0.8%</w:t>
            </w:r>
          </w:p>
        </w:tc>
      </w:tr>
      <w:tr w:rsidR="006C2EC0" w:rsidRPr="00490066" w14:paraId="67557FC2" w14:textId="77777777" w:rsidTr="00490066">
        <w:trPr>
          <w:trHeight w:val="264"/>
        </w:trPr>
        <w:tc>
          <w:tcPr>
            <w:tcW w:w="2869" w:type="dxa"/>
            <w:noWrap/>
            <w:hideMark/>
          </w:tcPr>
          <w:p w14:paraId="23C348B7"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Maritime Infrastructure and Industry Development</w:t>
            </w:r>
          </w:p>
        </w:tc>
        <w:tc>
          <w:tcPr>
            <w:tcW w:w="938" w:type="dxa"/>
            <w:noWrap/>
            <w:hideMark/>
          </w:tcPr>
          <w:p w14:paraId="15C957C5"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 xml:space="preserve">  12.4</w:t>
            </w:r>
          </w:p>
        </w:tc>
        <w:tc>
          <w:tcPr>
            <w:tcW w:w="988" w:type="dxa"/>
            <w:noWrap/>
            <w:hideMark/>
          </w:tcPr>
          <w:p w14:paraId="6838D863"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 xml:space="preserve">  12.9</w:t>
            </w:r>
          </w:p>
        </w:tc>
        <w:tc>
          <w:tcPr>
            <w:tcW w:w="1072" w:type="dxa"/>
            <w:noWrap/>
            <w:hideMark/>
          </w:tcPr>
          <w:p w14:paraId="67D2342A"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 xml:space="preserve">  0.5</w:t>
            </w:r>
          </w:p>
        </w:tc>
        <w:tc>
          <w:tcPr>
            <w:tcW w:w="1072" w:type="dxa"/>
            <w:noWrap/>
            <w:hideMark/>
          </w:tcPr>
          <w:p w14:paraId="0628262C"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  0.1</w:t>
            </w:r>
          </w:p>
        </w:tc>
        <w:tc>
          <w:tcPr>
            <w:tcW w:w="1069" w:type="dxa"/>
            <w:noWrap/>
            <w:hideMark/>
          </w:tcPr>
          <w:p w14:paraId="4D4D2393"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4.0%</w:t>
            </w:r>
          </w:p>
        </w:tc>
        <w:tc>
          <w:tcPr>
            <w:tcW w:w="1191" w:type="dxa"/>
            <w:noWrap/>
            <w:hideMark/>
          </w:tcPr>
          <w:p w14:paraId="235AA415"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-1.1%</w:t>
            </w:r>
          </w:p>
        </w:tc>
      </w:tr>
      <w:tr w:rsidR="006C2EC0" w:rsidRPr="00490066" w14:paraId="6491AE10" w14:textId="77777777" w:rsidTr="00490066">
        <w:trPr>
          <w:trHeight w:val="264"/>
        </w:trPr>
        <w:tc>
          <w:tcPr>
            <w:tcW w:w="2869" w:type="dxa"/>
            <w:noWrap/>
            <w:hideMark/>
          </w:tcPr>
          <w:p w14:paraId="56133647"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Implementation, Monitoring and Evaluation</w:t>
            </w:r>
          </w:p>
        </w:tc>
        <w:tc>
          <w:tcPr>
            <w:tcW w:w="938" w:type="dxa"/>
            <w:noWrap/>
            <w:hideMark/>
          </w:tcPr>
          <w:p w14:paraId="3A1624D9"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 xml:space="preserve">  61.7</w:t>
            </w:r>
          </w:p>
        </w:tc>
        <w:tc>
          <w:tcPr>
            <w:tcW w:w="988" w:type="dxa"/>
            <w:noWrap/>
            <w:hideMark/>
          </w:tcPr>
          <w:p w14:paraId="7E90779D"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 xml:space="preserve">  65.5</w:t>
            </w:r>
          </w:p>
        </w:tc>
        <w:tc>
          <w:tcPr>
            <w:tcW w:w="1072" w:type="dxa"/>
            <w:noWrap/>
            <w:hideMark/>
          </w:tcPr>
          <w:p w14:paraId="0749B9A0"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 xml:space="preserve">  3.8</w:t>
            </w:r>
          </w:p>
        </w:tc>
        <w:tc>
          <w:tcPr>
            <w:tcW w:w="1072" w:type="dxa"/>
            <w:noWrap/>
            <w:hideMark/>
          </w:tcPr>
          <w:p w14:paraId="3262DEB5"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 xml:space="preserve">  0.6</w:t>
            </w:r>
          </w:p>
        </w:tc>
        <w:tc>
          <w:tcPr>
            <w:tcW w:w="1069" w:type="dxa"/>
            <w:noWrap/>
            <w:hideMark/>
          </w:tcPr>
          <w:p w14:paraId="16068658"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6.2%</w:t>
            </w:r>
          </w:p>
        </w:tc>
        <w:tc>
          <w:tcPr>
            <w:tcW w:w="1191" w:type="dxa"/>
            <w:noWrap/>
            <w:hideMark/>
          </w:tcPr>
          <w:p w14:paraId="135CA77A"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0.9%</w:t>
            </w:r>
          </w:p>
        </w:tc>
      </w:tr>
      <w:tr w:rsidR="006C2EC0" w:rsidRPr="00490066" w14:paraId="7E7FDD1B" w14:textId="77777777" w:rsidTr="00490066">
        <w:trPr>
          <w:trHeight w:val="264"/>
        </w:trPr>
        <w:tc>
          <w:tcPr>
            <w:tcW w:w="2869" w:type="dxa"/>
            <w:noWrap/>
            <w:hideMark/>
          </w:tcPr>
          <w:p w14:paraId="43CF853D"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Maritime Oversight</w:t>
            </w:r>
          </w:p>
        </w:tc>
        <w:tc>
          <w:tcPr>
            <w:tcW w:w="938" w:type="dxa"/>
            <w:noWrap/>
            <w:hideMark/>
          </w:tcPr>
          <w:p w14:paraId="0B373E72"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 xml:space="preserve">  30.0</w:t>
            </w:r>
          </w:p>
        </w:tc>
        <w:tc>
          <w:tcPr>
            <w:tcW w:w="988" w:type="dxa"/>
            <w:noWrap/>
            <w:hideMark/>
          </w:tcPr>
          <w:p w14:paraId="61634140"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 xml:space="preserve">  41.5</w:t>
            </w:r>
          </w:p>
        </w:tc>
        <w:tc>
          <w:tcPr>
            <w:tcW w:w="1072" w:type="dxa"/>
            <w:noWrap/>
            <w:hideMark/>
          </w:tcPr>
          <w:p w14:paraId="37CB2A0A"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 xml:space="preserve">  11.5</w:t>
            </w:r>
          </w:p>
        </w:tc>
        <w:tc>
          <w:tcPr>
            <w:tcW w:w="1072" w:type="dxa"/>
            <w:noWrap/>
            <w:hideMark/>
          </w:tcPr>
          <w:p w14:paraId="081889CB"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 xml:space="preserve">  9.4</w:t>
            </w:r>
          </w:p>
        </w:tc>
        <w:tc>
          <w:tcPr>
            <w:tcW w:w="1069" w:type="dxa"/>
            <w:noWrap/>
            <w:hideMark/>
          </w:tcPr>
          <w:p w14:paraId="306AE127"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38.3%</w:t>
            </w:r>
          </w:p>
        </w:tc>
        <w:tc>
          <w:tcPr>
            <w:tcW w:w="1191" w:type="dxa"/>
            <w:noWrap/>
            <w:hideMark/>
          </w:tcPr>
          <w:p w14:paraId="0F4C55AF"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31.0%</w:t>
            </w:r>
          </w:p>
        </w:tc>
      </w:tr>
      <w:tr w:rsidR="006C2EC0" w:rsidRPr="00490066" w14:paraId="23D08045" w14:textId="77777777" w:rsidTr="00490066">
        <w:trPr>
          <w:trHeight w:val="264"/>
        </w:trPr>
        <w:tc>
          <w:tcPr>
            <w:tcW w:w="2869" w:type="dxa"/>
            <w:tcBorders>
              <w:bottom w:val="single" w:sz="12" w:space="0" w:color="auto"/>
            </w:tcBorders>
            <w:noWrap/>
            <w:hideMark/>
          </w:tcPr>
          <w:p w14:paraId="0A526067"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Maritime Administration Support</w:t>
            </w:r>
          </w:p>
        </w:tc>
        <w:tc>
          <w:tcPr>
            <w:tcW w:w="938" w:type="dxa"/>
            <w:tcBorders>
              <w:bottom w:val="single" w:sz="12" w:space="0" w:color="auto"/>
            </w:tcBorders>
            <w:noWrap/>
            <w:hideMark/>
          </w:tcPr>
          <w:p w14:paraId="1549122F"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 xml:space="preserve">  4.2</w:t>
            </w:r>
          </w:p>
        </w:tc>
        <w:tc>
          <w:tcPr>
            <w:tcW w:w="988" w:type="dxa"/>
            <w:tcBorders>
              <w:bottom w:val="single" w:sz="12" w:space="0" w:color="auto"/>
            </w:tcBorders>
            <w:noWrap/>
            <w:hideMark/>
          </w:tcPr>
          <w:p w14:paraId="2F4B427B"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 xml:space="preserve">  4.6</w:t>
            </w:r>
          </w:p>
        </w:tc>
        <w:tc>
          <w:tcPr>
            <w:tcW w:w="1072" w:type="dxa"/>
            <w:tcBorders>
              <w:bottom w:val="single" w:sz="12" w:space="0" w:color="auto"/>
            </w:tcBorders>
            <w:noWrap/>
            <w:hideMark/>
          </w:tcPr>
          <w:p w14:paraId="7542455E"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 xml:space="preserve">  0.4</w:t>
            </w:r>
          </w:p>
        </w:tc>
        <w:tc>
          <w:tcPr>
            <w:tcW w:w="1072" w:type="dxa"/>
            <w:tcBorders>
              <w:bottom w:val="single" w:sz="12" w:space="0" w:color="auto"/>
            </w:tcBorders>
            <w:noWrap/>
            <w:hideMark/>
          </w:tcPr>
          <w:p w14:paraId="0A6C1B71"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 xml:space="preserve">  0.2</w:t>
            </w:r>
          </w:p>
        </w:tc>
        <w:tc>
          <w:tcPr>
            <w:tcW w:w="1069" w:type="dxa"/>
            <w:tcBorders>
              <w:bottom w:val="single" w:sz="12" w:space="0" w:color="auto"/>
            </w:tcBorders>
            <w:noWrap/>
            <w:hideMark/>
          </w:tcPr>
          <w:p w14:paraId="70656DED"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9.5%</w:t>
            </w:r>
          </w:p>
        </w:tc>
        <w:tc>
          <w:tcPr>
            <w:tcW w:w="1191" w:type="dxa"/>
            <w:tcBorders>
              <w:bottom w:val="single" w:sz="12" w:space="0" w:color="auto"/>
            </w:tcBorders>
            <w:noWrap/>
            <w:hideMark/>
          </w:tcPr>
          <w:p w14:paraId="7E371FEB" w14:textId="77777777" w:rsidR="006C2EC0" w:rsidRPr="00490066" w:rsidRDefault="006C2EC0" w:rsidP="00C07A5A">
            <w:pPr>
              <w:tabs>
                <w:tab w:val="left" w:pos="2664"/>
              </w:tabs>
              <w:spacing w:line="360" w:lineRule="auto"/>
              <w:jc w:val="both"/>
              <w:rPr>
                <w:rFonts w:ascii="Times New Roman" w:hAnsi="Times New Roman" w:cs="Times New Roman"/>
              </w:rPr>
            </w:pPr>
            <w:r w:rsidRPr="00490066">
              <w:rPr>
                <w:rFonts w:ascii="Times New Roman" w:hAnsi="Times New Roman" w:cs="Times New Roman"/>
              </w:rPr>
              <w:t>4.1%</w:t>
            </w:r>
          </w:p>
        </w:tc>
      </w:tr>
      <w:tr w:rsidR="006C2EC0" w:rsidRPr="00490066" w14:paraId="52F39FCD" w14:textId="77777777" w:rsidTr="00490066">
        <w:trPr>
          <w:trHeight w:val="264"/>
        </w:trPr>
        <w:tc>
          <w:tcPr>
            <w:tcW w:w="2869" w:type="dxa"/>
            <w:tcBorders>
              <w:top w:val="single" w:sz="12" w:space="0" w:color="auto"/>
              <w:left w:val="single" w:sz="12" w:space="0" w:color="auto"/>
              <w:bottom w:val="single" w:sz="12" w:space="0" w:color="auto"/>
            </w:tcBorders>
            <w:shd w:val="pct15" w:color="auto" w:fill="auto"/>
            <w:noWrap/>
            <w:hideMark/>
          </w:tcPr>
          <w:p w14:paraId="10D5A153" w14:textId="77777777" w:rsidR="006C2EC0" w:rsidRPr="00490066" w:rsidRDefault="006C2EC0" w:rsidP="00C07A5A">
            <w:pPr>
              <w:tabs>
                <w:tab w:val="left" w:pos="2664"/>
              </w:tabs>
              <w:spacing w:line="360" w:lineRule="auto"/>
              <w:jc w:val="both"/>
              <w:rPr>
                <w:rFonts w:ascii="Times New Roman" w:hAnsi="Times New Roman" w:cs="Times New Roman"/>
                <w:b/>
                <w:bCs/>
              </w:rPr>
            </w:pPr>
            <w:r w:rsidRPr="00490066">
              <w:rPr>
                <w:rFonts w:ascii="Times New Roman" w:hAnsi="Times New Roman" w:cs="Times New Roman"/>
                <w:b/>
                <w:bCs/>
              </w:rPr>
              <w:t>TOTAL</w:t>
            </w:r>
          </w:p>
        </w:tc>
        <w:tc>
          <w:tcPr>
            <w:tcW w:w="938" w:type="dxa"/>
            <w:tcBorders>
              <w:top w:val="single" w:sz="12" w:space="0" w:color="auto"/>
              <w:bottom w:val="single" w:sz="12" w:space="0" w:color="auto"/>
            </w:tcBorders>
            <w:shd w:val="pct15" w:color="auto" w:fill="auto"/>
            <w:noWrap/>
            <w:hideMark/>
          </w:tcPr>
          <w:p w14:paraId="6E9AA0DA" w14:textId="77777777" w:rsidR="006C2EC0" w:rsidRPr="00490066" w:rsidRDefault="006C2EC0" w:rsidP="00C07A5A">
            <w:pPr>
              <w:tabs>
                <w:tab w:val="left" w:pos="2664"/>
              </w:tabs>
              <w:spacing w:line="360" w:lineRule="auto"/>
              <w:jc w:val="both"/>
              <w:rPr>
                <w:rFonts w:ascii="Times New Roman" w:hAnsi="Times New Roman" w:cs="Times New Roman"/>
                <w:b/>
                <w:bCs/>
              </w:rPr>
            </w:pPr>
            <w:r w:rsidRPr="00490066">
              <w:rPr>
                <w:rFonts w:ascii="Times New Roman" w:hAnsi="Times New Roman" w:cs="Times New Roman"/>
                <w:b/>
                <w:bCs/>
              </w:rPr>
              <w:t xml:space="preserve">  119.9</w:t>
            </w:r>
          </w:p>
        </w:tc>
        <w:tc>
          <w:tcPr>
            <w:tcW w:w="988" w:type="dxa"/>
            <w:tcBorders>
              <w:top w:val="single" w:sz="12" w:space="0" w:color="auto"/>
              <w:bottom w:val="single" w:sz="12" w:space="0" w:color="auto"/>
            </w:tcBorders>
            <w:shd w:val="pct15" w:color="auto" w:fill="auto"/>
            <w:noWrap/>
            <w:hideMark/>
          </w:tcPr>
          <w:p w14:paraId="3D19B1C6" w14:textId="77777777" w:rsidR="006C2EC0" w:rsidRPr="00490066" w:rsidRDefault="006C2EC0" w:rsidP="00C07A5A">
            <w:pPr>
              <w:tabs>
                <w:tab w:val="left" w:pos="2664"/>
              </w:tabs>
              <w:spacing w:line="360" w:lineRule="auto"/>
              <w:jc w:val="both"/>
              <w:rPr>
                <w:rFonts w:ascii="Times New Roman" w:hAnsi="Times New Roman" w:cs="Times New Roman"/>
                <w:b/>
                <w:bCs/>
              </w:rPr>
            </w:pPr>
            <w:r w:rsidRPr="00490066">
              <w:rPr>
                <w:rFonts w:ascii="Times New Roman" w:hAnsi="Times New Roman" w:cs="Times New Roman"/>
                <w:b/>
                <w:bCs/>
              </w:rPr>
              <w:t xml:space="preserve">  136.8</w:t>
            </w:r>
          </w:p>
        </w:tc>
        <w:tc>
          <w:tcPr>
            <w:tcW w:w="1072" w:type="dxa"/>
            <w:tcBorders>
              <w:top w:val="single" w:sz="12" w:space="0" w:color="auto"/>
              <w:bottom w:val="single" w:sz="12" w:space="0" w:color="auto"/>
            </w:tcBorders>
            <w:shd w:val="pct15" w:color="auto" w:fill="auto"/>
            <w:noWrap/>
            <w:hideMark/>
          </w:tcPr>
          <w:p w14:paraId="1DC5C609" w14:textId="77777777" w:rsidR="006C2EC0" w:rsidRPr="00490066" w:rsidRDefault="006C2EC0" w:rsidP="00C07A5A">
            <w:pPr>
              <w:tabs>
                <w:tab w:val="left" w:pos="2664"/>
              </w:tabs>
              <w:spacing w:line="360" w:lineRule="auto"/>
              <w:jc w:val="both"/>
              <w:rPr>
                <w:rFonts w:ascii="Times New Roman" w:hAnsi="Times New Roman" w:cs="Times New Roman"/>
                <w:b/>
                <w:bCs/>
              </w:rPr>
            </w:pPr>
            <w:r w:rsidRPr="00490066">
              <w:rPr>
                <w:rFonts w:ascii="Times New Roman" w:hAnsi="Times New Roman" w:cs="Times New Roman"/>
                <w:b/>
                <w:bCs/>
              </w:rPr>
              <w:t xml:space="preserve">  16.9</w:t>
            </w:r>
          </w:p>
        </w:tc>
        <w:tc>
          <w:tcPr>
            <w:tcW w:w="1072" w:type="dxa"/>
            <w:tcBorders>
              <w:top w:val="single" w:sz="12" w:space="0" w:color="auto"/>
              <w:bottom w:val="single" w:sz="12" w:space="0" w:color="auto"/>
            </w:tcBorders>
            <w:shd w:val="pct15" w:color="auto" w:fill="auto"/>
            <w:noWrap/>
            <w:hideMark/>
          </w:tcPr>
          <w:p w14:paraId="474AF739" w14:textId="77777777" w:rsidR="006C2EC0" w:rsidRPr="00490066" w:rsidRDefault="006C2EC0" w:rsidP="00C07A5A">
            <w:pPr>
              <w:tabs>
                <w:tab w:val="left" w:pos="2664"/>
              </w:tabs>
              <w:spacing w:line="360" w:lineRule="auto"/>
              <w:jc w:val="both"/>
              <w:rPr>
                <w:rFonts w:ascii="Times New Roman" w:hAnsi="Times New Roman" w:cs="Times New Roman"/>
                <w:b/>
                <w:bCs/>
              </w:rPr>
            </w:pPr>
            <w:r w:rsidRPr="00490066">
              <w:rPr>
                <w:rFonts w:ascii="Times New Roman" w:hAnsi="Times New Roman" w:cs="Times New Roman"/>
                <w:b/>
                <w:bCs/>
              </w:rPr>
              <w:t xml:space="preserve">  10.1</w:t>
            </w:r>
          </w:p>
        </w:tc>
        <w:tc>
          <w:tcPr>
            <w:tcW w:w="1069" w:type="dxa"/>
            <w:tcBorders>
              <w:top w:val="single" w:sz="12" w:space="0" w:color="auto"/>
              <w:bottom w:val="single" w:sz="12" w:space="0" w:color="auto"/>
            </w:tcBorders>
            <w:shd w:val="pct15" w:color="auto" w:fill="auto"/>
            <w:noWrap/>
            <w:hideMark/>
          </w:tcPr>
          <w:p w14:paraId="21FB2924" w14:textId="77777777" w:rsidR="006C2EC0" w:rsidRPr="00490066" w:rsidRDefault="006C2EC0" w:rsidP="00C07A5A">
            <w:pPr>
              <w:tabs>
                <w:tab w:val="left" w:pos="2664"/>
              </w:tabs>
              <w:spacing w:line="360" w:lineRule="auto"/>
              <w:jc w:val="both"/>
              <w:rPr>
                <w:rFonts w:ascii="Times New Roman" w:hAnsi="Times New Roman" w:cs="Times New Roman"/>
                <w:b/>
                <w:bCs/>
              </w:rPr>
            </w:pPr>
            <w:r w:rsidRPr="00490066">
              <w:rPr>
                <w:rFonts w:ascii="Times New Roman" w:hAnsi="Times New Roman" w:cs="Times New Roman"/>
                <w:b/>
                <w:bCs/>
              </w:rPr>
              <w:t>14.1%</w:t>
            </w:r>
          </w:p>
        </w:tc>
        <w:tc>
          <w:tcPr>
            <w:tcW w:w="1191" w:type="dxa"/>
            <w:tcBorders>
              <w:top w:val="single" w:sz="12" w:space="0" w:color="auto"/>
              <w:bottom w:val="single" w:sz="12" w:space="0" w:color="auto"/>
              <w:right w:val="single" w:sz="12" w:space="0" w:color="auto"/>
            </w:tcBorders>
            <w:shd w:val="pct15" w:color="auto" w:fill="auto"/>
            <w:noWrap/>
            <w:hideMark/>
          </w:tcPr>
          <w:p w14:paraId="3B65FEFA" w14:textId="77777777" w:rsidR="006C2EC0" w:rsidRPr="00490066" w:rsidRDefault="006C2EC0" w:rsidP="00C07A5A">
            <w:pPr>
              <w:tabs>
                <w:tab w:val="left" w:pos="2664"/>
              </w:tabs>
              <w:spacing w:line="360" w:lineRule="auto"/>
              <w:jc w:val="both"/>
              <w:rPr>
                <w:rFonts w:ascii="Times New Roman" w:hAnsi="Times New Roman" w:cs="Times New Roman"/>
                <w:b/>
                <w:bCs/>
              </w:rPr>
            </w:pPr>
            <w:r w:rsidRPr="00490066">
              <w:rPr>
                <w:rFonts w:ascii="Times New Roman" w:hAnsi="Times New Roman" w:cs="Times New Roman"/>
                <w:b/>
                <w:bCs/>
              </w:rPr>
              <w:t>8.5%</w:t>
            </w:r>
          </w:p>
        </w:tc>
      </w:tr>
    </w:tbl>
    <w:p w14:paraId="6746534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b/>
        </w:rPr>
        <w:t>(Source: National Treasury (2019)</w:t>
      </w:r>
    </w:p>
    <w:p w14:paraId="0FF6133B" w14:textId="77777777" w:rsidR="006C2EC0" w:rsidRPr="007457B1" w:rsidRDefault="006C2EC0" w:rsidP="00C07A5A">
      <w:pPr>
        <w:tabs>
          <w:tab w:val="left" w:pos="2664"/>
        </w:tabs>
        <w:spacing w:line="360" w:lineRule="auto"/>
        <w:jc w:val="both"/>
        <w:rPr>
          <w:rFonts w:ascii="Times New Roman" w:hAnsi="Times New Roman" w:cs="Times New Roman"/>
          <w:b/>
          <w:sz w:val="24"/>
          <w:szCs w:val="24"/>
        </w:rPr>
      </w:pPr>
    </w:p>
    <w:p w14:paraId="6E4C6DA3" w14:textId="77777777" w:rsidR="006C2EC0" w:rsidRPr="007457B1" w:rsidRDefault="006C2EC0" w:rsidP="00C07A5A">
      <w:pPr>
        <w:tabs>
          <w:tab w:val="left" w:pos="2664"/>
        </w:tabs>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budget allocation for the Maritime Transport programme increase from R119.9 million to R136.8 million in 2019/10, translating into an increase of 8.5</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xml:space="preserve"> above inflation. The biggest budget increase is the </w:t>
      </w:r>
      <w:r w:rsidRPr="007457B1">
        <w:rPr>
          <w:rFonts w:ascii="Times New Roman" w:hAnsi="Times New Roman" w:cs="Times New Roman"/>
          <w:i/>
          <w:sz w:val="24"/>
          <w:szCs w:val="24"/>
        </w:rPr>
        <w:t>Maritime Oversight</w:t>
      </w:r>
      <w:r w:rsidRPr="007457B1">
        <w:rPr>
          <w:rFonts w:ascii="Times New Roman" w:hAnsi="Times New Roman" w:cs="Times New Roman"/>
          <w:sz w:val="24"/>
          <w:szCs w:val="24"/>
        </w:rPr>
        <w:t xml:space="preserve"> sub-programme that grows up from R30.0 million in 2018/19 to R41.5 million in 2019/20. This indicates an above inflation increase of 31.5</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w:t>
      </w:r>
    </w:p>
    <w:p w14:paraId="0516F0B1" w14:textId="77777777" w:rsidR="006C2EC0" w:rsidRPr="007457B1" w:rsidRDefault="006C2EC0" w:rsidP="00C07A5A">
      <w:pPr>
        <w:spacing w:line="360" w:lineRule="auto"/>
        <w:jc w:val="both"/>
        <w:rPr>
          <w:rFonts w:ascii="Times New Roman" w:hAnsi="Times New Roman" w:cs="Times New Roman"/>
          <w:b/>
          <w:sz w:val="24"/>
          <w:szCs w:val="24"/>
        </w:rPr>
      </w:pPr>
    </w:p>
    <w:p w14:paraId="5C1C6E1F" w14:textId="77777777" w:rsidR="00490066" w:rsidRDefault="00490066">
      <w:pPr>
        <w:rPr>
          <w:rFonts w:ascii="Times New Roman" w:hAnsi="Times New Roman" w:cs="Times New Roman"/>
          <w:b/>
          <w:i/>
          <w:sz w:val="24"/>
          <w:szCs w:val="24"/>
        </w:rPr>
      </w:pPr>
      <w:r>
        <w:rPr>
          <w:rFonts w:ascii="Times New Roman" w:hAnsi="Times New Roman" w:cs="Times New Roman"/>
          <w:b/>
          <w:i/>
          <w:sz w:val="24"/>
          <w:szCs w:val="24"/>
        </w:rPr>
        <w:br w:type="page"/>
      </w:r>
    </w:p>
    <w:p w14:paraId="49B98177" w14:textId="77777777" w:rsidR="006C2EC0" w:rsidRPr="007457B1" w:rsidRDefault="006C2EC0" w:rsidP="00C07A5A">
      <w:pPr>
        <w:spacing w:line="360" w:lineRule="auto"/>
        <w:jc w:val="both"/>
        <w:rPr>
          <w:rFonts w:ascii="Times New Roman" w:hAnsi="Times New Roman" w:cs="Times New Roman"/>
          <w:b/>
          <w:i/>
          <w:sz w:val="24"/>
          <w:szCs w:val="24"/>
        </w:rPr>
      </w:pPr>
      <w:r w:rsidRPr="007457B1">
        <w:rPr>
          <w:rFonts w:ascii="Times New Roman" w:hAnsi="Times New Roman" w:cs="Times New Roman"/>
          <w:b/>
          <w:i/>
          <w:sz w:val="24"/>
          <w:szCs w:val="24"/>
        </w:rPr>
        <w:t>5.1.7 Programme 7: Public Transport</w:t>
      </w:r>
    </w:p>
    <w:p w14:paraId="6CA882C7" w14:textId="77777777" w:rsidR="006C2EC0" w:rsidRPr="007457B1" w:rsidRDefault="006C2EC0" w:rsidP="00C07A5A">
      <w:pPr>
        <w:spacing w:line="360" w:lineRule="auto"/>
        <w:jc w:val="both"/>
        <w:rPr>
          <w:rFonts w:ascii="Times New Roman" w:hAnsi="Times New Roman" w:cs="Times New Roman"/>
          <w:b/>
          <w:sz w:val="24"/>
          <w:szCs w:val="24"/>
        </w:rPr>
      </w:pPr>
    </w:p>
    <w:p w14:paraId="17ADF040"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Public Transport programme is tasked with providing and regulating safe, secure, reliable, cost-effective and sustainable public transport services in South Africa through legislation, policies and strategies. The Public Transport programme comprises six sub-programmes.</w:t>
      </w:r>
    </w:p>
    <w:p w14:paraId="06E686B8" w14:textId="77777777" w:rsidR="006C2EC0" w:rsidRPr="007457B1" w:rsidRDefault="006C2EC0" w:rsidP="00C07A5A">
      <w:pPr>
        <w:spacing w:line="360" w:lineRule="auto"/>
        <w:jc w:val="both"/>
        <w:rPr>
          <w:rFonts w:ascii="Times New Roman" w:hAnsi="Times New Roman" w:cs="Times New Roman"/>
          <w:sz w:val="24"/>
          <w:szCs w:val="24"/>
        </w:rPr>
      </w:pPr>
    </w:p>
    <w:p w14:paraId="54CAEE8D" w14:textId="77777777" w:rsidR="006C2EC0" w:rsidRPr="007457B1" w:rsidRDefault="006C2EC0"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Ta</w:t>
      </w:r>
      <w:r w:rsidR="00ED73A6" w:rsidRPr="007457B1">
        <w:rPr>
          <w:rFonts w:ascii="Times New Roman" w:hAnsi="Times New Roman" w:cs="Times New Roman"/>
          <w:b/>
          <w:sz w:val="24"/>
          <w:szCs w:val="24"/>
        </w:rPr>
        <w:t>ble 14</w:t>
      </w:r>
      <w:r w:rsidRPr="007457B1">
        <w:rPr>
          <w:rFonts w:ascii="Times New Roman" w:hAnsi="Times New Roman" w:cs="Times New Roman"/>
          <w:b/>
          <w:sz w:val="24"/>
          <w:szCs w:val="24"/>
        </w:rPr>
        <w:t>: Programme 7: Public Transport</w:t>
      </w:r>
    </w:p>
    <w:tbl>
      <w:tblPr>
        <w:tblStyle w:val="TableGrid"/>
        <w:tblW w:w="9628" w:type="dxa"/>
        <w:tblLayout w:type="fixed"/>
        <w:tblLook w:val="04A0" w:firstRow="1" w:lastRow="0" w:firstColumn="1" w:lastColumn="0" w:noHBand="0" w:noVBand="1"/>
      </w:tblPr>
      <w:tblGrid>
        <w:gridCol w:w="3014"/>
        <w:gridCol w:w="1082"/>
        <w:gridCol w:w="1134"/>
        <w:gridCol w:w="1134"/>
        <w:gridCol w:w="1144"/>
        <w:gridCol w:w="1134"/>
        <w:gridCol w:w="986"/>
      </w:tblGrid>
      <w:tr w:rsidR="006C2EC0" w:rsidRPr="00490066" w14:paraId="2A90D342" w14:textId="77777777" w:rsidTr="00AA480F">
        <w:trPr>
          <w:trHeight w:val="765"/>
        </w:trPr>
        <w:tc>
          <w:tcPr>
            <w:tcW w:w="3014" w:type="dxa"/>
            <w:tcBorders>
              <w:top w:val="single" w:sz="12" w:space="0" w:color="auto"/>
              <w:left w:val="single" w:sz="12" w:space="0" w:color="auto"/>
              <w:bottom w:val="single" w:sz="12" w:space="0" w:color="auto"/>
            </w:tcBorders>
            <w:shd w:val="pct15" w:color="auto" w:fill="auto"/>
            <w:noWrap/>
            <w:hideMark/>
          </w:tcPr>
          <w:p w14:paraId="082E696C"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Programme</w:t>
            </w:r>
          </w:p>
        </w:tc>
        <w:tc>
          <w:tcPr>
            <w:tcW w:w="2216" w:type="dxa"/>
            <w:gridSpan w:val="2"/>
            <w:tcBorders>
              <w:top w:val="single" w:sz="12" w:space="0" w:color="auto"/>
              <w:bottom w:val="single" w:sz="12" w:space="0" w:color="auto"/>
            </w:tcBorders>
            <w:shd w:val="pct15" w:color="auto" w:fill="auto"/>
            <w:hideMark/>
          </w:tcPr>
          <w:p w14:paraId="778F11AC"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Budget</w:t>
            </w:r>
          </w:p>
        </w:tc>
        <w:tc>
          <w:tcPr>
            <w:tcW w:w="1134" w:type="dxa"/>
            <w:vMerge w:val="restart"/>
            <w:tcBorders>
              <w:top w:val="single" w:sz="12" w:space="0" w:color="auto"/>
            </w:tcBorders>
            <w:shd w:val="pct15" w:color="auto" w:fill="auto"/>
            <w:hideMark/>
          </w:tcPr>
          <w:p w14:paraId="46A5F197"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Nominal Increase/ Decrease in 2019/20</w:t>
            </w:r>
          </w:p>
        </w:tc>
        <w:tc>
          <w:tcPr>
            <w:tcW w:w="1144" w:type="dxa"/>
            <w:vMerge w:val="restart"/>
            <w:tcBorders>
              <w:top w:val="single" w:sz="12" w:space="0" w:color="auto"/>
            </w:tcBorders>
            <w:shd w:val="pct15" w:color="auto" w:fill="auto"/>
            <w:hideMark/>
          </w:tcPr>
          <w:p w14:paraId="6731FC4E"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Real Increase/ Decrease in 2019/20</w:t>
            </w:r>
          </w:p>
        </w:tc>
        <w:tc>
          <w:tcPr>
            <w:tcW w:w="1134" w:type="dxa"/>
            <w:vMerge w:val="restart"/>
            <w:tcBorders>
              <w:top w:val="single" w:sz="12" w:space="0" w:color="auto"/>
            </w:tcBorders>
            <w:shd w:val="pct15" w:color="auto" w:fill="auto"/>
            <w:hideMark/>
          </w:tcPr>
          <w:p w14:paraId="03A91CFF"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Nominal Percent change in 2019/20</w:t>
            </w:r>
          </w:p>
        </w:tc>
        <w:tc>
          <w:tcPr>
            <w:tcW w:w="986" w:type="dxa"/>
            <w:vMerge w:val="restart"/>
            <w:tcBorders>
              <w:top w:val="single" w:sz="12" w:space="0" w:color="auto"/>
              <w:right w:val="single" w:sz="12" w:space="0" w:color="auto"/>
            </w:tcBorders>
            <w:shd w:val="pct15" w:color="auto" w:fill="auto"/>
            <w:hideMark/>
          </w:tcPr>
          <w:p w14:paraId="09CA2241"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Real Percent change in 2019/20</w:t>
            </w:r>
          </w:p>
        </w:tc>
      </w:tr>
      <w:tr w:rsidR="006C2EC0" w:rsidRPr="00490066" w14:paraId="2202BDDB" w14:textId="77777777" w:rsidTr="00AA480F">
        <w:trPr>
          <w:trHeight w:val="264"/>
        </w:trPr>
        <w:tc>
          <w:tcPr>
            <w:tcW w:w="3014" w:type="dxa"/>
            <w:tcBorders>
              <w:top w:val="single" w:sz="12" w:space="0" w:color="auto"/>
              <w:left w:val="single" w:sz="12" w:space="0" w:color="auto"/>
              <w:bottom w:val="single" w:sz="12" w:space="0" w:color="auto"/>
            </w:tcBorders>
            <w:shd w:val="pct15" w:color="auto" w:fill="auto"/>
            <w:noWrap/>
            <w:hideMark/>
          </w:tcPr>
          <w:p w14:paraId="110554EF"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R million</w:t>
            </w:r>
          </w:p>
        </w:tc>
        <w:tc>
          <w:tcPr>
            <w:tcW w:w="1082" w:type="dxa"/>
            <w:tcBorders>
              <w:top w:val="single" w:sz="12" w:space="0" w:color="auto"/>
              <w:bottom w:val="single" w:sz="12" w:space="0" w:color="auto"/>
            </w:tcBorders>
            <w:shd w:val="pct15" w:color="auto" w:fill="auto"/>
            <w:noWrap/>
            <w:hideMark/>
          </w:tcPr>
          <w:p w14:paraId="14981305"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2018/19</w:t>
            </w:r>
          </w:p>
        </w:tc>
        <w:tc>
          <w:tcPr>
            <w:tcW w:w="1134" w:type="dxa"/>
            <w:tcBorders>
              <w:top w:val="single" w:sz="12" w:space="0" w:color="auto"/>
              <w:bottom w:val="single" w:sz="12" w:space="0" w:color="auto"/>
            </w:tcBorders>
            <w:shd w:val="pct15" w:color="auto" w:fill="auto"/>
            <w:noWrap/>
            <w:hideMark/>
          </w:tcPr>
          <w:p w14:paraId="291E5127"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2019/20</w:t>
            </w:r>
          </w:p>
        </w:tc>
        <w:tc>
          <w:tcPr>
            <w:tcW w:w="1134" w:type="dxa"/>
            <w:vMerge/>
            <w:tcBorders>
              <w:bottom w:val="single" w:sz="12" w:space="0" w:color="auto"/>
            </w:tcBorders>
            <w:hideMark/>
          </w:tcPr>
          <w:p w14:paraId="0B1C10B3" w14:textId="77777777" w:rsidR="006C2EC0" w:rsidRPr="00490066" w:rsidRDefault="006C2EC0" w:rsidP="00C07A5A">
            <w:pPr>
              <w:spacing w:line="360" w:lineRule="auto"/>
              <w:jc w:val="both"/>
              <w:rPr>
                <w:rFonts w:ascii="Times New Roman" w:hAnsi="Times New Roman" w:cs="Times New Roman"/>
                <w:b/>
                <w:bCs/>
              </w:rPr>
            </w:pPr>
          </w:p>
        </w:tc>
        <w:tc>
          <w:tcPr>
            <w:tcW w:w="1144" w:type="dxa"/>
            <w:vMerge/>
            <w:tcBorders>
              <w:bottom w:val="single" w:sz="12" w:space="0" w:color="auto"/>
            </w:tcBorders>
            <w:hideMark/>
          </w:tcPr>
          <w:p w14:paraId="4EB95A19" w14:textId="77777777" w:rsidR="006C2EC0" w:rsidRPr="00490066" w:rsidRDefault="006C2EC0" w:rsidP="00C07A5A">
            <w:pPr>
              <w:spacing w:line="360" w:lineRule="auto"/>
              <w:jc w:val="both"/>
              <w:rPr>
                <w:rFonts w:ascii="Times New Roman" w:hAnsi="Times New Roman" w:cs="Times New Roman"/>
                <w:b/>
                <w:bCs/>
              </w:rPr>
            </w:pPr>
          </w:p>
        </w:tc>
        <w:tc>
          <w:tcPr>
            <w:tcW w:w="1134" w:type="dxa"/>
            <w:vMerge/>
            <w:tcBorders>
              <w:bottom w:val="single" w:sz="12" w:space="0" w:color="auto"/>
            </w:tcBorders>
            <w:hideMark/>
          </w:tcPr>
          <w:p w14:paraId="37C25E54" w14:textId="77777777" w:rsidR="006C2EC0" w:rsidRPr="00490066" w:rsidRDefault="006C2EC0" w:rsidP="00C07A5A">
            <w:pPr>
              <w:spacing w:line="360" w:lineRule="auto"/>
              <w:jc w:val="both"/>
              <w:rPr>
                <w:rFonts w:ascii="Times New Roman" w:hAnsi="Times New Roman" w:cs="Times New Roman"/>
                <w:b/>
                <w:bCs/>
              </w:rPr>
            </w:pPr>
          </w:p>
        </w:tc>
        <w:tc>
          <w:tcPr>
            <w:tcW w:w="986" w:type="dxa"/>
            <w:vMerge/>
            <w:tcBorders>
              <w:bottom w:val="single" w:sz="12" w:space="0" w:color="auto"/>
              <w:right w:val="single" w:sz="12" w:space="0" w:color="auto"/>
            </w:tcBorders>
            <w:hideMark/>
          </w:tcPr>
          <w:p w14:paraId="36A98FE9" w14:textId="77777777" w:rsidR="006C2EC0" w:rsidRPr="00490066" w:rsidRDefault="006C2EC0" w:rsidP="00C07A5A">
            <w:pPr>
              <w:spacing w:line="360" w:lineRule="auto"/>
              <w:jc w:val="both"/>
              <w:rPr>
                <w:rFonts w:ascii="Times New Roman" w:hAnsi="Times New Roman" w:cs="Times New Roman"/>
                <w:b/>
                <w:bCs/>
              </w:rPr>
            </w:pPr>
          </w:p>
        </w:tc>
      </w:tr>
      <w:tr w:rsidR="006C2EC0" w:rsidRPr="00490066" w14:paraId="0825ED99" w14:textId="77777777" w:rsidTr="00AA480F">
        <w:trPr>
          <w:trHeight w:val="264"/>
        </w:trPr>
        <w:tc>
          <w:tcPr>
            <w:tcW w:w="3014" w:type="dxa"/>
            <w:tcBorders>
              <w:top w:val="single" w:sz="12" w:space="0" w:color="auto"/>
            </w:tcBorders>
            <w:noWrap/>
            <w:hideMark/>
          </w:tcPr>
          <w:p w14:paraId="5E3A36B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Public Transport Regulation</w:t>
            </w:r>
          </w:p>
        </w:tc>
        <w:tc>
          <w:tcPr>
            <w:tcW w:w="1082" w:type="dxa"/>
            <w:tcBorders>
              <w:top w:val="single" w:sz="12" w:space="0" w:color="auto"/>
            </w:tcBorders>
            <w:noWrap/>
            <w:hideMark/>
          </w:tcPr>
          <w:p w14:paraId="7A5251F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54.5</w:t>
            </w:r>
          </w:p>
        </w:tc>
        <w:tc>
          <w:tcPr>
            <w:tcW w:w="1134" w:type="dxa"/>
            <w:tcBorders>
              <w:top w:val="single" w:sz="12" w:space="0" w:color="auto"/>
            </w:tcBorders>
            <w:noWrap/>
            <w:hideMark/>
          </w:tcPr>
          <w:p w14:paraId="431E524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57.8</w:t>
            </w:r>
          </w:p>
        </w:tc>
        <w:tc>
          <w:tcPr>
            <w:tcW w:w="1134" w:type="dxa"/>
            <w:tcBorders>
              <w:top w:val="single" w:sz="12" w:space="0" w:color="auto"/>
            </w:tcBorders>
            <w:noWrap/>
            <w:hideMark/>
          </w:tcPr>
          <w:p w14:paraId="7D46815E"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3.3</w:t>
            </w:r>
          </w:p>
        </w:tc>
        <w:tc>
          <w:tcPr>
            <w:tcW w:w="1144" w:type="dxa"/>
            <w:tcBorders>
              <w:top w:val="single" w:sz="12" w:space="0" w:color="auto"/>
            </w:tcBorders>
            <w:noWrap/>
            <w:hideMark/>
          </w:tcPr>
          <w:p w14:paraId="14DDF9B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0.4</w:t>
            </w:r>
          </w:p>
        </w:tc>
        <w:tc>
          <w:tcPr>
            <w:tcW w:w="1134" w:type="dxa"/>
            <w:tcBorders>
              <w:top w:val="single" w:sz="12" w:space="0" w:color="auto"/>
            </w:tcBorders>
            <w:noWrap/>
            <w:hideMark/>
          </w:tcPr>
          <w:p w14:paraId="22C1EA6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6.1%</w:t>
            </w:r>
          </w:p>
        </w:tc>
        <w:tc>
          <w:tcPr>
            <w:tcW w:w="986" w:type="dxa"/>
            <w:tcBorders>
              <w:top w:val="single" w:sz="12" w:space="0" w:color="auto"/>
            </w:tcBorders>
            <w:noWrap/>
            <w:hideMark/>
          </w:tcPr>
          <w:p w14:paraId="0449394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0.8%</w:t>
            </w:r>
          </w:p>
        </w:tc>
      </w:tr>
      <w:tr w:rsidR="006C2EC0" w:rsidRPr="00490066" w14:paraId="10CFFC11" w14:textId="77777777" w:rsidTr="00AA480F">
        <w:trPr>
          <w:trHeight w:val="264"/>
        </w:trPr>
        <w:tc>
          <w:tcPr>
            <w:tcW w:w="3014" w:type="dxa"/>
            <w:noWrap/>
            <w:hideMark/>
          </w:tcPr>
          <w:p w14:paraId="3218B38A"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Rural and Scholar Transport</w:t>
            </w:r>
          </w:p>
        </w:tc>
        <w:tc>
          <w:tcPr>
            <w:tcW w:w="1082" w:type="dxa"/>
            <w:noWrap/>
            <w:hideMark/>
          </w:tcPr>
          <w:p w14:paraId="78AC8E5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40.4</w:t>
            </w:r>
          </w:p>
        </w:tc>
        <w:tc>
          <w:tcPr>
            <w:tcW w:w="1134" w:type="dxa"/>
            <w:noWrap/>
            <w:hideMark/>
          </w:tcPr>
          <w:p w14:paraId="0EDEB92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42.8</w:t>
            </w:r>
          </w:p>
        </w:tc>
        <w:tc>
          <w:tcPr>
            <w:tcW w:w="1134" w:type="dxa"/>
            <w:noWrap/>
            <w:hideMark/>
          </w:tcPr>
          <w:p w14:paraId="1172546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2.4</w:t>
            </w:r>
          </w:p>
        </w:tc>
        <w:tc>
          <w:tcPr>
            <w:tcW w:w="1144" w:type="dxa"/>
            <w:noWrap/>
            <w:hideMark/>
          </w:tcPr>
          <w:p w14:paraId="6A1CCC95"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0.3</w:t>
            </w:r>
          </w:p>
        </w:tc>
        <w:tc>
          <w:tcPr>
            <w:tcW w:w="1134" w:type="dxa"/>
            <w:noWrap/>
            <w:hideMark/>
          </w:tcPr>
          <w:p w14:paraId="6DE14FC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5.9%</w:t>
            </w:r>
          </w:p>
        </w:tc>
        <w:tc>
          <w:tcPr>
            <w:tcW w:w="986" w:type="dxa"/>
            <w:noWrap/>
            <w:hideMark/>
          </w:tcPr>
          <w:p w14:paraId="77BFB6AD"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0.7%</w:t>
            </w:r>
          </w:p>
        </w:tc>
      </w:tr>
      <w:tr w:rsidR="006C2EC0" w:rsidRPr="00490066" w14:paraId="3DD98C33" w14:textId="77777777" w:rsidTr="00AA480F">
        <w:trPr>
          <w:trHeight w:val="264"/>
        </w:trPr>
        <w:tc>
          <w:tcPr>
            <w:tcW w:w="3014" w:type="dxa"/>
            <w:noWrap/>
            <w:hideMark/>
          </w:tcPr>
          <w:p w14:paraId="1605DD56"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Public Transport Industry Development</w:t>
            </w:r>
          </w:p>
        </w:tc>
        <w:tc>
          <w:tcPr>
            <w:tcW w:w="1082" w:type="dxa"/>
            <w:noWrap/>
            <w:hideMark/>
          </w:tcPr>
          <w:p w14:paraId="7A08F8D1"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187.1</w:t>
            </w:r>
          </w:p>
        </w:tc>
        <w:tc>
          <w:tcPr>
            <w:tcW w:w="1134" w:type="dxa"/>
            <w:noWrap/>
            <w:hideMark/>
          </w:tcPr>
          <w:p w14:paraId="453E5C31"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203.2</w:t>
            </w:r>
          </w:p>
        </w:tc>
        <w:tc>
          <w:tcPr>
            <w:tcW w:w="1134" w:type="dxa"/>
            <w:noWrap/>
            <w:hideMark/>
          </w:tcPr>
          <w:p w14:paraId="04639DC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16.1</w:t>
            </w:r>
          </w:p>
        </w:tc>
        <w:tc>
          <w:tcPr>
            <w:tcW w:w="1144" w:type="dxa"/>
            <w:noWrap/>
            <w:hideMark/>
          </w:tcPr>
          <w:p w14:paraId="7CA92DFD"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6.1</w:t>
            </w:r>
          </w:p>
        </w:tc>
        <w:tc>
          <w:tcPr>
            <w:tcW w:w="1134" w:type="dxa"/>
            <w:noWrap/>
            <w:hideMark/>
          </w:tcPr>
          <w:p w14:paraId="01563A6D"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8.6%</w:t>
            </w:r>
          </w:p>
        </w:tc>
        <w:tc>
          <w:tcPr>
            <w:tcW w:w="986" w:type="dxa"/>
            <w:noWrap/>
            <w:hideMark/>
          </w:tcPr>
          <w:p w14:paraId="640C104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3.2%</w:t>
            </w:r>
          </w:p>
        </w:tc>
      </w:tr>
      <w:tr w:rsidR="006C2EC0" w:rsidRPr="00490066" w14:paraId="1BE729BB" w14:textId="77777777" w:rsidTr="00AA480F">
        <w:trPr>
          <w:trHeight w:val="264"/>
        </w:trPr>
        <w:tc>
          <w:tcPr>
            <w:tcW w:w="3014" w:type="dxa"/>
            <w:noWrap/>
            <w:hideMark/>
          </w:tcPr>
          <w:p w14:paraId="5DE4510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Public Transport Oversight</w:t>
            </w:r>
          </w:p>
        </w:tc>
        <w:tc>
          <w:tcPr>
            <w:tcW w:w="1082" w:type="dxa"/>
            <w:noWrap/>
            <w:hideMark/>
          </w:tcPr>
          <w:p w14:paraId="1B0449FD"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12 711.1</w:t>
            </w:r>
          </w:p>
        </w:tc>
        <w:tc>
          <w:tcPr>
            <w:tcW w:w="1134" w:type="dxa"/>
            <w:noWrap/>
            <w:hideMark/>
          </w:tcPr>
          <w:p w14:paraId="0E97325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13 252.4</w:t>
            </w:r>
          </w:p>
        </w:tc>
        <w:tc>
          <w:tcPr>
            <w:tcW w:w="1134" w:type="dxa"/>
            <w:noWrap/>
            <w:hideMark/>
          </w:tcPr>
          <w:p w14:paraId="59734617"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541.3</w:t>
            </w:r>
          </w:p>
        </w:tc>
        <w:tc>
          <w:tcPr>
            <w:tcW w:w="1144" w:type="dxa"/>
            <w:noWrap/>
            <w:hideMark/>
          </w:tcPr>
          <w:p w14:paraId="3654BE51"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113.8</w:t>
            </w:r>
          </w:p>
        </w:tc>
        <w:tc>
          <w:tcPr>
            <w:tcW w:w="1134" w:type="dxa"/>
            <w:noWrap/>
            <w:hideMark/>
          </w:tcPr>
          <w:p w14:paraId="6C15FAB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4.3%</w:t>
            </w:r>
          </w:p>
        </w:tc>
        <w:tc>
          <w:tcPr>
            <w:tcW w:w="986" w:type="dxa"/>
            <w:noWrap/>
            <w:hideMark/>
          </w:tcPr>
          <w:p w14:paraId="2240681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-0.9%</w:t>
            </w:r>
          </w:p>
        </w:tc>
      </w:tr>
      <w:tr w:rsidR="006C2EC0" w:rsidRPr="00490066" w14:paraId="2E468B07" w14:textId="77777777" w:rsidTr="00AA480F">
        <w:trPr>
          <w:trHeight w:val="264"/>
        </w:trPr>
        <w:tc>
          <w:tcPr>
            <w:tcW w:w="3014" w:type="dxa"/>
            <w:noWrap/>
            <w:hideMark/>
          </w:tcPr>
          <w:p w14:paraId="0E38B4D1"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Public Transport Administration Support</w:t>
            </w:r>
          </w:p>
        </w:tc>
        <w:tc>
          <w:tcPr>
            <w:tcW w:w="1082" w:type="dxa"/>
            <w:noWrap/>
            <w:hideMark/>
          </w:tcPr>
          <w:p w14:paraId="307D6D26"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11.1</w:t>
            </w:r>
          </w:p>
        </w:tc>
        <w:tc>
          <w:tcPr>
            <w:tcW w:w="1134" w:type="dxa"/>
            <w:noWrap/>
            <w:hideMark/>
          </w:tcPr>
          <w:p w14:paraId="56D11F9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11.8</w:t>
            </w:r>
          </w:p>
        </w:tc>
        <w:tc>
          <w:tcPr>
            <w:tcW w:w="1134" w:type="dxa"/>
            <w:noWrap/>
            <w:hideMark/>
          </w:tcPr>
          <w:p w14:paraId="2FB7084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0.7</w:t>
            </w:r>
          </w:p>
        </w:tc>
        <w:tc>
          <w:tcPr>
            <w:tcW w:w="1144" w:type="dxa"/>
            <w:noWrap/>
            <w:hideMark/>
          </w:tcPr>
          <w:p w14:paraId="1BC56CC1"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0.1</w:t>
            </w:r>
          </w:p>
        </w:tc>
        <w:tc>
          <w:tcPr>
            <w:tcW w:w="1134" w:type="dxa"/>
            <w:noWrap/>
            <w:hideMark/>
          </w:tcPr>
          <w:p w14:paraId="7FE9DD3C"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6.3%</w:t>
            </w:r>
          </w:p>
        </w:tc>
        <w:tc>
          <w:tcPr>
            <w:tcW w:w="986" w:type="dxa"/>
            <w:noWrap/>
            <w:hideMark/>
          </w:tcPr>
          <w:p w14:paraId="49D93EA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1.1%</w:t>
            </w:r>
          </w:p>
        </w:tc>
      </w:tr>
      <w:tr w:rsidR="006C2EC0" w:rsidRPr="00490066" w14:paraId="001336C8" w14:textId="77777777" w:rsidTr="00AA480F">
        <w:trPr>
          <w:trHeight w:val="264"/>
        </w:trPr>
        <w:tc>
          <w:tcPr>
            <w:tcW w:w="3014" w:type="dxa"/>
            <w:tcBorders>
              <w:bottom w:val="single" w:sz="12" w:space="0" w:color="auto"/>
            </w:tcBorders>
            <w:noWrap/>
            <w:hideMark/>
          </w:tcPr>
          <w:p w14:paraId="6350620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Public Transport Network Development</w:t>
            </w:r>
          </w:p>
        </w:tc>
        <w:tc>
          <w:tcPr>
            <w:tcW w:w="1082" w:type="dxa"/>
            <w:tcBorders>
              <w:bottom w:val="single" w:sz="12" w:space="0" w:color="auto"/>
            </w:tcBorders>
            <w:noWrap/>
            <w:hideMark/>
          </w:tcPr>
          <w:p w14:paraId="1DCCD81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18.9</w:t>
            </w:r>
          </w:p>
        </w:tc>
        <w:tc>
          <w:tcPr>
            <w:tcW w:w="1134" w:type="dxa"/>
            <w:tcBorders>
              <w:bottom w:val="single" w:sz="12" w:space="0" w:color="auto"/>
            </w:tcBorders>
            <w:noWrap/>
            <w:hideMark/>
          </w:tcPr>
          <w:p w14:paraId="568AE3BD"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20.1</w:t>
            </w:r>
          </w:p>
        </w:tc>
        <w:tc>
          <w:tcPr>
            <w:tcW w:w="1134" w:type="dxa"/>
            <w:tcBorders>
              <w:bottom w:val="single" w:sz="12" w:space="0" w:color="auto"/>
            </w:tcBorders>
            <w:noWrap/>
            <w:hideMark/>
          </w:tcPr>
          <w:p w14:paraId="294FAD6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1.2</w:t>
            </w:r>
          </w:p>
        </w:tc>
        <w:tc>
          <w:tcPr>
            <w:tcW w:w="1144" w:type="dxa"/>
            <w:tcBorders>
              <w:bottom w:val="single" w:sz="12" w:space="0" w:color="auto"/>
            </w:tcBorders>
            <w:noWrap/>
            <w:hideMark/>
          </w:tcPr>
          <w:p w14:paraId="70BBA619"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 xml:space="preserve">  0.2</w:t>
            </w:r>
          </w:p>
        </w:tc>
        <w:tc>
          <w:tcPr>
            <w:tcW w:w="1134" w:type="dxa"/>
            <w:tcBorders>
              <w:bottom w:val="single" w:sz="12" w:space="0" w:color="auto"/>
            </w:tcBorders>
            <w:noWrap/>
            <w:hideMark/>
          </w:tcPr>
          <w:p w14:paraId="69E005F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6.4%</w:t>
            </w:r>
          </w:p>
        </w:tc>
        <w:tc>
          <w:tcPr>
            <w:tcW w:w="986" w:type="dxa"/>
            <w:tcBorders>
              <w:bottom w:val="single" w:sz="12" w:space="0" w:color="auto"/>
            </w:tcBorders>
            <w:noWrap/>
            <w:hideMark/>
          </w:tcPr>
          <w:p w14:paraId="5250C7F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1.1%</w:t>
            </w:r>
          </w:p>
        </w:tc>
      </w:tr>
      <w:tr w:rsidR="006C2EC0" w:rsidRPr="00490066" w14:paraId="3430D970" w14:textId="77777777" w:rsidTr="00AA480F">
        <w:trPr>
          <w:trHeight w:val="264"/>
        </w:trPr>
        <w:tc>
          <w:tcPr>
            <w:tcW w:w="3014" w:type="dxa"/>
            <w:tcBorders>
              <w:top w:val="single" w:sz="12" w:space="0" w:color="auto"/>
              <w:left w:val="single" w:sz="12" w:space="0" w:color="auto"/>
              <w:bottom w:val="single" w:sz="12" w:space="0" w:color="auto"/>
            </w:tcBorders>
            <w:shd w:val="pct15" w:color="auto" w:fill="auto"/>
            <w:noWrap/>
            <w:hideMark/>
          </w:tcPr>
          <w:p w14:paraId="7C293C0B"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TOTAL</w:t>
            </w:r>
          </w:p>
        </w:tc>
        <w:tc>
          <w:tcPr>
            <w:tcW w:w="1082" w:type="dxa"/>
            <w:tcBorders>
              <w:top w:val="single" w:sz="12" w:space="0" w:color="auto"/>
              <w:bottom w:val="single" w:sz="12" w:space="0" w:color="auto"/>
            </w:tcBorders>
            <w:shd w:val="pct15" w:color="auto" w:fill="auto"/>
            <w:noWrap/>
            <w:hideMark/>
          </w:tcPr>
          <w:p w14:paraId="54F16456"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13 023.0</w:t>
            </w:r>
          </w:p>
        </w:tc>
        <w:tc>
          <w:tcPr>
            <w:tcW w:w="1134" w:type="dxa"/>
            <w:tcBorders>
              <w:top w:val="single" w:sz="12" w:space="0" w:color="auto"/>
              <w:bottom w:val="single" w:sz="12" w:space="0" w:color="auto"/>
            </w:tcBorders>
            <w:shd w:val="pct15" w:color="auto" w:fill="auto"/>
            <w:noWrap/>
            <w:hideMark/>
          </w:tcPr>
          <w:p w14:paraId="4BA325E9"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13 588.1</w:t>
            </w:r>
          </w:p>
        </w:tc>
        <w:tc>
          <w:tcPr>
            <w:tcW w:w="1134" w:type="dxa"/>
            <w:tcBorders>
              <w:top w:val="single" w:sz="12" w:space="0" w:color="auto"/>
              <w:bottom w:val="single" w:sz="12" w:space="0" w:color="auto"/>
            </w:tcBorders>
            <w:shd w:val="pct15" w:color="auto" w:fill="auto"/>
            <w:noWrap/>
            <w:hideMark/>
          </w:tcPr>
          <w:p w14:paraId="4CF24059"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 xml:space="preserve">  565.1</w:t>
            </w:r>
          </w:p>
        </w:tc>
        <w:tc>
          <w:tcPr>
            <w:tcW w:w="1144" w:type="dxa"/>
            <w:tcBorders>
              <w:top w:val="single" w:sz="12" w:space="0" w:color="auto"/>
              <w:bottom w:val="single" w:sz="12" w:space="0" w:color="auto"/>
            </w:tcBorders>
            <w:shd w:val="pct15" w:color="auto" w:fill="auto"/>
            <w:noWrap/>
            <w:hideMark/>
          </w:tcPr>
          <w:p w14:paraId="049B74F8"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- 106.6</w:t>
            </w:r>
          </w:p>
        </w:tc>
        <w:tc>
          <w:tcPr>
            <w:tcW w:w="1134" w:type="dxa"/>
            <w:tcBorders>
              <w:top w:val="single" w:sz="12" w:space="0" w:color="auto"/>
              <w:bottom w:val="single" w:sz="12" w:space="0" w:color="auto"/>
            </w:tcBorders>
            <w:shd w:val="pct15" w:color="auto" w:fill="auto"/>
            <w:noWrap/>
            <w:hideMark/>
          </w:tcPr>
          <w:p w14:paraId="5AE31161"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4.3%</w:t>
            </w:r>
          </w:p>
        </w:tc>
        <w:tc>
          <w:tcPr>
            <w:tcW w:w="986" w:type="dxa"/>
            <w:tcBorders>
              <w:top w:val="single" w:sz="12" w:space="0" w:color="auto"/>
              <w:bottom w:val="single" w:sz="12" w:space="0" w:color="auto"/>
              <w:right w:val="single" w:sz="12" w:space="0" w:color="auto"/>
            </w:tcBorders>
            <w:shd w:val="pct15" w:color="auto" w:fill="auto"/>
            <w:noWrap/>
            <w:hideMark/>
          </w:tcPr>
          <w:p w14:paraId="541E946C" w14:textId="77777777" w:rsidR="006C2EC0" w:rsidRPr="00490066" w:rsidRDefault="006C2EC0" w:rsidP="00C07A5A">
            <w:pPr>
              <w:spacing w:line="360" w:lineRule="auto"/>
              <w:jc w:val="both"/>
              <w:rPr>
                <w:rFonts w:ascii="Times New Roman" w:hAnsi="Times New Roman" w:cs="Times New Roman"/>
                <w:b/>
                <w:bCs/>
              </w:rPr>
            </w:pPr>
            <w:r w:rsidRPr="00490066">
              <w:rPr>
                <w:rFonts w:ascii="Times New Roman" w:hAnsi="Times New Roman" w:cs="Times New Roman"/>
                <w:b/>
                <w:bCs/>
              </w:rPr>
              <w:t>-0.8%</w:t>
            </w:r>
          </w:p>
        </w:tc>
      </w:tr>
    </w:tbl>
    <w:p w14:paraId="51126E3C"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b/>
        </w:rPr>
        <w:t>(Source: National Treasury (2019)</w:t>
      </w:r>
    </w:p>
    <w:p w14:paraId="4B1BD7C0" w14:textId="77777777" w:rsidR="006C2EC0" w:rsidRPr="007457B1" w:rsidRDefault="006C2EC0" w:rsidP="00C07A5A">
      <w:pPr>
        <w:spacing w:line="360" w:lineRule="auto"/>
        <w:jc w:val="both"/>
        <w:rPr>
          <w:rFonts w:ascii="Times New Roman" w:hAnsi="Times New Roman" w:cs="Times New Roman"/>
          <w:b/>
          <w:sz w:val="24"/>
          <w:szCs w:val="24"/>
        </w:rPr>
      </w:pPr>
    </w:p>
    <w:p w14:paraId="0630C66E"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In 2019/20, Programme 7 receives R13.6 billion, up from R13.0 billion in 2018/19. However, this increase did not keep track with the effects of inflation, and it therefore declines with -0.8</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xml:space="preserve">. The biggest increase in the allocation is in the </w:t>
      </w:r>
      <w:r w:rsidRPr="007457B1">
        <w:rPr>
          <w:rFonts w:ascii="Times New Roman" w:hAnsi="Times New Roman" w:cs="Times New Roman"/>
          <w:i/>
          <w:sz w:val="24"/>
          <w:szCs w:val="24"/>
        </w:rPr>
        <w:t>Public Transport Industry Development</w:t>
      </w:r>
      <w:r w:rsidRPr="007457B1">
        <w:rPr>
          <w:rFonts w:ascii="Times New Roman" w:hAnsi="Times New Roman" w:cs="Times New Roman"/>
          <w:sz w:val="24"/>
          <w:szCs w:val="24"/>
        </w:rPr>
        <w:t xml:space="preserve"> sub-programme which receives R203.2 million in 2019/20, up from R187.1 million previously. Its budget allocation did not keep track with the effects of inflation and, therefore, declines with -0.9</w:t>
      </w:r>
      <w:r w:rsidR="00862262" w:rsidRPr="007457B1">
        <w:rPr>
          <w:rFonts w:ascii="Times New Roman" w:hAnsi="Times New Roman" w:cs="Times New Roman"/>
          <w:sz w:val="24"/>
          <w:szCs w:val="24"/>
        </w:rPr>
        <w:t xml:space="preserve"> percent</w:t>
      </w:r>
      <w:r w:rsidRPr="007457B1">
        <w:rPr>
          <w:rFonts w:ascii="Times New Roman" w:hAnsi="Times New Roman" w:cs="Times New Roman"/>
          <w:sz w:val="24"/>
          <w:szCs w:val="24"/>
        </w:rPr>
        <w:t xml:space="preserve"> from the previous year.</w:t>
      </w:r>
    </w:p>
    <w:p w14:paraId="18393019" w14:textId="77777777" w:rsidR="006C2EC0" w:rsidRPr="007457B1" w:rsidRDefault="006C2EC0" w:rsidP="00C07A5A">
      <w:pPr>
        <w:spacing w:line="360" w:lineRule="auto"/>
        <w:jc w:val="both"/>
        <w:rPr>
          <w:rFonts w:ascii="Times New Roman" w:hAnsi="Times New Roman" w:cs="Times New Roman"/>
          <w:sz w:val="24"/>
          <w:szCs w:val="24"/>
        </w:rPr>
      </w:pPr>
    </w:p>
    <w:p w14:paraId="64F6E328" w14:textId="77777777" w:rsidR="006C2EC0" w:rsidRPr="007457B1" w:rsidRDefault="006C2EC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Selected transfers in the Public Transport programme are as follows:</w:t>
      </w:r>
      <w:r w:rsidRPr="007457B1">
        <w:rPr>
          <w:rStyle w:val="FootnoteReference"/>
          <w:rFonts w:ascii="Times New Roman" w:hAnsi="Times New Roman" w:cs="Times New Roman"/>
          <w:sz w:val="24"/>
          <w:szCs w:val="24"/>
        </w:rPr>
        <w:footnoteReference w:id="19"/>
      </w:r>
    </w:p>
    <w:p w14:paraId="6E755895" w14:textId="77777777" w:rsidR="006C2EC0" w:rsidRPr="007457B1" w:rsidRDefault="00ED73A6"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Table 15</w:t>
      </w:r>
      <w:r w:rsidR="006C2EC0" w:rsidRPr="007457B1">
        <w:rPr>
          <w:rFonts w:ascii="Times New Roman" w:hAnsi="Times New Roman" w:cs="Times New Roman"/>
          <w:b/>
          <w:sz w:val="24"/>
          <w:szCs w:val="24"/>
        </w:rPr>
        <w:t>: Selected Transfers in the Public Transport programme</w:t>
      </w:r>
    </w:p>
    <w:tbl>
      <w:tblPr>
        <w:tblStyle w:val="TableGrid"/>
        <w:tblW w:w="0" w:type="auto"/>
        <w:tblLook w:val="04A0" w:firstRow="1" w:lastRow="0" w:firstColumn="1" w:lastColumn="0" w:noHBand="0" w:noVBand="1"/>
      </w:tblPr>
      <w:tblGrid>
        <w:gridCol w:w="5088"/>
        <w:gridCol w:w="1843"/>
        <w:gridCol w:w="2085"/>
      </w:tblGrid>
      <w:tr w:rsidR="006C2EC0" w:rsidRPr="00490066" w14:paraId="5FB922E3" w14:textId="77777777" w:rsidTr="00AA480F">
        <w:trPr>
          <w:trHeight w:val="309"/>
          <w:tblHeader/>
        </w:trPr>
        <w:tc>
          <w:tcPr>
            <w:tcW w:w="5088" w:type="dxa"/>
            <w:vMerge w:val="restart"/>
            <w:tcBorders>
              <w:top w:val="single" w:sz="12" w:space="0" w:color="auto"/>
              <w:left w:val="single" w:sz="12" w:space="0" w:color="auto"/>
            </w:tcBorders>
            <w:shd w:val="pct15" w:color="auto" w:fill="auto"/>
          </w:tcPr>
          <w:p w14:paraId="26D45147"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Entity/Programme</w:t>
            </w:r>
          </w:p>
          <w:p w14:paraId="3A3EE217" w14:textId="77777777" w:rsidR="006C2EC0" w:rsidRPr="00490066" w:rsidRDefault="006C2EC0" w:rsidP="00C07A5A">
            <w:pPr>
              <w:spacing w:line="360" w:lineRule="auto"/>
              <w:jc w:val="both"/>
              <w:rPr>
                <w:rFonts w:ascii="Times New Roman" w:hAnsi="Times New Roman" w:cs="Times New Roman"/>
                <w:b/>
              </w:rPr>
            </w:pPr>
          </w:p>
          <w:p w14:paraId="19746945"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R million</w:t>
            </w:r>
          </w:p>
        </w:tc>
        <w:tc>
          <w:tcPr>
            <w:tcW w:w="3928" w:type="dxa"/>
            <w:gridSpan w:val="2"/>
            <w:tcBorders>
              <w:top w:val="single" w:sz="12" w:space="0" w:color="auto"/>
              <w:bottom w:val="single" w:sz="12" w:space="0" w:color="auto"/>
              <w:right w:val="single" w:sz="12" w:space="0" w:color="auto"/>
            </w:tcBorders>
            <w:shd w:val="pct15" w:color="auto" w:fill="auto"/>
          </w:tcPr>
          <w:p w14:paraId="21F73889"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 xml:space="preserve">                        Budget </w:t>
            </w:r>
          </w:p>
          <w:p w14:paraId="2440A9A7" w14:textId="77777777" w:rsidR="006C2EC0" w:rsidRPr="00490066" w:rsidRDefault="006C2EC0" w:rsidP="00C07A5A">
            <w:pPr>
              <w:spacing w:line="360" w:lineRule="auto"/>
              <w:jc w:val="both"/>
              <w:rPr>
                <w:rFonts w:ascii="Times New Roman" w:hAnsi="Times New Roman" w:cs="Times New Roman"/>
                <w:b/>
              </w:rPr>
            </w:pPr>
          </w:p>
        </w:tc>
      </w:tr>
      <w:tr w:rsidR="006C2EC0" w:rsidRPr="00490066" w14:paraId="7C88AF5A" w14:textId="77777777" w:rsidTr="00AA480F">
        <w:trPr>
          <w:trHeight w:val="195"/>
          <w:tblHeader/>
        </w:trPr>
        <w:tc>
          <w:tcPr>
            <w:tcW w:w="5088" w:type="dxa"/>
            <w:vMerge/>
            <w:tcBorders>
              <w:left w:val="single" w:sz="12" w:space="0" w:color="auto"/>
              <w:bottom w:val="single" w:sz="12" w:space="0" w:color="auto"/>
            </w:tcBorders>
            <w:shd w:val="pct15" w:color="auto" w:fill="auto"/>
          </w:tcPr>
          <w:p w14:paraId="5C7C59A5" w14:textId="77777777" w:rsidR="006C2EC0" w:rsidRPr="00490066" w:rsidRDefault="006C2EC0" w:rsidP="00C07A5A">
            <w:pPr>
              <w:spacing w:line="360" w:lineRule="auto"/>
              <w:jc w:val="both"/>
              <w:rPr>
                <w:rFonts w:ascii="Times New Roman" w:hAnsi="Times New Roman" w:cs="Times New Roman"/>
                <w:b/>
              </w:rPr>
            </w:pPr>
          </w:p>
        </w:tc>
        <w:tc>
          <w:tcPr>
            <w:tcW w:w="1843" w:type="dxa"/>
            <w:tcBorders>
              <w:top w:val="single" w:sz="12" w:space="0" w:color="auto"/>
              <w:bottom w:val="single" w:sz="12" w:space="0" w:color="auto"/>
            </w:tcBorders>
            <w:shd w:val="pct15" w:color="auto" w:fill="auto"/>
          </w:tcPr>
          <w:p w14:paraId="29880076"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2018/19</w:t>
            </w:r>
          </w:p>
        </w:tc>
        <w:tc>
          <w:tcPr>
            <w:tcW w:w="2085" w:type="dxa"/>
            <w:tcBorders>
              <w:top w:val="single" w:sz="12" w:space="0" w:color="auto"/>
              <w:bottom w:val="single" w:sz="12" w:space="0" w:color="auto"/>
              <w:right w:val="single" w:sz="12" w:space="0" w:color="auto"/>
            </w:tcBorders>
            <w:shd w:val="pct15" w:color="auto" w:fill="auto"/>
          </w:tcPr>
          <w:p w14:paraId="61866976"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2019/20</w:t>
            </w:r>
          </w:p>
        </w:tc>
      </w:tr>
      <w:tr w:rsidR="006C2EC0" w:rsidRPr="00490066" w14:paraId="64C07495" w14:textId="77777777" w:rsidTr="00AA480F">
        <w:trPr>
          <w:trHeight w:val="195"/>
        </w:trPr>
        <w:tc>
          <w:tcPr>
            <w:tcW w:w="5088" w:type="dxa"/>
            <w:tcBorders>
              <w:top w:val="single" w:sz="12" w:space="0" w:color="auto"/>
            </w:tcBorders>
          </w:tcPr>
          <w:p w14:paraId="22BC0795"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Taxi Recapitalisation Programme (TRP)</w:t>
            </w:r>
          </w:p>
        </w:tc>
        <w:tc>
          <w:tcPr>
            <w:tcW w:w="1843" w:type="dxa"/>
            <w:tcBorders>
              <w:top w:val="single" w:sz="12" w:space="0" w:color="auto"/>
            </w:tcBorders>
          </w:tcPr>
          <w:p w14:paraId="227BAA95"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R411.6 million</w:t>
            </w:r>
          </w:p>
        </w:tc>
        <w:tc>
          <w:tcPr>
            <w:tcW w:w="2085" w:type="dxa"/>
            <w:tcBorders>
              <w:top w:val="single" w:sz="12" w:space="0" w:color="auto"/>
            </w:tcBorders>
          </w:tcPr>
          <w:p w14:paraId="7D4BEC98"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R434.7 million</w:t>
            </w:r>
          </w:p>
        </w:tc>
      </w:tr>
      <w:tr w:rsidR="006C2EC0" w:rsidRPr="00490066" w14:paraId="7CC5CB15" w14:textId="77777777" w:rsidTr="00AA480F">
        <w:trPr>
          <w:trHeight w:val="195"/>
        </w:trPr>
        <w:tc>
          <w:tcPr>
            <w:tcW w:w="5088" w:type="dxa"/>
          </w:tcPr>
          <w:p w14:paraId="46457196"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South African National Taxi Council (SANTACO)</w:t>
            </w:r>
          </w:p>
        </w:tc>
        <w:tc>
          <w:tcPr>
            <w:tcW w:w="1843" w:type="dxa"/>
          </w:tcPr>
          <w:p w14:paraId="71237230"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R22.5 million</w:t>
            </w:r>
          </w:p>
        </w:tc>
        <w:tc>
          <w:tcPr>
            <w:tcW w:w="2085" w:type="dxa"/>
          </w:tcPr>
          <w:p w14:paraId="77E08E7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R23.8 million</w:t>
            </w:r>
          </w:p>
        </w:tc>
      </w:tr>
      <w:tr w:rsidR="006C2EC0" w:rsidRPr="00490066" w14:paraId="69F60DC2" w14:textId="77777777" w:rsidTr="00AA480F">
        <w:trPr>
          <w:trHeight w:val="195"/>
        </w:trPr>
        <w:tc>
          <w:tcPr>
            <w:tcW w:w="5088" w:type="dxa"/>
          </w:tcPr>
          <w:p w14:paraId="4B0CE7D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Public Transport Network Grant (PTNG)</w:t>
            </w:r>
          </w:p>
        </w:tc>
        <w:tc>
          <w:tcPr>
            <w:tcW w:w="1843" w:type="dxa"/>
          </w:tcPr>
          <w:p w14:paraId="49268BF4"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R6.3 billion</w:t>
            </w:r>
          </w:p>
        </w:tc>
        <w:tc>
          <w:tcPr>
            <w:tcW w:w="2085" w:type="dxa"/>
          </w:tcPr>
          <w:p w14:paraId="66D3E49B"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R6.5 billion</w:t>
            </w:r>
          </w:p>
        </w:tc>
      </w:tr>
      <w:tr w:rsidR="006C2EC0" w:rsidRPr="00490066" w14:paraId="39A472F5" w14:textId="77777777" w:rsidTr="00AA480F">
        <w:trPr>
          <w:trHeight w:val="195"/>
        </w:trPr>
        <w:tc>
          <w:tcPr>
            <w:tcW w:w="5088" w:type="dxa"/>
            <w:tcBorders>
              <w:bottom w:val="single" w:sz="12" w:space="0" w:color="auto"/>
            </w:tcBorders>
          </w:tcPr>
          <w:p w14:paraId="1F7ACA8F"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Public Transport Operations Grant (PTOG)</w:t>
            </w:r>
          </w:p>
        </w:tc>
        <w:tc>
          <w:tcPr>
            <w:tcW w:w="1843" w:type="dxa"/>
            <w:tcBorders>
              <w:bottom w:val="single" w:sz="12" w:space="0" w:color="auto"/>
            </w:tcBorders>
          </w:tcPr>
          <w:p w14:paraId="44B985D3"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Approximately R6 billion</w:t>
            </w:r>
          </w:p>
        </w:tc>
        <w:tc>
          <w:tcPr>
            <w:tcW w:w="2085" w:type="dxa"/>
            <w:tcBorders>
              <w:bottom w:val="single" w:sz="12" w:space="0" w:color="auto"/>
            </w:tcBorders>
          </w:tcPr>
          <w:p w14:paraId="1C4FBA22"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rPr>
              <w:t>R6.3 billion</w:t>
            </w:r>
          </w:p>
        </w:tc>
      </w:tr>
      <w:tr w:rsidR="006C2EC0" w:rsidRPr="00490066" w14:paraId="22F552B5" w14:textId="77777777" w:rsidTr="00AA480F">
        <w:trPr>
          <w:trHeight w:val="195"/>
        </w:trPr>
        <w:tc>
          <w:tcPr>
            <w:tcW w:w="5088" w:type="dxa"/>
            <w:tcBorders>
              <w:top w:val="single" w:sz="12" w:space="0" w:color="auto"/>
              <w:left w:val="single" w:sz="12" w:space="0" w:color="auto"/>
              <w:bottom w:val="single" w:sz="12" w:space="0" w:color="auto"/>
            </w:tcBorders>
            <w:shd w:val="pct15" w:color="auto" w:fill="auto"/>
          </w:tcPr>
          <w:p w14:paraId="74DAFB37"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TOTAL</w:t>
            </w:r>
          </w:p>
        </w:tc>
        <w:tc>
          <w:tcPr>
            <w:tcW w:w="1843" w:type="dxa"/>
            <w:tcBorders>
              <w:top w:val="single" w:sz="12" w:space="0" w:color="auto"/>
              <w:bottom w:val="single" w:sz="12" w:space="0" w:color="auto"/>
            </w:tcBorders>
            <w:shd w:val="pct15" w:color="auto" w:fill="auto"/>
          </w:tcPr>
          <w:p w14:paraId="0FE4617F"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R12.7 billion</w:t>
            </w:r>
          </w:p>
        </w:tc>
        <w:tc>
          <w:tcPr>
            <w:tcW w:w="2085" w:type="dxa"/>
            <w:tcBorders>
              <w:top w:val="single" w:sz="12" w:space="0" w:color="auto"/>
              <w:bottom w:val="single" w:sz="12" w:space="0" w:color="auto"/>
              <w:right w:val="single" w:sz="12" w:space="0" w:color="auto"/>
            </w:tcBorders>
            <w:shd w:val="pct15" w:color="auto" w:fill="auto"/>
          </w:tcPr>
          <w:p w14:paraId="477D09FF" w14:textId="77777777" w:rsidR="006C2EC0" w:rsidRPr="00490066" w:rsidRDefault="006C2EC0" w:rsidP="00C07A5A">
            <w:pPr>
              <w:spacing w:line="360" w:lineRule="auto"/>
              <w:jc w:val="both"/>
              <w:rPr>
                <w:rFonts w:ascii="Times New Roman" w:hAnsi="Times New Roman" w:cs="Times New Roman"/>
                <w:b/>
              </w:rPr>
            </w:pPr>
            <w:r w:rsidRPr="00490066">
              <w:rPr>
                <w:rFonts w:ascii="Times New Roman" w:hAnsi="Times New Roman" w:cs="Times New Roman"/>
                <w:b/>
              </w:rPr>
              <w:t>R13.3 billion</w:t>
            </w:r>
          </w:p>
        </w:tc>
      </w:tr>
    </w:tbl>
    <w:p w14:paraId="38729FC7" w14:textId="77777777" w:rsidR="006C2EC0" w:rsidRPr="00490066" w:rsidRDefault="006C2EC0" w:rsidP="00C07A5A">
      <w:pPr>
        <w:spacing w:line="360" w:lineRule="auto"/>
        <w:jc w:val="both"/>
        <w:rPr>
          <w:rFonts w:ascii="Times New Roman" w:hAnsi="Times New Roman" w:cs="Times New Roman"/>
        </w:rPr>
      </w:pPr>
      <w:r w:rsidRPr="00490066">
        <w:rPr>
          <w:rFonts w:ascii="Times New Roman" w:hAnsi="Times New Roman" w:cs="Times New Roman"/>
          <w:b/>
        </w:rPr>
        <w:t>(Source: National Treasury (2019)</w:t>
      </w:r>
    </w:p>
    <w:p w14:paraId="20686DB6" w14:textId="77777777" w:rsidR="00ED76CE" w:rsidRPr="007457B1" w:rsidRDefault="00ED76CE" w:rsidP="00C07A5A">
      <w:pPr>
        <w:spacing w:after="60" w:line="360" w:lineRule="auto"/>
        <w:jc w:val="both"/>
        <w:rPr>
          <w:rFonts w:ascii="Times New Roman" w:eastAsia="Times New Roman" w:hAnsi="Times New Roman" w:cs="Times New Roman"/>
          <w:b/>
          <w:color w:val="000000" w:themeColor="text1"/>
          <w:sz w:val="24"/>
          <w:szCs w:val="24"/>
          <w:lang w:val="en-GB" w:eastAsia="en-GB"/>
        </w:rPr>
      </w:pPr>
    </w:p>
    <w:p w14:paraId="61459F7B" w14:textId="77777777" w:rsidR="005F732A" w:rsidRPr="009008E4" w:rsidRDefault="00D452DC" w:rsidP="00C07A5A">
      <w:pPr>
        <w:pStyle w:val="ListParagraph"/>
        <w:numPr>
          <w:ilvl w:val="0"/>
          <w:numId w:val="18"/>
        </w:numPr>
        <w:spacing w:after="0" w:line="360" w:lineRule="auto"/>
        <w:ind w:hanging="720"/>
        <w:jc w:val="both"/>
        <w:rPr>
          <w:rFonts w:ascii="Times New Roman" w:eastAsia="Times New Roman" w:hAnsi="Times New Roman"/>
          <w:b/>
          <w:sz w:val="28"/>
          <w:szCs w:val="28"/>
          <w:lang w:eastAsia="en-ZA"/>
        </w:rPr>
      </w:pPr>
      <w:r w:rsidRPr="009008E4">
        <w:rPr>
          <w:rFonts w:ascii="Times New Roman" w:eastAsia="Times New Roman" w:hAnsi="Times New Roman"/>
          <w:b/>
          <w:sz w:val="28"/>
          <w:szCs w:val="28"/>
          <w:lang w:eastAsia="en-ZA"/>
        </w:rPr>
        <w:t>EXPENDITURE BY ENTITIES OF THE DEPARTMENT OF TRANSPORT</w:t>
      </w:r>
      <w:r w:rsidR="00D70D83" w:rsidRPr="009008E4">
        <w:rPr>
          <w:rFonts w:ascii="Times New Roman" w:eastAsia="Times New Roman" w:hAnsi="Times New Roman"/>
          <w:b/>
          <w:sz w:val="28"/>
          <w:szCs w:val="28"/>
          <w:lang w:eastAsia="en-ZA"/>
        </w:rPr>
        <w:t>,</w:t>
      </w:r>
      <w:r w:rsidRPr="009008E4">
        <w:rPr>
          <w:rFonts w:ascii="Times New Roman" w:eastAsia="Times New Roman" w:hAnsi="Times New Roman"/>
          <w:b/>
          <w:sz w:val="28"/>
          <w:szCs w:val="28"/>
          <w:lang w:eastAsia="en-ZA"/>
        </w:rPr>
        <w:t xml:space="preserve"> INCLUDING THE DRIVING LICENCE CARD ACCOUNT</w:t>
      </w:r>
    </w:p>
    <w:p w14:paraId="47040CA5" w14:textId="77777777" w:rsidR="00C710F9" w:rsidRPr="007457B1" w:rsidRDefault="00C710F9" w:rsidP="00C07A5A">
      <w:pPr>
        <w:spacing w:after="0" w:line="360" w:lineRule="auto"/>
        <w:jc w:val="both"/>
        <w:rPr>
          <w:rFonts w:ascii="Times New Roman" w:eastAsia="Times New Roman" w:hAnsi="Times New Roman" w:cs="Times New Roman"/>
          <w:sz w:val="24"/>
          <w:szCs w:val="24"/>
          <w:lang w:eastAsia="en-ZA"/>
        </w:rPr>
      </w:pPr>
    </w:p>
    <w:p w14:paraId="0166036A" w14:textId="77777777" w:rsidR="007911A5" w:rsidRPr="007457B1" w:rsidRDefault="007911A5"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The Committee was unable to meet and engage with entities on their budget allocations and tabled APPs or Corporate Plans for the 2019/20 Budget Vote prior to the compilation of this report and will not be able to do so prior to the Budget Vote scheduled for 9 July 2019.</w:t>
      </w:r>
      <w:r w:rsidRPr="007457B1">
        <w:rPr>
          <w:rStyle w:val="FootnoteReference"/>
          <w:rFonts w:ascii="Times New Roman" w:eastAsia="Times New Roman" w:hAnsi="Times New Roman" w:cs="Times New Roman"/>
          <w:sz w:val="24"/>
          <w:szCs w:val="24"/>
          <w:lang w:eastAsia="en-ZA"/>
        </w:rPr>
        <w:footnoteReference w:id="20"/>
      </w:r>
      <w:r w:rsidRPr="007457B1">
        <w:rPr>
          <w:rFonts w:ascii="Times New Roman" w:eastAsia="Times New Roman" w:hAnsi="Times New Roman" w:cs="Times New Roman"/>
          <w:sz w:val="24"/>
          <w:szCs w:val="24"/>
          <w:lang w:eastAsia="en-ZA"/>
        </w:rPr>
        <w:t xml:space="preserve"> For purposes of this assessment</w:t>
      </w:r>
      <w:r w:rsidR="00D70D83" w:rsidRPr="007457B1">
        <w:rPr>
          <w:rFonts w:ascii="Times New Roman" w:eastAsia="Times New Roman" w:hAnsi="Times New Roman" w:cs="Times New Roman"/>
          <w:sz w:val="24"/>
          <w:szCs w:val="24"/>
          <w:lang w:eastAsia="en-ZA"/>
        </w:rPr>
        <w:t>,</w:t>
      </w:r>
      <w:r w:rsidRPr="007457B1">
        <w:rPr>
          <w:rFonts w:ascii="Times New Roman" w:eastAsia="Times New Roman" w:hAnsi="Times New Roman" w:cs="Times New Roman"/>
          <w:sz w:val="24"/>
          <w:szCs w:val="24"/>
          <w:lang w:eastAsia="en-ZA"/>
        </w:rPr>
        <w:t xml:space="preserve"> the Committee relied on the information contained in the Budget Allocations for 2019/20.</w:t>
      </w:r>
      <w:r w:rsidRPr="007457B1">
        <w:rPr>
          <w:rStyle w:val="FootnoteReference"/>
          <w:rFonts w:ascii="Times New Roman" w:eastAsia="Times New Roman" w:hAnsi="Times New Roman" w:cs="Times New Roman"/>
          <w:sz w:val="24"/>
          <w:szCs w:val="24"/>
          <w:lang w:eastAsia="en-ZA"/>
        </w:rPr>
        <w:footnoteReference w:id="21"/>
      </w:r>
      <w:r w:rsidRPr="007457B1">
        <w:rPr>
          <w:rFonts w:ascii="Times New Roman" w:eastAsia="Times New Roman" w:hAnsi="Times New Roman" w:cs="Times New Roman"/>
          <w:sz w:val="24"/>
          <w:szCs w:val="24"/>
          <w:lang w:eastAsia="en-ZA"/>
        </w:rPr>
        <w:t xml:space="preserve"> </w:t>
      </w:r>
    </w:p>
    <w:p w14:paraId="419DBB72" w14:textId="77777777" w:rsidR="007911A5" w:rsidRDefault="007911A5" w:rsidP="00C07A5A">
      <w:pPr>
        <w:spacing w:after="0" w:line="360" w:lineRule="auto"/>
        <w:jc w:val="both"/>
        <w:rPr>
          <w:rFonts w:ascii="Times New Roman" w:eastAsia="Times New Roman" w:hAnsi="Times New Roman" w:cs="Times New Roman"/>
          <w:sz w:val="24"/>
          <w:szCs w:val="24"/>
          <w:lang w:eastAsia="en-ZA"/>
        </w:rPr>
      </w:pPr>
    </w:p>
    <w:p w14:paraId="5B2CD842" w14:textId="77777777" w:rsidR="00490066" w:rsidRPr="007457B1" w:rsidRDefault="00490066" w:rsidP="00C07A5A">
      <w:pPr>
        <w:spacing w:after="0" w:line="360" w:lineRule="auto"/>
        <w:jc w:val="both"/>
        <w:rPr>
          <w:rFonts w:ascii="Times New Roman" w:eastAsia="Times New Roman" w:hAnsi="Times New Roman" w:cs="Times New Roman"/>
          <w:sz w:val="24"/>
          <w:szCs w:val="24"/>
          <w:lang w:eastAsia="en-ZA"/>
        </w:rPr>
      </w:pPr>
    </w:p>
    <w:p w14:paraId="62714B18" w14:textId="77777777" w:rsidR="00441A51" w:rsidRPr="007457B1" w:rsidRDefault="008D62C5" w:rsidP="00C07A5A">
      <w:pPr>
        <w:spacing w:after="0" w:line="360" w:lineRule="auto"/>
        <w:jc w:val="both"/>
        <w:rPr>
          <w:rFonts w:ascii="Times New Roman" w:eastAsia="Times New Roman" w:hAnsi="Times New Roman" w:cs="Times New Roman"/>
          <w:b/>
          <w:sz w:val="24"/>
          <w:szCs w:val="24"/>
          <w:lang w:eastAsia="en-ZA"/>
        </w:rPr>
      </w:pPr>
      <w:r w:rsidRPr="007457B1">
        <w:rPr>
          <w:rFonts w:ascii="Times New Roman" w:eastAsia="Times New Roman" w:hAnsi="Times New Roman" w:cs="Times New Roman"/>
          <w:b/>
          <w:sz w:val="24"/>
          <w:szCs w:val="24"/>
          <w:lang w:eastAsia="en-ZA"/>
        </w:rPr>
        <w:t>6.1</w:t>
      </w:r>
      <w:r w:rsidRPr="007457B1">
        <w:rPr>
          <w:rFonts w:ascii="Times New Roman" w:eastAsia="Times New Roman" w:hAnsi="Times New Roman" w:cs="Times New Roman"/>
          <w:b/>
          <w:sz w:val="24"/>
          <w:szCs w:val="24"/>
          <w:lang w:eastAsia="en-ZA"/>
        </w:rPr>
        <w:tab/>
      </w:r>
      <w:r w:rsidR="00441A51" w:rsidRPr="007457B1">
        <w:rPr>
          <w:rFonts w:ascii="Times New Roman" w:eastAsia="Times New Roman" w:hAnsi="Times New Roman" w:cs="Times New Roman"/>
          <w:b/>
          <w:sz w:val="24"/>
          <w:szCs w:val="24"/>
          <w:lang w:eastAsia="en-ZA"/>
        </w:rPr>
        <w:t>Airports Company South Africa</w:t>
      </w:r>
      <w:r w:rsidRPr="007457B1">
        <w:rPr>
          <w:rFonts w:ascii="Times New Roman" w:eastAsia="Times New Roman" w:hAnsi="Times New Roman" w:cs="Times New Roman"/>
          <w:b/>
          <w:sz w:val="24"/>
          <w:szCs w:val="24"/>
          <w:lang w:eastAsia="en-ZA"/>
        </w:rPr>
        <w:t xml:space="preserve"> (ACSA)</w:t>
      </w:r>
    </w:p>
    <w:p w14:paraId="2F5ABFDF" w14:textId="77777777" w:rsidR="00ED73A6" w:rsidRPr="007457B1" w:rsidRDefault="00ED73A6" w:rsidP="00C07A5A">
      <w:pPr>
        <w:spacing w:after="0" w:line="360" w:lineRule="auto"/>
        <w:jc w:val="both"/>
        <w:rPr>
          <w:rFonts w:ascii="Times New Roman" w:eastAsia="Times New Roman" w:hAnsi="Times New Roman" w:cs="Times New Roman"/>
          <w:sz w:val="24"/>
          <w:szCs w:val="24"/>
          <w:lang w:eastAsia="en-ZA"/>
        </w:rPr>
      </w:pPr>
    </w:p>
    <w:p w14:paraId="477F93EB" w14:textId="77777777" w:rsidR="00F14E6B" w:rsidRPr="007457B1" w:rsidRDefault="00F14E6B"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 xml:space="preserve">The Airports Company of South Africa, a schedule 2 public entity in terms of the Public Finance Management Act (1999), is regulated in terms of the Airports Company Act (1993) and the Companies Act (1973). Formed to own and operate the </w:t>
      </w:r>
      <w:r w:rsidR="00CC34EF" w:rsidRPr="007457B1">
        <w:rPr>
          <w:rFonts w:ascii="Times New Roman" w:eastAsia="Times New Roman" w:hAnsi="Times New Roman" w:cs="Times New Roman"/>
          <w:sz w:val="24"/>
          <w:szCs w:val="24"/>
          <w:lang w:eastAsia="en-ZA"/>
        </w:rPr>
        <w:t>nine</w:t>
      </w:r>
      <w:r w:rsidRPr="007457B1">
        <w:rPr>
          <w:rFonts w:ascii="Times New Roman" w:eastAsia="Times New Roman" w:hAnsi="Times New Roman" w:cs="Times New Roman"/>
          <w:sz w:val="24"/>
          <w:szCs w:val="24"/>
          <w:lang w:eastAsia="en-ZA"/>
        </w:rPr>
        <w:t xml:space="preserve"> principal South African airports, including the three main international gateways (OR Tambo International Airport in Johannesburg, Cape Town International Airport and King Shaka International Airport in Durban), it is also one of the concessionaires operating Mumbai International Airport in India and Guarulhos International Airport in Sao Paulo, Brazil.</w:t>
      </w:r>
    </w:p>
    <w:p w14:paraId="045A8A46" w14:textId="77777777" w:rsidR="00F14E6B" w:rsidRPr="007457B1" w:rsidRDefault="00F14E6B" w:rsidP="00C07A5A">
      <w:pPr>
        <w:spacing w:after="0" w:line="360" w:lineRule="auto"/>
        <w:jc w:val="both"/>
        <w:rPr>
          <w:rFonts w:ascii="Times New Roman" w:eastAsia="Times New Roman" w:hAnsi="Times New Roman" w:cs="Times New Roman"/>
          <w:sz w:val="24"/>
          <w:szCs w:val="24"/>
          <w:lang w:eastAsia="en-ZA"/>
        </w:rPr>
      </w:pPr>
    </w:p>
    <w:p w14:paraId="20774220" w14:textId="77777777" w:rsidR="00F14E6B" w:rsidRPr="007457B1" w:rsidRDefault="00F14E6B"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 xml:space="preserve">Over the medium term, </w:t>
      </w:r>
      <w:r w:rsidR="00D70D83" w:rsidRPr="007457B1">
        <w:rPr>
          <w:rFonts w:ascii="Times New Roman" w:eastAsia="Times New Roman" w:hAnsi="Times New Roman" w:cs="Times New Roman"/>
          <w:sz w:val="24"/>
          <w:szCs w:val="24"/>
          <w:lang w:eastAsia="en-ZA"/>
        </w:rPr>
        <w:t xml:space="preserve">ACSA </w:t>
      </w:r>
      <w:r w:rsidRPr="007457B1">
        <w:rPr>
          <w:rFonts w:ascii="Times New Roman" w:eastAsia="Times New Roman" w:hAnsi="Times New Roman" w:cs="Times New Roman"/>
          <w:sz w:val="24"/>
          <w:szCs w:val="24"/>
          <w:lang w:eastAsia="en-ZA"/>
        </w:rPr>
        <w:t xml:space="preserve">will continue to focus on the development, management and maintenance of the country’s </w:t>
      </w:r>
      <w:r w:rsidR="00CC34EF" w:rsidRPr="007457B1">
        <w:rPr>
          <w:rFonts w:ascii="Times New Roman" w:eastAsia="Times New Roman" w:hAnsi="Times New Roman" w:cs="Times New Roman"/>
          <w:sz w:val="24"/>
          <w:szCs w:val="24"/>
          <w:lang w:eastAsia="en-ZA"/>
        </w:rPr>
        <w:t>nine</w:t>
      </w:r>
      <w:r w:rsidRPr="007457B1">
        <w:rPr>
          <w:rFonts w:ascii="Times New Roman" w:eastAsia="Times New Roman" w:hAnsi="Times New Roman" w:cs="Times New Roman"/>
          <w:sz w:val="24"/>
          <w:szCs w:val="24"/>
          <w:lang w:eastAsia="en-ZA"/>
        </w:rPr>
        <w:t xml:space="preserve"> principal airports. These airports are expected to accommodate a total of 65.2 million departing passengers and 806 214 arriving aircraft over the </w:t>
      </w:r>
      <w:r w:rsidR="009008E4" w:rsidRPr="009008E4">
        <w:rPr>
          <w:rFonts w:ascii="Times New Roman" w:eastAsia="Times New Roman" w:hAnsi="Times New Roman" w:cs="Times New Roman"/>
          <w:sz w:val="24"/>
          <w:szCs w:val="24"/>
          <w:lang w:eastAsia="en-ZA"/>
        </w:rPr>
        <w:t xml:space="preserve">Medium-Term Expenditure Framework </w:t>
      </w:r>
      <w:r w:rsidR="009008E4">
        <w:rPr>
          <w:rFonts w:ascii="Times New Roman" w:eastAsia="Times New Roman" w:hAnsi="Times New Roman" w:cs="Times New Roman"/>
          <w:sz w:val="24"/>
          <w:szCs w:val="24"/>
          <w:lang w:eastAsia="en-ZA"/>
        </w:rPr>
        <w:t>(</w:t>
      </w:r>
      <w:r w:rsidRPr="007457B1">
        <w:rPr>
          <w:rFonts w:ascii="Times New Roman" w:eastAsia="Times New Roman" w:hAnsi="Times New Roman" w:cs="Times New Roman"/>
          <w:sz w:val="24"/>
          <w:szCs w:val="24"/>
          <w:lang w:eastAsia="en-ZA"/>
        </w:rPr>
        <w:t>MTEF</w:t>
      </w:r>
      <w:r w:rsidR="009008E4">
        <w:rPr>
          <w:rFonts w:ascii="Times New Roman" w:eastAsia="Times New Roman" w:hAnsi="Times New Roman" w:cs="Times New Roman"/>
          <w:sz w:val="24"/>
          <w:szCs w:val="24"/>
          <w:lang w:eastAsia="en-ZA"/>
        </w:rPr>
        <w:t>)</w:t>
      </w:r>
      <w:r w:rsidRPr="007457B1">
        <w:rPr>
          <w:rFonts w:ascii="Times New Roman" w:eastAsia="Times New Roman" w:hAnsi="Times New Roman" w:cs="Times New Roman"/>
          <w:sz w:val="24"/>
          <w:szCs w:val="24"/>
          <w:lang w:eastAsia="en-ZA"/>
        </w:rPr>
        <w:t xml:space="preserve"> period.</w:t>
      </w:r>
    </w:p>
    <w:p w14:paraId="1A307CED" w14:textId="77777777" w:rsidR="00CC34EF" w:rsidRPr="007457B1" w:rsidRDefault="00CC34EF" w:rsidP="00C07A5A">
      <w:pPr>
        <w:spacing w:after="0" w:line="360" w:lineRule="auto"/>
        <w:jc w:val="both"/>
        <w:rPr>
          <w:rFonts w:ascii="Times New Roman" w:eastAsia="Times New Roman" w:hAnsi="Times New Roman" w:cs="Times New Roman"/>
          <w:sz w:val="24"/>
          <w:szCs w:val="24"/>
          <w:lang w:eastAsia="en-ZA"/>
        </w:rPr>
      </w:pPr>
    </w:p>
    <w:p w14:paraId="51354585" w14:textId="77777777" w:rsidR="00F14E6B" w:rsidRPr="007457B1" w:rsidRDefault="00F14E6B"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The company has two main income streams: aeronautical revenue, which is generated from passenger facilitation and airline services, and includes charges and tariffs such as aircraft parking and landing fees; and non-aeronautical revenue, which is derived from property rentals, advertising and parking fees.</w:t>
      </w:r>
    </w:p>
    <w:p w14:paraId="03B8ECB7" w14:textId="77777777" w:rsidR="00F14E6B" w:rsidRPr="007457B1" w:rsidRDefault="00F14E6B" w:rsidP="00C07A5A">
      <w:pPr>
        <w:spacing w:after="0" w:line="360" w:lineRule="auto"/>
        <w:jc w:val="both"/>
        <w:rPr>
          <w:rFonts w:ascii="Times New Roman" w:eastAsia="Times New Roman" w:hAnsi="Times New Roman" w:cs="Times New Roman"/>
          <w:sz w:val="24"/>
          <w:szCs w:val="24"/>
          <w:lang w:eastAsia="en-ZA"/>
        </w:rPr>
      </w:pPr>
    </w:p>
    <w:p w14:paraId="685DE372" w14:textId="77777777" w:rsidR="00F14E6B" w:rsidRPr="007457B1" w:rsidRDefault="00F14E6B"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Aeronautical revenue is expected to contribute to R14.1 billion of the company’s total revenue over the MTEF period, increasing at an average annual rate of 7.5 percent, from R4 billion in 2018/19 to R4.9 billion in 2021/22.</w:t>
      </w:r>
    </w:p>
    <w:p w14:paraId="74EB8ABE" w14:textId="77777777" w:rsidR="00CC34EF" w:rsidRPr="007457B1" w:rsidRDefault="00CC34EF" w:rsidP="00C07A5A">
      <w:pPr>
        <w:spacing w:after="0" w:line="360" w:lineRule="auto"/>
        <w:jc w:val="both"/>
        <w:rPr>
          <w:rFonts w:ascii="Times New Roman" w:eastAsia="Times New Roman" w:hAnsi="Times New Roman" w:cs="Times New Roman"/>
          <w:sz w:val="24"/>
          <w:szCs w:val="24"/>
          <w:lang w:eastAsia="en-ZA"/>
        </w:rPr>
      </w:pPr>
    </w:p>
    <w:p w14:paraId="0B367E4F" w14:textId="77777777" w:rsidR="00F14E6B" w:rsidRPr="007457B1" w:rsidRDefault="00F14E6B"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Non-aeronautical revenue accounts for R13.1 billion of the company’s total revenue over the same period, increasing at an average annual rate of 7.7 percent, from R3.7 billion in 2018/19 to R4.6 billion in 2021/22.</w:t>
      </w:r>
    </w:p>
    <w:p w14:paraId="449843BD" w14:textId="77777777" w:rsidR="00F14E6B" w:rsidRPr="007457B1" w:rsidRDefault="00F14E6B" w:rsidP="00C07A5A">
      <w:pPr>
        <w:spacing w:after="0" w:line="360" w:lineRule="auto"/>
        <w:jc w:val="both"/>
        <w:rPr>
          <w:rFonts w:ascii="Times New Roman" w:eastAsia="Times New Roman" w:hAnsi="Times New Roman" w:cs="Times New Roman"/>
          <w:sz w:val="24"/>
          <w:szCs w:val="24"/>
          <w:lang w:eastAsia="en-ZA"/>
        </w:rPr>
      </w:pPr>
    </w:p>
    <w:p w14:paraId="206B757D" w14:textId="77777777" w:rsidR="00441A51" w:rsidRPr="007457B1" w:rsidRDefault="00F14E6B"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Expenditure is expected to increase at an average annual rate of 8.8 percent, from R6.8 billion in 2018/19 to R8.7 billion in 2021/22. Spending on goods and services is expected to increase at an average annual rate of 5.6 percent, from R2.7 billion in 2018/19 to R3.2 billion in 2021/22. Spending on compensation of employees is expected to increase at an average annual rate of 7.4 percent, from R1.6 billion in 2018/19 to R2 billion in 2021/22. The number of personnel in the company is expected to remain constant at 3 283 over the medium term.</w:t>
      </w:r>
    </w:p>
    <w:p w14:paraId="55870F5B" w14:textId="77777777" w:rsidR="00F14E6B" w:rsidRPr="007457B1" w:rsidRDefault="00F14E6B" w:rsidP="00C07A5A">
      <w:pPr>
        <w:spacing w:after="0" w:line="360" w:lineRule="auto"/>
        <w:jc w:val="both"/>
        <w:rPr>
          <w:rFonts w:ascii="Times New Roman" w:eastAsia="Times New Roman" w:hAnsi="Times New Roman" w:cs="Times New Roman"/>
          <w:sz w:val="24"/>
          <w:szCs w:val="24"/>
          <w:lang w:eastAsia="en-ZA"/>
        </w:rPr>
      </w:pPr>
    </w:p>
    <w:p w14:paraId="3964F2D2" w14:textId="77777777" w:rsidR="00490066" w:rsidRDefault="00490066">
      <w:pPr>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br w:type="page"/>
      </w:r>
    </w:p>
    <w:p w14:paraId="70C4372E" w14:textId="77777777" w:rsidR="00441A51" w:rsidRPr="007457B1" w:rsidRDefault="008D62C5" w:rsidP="00C07A5A">
      <w:pPr>
        <w:spacing w:after="0" w:line="360" w:lineRule="auto"/>
        <w:jc w:val="both"/>
        <w:rPr>
          <w:rFonts w:ascii="Times New Roman" w:eastAsia="Times New Roman" w:hAnsi="Times New Roman" w:cs="Times New Roman"/>
          <w:b/>
          <w:sz w:val="24"/>
          <w:szCs w:val="24"/>
          <w:lang w:eastAsia="en-ZA"/>
        </w:rPr>
      </w:pPr>
      <w:r w:rsidRPr="007457B1">
        <w:rPr>
          <w:rFonts w:ascii="Times New Roman" w:eastAsia="Times New Roman" w:hAnsi="Times New Roman" w:cs="Times New Roman"/>
          <w:b/>
          <w:sz w:val="24"/>
          <w:szCs w:val="24"/>
          <w:lang w:eastAsia="en-ZA"/>
        </w:rPr>
        <w:t>6.2</w:t>
      </w:r>
      <w:r w:rsidRPr="007457B1">
        <w:rPr>
          <w:rFonts w:ascii="Times New Roman" w:eastAsia="Times New Roman" w:hAnsi="Times New Roman" w:cs="Times New Roman"/>
          <w:b/>
          <w:sz w:val="24"/>
          <w:szCs w:val="24"/>
          <w:lang w:eastAsia="en-ZA"/>
        </w:rPr>
        <w:tab/>
      </w:r>
      <w:r w:rsidR="00441A51" w:rsidRPr="007457B1">
        <w:rPr>
          <w:rFonts w:ascii="Times New Roman" w:eastAsia="Times New Roman" w:hAnsi="Times New Roman" w:cs="Times New Roman"/>
          <w:b/>
          <w:sz w:val="24"/>
          <w:szCs w:val="24"/>
          <w:lang w:eastAsia="en-ZA"/>
        </w:rPr>
        <w:t>Passenger Rail Agency of South Africa (PRASA)</w:t>
      </w:r>
    </w:p>
    <w:p w14:paraId="3285D832" w14:textId="77777777" w:rsidR="00225209" w:rsidRPr="007457B1" w:rsidRDefault="00225209" w:rsidP="00C07A5A">
      <w:pPr>
        <w:spacing w:after="0" w:line="360" w:lineRule="auto"/>
        <w:jc w:val="both"/>
        <w:rPr>
          <w:rFonts w:ascii="Times New Roman" w:eastAsia="Times New Roman" w:hAnsi="Times New Roman" w:cs="Times New Roman"/>
          <w:sz w:val="24"/>
          <w:szCs w:val="24"/>
          <w:lang w:eastAsia="en-ZA"/>
        </w:rPr>
      </w:pPr>
    </w:p>
    <w:p w14:paraId="53C3D300" w14:textId="77777777" w:rsidR="00F14E6B" w:rsidRPr="007457B1" w:rsidRDefault="00D70D83"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PRASA</w:t>
      </w:r>
      <w:r w:rsidR="00F14E6B" w:rsidRPr="007457B1">
        <w:rPr>
          <w:rFonts w:ascii="Times New Roman" w:eastAsia="Times New Roman" w:hAnsi="Times New Roman" w:cs="Times New Roman"/>
          <w:sz w:val="24"/>
          <w:szCs w:val="24"/>
          <w:lang w:eastAsia="en-ZA"/>
        </w:rPr>
        <w:t xml:space="preserve"> is a schedule 3B public entity established in terms of the Legal Succession to the South African Transport Services Amendment Act (2008). The primary legislative mandate of the agency is to provide rail commuter services within, to and from South Africa in the public interest. Its secondary mandate is to generate income from the exploitation of assets. The agency also provides for long-haul passenger rail and bus services within, to and from South Africa.</w:t>
      </w:r>
    </w:p>
    <w:p w14:paraId="1A8282DD" w14:textId="77777777" w:rsidR="00F14E6B" w:rsidRPr="007457B1" w:rsidRDefault="00F14E6B" w:rsidP="00C07A5A">
      <w:pPr>
        <w:spacing w:after="0" w:line="360" w:lineRule="auto"/>
        <w:jc w:val="both"/>
        <w:rPr>
          <w:rFonts w:ascii="Times New Roman" w:eastAsia="Times New Roman" w:hAnsi="Times New Roman" w:cs="Times New Roman"/>
          <w:sz w:val="24"/>
          <w:szCs w:val="24"/>
          <w:lang w:eastAsia="en-ZA"/>
        </w:rPr>
      </w:pPr>
    </w:p>
    <w:p w14:paraId="1BE3264A" w14:textId="77777777" w:rsidR="00F14E6B" w:rsidRPr="007457B1" w:rsidRDefault="00F14E6B"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 xml:space="preserve">In its ongoing effort to improve access to safe and reliable passenger rail services, over the MTEF period, </w:t>
      </w:r>
      <w:r w:rsidR="006E1762" w:rsidRPr="007457B1">
        <w:rPr>
          <w:rFonts w:ascii="Times New Roman" w:eastAsia="Times New Roman" w:hAnsi="Times New Roman" w:cs="Times New Roman"/>
          <w:sz w:val="24"/>
          <w:szCs w:val="24"/>
          <w:lang w:eastAsia="en-ZA"/>
        </w:rPr>
        <w:t>PRASA</w:t>
      </w:r>
      <w:r w:rsidRPr="007457B1">
        <w:rPr>
          <w:rFonts w:ascii="Times New Roman" w:eastAsia="Times New Roman" w:hAnsi="Times New Roman" w:cs="Times New Roman"/>
          <w:sz w:val="24"/>
          <w:szCs w:val="24"/>
          <w:lang w:eastAsia="en-ZA"/>
        </w:rPr>
        <w:t xml:space="preserve"> will focus on executing its capital programme by acquiring new rolling stock, refurbishing train coaches and upgrading and improving depots, stations and signalling infrastructure. The agency will also intensify its repair and maintenance regime for its commuter rail services (Metrorail) and long-distance mainline passenger services. The agency’s capital programme over the medium term includes, among other things, the acquisition of 163 new train sets, </w:t>
      </w:r>
      <w:r w:rsidR="00554D7E" w:rsidRPr="007457B1">
        <w:rPr>
          <w:rFonts w:ascii="Times New Roman" w:eastAsia="Times New Roman" w:hAnsi="Times New Roman" w:cs="Times New Roman"/>
          <w:sz w:val="24"/>
          <w:szCs w:val="24"/>
          <w:lang w:eastAsia="en-ZA"/>
        </w:rPr>
        <w:t>eight</w:t>
      </w:r>
      <w:r w:rsidRPr="007457B1">
        <w:rPr>
          <w:rFonts w:ascii="Times New Roman" w:eastAsia="Times New Roman" w:hAnsi="Times New Roman" w:cs="Times New Roman"/>
          <w:sz w:val="24"/>
          <w:szCs w:val="24"/>
          <w:lang w:eastAsia="en-ZA"/>
        </w:rPr>
        <w:t xml:space="preserve"> new locomotives, the refurbishment of 1 140 train coaches, and the upgrading and improvement of 24 train stations. As such, the agency’s capital expenditure is expected to increase at an average annual rate of 70.8 percent, from R3.1 billion in 2018/19 to R15.6 billion in 2021/22.</w:t>
      </w:r>
    </w:p>
    <w:p w14:paraId="74409BBA" w14:textId="77777777" w:rsidR="00554D7E" w:rsidRPr="007457B1" w:rsidRDefault="00554D7E" w:rsidP="00C07A5A">
      <w:pPr>
        <w:spacing w:after="0" w:line="360" w:lineRule="auto"/>
        <w:jc w:val="both"/>
        <w:rPr>
          <w:rFonts w:ascii="Times New Roman" w:eastAsia="Times New Roman" w:hAnsi="Times New Roman" w:cs="Times New Roman"/>
          <w:sz w:val="24"/>
          <w:szCs w:val="24"/>
          <w:lang w:eastAsia="en-ZA"/>
        </w:rPr>
      </w:pPr>
    </w:p>
    <w:p w14:paraId="6DA32D46" w14:textId="77777777" w:rsidR="00F14E6B" w:rsidRPr="007457B1" w:rsidRDefault="00F14E6B"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The agency expects Metrorail passenger trips to increase from 289 million in 2018/19 to 438 million by 2021/22, and for passengers on mainline passenger services to increase from 504 000 to 644 000 over the same period.</w:t>
      </w:r>
    </w:p>
    <w:p w14:paraId="280CB644" w14:textId="77777777" w:rsidR="00225209" w:rsidRPr="007457B1" w:rsidRDefault="00225209" w:rsidP="00C07A5A">
      <w:pPr>
        <w:spacing w:after="0" w:line="360" w:lineRule="auto"/>
        <w:jc w:val="both"/>
        <w:rPr>
          <w:rFonts w:ascii="Times New Roman" w:eastAsia="Times New Roman" w:hAnsi="Times New Roman" w:cs="Times New Roman"/>
          <w:sz w:val="24"/>
          <w:szCs w:val="24"/>
          <w:lang w:eastAsia="en-ZA"/>
        </w:rPr>
      </w:pPr>
    </w:p>
    <w:p w14:paraId="0AB90E78" w14:textId="77777777" w:rsidR="00F14E6B" w:rsidRPr="007457B1" w:rsidRDefault="00F14E6B"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This increase in passenger ridership is expected to be driven and supported by infrastructure acquisitions and improvements, intensified repairs and maintenance operations, and security improvements. As such, spending on activities related to Metrorail is expected to increase at an average annual rate of 8.4 percent, from R8.3 billion in 2018/19 to R10.5 billion in 2021/22, while spending on activities related to mainline passenger services is expected to increase at an average annual rate of 9.2 percent, from R1.1 billion in 2018/19 to R1.5 billion in 2021/22. Spending on Metrorail and mainline passenger services is expected to account for R33.6 billion of the agency’s total expenditure over the medium term.</w:t>
      </w:r>
    </w:p>
    <w:p w14:paraId="786CDB2C" w14:textId="77777777" w:rsidR="00F14E6B" w:rsidRPr="007457B1" w:rsidRDefault="00F14E6B" w:rsidP="00C07A5A">
      <w:pPr>
        <w:spacing w:after="0" w:line="360" w:lineRule="auto"/>
        <w:jc w:val="both"/>
        <w:rPr>
          <w:rFonts w:ascii="Times New Roman" w:eastAsia="Times New Roman" w:hAnsi="Times New Roman" w:cs="Times New Roman"/>
          <w:sz w:val="24"/>
          <w:szCs w:val="24"/>
          <w:lang w:eastAsia="en-ZA"/>
        </w:rPr>
      </w:pPr>
    </w:p>
    <w:p w14:paraId="03210F10" w14:textId="77777777" w:rsidR="00F14E6B" w:rsidRPr="007457B1" w:rsidRDefault="00F14E6B"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Expenditure is expected to increase at an</w:t>
      </w:r>
      <w:r w:rsidR="002B2B61" w:rsidRPr="007457B1">
        <w:rPr>
          <w:rFonts w:ascii="Times New Roman" w:eastAsia="Times New Roman" w:hAnsi="Times New Roman" w:cs="Times New Roman"/>
          <w:sz w:val="24"/>
          <w:szCs w:val="24"/>
          <w:lang w:eastAsia="en-ZA"/>
        </w:rPr>
        <w:t xml:space="preserve"> average annual rate of 7.2 perc</w:t>
      </w:r>
      <w:r w:rsidRPr="007457B1">
        <w:rPr>
          <w:rFonts w:ascii="Times New Roman" w:eastAsia="Times New Roman" w:hAnsi="Times New Roman" w:cs="Times New Roman"/>
          <w:sz w:val="24"/>
          <w:szCs w:val="24"/>
          <w:lang w:eastAsia="en-ZA"/>
        </w:rPr>
        <w:t>ent, from R15 billion in 2018/19 to R18.4 billion in 2021/22, mainly driven by repairs and maintenance, contracted security and depreciation.</w:t>
      </w:r>
    </w:p>
    <w:p w14:paraId="264B97D4" w14:textId="77777777" w:rsidR="00F14E6B" w:rsidRPr="007457B1" w:rsidRDefault="00F14E6B" w:rsidP="00C07A5A">
      <w:pPr>
        <w:spacing w:after="0" w:line="360" w:lineRule="auto"/>
        <w:jc w:val="both"/>
        <w:rPr>
          <w:rFonts w:ascii="Times New Roman" w:eastAsia="Times New Roman" w:hAnsi="Times New Roman" w:cs="Times New Roman"/>
          <w:sz w:val="24"/>
          <w:szCs w:val="24"/>
          <w:lang w:eastAsia="en-ZA"/>
        </w:rPr>
      </w:pPr>
    </w:p>
    <w:p w14:paraId="3D0C70A4" w14:textId="77777777" w:rsidR="00441A51" w:rsidRPr="007457B1" w:rsidRDefault="00F14E6B"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Transfers from the department amounts to R28.5 billion of the agency’s total revenue over the MTEF period, with the remainder generated from sales of train and bus tickets, rental income from the leasing of properties, on-board sales, and interest earned. Total revenue is expected to increase at an average annual rate of 2.7 percent, from R13.8 billion in 2018/19 to R15 billion in 2021/22. This is mainly due to transfers from the department, which include an additional R1.5 billion over the medium term for repairs and maintenance. The agency’s number of personnel is expected to increase from 16 089 in 2018/19 to 16 446 in 2021/22. In line with the agency’s reviewed organisational structure, only critical vacant posts will be filled.</w:t>
      </w:r>
    </w:p>
    <w:p w14:paraId="214A1F25" w14:textId="77777777" w:rsidR="00F14E6B" w:rsidRDefault="00F14E6B" w:rsidP="00C07A5A">
      <w:pPr>
        <w:spacing w:after="0" w:line="360" w:lineRule="auto"/>
        <w:jc w:val="both"/>
        <w:rPr>
          <w:rFonts w:ascii="Times New Roman" w:eastAsia="Times New Roman" w:hAnsi="Times New Roman" w:cs="Times New Roman"/>
          <w:b/>
          <w:sz w:val="24"/>
          <w:szCs w:val="24"/>
          <w:lang w:eastAsia="en-ZA"/>
        </w:rPr>
      </w:pPr>
    </w:p>
    <w:p w14:paraId="33998092" w14:textId="77777777" w:rsidR="00490066" w:rsidRPr="007457B1" w:rsidRDefault="00490066" w:rsidP="00C07A5A">
      <w:pPr>
        <w:spacing w:after="0" w:line="360" w:lineRule="auto"/>
        <w:jc w:val="both"/>
        <w:rPr>
          <w:rFonts w:ascii="Times New Roman" w:eastAsia="Times New Roman" w:hAnsi="Times New Roman" w:cs="Times New Roman"/>
          <w:b/>
          <w:sz w:val="24"/>
          <w:szCs w:val="24"/>
          <w:lang w:eastAsia="en-ZA"/>
        </w:rPr>
      </w:pPr>
    </w:p>
    <w:p w14:paraId="22E6285F" w14:textId="77777777" w:rsidR="00441A51" w:rsidRPr="007457B1" w:rsidRDefault="008D62C5" w:rsidP="00C07A5A">
      <w:pPr>
        <w:spacing w:after="0" w:line="360" w:lineRule="auto"/>
        <w:jc w:val="both"/>
        <w:rPr>
          <w:rFonts w:ascii="Times New Roman" w:eastAsia="Times New Roman" w:hAnsi="Times New Roman" w:cs="Times New Roman"/>
          <w:b/>
          <w:sz w:val="24"/>
          <w:szCs w:val="24"/>
          <w:lang w:eastAsia="en-ZA"/>
        </w:rPr>
      </w:pPr>
      <w:r w:rsidRPr="007457B1">
        <w:rPr>
          <w:rFonts w:ascii="Times New Roman" w:eastAsia="Times New Roman" w:hAnsi="Times New Roman" w:cs="Times New Roman"/>
          <w:b/>
          <w:sz w:val="24"/>
          <w:szCs w:val="24"/>
          <w:lang w:eastAsia="en-ZA"/>
        </w:rPr>
        <w:t>6.3</w:t>
      </w:r>
      <w:r w:rsidRPr="007457B1">
        <w:rPr>
          <w:rFonts w:ascii="Times New Roman" w:eastAsia="Times New Roman" w:hAnsi="Times New Roman" w:cs="Times New Roman"/>
          <w:b/>
          <w:sz w:val="24"/>
          <w:szCs w:val="24"/>
          <w:lang w:eastAsia="en-ZA"/>
        </w:rPr>
        <w:tab/>
      </w:r>
      <w:r w:rsidR="00441A51" w:rsidRPr="007457B1">
        <w:rPr>
          <w:rFonts w:ascii="Times New Roman" w:eastAsia="Times New Roman" w:hAnsi="Times New Roman" w:cs="Times New Roman"/>
          <w:b/>
          <w:sz w:val="24"/>
          <w:szCs w:val="24"/>
          <w:lang w:eastAsia="en-ZA"/>
        </w:rPr>
        <w:t>Road Accident Fund (RAF)</w:t>
      </w:r>
    </w:p>
    <w:p w14:paraId="72A79B5A" w14:textId="77777777" w:rsidR="00225209" w:rsidRPr="007457B1" w:rsidRDefault="00225209" w:rsidP="00C07A5A">
      <w:pPr>
        <w:spacing w:after="0" w:line="360" w:lineRule="auto"/>
        <w:jc w:val="both"/>
        <w:rPr>
          <w:rFonts w:ascii="Times New Roman" w:eastAsia="Times New Roman" w:hAnsi="Times New Roman" w:cs="Times New Roman"/>
          <w:b/>
          <w:sz w:val="24"/>
          <w:szCs w:val="24"/>
          <w:lang w:eastAsia="en-ZA"/>
        </w:rPr>
      </w:pPr>
    </w:p>
    <w:p w14:paraId="22FFB98B" w14:textId="77777777" w:rsidR="00F14E6B" w:rsidRPr="007457B1" w:rsidRDefault="00F14E6B"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 xml:space="preserve">The Road Accident Fund Act (1996) provides for the establishment of  </w:t>
      </w:r>
      <w:r w:rsidR="006E1762" w:rsidRPr="007457B1">
        <w:rPr>
          <w:rFonts w:ascii="Times New Roman" w:eastAsia="Times New Roman" w:hAnsi="Times New Roman" w:cs="Times New Roman"/>
          <w:sz w:val="24"/>
          <w:szCs w:val="24"/>
          <w:lang w:eastAsia="en-ZA"/>
        </w:rPr>
        <w:t>RAF</w:t>
      </w:r>
      <w:r w:rsidRPr="007457B1">
        <w:rPr>
          <w:rFonts w:ascii="Times New Roman" w:eastAsia="Times New Roman" w:hAnsi="Times New Roman" w:cs="Times New Roman"/>
          <w:sz w:val="24"/>
          <w:szCs w:val="24"/>
          <w:lang w:eastAsia="en-ZA"/>
        </w:rPr>
        <w:t>, the legal mandate of which is to compensate South African road users for loss or damage as a result of motor vehicle accidents within the borders of South Africa.</w:t>
      </w:r>
    </w:p>
    <w:p w14:paraId="477DC810" w14:textId="77777777" w:rsidR="00F14E6B" w:rsidRPr="007457B1" w:rsidRDefault="00F14E6B" w:rsidP="00C07A5A">
      <w:pPr>
        <w:spacing w:after="0" w:line="360" w:lineRule="auto"/>
        <w:jc w:val="both"/>
        <w:rPr>
          <w:rFonts w:ascii="Times New Roman" w:eastAsia="Times New Roman" w:hAnsi="Times New Roman" w:cs="Times New Roman"/>
          <w:sz w:val="24"/>
          <w:szCs w:val="24"/>
          <w:lang w:eastAsia="en-ZA"/>
        </w:rPr>
      </w:pPr>
    </w:p>
    <w:p w14:paraId="3F70DAFD" w14:textId="77777777" w:rsidR="00F14E6B" w:rsidRPr="007457B1" w:rsidRDefault="00F14E6B"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 xml:space="preserve">Over the medium term, </w:t>
      </w:r>
      <w:r w:rsidR="006E1762" w:rsidRPr="007457B1">
        <w:rPr>
          <w:rFonts w:ascii="Times New Roman" w:eastAsia="Times New Roman" w:hAnsi="Times New Roman" w:cs="Times New Roman"/>
          <w:sz w:val="24"/>
          <w:szCs w:val="24"/>
          <w:lang w:eastAsia="en-ZA"/>
        </w:rPr>
        <w:t xml:space="preserve">RAF </w:t>
      </w:r>
      <w:r w:rsidRPr="007457B1">
        <w:rPr>
          <w:rFonts w:ascii="Times New Roman" w:eastAsia="Times New Roman" w:hAnsi="Times New Roman" w:cs="Times New Roman"/>
          <w:sz w:val="24"/>
          <w:szCs w:val="24"/>
          <w:lang w:eastAsia="en-ZA"/>
        </w:rPr>
        <w:t xml:space="preserve">will continue to focus on compensating road accident victims for losses and damages, as required by the Road Fund Accident Act (1996). As such, the fund will endeavour to improve its claims processing and productivity. Productivity is expected to increase as the fund anticipates adding 20 posts in 2019/20. With the increase in the number of personnel in the fund from 3 083 in 2018/19 to 3 103 in 2021/22, spending on compensation of employees increases at an average annual rate of 12.3 </w:t>
      </w:r>
      <w:r w:rsidR="00CE3D2C" w:rsidRPr="007457B1">
        <w:rPr>
          <w:rFonts w:ascii="Times New Roman" w:hAnsi="Times New Roman" w:cs="Times New Roman"/>
          <w:sz w:val="24"/>
          <w:szCs w:val="24"/>
        </w:rPr>
        <w:t>percent</w:t>
      </w:r>
      <w:r w:rsidRPr="007457B1">
        <w:rPr>
          <w:rFonts w:ascii="Times New Roman" w:eastAsia="Times New Roman" w:hAnsi="Times New Roman" w:cs="Times New Roman"/>
          <w:sz w:val="24"/>
          <w:szCs w:val="24"/>
          <w:lang w:eastAsia="en-ZA"/>
        </w:rPr>
        <w:t>, from R1.8 billion in 2018/19 to R2.6 billion in 2021/22.</w:t>
      </w:r>
    </w:p>
    <w:p w14:paraId="678DF932" w14:textId="77777777" w:rsidR="00F14E6B" w:rsidRPr="007457B1" w:rsidRDefault="00F14E6B" w:rsidP="00C07A5A">
      <w:pPr>
        <w:spacing w:after="0" w:line="360" w:lineRule="auto"/>
        <w:jc w:val="both"/>
        <w:rPr>
          <w:rFonts w:ascii="Times New Roman" w:eastAsia="Times New Roman" w:hAnsi="Times New Roman" w:cs="Times New Roman"/>
          <w:sz w:val="24"/>
          <w:szCs w:val="24"/>
          <w:lang w:eastAsia="en-ZA"/>
        </w:rPr>
      </w:pPr>
    </w:p>
    <w:p w14:paraId="4C9DD279" w14:textId="77777777" w:rsidR="00441A51" w:rsidRPr="007457B1" w:rsidRDefault="00F14E6B"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 xml:space="preserve">The number of open claims received but not finalised is expected to increase marginally, from 215 439 in 2018/19 to 217 336 in 2021/22. The fund’s total expenditure is expected to increase at an average annual rate of 12.6 </w:t>
      </w:r>
      <w:r w:rsidR="00CE3D2C" w:rsidRPr="007457B1">
        <w:rPr>
          <w:rFonts w:ascii="Times New Roman" w:hAnsi="Times New Roman" w:cs="Times New Roman"/>
          <w:sz w:val="24"/>
          <w:szCs w:val="24"/>
        </w:rPr>
        <w:t>percent</w:t>
      </w:r>
      <w:r w:rsidRPr="007457B1">
        <w:rPr>
          <w:rFonts w:ascii="Times New Roman" w:eastAsia="Times New Roman" w:hAnsi="Times New Roman" w:cs="Times New Roman"/>
          <w:sz w:val="24"/>
          <w:szCs w:val="24"/>
          <w:lang w:eastAsia="en-ZA"/>
        </w:rPr>
        <w:t xml:space="preserve">, from R77.7 billion in 2018/19 to R111 billion in 2021/22. Despite the growth in expenditure the accumulated deficit is expected to increase to R402 billion in 2021/22 from R241.8 billion in 2018/19. The fund derives its revenue from the Road Accident Fund fuel levy, which is expected to remain unchanged over the medium term. Total revenue is expected to increase at an average annual rate of 2.8 </w:t>
      </w:r>
      <w:r w:rsidR="00CE3D2C" w:rsidRPr="007457B1">
        <w:rPr>
          <w:rFonts w:ascii="Times New Roman" w:hAnsi="Times New Roman" w:cs="Times New Roman"/>
          <w:sz w:val="24"/>
          <w:szCs w:val="24"/>
        </w:rPr>
        <w:t>percent</w:t>
      </w:r>
      <w:r w:rsidRPr="007457B1">
        <w:rPr>
          <w:rFonts w:ascii="Times New Roman" w:eastAsia="Times New Roman" w:hAnsi="Times New Roman" w:cs="Times New Roman"/>
          <w:sz w:val="24"/>
          <w:szCs w:val="24"/>
          <w:lang w:eastAsia="en-ZA"/>
        </w:rPr>
        <w:t>, from R42.3 billion in 2018/19 to R45.9 billion in 2021/22, in line with expected increases in fuel sales.</w:t>
      </w:r>
    </w:p>
    <w:p w14:paraId="5DA04798" w14:textId="77777777" w:rsidR="00F14E6B" w:rsidRDefault="00F14E6B" w:rsidP="00C07A5A">
      <w:pPr>
        <w:spacing w:after="0" w:line="360" w:lineRule="auto"/>
        <w:jc w:val="both"/>
        <w:rPr>
          <w:rFonts w:ascii="Times New Roman" w:eastAsia="Times New Roman" w:hAnsi="Times New Roman" w:cs="Times New Roman"/>
          <w:sz w:val="24"/>
          <w:szCs w:val="24"/>
          <w:lang w:eastAsia="en-ZA"/>
        </w:rPr>
      </w:pPr>
    </w:p>
    <w:p w14:paraId="68E771AD" w14:textId="77777777" w:rsidR="00490066" w:rsidRPr="007457B1" w:rsidRDefault="00490066" w:rsidP="00C07A5A">
      <w:pPr>
        <w:spacing w:after="0" w:line="360" w:lineRule="auto"/>
        <w:jc w:val="both"/>
        <w:rPr>
          <w:rFonts w:ascii="Times New Roman" w:eastAsia="Times New Roman" w:hAnsi="Times New Roman" w:cs="Times New Roman"/>
          <w:sz w:val="24"/>
          <w:szCs w:val="24"/>
          <w:lang w:eastAsia="en-ZA"/>
        </w:rPr>
      </w:pPr>
    </w:p>
    <w:p w14:paraId="1200E36D" w14:textId="77777777" w:rsidR="00441A51" w:rsidRPr="007457B1" w:rsidRDefault="008D62C5" w:rsidP="00C07A5A">
      <w:pPr>
        <w:spacing w:after="0" w:line="360" w:lineRule="auto"/>
        <w:jc w:val="both"/>
        <w:rPr>
          <w:rFonts w:ascii="Times New Roman" w:eastAsia="Times New Roman" w:hAnsi="Times New Roman" w:cs="Times New Roman"/>
          <w:b/>
          <w:sz w:val="24"/>
          <w:szCs w:val="24"/>
          <w:lang w:eastAsia="en-ZA"/>
        </w:rPr>
      </w:pPr>
      <w:r w:rsidRPr="007457B1">
        <w:rPr>
          <w:rFonts w:ascii="Times New Roman" w:eastAsia="Times New Roman" w:hAnsi="Times New Roman" w:cs="Times New Roman"/>
          <w:b/>
          <w:sz w:val="24"/>
          <w:szCs w:val="24"/>
          <w:lang w:eastAsia="en-ZA"/>
        </w:rPr>
        <w:t>6.4</w:t>
      </w:r>
      <w:r w:rsidRPr="007457B1">
        <w:rPr>
          <w:rFonts w:ascii="Times New Roman" w:eastAsia="Times New Roman" w:hAnsi="Times New Roman" w:cs="Times New Roman"/>
          <w:b/>
          <w:sz w:val="24"/>
          <w:szCs w:val="24"/>
          <w:lang w:eastAsia="en-ZA"/>
        </w:rPr>
        <w:tab/>
      </w:r>
      <w:r w:rsidR="00441A51" w:rsidRPr="007457B1">
        <w:rPr>
          <w:rFonts w:ascii="Times New Roman" w:eastAsia="Times New Roman" w:hAnsi="Times New Roman" w:cs="Times New Roman"/>
          <w:b/>
          <w:sz w:val="24"/>
          <w:szCs w:val="24"/>
          <w:lang w:eastAsia="en-ZA"/>
        </w:rPr>
        <w:t>South African National Roads Agency (SANRAL)</w:t>
      </w:r>
    </w:p>
    <w:p w14:paraId="47217D73" w14:textId="77777777" w:rsidR="00225209" w:rsidRPr="007457B1" w:rsidRDefault="00225209" w:rsidP="00C07A5A">
      <w:pPr>
        <w:spacing w:after="0" w:line="360" w:lineRule="auto"/>
        <w:jc w:val="both"/>
        <w:rPr>
          <w:rFonts w:ascii="Times New Roman" w:eastAsia="Times New Roman" w:hAnsi="Times New Roman" w:cs="Times New Roman"/>
          <w:b/>
          <w:sz w:val="24"/>
          <w:szCs w:val="24"/>
          <w:lang w:eastAsia="en-ZA"/>
        </w:rPr>
      </w:pPr>
    </w:p>
    <w:p w14:paraId="6AD68F19" w14:textId="77777777" w:rsidR="00B32317" w:rsidRPr="007457B1" w:rsidRDefault="006E1762"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SANRAL</w:t>
      </w:r>
      <w:r w:rsidR="00B32317" w:rsidRPr="007457B1">
        <w:rPr>
          <w:rFonts w:ascii="Times New Roman" w:eastAsia="Times New Roman" w:hAnsi="Times New Roman" w:cs="Times New Roman"/>
          <w:sz w:val="24"/>
          <w:szCs w:val="24"/>
          <w:lang w:eastAsia="en-ZA"/>
        </w:rPr>
        <w:t xml:space="preserve"> is a schedule 3A public entity established by the South African National Roads Agency Limited and National Roads Act (1998). The agency is responsible for the planning, design, construction, operation, management, control, maintenance and rehabilitation of the South African national road network, including the financing of these functions. This includes toll and non-toll roads.</w:t>
      </w:r>
    </w:p>
    <w:p w14:paraId="443CA89E" w14:textId="77777777" w:rsidR="00B32317" w:rsidRPr="007457B1" w:rsidRDefault="00B32317" w:rsidP="00C07A5A">
      <w:pPr>
        <w:spacing w:after="0" w:line="360" w:lineRule="auto"/>
        <w:jc w:val="both"/>
        <w:rPr>
          <w:rFonts w:ascii="Times New Roman" w:eastAsia="Times New Roman" w:hAnsi="Times New Roman" w:cs="Times New Roman"/>
          <w:sz w:val="24"/>
          <w:szCs w:val="24"/>
          <w:lang w:eastAsia="en-ZA"/>
        </w:rPr>
      </w:pPr>
    </w:p>
    <w:p w14:paraId="661D9D06" w14:textId="77777777" w:rsidR="00B32317" w:rsidRPr="007457B1" w:rsidRDefault="00B32317"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 xml:space="preserve">Over the medium term, </w:t>
      </w:r>
      <w:r w:rsidR="006E1762" w:rsidRPr="007457B1">
        <w:rPr>
          <w:rFonts w:ascii="Times New Roman" w:eastAsia="Times New Roman" w:hAnsi="Times New Roman" w:cs="Times New Roman"/>
          <w:sz w:val="24"/>
          <w:szCs w:val="24"/>
          <w:lang w:eastAsia="en-ZA"/>
        </w:rPr>
        <w:t>SANRAL</w:t>
      </w:r>
      <w:r w:rsidRPr="007457B1">
        <w:rPr>
          <w:rFonts w:ascii="Times New Roman" w:eastAsia="Times New Roman" w:hAnsi="Times New Roman" w:cs="Times New Roman"/>
          <w:sz w:val="24"/>
          <w:szCs w:val="24"/>
          <w:lang w:eastAsia="en-ZA"/>
        </w:rPr>
        <w:t xml:space="preserve"> will continue to focus on undertaking preventative maintenance to improve and preserve the national road network. As such, over the period ahead, the agency plans to resurface 3 300km and improve 1 500km of roads, upgrade intersections to interchanges, and build new interchanges and bridges. To carry out these activities, allocations to the strengthening programme increase at an average annual rate of 17.7 </w:t>
      </w:r>
      <w:r w:rsidR="00CE3D2C" w:rsidRPr="007457B1">
        <w:rPr>
          <w:rFonts w:ascii="Times New Roman" w:hAnsi="Times New Roman" w:cs="Times New Roman"/>
          <w:sz w:val="24"/>
          <w:szCs w:val="24"/>
        </w:rPr>
        <w:t>percent</w:t>
      </w:r>
      <w:r w:rsidRPr="007457B1">
        <w:rPr>
          <w:rFonts w:ascii="Times New Roman" w:eastAsia="Times New Roman" w:hAnsi="Times New Roman" w:cs="Times New Roman"/>
          <w:sz w:val="24"/>
          <w:szCs w:val="24"/>
          <w:lang w:eastAsia="en-ZA"/>
        </w:rPr>
        <w:t xml:space="preserve">, from R1.5 billion in 2018/19 to R2.4 billion in 2021/22, while allocations to the improvement programme increase at an average annual rate of 25.6 </w:t>
      </w:r>
      <w:r w:rsidR="00CE3D2C" w:rsidRPr="007457B1">
        <w:rPr>
          <w:rFonts w:ascii="Times New Roman" w:hAnsi="Times New Roman" w:cs="Times New Roman"/>
          <w:sz w:val="24"/>
          <w:szCs w:val="24"/>
        </w:rPr>
        <w:t>percent</w:t>
      </w:r>
      <w:r w:rsidRPr="007457B1">
        <w:rPr>
          <w:rFonts w:ascii="Times New Roman" w:eastAsia="Times New Roman" w:hAnsi="Times New Roman" w:cs="Times New Roman"/>
          <w:sz w:val="24"/>
          <w:szCs w:val="24"/>
          <w:lang w:eastAsia="en-ZA"/>
        </w:rPr>
        <w:t>, from R3.6 billion in 2018/19 to R7.2 billion in 2021/22, mainly due to upgrades to the N2 (Cape Town), N3 (Mariannhill) and N2 North and South coastal roads.</w:t>
      </w:r>
    </w:p>
    <w:p w14:paraId="191DD10A" w14:textId="77777777" w:rsidR="00B32317" w:rsidRPr="007457B1" w:rsidRDefault="00B32317" w:rsidP="00C07A5A">
      <w:pPr>
        <w:spacing w:after="0" w:line="360" w:lineRule="auto"/>
        <w:jc w:val="both"/>
        <w:rPr>
          <w:rFonts w:ascii="Times New Roman" w:eastAsia="Times New Roman" w:hAnsi="Times New Roman" w:cs="Times New Roman"/>
          <w:sz w:val="24"/>
          <w:szCs w:val="24"/>
          <w:lang w:eastAsia="en-ZA"/>
        </w:rPr>
      </w:pPr>
    </w:p>
    <w:p w14:paraId="27E928A7" w14:textId="77777777" w:rsidR="00B32317" w:rsidRPr="007457B1" w:rsidRDefault="00B32317"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 xml:space="preserve">Total expenditure is expected to increase at an average annual rate of 5.1 </w:t>
      </w:r>
      <w:r w:rsidR="00CE3D2C" w:rsidRPr="007457B1">
        <w:rPr>
          <w:rFonts w:ascii="Times New Roman" w:hAnsi="Times New Roman" w:cs="Times New Roman"/>
          <w:sz w:val="24"/>
          <w:szCs w:val="24"/>
        </w:rPr>
        <w:t>percent</w:t>
      </w:r>
      <w:r w:rsidRPr="007457B1">
        <w:rPr>
          <w:rFonts w:ascii="Times New Roman" w:eastAsia="Times New Roman" w:hAnsi="Times New Roman" w:cs="Times New Roman"/>
          <w:sz w:val="24"/>
          <w:szCs w:val="24"/>
          <w:lang w:eastAsia="en-ZA"/>
        </w:rPr>
        <w:t xml:space="preserve">, from R33.2 billion in 2018/19 to R38.6 billion in 2021/22. The bulk of the agency’s total expenditure comprises payments to service providers for routine road maintenance and/or construction over the medium term. As a result, goods and services expenditure accounts for 74.3 </w:t>
      </w:r>
      <w:r w:rsidR="00CE3D2C" w:rsidRPr="007457B1">
        <w:rPr>
          <w:rFonts w:ascii="Times New Roman" w:hAnsi="Times New Roman" w:cs="Times New Roman"/>
          <w:sz w:val="24"/>
          <w:szCs w:val="24"/>
        </w:rPr>
        <w:t>percent</w:t>
      </w:r>
      <w:r w:rsidR="00CE3D2C" w:rsidRPr="007457B1">
        <w:rPr>
          <w:rFonts w:ascii="Times New Roman" w:eastAsia="Times New Roman" w:hAnsi="Times New Roman" w:cs="Times New Roman"/>
          <w:sz w:val="24"/>
          <w:szCs w:val="24"/>
          <w:lang w:eastAsia="en-ZA"/>
        </w:rPr>
        <w:t xml:space="preserve"> </w:t>
      </w:r>
      <w:r w:rsidRPr="007457B1">
        <w:rPr>
          <w:rFonts w:ascii="Times New Roman" w:eastAsia="Times New Roman" w:hAnsi="Times New Roman" w:cs="Times New Roman"/>
          <w:sz w:val="24"/>
          <w:szCs w:val="24"/>
          <w:lang w:eastAsia="en-ZA"/>
        </w:rPr>
        <w:t xml:space="preserve">of total expenditure over the medium term. The agency’s number of personnel is expected to increase by 98, from 392 in 2018/19 to 490 over the MTEF period. Accordingly, spending on compensation of employees is expected to increase at an average annual rate of 17.5 </w:t>
      </w:r>
      <w:r w:rsidR="00CE3D2C" w:rsidRPr="007457B1">
        <w:rPr>
          <w:rFonts w:ascii="Times New Roman" w:hAnsi="Times New Roman" w:cs="Times New Roman"/>
          <w:sz w:val="24"/>
          <w:szCs w:val="24"/>
        </w:rPr>
        <w:t>percent</w:t>
      </w:r>
      <w:r w:rsidRPr="007457B1">
        <w:rPr>
          <w:rFonts w:ascii="Times New Roman" w:eastAsia="Times New Roman" w:hAnsi="Times New Roman" w:cs="Times New Roman"/>
          <w:sz w:val="24"/>
          <w:szCs w:val="24"/>
          <w:lang w:eastAsia="en-ZA"/>
        </w:rPr>
        <w:t>, from R403.4 million in 2018/19 to R654.2 million in 2021/22.</w:t>
      </w:r>
    </w:p>
    <w:p w14:paraId="36C9551A" w14:textId="77777777" w:rsidR="00B32317" w:rsidRPr="007457B1" w:rsidRDefault="00B32317" w:rsidP="00C07A5A">
      <w:pPr>
        <w:spacing w:after="0" w:line="360" w:lineRule="auto"/>
        <w:jc w:val="both"/>
        <w:rPr>
          <w:rFonts w:ascii="Times New Roman" w:eastAsia="Times New Roman" w:hAnsi="Times New Roman" w:cs="Times New Roman"/>
          <w:sz w:val="24"/>
          <w:szCs w:val="24"/>
          <w:lang w:eastAsia="en-ZA"/>
        </w:rPr>
      </w:pPr>
    </w:p>
    <w:p w14:paraId="64D29664" w14:textId="77777777" w:rsidR="00441A51" w:rsidRPr="007457B1" w:rsidRDefault="00B32317"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 xml:space="preserve">The agency generates revenue from transfers from the department for the non-toll road network and income from fees on the toll road network. Revenue is expected to increase at an average annual rate of 4.6 </w:t>
      </w:r>
      <w:r w:rsidR="00CE3D2C" w:rsidRPr="007457B1">
        <w:rPr>
          <w:rFonts w:ascii="Times New Roman" w:hAnsi="Times New Roman" w:cs="Times New Roman"/>
          <w:sz w:val="24"/>
          <w:szCs w:val="24"/>
        </w:rPr>
        <w:t>percent</w:t>
      </w:r>
      <w:r w:rsidRPr="007457B1">
        <w:rPr>
          <w:rFonts w:ascii="Times New Roman" w:eastAsia="Times New Roman" w:hAnsi="Times New Roman" w:cs="Times New Roman"/>
          <w:sz w:val="24"/>
          <w:szCs w:val="24"/>
          <w:lang w:eastAsia="en-ZA"/>
        </w:rPr>
        <w:t xml:space="preserve">, from R25.6 billion in 2018/19 to R29.3 billion in 2021/22. Departmental transfers for the non-toll road network are expected to amount to R64.5 billion over the medium term, while toll revenue is expected to increase at an average annual rate of 1.9 </w:t>
      </w:r>
      <w:r w:rsidR="00CE3D2C" w:rsidRPr="007457B1">
        <w:rPr>
          <w:rFonts w:ascii="Times New Roman" w:hAnsi="Times New Roman" w:cs="Times New Roman"/>
          <w:sz w:val="24"/>
          <w:szCs w:val="24"/>
        </w:rPr>
        <w:t>percent</w:t>
      </w:r>
      <w:r w:rsidRPr="007457B1">
        <w:rPr>
          <w:rFonts w:ascii="Times New Roman" w:eastAsia="Times New Roman" w:hAnsi="Times New Roman" w:cs="Times New Roman"/>
          <w:sz w:val="24"/>
          <w:szCs w:val="24"/>
          <w:lang w:eastAsia="en-ZA"/>
        </w:rPr>
        <w:t>, from R5.3 billion in 2018/19 to R5.6 billion in 2021/22.</w:t>
      </w:r>
    </w:p>
    <w:p w14:paraId="7DE07342" w14:textId="77777777" w:rsidR="00B32317" w:rsidRDefault="00B32317" w:rsidP="00C07A5A">
      <w:pPr>
        <w:spacing w:after="0" w:line="360" w:lineRule="auto"/>
        <w:jc w:val="both"/>
        <w:rPr>
          <w:rFonts w:ascii="Times New Roman" w:eastAsia="Times New Roman" w:hAnsi="Times New Roman" w:cs="Times New Roman"/>
          <w:sz w:val="24"/>
          <w:szCs w:val="24"/>
          <w:lang w:eastAsia="en-ZA"/>
        </w:rPr>
      </w:pPr>
    </w:p>
    <w:p w14:paraId="26B2B1A0" w14:textId="77777777" w:rsidR="00490066" w:rsidRPr="007457B1" w:rsidRDefault="00490066" w:rsidP="00C07A5A">
      <w:pPr>
        <w:spacing w:after="0" w:line="360" w:lineRule="auto"/>
        <w:jc w:val="both"/>
        <w:rPr>
          <w:rFonts w:ascii="Times New Roman" w:eastAsia="Times New Roman" w:hAnsi="Times New Roman" w:cs="Times New Roman"/>
          <w:sz w:val="24"/>
          <w:szCs w:val="24"/>
          <w:lang w:eastAsia="en-ZA"/>
        </w:rPr>
      </w:pPr>
    </w:p>
    <w:p w14:paraId="30550A56" w14:textId="77777777" w:rsidR="00441A51" w:rsidRPr="007457B1" w:rsidRDefault="008D62C5" w:rsidP="00C07A5A">
      <w:pPr>
        <w:spacing w:after="0" w:line="360" w:lineRule="auto"/>
        <w:jc w:val="both"/>
        <w:rPr>
          <w:rFonts w:ascii="Times New Roman" w:eastAsia="Times New Roman" w:hAnsi="Times New Roman" w:cs="Times New Roman"/>
          <w:b/>
          <w:sz w:val="24"/>
          <w:szCs w:val="24"/>
          <w:lang w:eastAsia="en-ZA"/>
        </w:rPr>
      </w:pPr>
      <w:r w:rsidRPr="007457B1">
        <w:rPr>
          <w:rFonts w:ascii="Times New Roman" w:eastAsia="Times New Roman" w:hAnsi="Times New Roman" w:cs="Times New Roman"/>
          <w:b/>
          <w:sz w:val="24"/>
          <w:szCs w:val="24"/>
          <w:lang w:eastAsia="en-ZA"/>
        </w:rPr>
        <w:t>6.5</w:t>
      </w:r>
      <w:r w:rsidRPr="007457B1">
        <w:rPr>
          <w:rFonts w:ascii="Times New Roman" w:eastAsia="Times New Roman" w:hAnsi="Times New Roman" w:cs="Times New Roman"/>
          <w:b/>
          <w:sz w:val="24"/>
          <w:szCs w:val="24"/>
          <w:lang w:eastAsia="en-ZA"/>
        </w:rPr>
        <w:tab/>
      </w:r>
      <w:r w:rsidR="00441A51" w:rsidRPr="007457B1">
        <w:rPr>
          <w:rFonts w:ascii="Times New Roman" w:eastAsia="Times New Roman" w:hAnsi="Times New Roman" w:cs="Times New Roman"/>
          <w:b/>
          <w:sz w:val="24"/>
          <w:szCs w:val="24"/>
          <w:lang w:eastAsia="en-ZA"/>
        </w:rPr>
        <w:t>Air Traffic and Navigation Services Company (ATNS)</w:t>
      </w:r>
    </w:p>
    <w:p w14:paraId="497A5C75" w14:textId="77777777" w:rsidR="00225209" w:rsidRPr="007457B1" w:rsidRDefault="00225209" w:rsidP="00C07A5A">
      <w:pPr>
        <w:spacing w:after="0" w:line="360" w:lineRule="auto"/>
        <w:jc w:val="both"/>
        <w:rPr>
          <w:rFonts w:ascii="Times New Roman" w:eastAsia="Times New Roman" w:hAnsi="Times New Roman" w:cs="Times New Roman"/>
          <w:b/>
          <w:sz w:val="24"/>
          <w:szCs w:val="24"/>
          <w:lang w:eastAsia="en-ZA"/>
        </w:rPr>
      </w:pPr>
    </w:p>
    <w:p w14:paraId="7639DED3" w14:textId="77777777" w:rsidR="00B32317" w:rsidRPr="007457B1" w:rsidRDefault="006E1762"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ATNS</w:t>
      </w:r>
      <w:r w:rsidR="00B32317" w:rsidRPr="007457B1">
        <w:rPr>
          <w:rFonts w:ascii="Times New Roman" w:eastAsia="Times New Roman" w:hAnsi="Times New Roman" w:cs="Times New Roman"/>
          <w:sz w:val="24"/>
          <w:szCs w:val="24"/>
          <w:lang w:eastAsia="en-ZA"/>
        </w:rPr>
        <w:t xml:space="preserve"> is a schedule 2 public entity established in terms of the Air Traffic and Navigation Services Act (1993). The company is mandated to provide safe, orderly and efficient air traffic navigational and associated services to the air traffic management community. It does this on behalf of the state and in accordance with International Civil Authority Organisation standards and recommended practices, and South African civil aviation regulations and technical standards. </w:t>
      </w:r>
    </w:p>
    <w:p w14:paraId="25263B31" w14:textId="77777777" w:rsidR="00B32317" w:rsidRPr="007457B1" w:rsidRDefault="00B32317" w:rsidP="00C07A5A">
      <w:pPr>
        <w:spacing w:after="0" w:line="360" w:lineRule="auto"/>
        <w:jc w:val="both"/>
        <w:rPr>
          <w:rFonts w:ascii="Times New Roman" w:eastAsia="Times New Roman" w:hAnsi="Times New Roman" w:cs="Times New Roman"/>
          <w:sz w:val="24"/>
          <w:szCs w:val="24"/>
          <w:lang w:eastAsia="en-ZA"/>
        </w:rPr>
      </w:pPr>
    </w:p>
    <w:p w14:paraId="46B98810" w14:textId="77777777" w:rsidR="00441A51" w:rsidRPr="007457B1" w:rsidRDefault="00B32317"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The company’s total budget for 2019/20 is R1.8 billion.</w:t>
      </w:r>
    </w:p>
    <w:p w14:paraId="56A5AFAB" w14:textId="77777777" w:rsidR="00153B15" w:rsidRPr="007457B1" w:rsidRDefault="00153B15" w:rsidP="00C07A5A">
      <w:pPr>
        <w:spacing w:after="0" w:line="360" w:lineRule="auto"/>
        <w:jc w:val="both"/>
        <w:rPr>
          <w:rFonts w:ascii="Times New Roman" w:eastAsia="Times New Roman" w:hAnsi="Times New Roman" w:cs="Times New Roman"/>
          <w:sz w:val="24"/>
          <w:szCs w:val="24"/>
          <w:lang w:eastAsia="en-ZA"/>
        </w:rPr>
      </w:pPr>
    </w:p>
    <w:p w14:paraId="2D511581" w14:textId="77777777" w:rsidR="00C50424" w:rsidRPr="007457B1" w:rsidRDefault="00153B15"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 xml:space="preserve">Over the medium term, </w:t>
      </w:r>
      <w:r w:rsidR="006E1762" w:rsidRPr="007457B1">
        <w:rPr>
          <w:rFonts w:ascii="Times New Roman" w:eastAsia="Times New Roman" w:hAnsi="Times New Roman" w:cs="Times New Roman"/>
          <w:sz w:val="24"/>
          <w:szCs w:val="24"/>
          <w:lang w:eastAsia="en-ZA"/>
        </w:rPr>
        <w:t>ATN</w:t>
      </w:r>
      <w:r w:rsidR="002C76DA" w:rsidRPr="007457B1">
        <w:rPr>
          <w:rFonts w:ascii="Times New Roman" w:eastAsia="Times New Roman" w:hAnsi="Times New Roman" w:cs="Times New Roman"/>
          <w:sz w:val="24"/>
          <w:szCs w:val="24"/>
          <w:lang w:eastAsia="en-ZA"/>
        </w:rPr>
        <w:t>S</w:t>
      </w:r>
      <w:r w:rsidR="006E1762" w:rsidRPr="007457B1">
        <w:rPr>
          <w:rFonts w:ascii="Times New Roman" w:eastAsia="Times New Roman" w:hAnsi="Times New Roman" w:cs="Times New Roman"/>
          <w:sz w:val="24"/>
          <w:szCs w:val="24"/>
          <w:lang w:eastAsia="en-ZA"/>
        </w:rPr>
        <w:t xml:space="preserve"> </w:t>
      </w:r>
      <w:r w:rsidRPr="007457B1">
        <w:rPr>
          <w:rFonts w:ascii="Times New Roman" w:eastAsia="Times New Roman" w:hAnsi="Times New Roman" w:cs="Times New Roman"/>
          <w:sz w:val="24"/>
          <w:szCs w:val="24"/>
          <w:lang w:eastAsia="en-ZA"/>
        </w:rPr>
        <w:t xml:space="preserve">will continue to focus on providing safe, efficient and cost-effective air traffic management solutions and related services. This is done with the aim of ensuring safety and capacity improvements in communication, navigation, surveillance and simulation systems.  Major projects over the medium term include the maintenance of radar and specialised radar equipment. Accordingly, the bulk of the company’s spending over the period ahead will be on electronic maintenance support contracts and costs related to maintaining radar and other equipment. Most of the support contracts are paid for in foreign currency and will thus be affected by fluctuating foreign exchange rates.   </w:t>
      </w:r>
    </w:p>
    <w:p w14:paraId="1AB2BC4C" w14:textId="77777777" w:rsidR="00C50424" w:rsidRPr="007457B1" w:rsidRDefault="00C50424" w:rsidP="00C07A5A">
      <w:pPr>
        <w:spacing w:after="0" w:line="360" w:lineRule="auto"/>
        <w:jc w:val="both"/>
        <w:rPr>
          <w:rFonts w:ascii="Times New Roman" w:eastAsia="Times New Roman" w:hAnsi="Times New Roman" w:cs="Times New Roman"/>
          <w:sz w:val="24"/>
          <w:szCs w:val="24"/>
          <w:lang w:eastAsia="en-ZA"/>
        </w:rPr>
      </w:pPr>
    </w:p>
    <w:p w14:paraId="55EE7F8F" w14:textId="77777777" w:rsidR="00153B15" w:rsidRPr="007457B1" w:rsidRDefault="00153B15"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 xml:space="preserve">Over the medium term, total expenditure is expected to increase at an average annual rate of 1.7 </w:t>
      </w:r>
      <w:r w:rsidR="00CE3D2C" w:rsidRPr="007457B1">
        <w:rPr>
          <w:rFonts w:ascii="Times New Roman" w:hAnsi="Times New Roman" w:cs="Times New Roman"/>
          <w:sz w:val="24"/>
          <w:szCs w:val="24"/>
        </w:rPr>
        <w:t>percent</w:t>
      </w:r>
      <w:r w:rsidRPr="007457B1">
        <w:rPr>
          <w:rFonts w:ascii="Times New Roman" w:eastAsia="Times New Roman" w:hAnsi="Times New Roman" w:cs="Times New Roman"/>
          <w:sz w:val="24"/>
          <w:szCs w:val="24"/>
          <w:lang w:eastAsia="en-ZA"/>
        </w:rPr>
        <w:t xml:space="preserve">, from R1.7 billion in 2018/19 to R1.8 billion in 2020/21. The company generates its own revenue from the provision of aeronautical services to the aviation industry, key among these being en-route and approach fees (aerodrome fees, area fees and terminal manoeuvring area fees). Total revenue is expected to increase at an average annual rate of 1.6 </w:t>
      </w:r>
      <w:r w:rsidR="00CE3D2C" w:rsidRPr="007457B1">
        <w:rPr>
          <w:rFonts w:ascii="Times New Roman" w:hAnsi="Times New Roman" w:cs="Times New Roman"/>
          <w:sz w:val="24"/>
          <w:szCs w:val="24"/>
        </w:rPr>
        <w:t>percent</w:t>
      </w:r>
      <w:r w:rsidRPr="007457B1">
        <w:rPr>
          <w:rFonts w:ascii="Times New Roman" w:eastAsia="Times New Roman" w:hAnsi="Times New Roman" w:cs="Times New Roman"/>
          <w:sz w:val="24"/>
          <w:szCs w:val="24"/>
          <w:lang w:eastAsia="en-ZA"/>
        </w:rPr>
        <w:t>, from R1.8 billion in 2018/19 to 1.9 billion in 2021/22.</w:t>
      </w:r>
    </w:p>
    <w:p w14:paraId="39A06385" w14:textId="77777777" w:rsidR="007E2972" w:rsidRDefault="007E2972" w:rsidP="00C07A5A">
      <w:pPr>
        <w:spacing w:after="0" w:line="360" w:lineRule="auto"/>
        <w:jc w:val="both"/>
        <w:rPr>
          <w:rFonts w:ascii="Times New Roman" w:eastAsia="Times New Roman" w:hAnsi="Times New Roman" w:cs="Times New Roman"/>
          <w:b/>
          <w:sz w:val="24"/>
          <w:szCs w:val="24"/>
          <w:lang w:eastAsia="en-ZA"/>
        </w:rPr>
      </w:pPr>
    </w:p>
    <w:p w14:paraId="5916C599" w14:textId="77777777" w:rsidR="00490066" w:rsidRDefault="00490066">
      <w:pPr>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br w:type="page"/>
      </w:r>
    </w:p>
    <w:p w14:paraId="59A76814" w14:textId="77777777" w:rsidR="00441A51" w:rsidRPr="007457B1" w:rsidRDefault="001E6AB6" w:rsidP="00C07A5A">
      <w:pPr>
        <w:spacing w:after="0" w:line="360" w:lineRule="auto"/>
        <w:jc w:val="both"/>
        <w:rPr>
          <w:rFonts w:ascii="Times New Roman" w:eastAsia="Times New Roman" w:hAnsi="Times New Roman" w:cs="Times New Roman"/>
          <w:b/>
          <w:sz w:val="24"/>
          <w:szCs w:val="24"/>
          <w:lang w:eastAsia="en-ZA"/>
        </w:rPr>
      </w:pPr>
      <w:r w:rsidRPr="007457B1">
        <w:rPr>
          <w:rFonts w:ascii="Times New Roman" w:eastAsia="Times New Roman" w:hAnsi="Times New Roman" w:cs="Times New Roman"/>
          <w:b/>
          <w:sz w:val="24"/>
          <w:szCs w:val="24"/>
          <w:lang w:eastAsia="en-ZA"/>
        </w:rPr>
        <w:t>6.6</w:t>
      </w:r>
      <w:r w:rsidRPr="007457B1">
        <w:rPr>
          <w:rFonts w:ascii="Times New Roman" w:eastAsia="Times New Roman" w:hAnsi="Times New Roman" w:cs="Times New Roman"/>
          <w:b/>
          <w:sz w:val="24"/>
          <w:szCs w:val="24"/>
          <w:lang w:eastAsia="en-ZA"/>
        </w:rPr>
        <w:tab/>
      </w:r>
      <w:r w:rsidR="00441A51" w:rsidRPr="007457B1">
        <w:rPr>
          <w:rFonts w:ascii="Times New Roman" w:eastAsia="Times New Roman" w:hAnsi="Times New Roman" w:cs="Times New Roman"/>
          <w:b/>
          <w:sz w:val="24"/>
          <w:szCs w:val="24"/>
          <w:lang w:eastAsia="en-ZA"/>
        </w:rPr>
        <w:t>Cross-Border Road Transport Agency (C-BRTA)</w:t>
      </w:r>
    </w:p>
    <w:p w14:paraId="0650BDE2" w14:textId="77777777" w:rsidR="00225209" w:rsidRPr="007457B1" w:rsidRDefault="00225209" w:rsidP="00C07A5A">
      <w:pPr>
        <w:spacing w:after="0" w:line="360" w:lineRule="auto"/>
        <w:jc w:val="both"/>
        <w:rPr>
          <w:rFonts w:ascii="Times New Roman" w:eastAsia="Times New Roman" w:hAnsi="Times New Roman" w:cs="Times New Roman"/>
          <w:b/>
          <w:sz w:val="24"/>
          <w:szCs w:val="24"/>
          <w:lang w:eastAsia="en-ZA"/>
        </w:rPr>
      </w:pPr>
    </w:p>
    <w:p w14:paraId="629128D1" w14:textId="77777777" w:rsidR="00B32317" w:rsidRPr="007457B1" w:rsidRDefault="006E1762"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C-BRTA</w:t>
      </w:r>
      <w:r w:rsidR="00B32317" w:rsidRPr="007457B1">
        <w:rPr>
          <w:rFonts w:ascii="Times New Roman" w:eastAsia="Times New Roman" w:hAnsi="Times New Roman" w:cs="Times New Roman"/>
          <w:sz w:val="24"/>
          <w:szCs w:val="24"/>
          <w:lang w:eastAsia="en-ZA"/>
        </w:rPr>
        <w:t xml:space="preserve"> is a schedule 3A public entity established in terms of the Cross- Border Road Transport Act (1998). The agency’s legislative mandate requires it to advise the Minister of Transport on cross-border road transport policy, regulate access to the market by the road transport freight and passenger industry in respect of cross-border road transport by issuing permits, undertake road transport law enforcement, and play a facilitative role in contributing to the economic prosperity of the region. </w:t>
      </w:r>
    </w:p>
    <w:p w14:paraId="75D7D016" w14:textId="77777777" w:rsidR="00B32317" w:rsidRPr="007457B1" w:rsidRDefault="00B32317" w:rsidP="00C07A5A">
      <w:pPr>
        <w:spacing w:after="0" w:line="360" w:lineRule="auto"/>
        <w:jc w:val="both"/>
        <w:rPr>
          <w:rFonts w:ascii="Times New Roman" w:eastAsia="Times New Roman" w:hAnsi="Times New Roman" w:cs="Times New Roman"/>
          <w:sz w:val="24"/>
          <w:szCs w:val="24"/>
          <w:lang w:eastAsia="en-ZA"/>
        </w:rPr>
      </w:pPr>
    </w:p>
    <w:p w14:paraId="7356C6FD" w14:textId="77777777" w:rsidR="00B32317" w:rsidRPr="007457B1" w:rsidRDefault="00B32317"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The agency’s estimated expenditure for 2019/20 is R225.8 million.</w:t>
      </w:r>
    </w:p>
    <w:p w14:paraId="631CC06F" w14:textId="77777777" w:rsidR="00153B15" w:rsidRPr="007457B1" w:rsidRDefault="00153B15" w:rsidP="00C07A5A">
      <w:pPr>
        <w:spacing w:after="0" w:line="360" w:lineRule="auto"/>
        <w:jc w:val="both"/>
        <w:rPr>
          <w:rFonts w:ascii="Times New Roman" w:eastAsia="Times New Roman" w:hAnsi="Times New Roman" w:cs="Times New Roman"/>
          <w:sz w:val="24"/>
          <w:szCs w:val="24"/>
          <w:lang w:eastAsia="en-ZA"/>
        </w:rPr>
      </w:pPr>
    </w:p>
    <w:p w14:paraId="610F4B26" w14:textId="77777777" w:rsidR="00153B15" w:rsidRPr="007457B1" w:rsidRDefault="00153B15"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 xml:space="preserve">Over the medium term, </w:t>
      </w:r>
      <w:r w:rsidR="006E1762" w:rsidRPr="007457B1">
        <w:rPr>
          <w:rFonts w:ascii="Times New Roman" w:eastAsia="Times New Roman" w:hAnsi="Times New Roman" w:cs="Times New Roman"/>
          <w:sz w:val="24"/>
          <w:szCs w:val="24"/>
          <w:lang w:eastAsia="en-ZA"/>
        </w:rPr>
        <w:t>C-BRTA</w:t>
      </w:r>
      <w:r w:rsidRPr="007457B1">
        <w:rPr>
          <w:rFonts w:ascii="Times New Roman" w:eastAsia="Times New Roman" w:hAnsi="Times New Roman" w:cs="Times New Roman"/>
          <w:sz w:val="24"/>
          <w:szCs w:val="24"/>
          <w:lang w:eastAsia="en-ZA"/>
        </w:rPr>
        <w:t xml:space="preserve"> will focus on ensuring the smooth, safe and reliable flow of passengers and freight across South African borders, and improving competition and market access in the cross-border road transport industry through regulation and issuing permits. The agency’s total expenditure is expected to increase at an average annual rate of 6.7 </w:t>
      </w:r>
      <w:r w:rsidR="00CE3D2C" w:rsidRPr="007457B1">
        <w:rPr>
          <w:rFonts w:ascii="Times New Roman" w:hAnsi="Times New Roman" w:cs="Times New Roman"/>
          <w:sz w:val="24"/>
          <w:szCs w:val="24"/>
        </w:rPr>
        <w:t>percent</w:t>
      </w:r>
      <w:r w:rsidRPr="007457B1">
        <w:rPr>
          <w:rFonts w:ascii="Times New Roman" w:eastAsia="Times New Roman" w:hAnsi="Times New Roman" w:cs="Times New Roman"/>
          <w:sz w:val="24"/>
          <w:szCs w:val="24"/>
          <w:lang w:eastAsia="en-ZA"/>
        </w:rPr>
        <w:t>, from R215.7 million in 2018/19 to R262.2 million in 2021/22, ma</w:t>
      </w:r>
      <w:r w:rsidR="00C50424" w:rsidRPr="007457B1">
        <w:rPr>
          <w:rFonts w:ascii="Times New Roman" w:eastAsia="Times New Roman" w:hAnsi="Times New Roman" w:cs="Times New Roman"/>
          <w:sz w:val="24"/>
          <w:szCs w:val="24"/>
          <w:lang w:eastAsia="en-ZA"/>
        </w:rPr>
        <w:t>inly driven by the addition of six</w:t>
      </w:r>
      <w:r w:rsidRPr="007457B1">
        <w:rPr>
          <w:rFonts w:ascii="Times New Roman" w:eastAsia="Times New Roman" w:hAnsi="Times New Roman" w:cs="Times New Roman"/>
          <w:sz w:val="24"/>
          <w:szCs w:val="24"/>
          <w:lang w:eastAsia="en-ZA"/>
        </w:rPr>
        <w:t xml:space="preserve"> employees and salary adjustments for profiling inspectors. Permit fees account for 84.9 </w:t>
      </w:r>
      <w:r w:rsidR="00CE3D2C" w:rsidRPr="007457B1">
        <w:rPr>
          <w:rFonts w:ascii="Times New Roman" w:hAnsi="Times New Roman" w:cs="Times New Roman"/>
          <w:sz w:val="24"/>
          <w:szCs w:val="24"/>
        </w:rPr>
        <w:t>percent</w:t>
      </w:r>
      <w:r w:rsidR="00CE3D2C" w:rsidRPr="007457B1">
        <w:rPr>
          <w:rFonts w:ascii="Times New Roman" w:eastAsia="Times New Roman" w:hAnsi="Times New Roman" w:cs="Times New Roman"/>
          <w:sz w:val="24"/>
          <w:szCs w:val="24"/>
          <w:lang w:eastAsia="en-ZA"/>
        </w:rPr>
        <w:t xml:space="preserve"> </w:t>
      </w:r>
      <w:r w:rsidRPr="007457B1">
        <w:rPr>
          <w:rFonts w:ascii="Times New Roman" w:eastAsia="Times New Roman" w:hAnsi="Times New Roman" w:cs="Times New Roman"/>
          <w:sz w:val="24"/>
          <w:szCs w:val="24"/>
          <w:lang w:eastAsia="en-ZA"/>
        </w:rPr>
        <w:t xml:space="preserve">(R633.7 million) of total revenue over the medium term. Revenue is expected to increase at an average annual rate of 4.6 </w:t>
      </w:r>
      <w:r w:rsidR="00CE3D2C" w:rsidRPr="007457B1">
        <w:rPr>
          <w:rFonts w:ascii="Times New Roman" w:hAnsi="Times New Roman" w:cs="Times New Roman"/>
          <w:sz w:val="24"/>
          <w:szCs w:val="24"/>
        </w:rPr>
        <w:t>percent</w:t>
      </w:r>
      <w:r w:rsidRPr="007457B1">
        <w:rPr>
          <w:rFonts w:ascii="Times New Roman" w:eastAsia="Times New Roman" w:hAnsi="Times New Roman" w:cs="Times New Roman"/>
          <w:sz w:val="24"/>
          <w:szCs w:val="24"/>
          <w:lang w:eastAsia="en-ZA"/>
        </w:rPr>
        <w:t>, from R229.9 million in 2018/19 to R263.3 million in 2021/22.</w:t>
      </w:r>
    </w:p>
    <w:p w14:paraId="22C2CF11" w14:textId="77777777" w:rsidR="00B32317" w:rsidRDefault="00B32317" w:rsidP="00C07A5A">
      <w:pPr>
        <w:spacing w:after="0" w:line="360" w:lineRule="auto"/>
        <w:jc w:val="both"/>
        <w:rPr>
          <w:rFonts w:ascii="Times New Roman" w:eastAsia="Times New Roman" w:hAnsi="Times New Roman" w:cs="Times New Roman"/>
          <w:sz w:val="24"/>
          <w:szCs w:val="24"/>
          <w:lang w:eastAsia="en-ZA"/>
        </w:rPr>
      </w:pPr>
    </w:p>
    <w:p w14:paraId="268E85FC" w14:textId="77777777" w:rsidR="00490066" w:rsidRPr="007457B1" w:rsidRDefault="00490066" w:rsidP="00C07A5A">
      <w:pPr>
        <w:spacing w:after="0" w:line="360" w:lineRule="auto"/>
        <w:jc w:val="both"/>
        <w:rPr>
          <w:rFonts w:ascii="Times New Roman" w:eastAsia="Times New Roman" w:hAnsi="Times New Roman" w:cs="Times New Roman"/>
          <w:sz w:val="24"/>
          <w:szCs w:val="24"/>
          <w:lang w:eastAsia="en-ZA"/>
        </w:rPr>
      </w:pPr>
    </w:p>
    <w:p w14:paraId="44B6E0F9" w14:textId="77777777" w:rsidR="00441A51" w:rsidRPr="007457B1" w:rsidRDefault="001E6AB6" w:rsidP="00C07A5A">
      <w:pPr>
        <w:spacing w:after="0" w:line="360" w:lineRule="auto"/>
        <w:jc w:val="both"/>
        <w:rPr>
          <w:rFonts w:ascii="Times New Roman" w:eastAsia="Times New Roman" w:hAnsi="Times New Roman" w:cs="Times New Roman"/>
          <w:b/>
          <w:sz w:val="24"/>
          <w:szCs w:val="24"/>
          <w:lang w:eastAsia="en-ZA"/>
        </w:rPr>
      </w:pPr>
      <w:r w:rsidRPr="007457B1">
        <w:rPr>
          <w:rFonts w:ascii="Times New Roman" w:eastAsia="Times New Roman" w:hAnsi="Times New Roman" w:cs="Times New Roman"/>
          <w:b/>
          <w:sz w:val="24"/>
          <w:szCs w:val="24"/>
          <w:lang w:eastAsia="en-ZA"/>
        </w:rPr>
        <w:t>6.7</w:t>
      </w:r>
      <w:r w:rsidRPr="007457B1">
        <w:rPr>
          <w:rFonts w:ascii="Times New Roman" w:eastAsia="Times New Roman" w:hAnsi="Times New Roman" w:cs="Times New Roman"/>
          <w:b/>
          <w:sz w:val="24"/>
          <w:szCs w:val="24"/>
          <w:lang w:eastAsia="en-ZA"/>
        </w:rPr>
        <w:tab/>
      </w:r>
      <w:r w:rsidR="00441A51" w:rsidRPr="007457B1">
        <w:rPr>
          <w:rFonts w:ascii="Times New Roman" w:eastAsia="Times New Roman" w:hAnsi="Times New Roman" w:cs="Times New Roman"/>
          <w:b/>
          <w:sz w:val="24"/>
          <w:szCs w:val="24"/>
          <w:lang w:eastAsia="en-ZA"/>
        </w:rPr>
        <w:t>Ports Regulator of South Africa (PR</w:t>
      </w:r>
      <w:r w:rsidR="0079301F" w:rsidRPr="007457B1">
        <w:rPr>
          <w:rFonts w:ascii="Times New Roman" w:eastAsia="Times New Roman" w:hAnsi="Times New Roman" w:cs="Times New Roman"/>
          <w:b/>
          <w:sz w:val="24"/>
          <w:szCs w:val="24"/>
          <w:lang w:eastAsia="en-ZA"/>
        </w:rPr>
        <w:t>S</w:t>
      </w:r>
      <w:r w:rsidR="00441A51" w:rsidRPr="007457B1">
        <w:rPr>
          <w:rFonts w:ascii="Times New Roman" w:eastAsia="Times New Roman" w:hAnsi="Times New Roman" w:cs="Times New Roman"/>
          <w:b/>
          <w:sz w:val="24"/>
          <w:szCs w:val="24"/>
          <w:lang w:eastAsia="en-ZA"/>
        </w:rPr>
        <w:t>A)</w:t>
      </w:r>
    </w:p>
    <w:p w14:paraId="36E194C9" w14:textId="77777777" w:rsidR="00225209" w:rsidRPr="007457B1" w:rsidRDefault="00225209" w:rsidP="00C07A5A">
      <w:pPr>
        <w:spacing w:after="0" w:line="360" w:lineRule="auto"/>
        <w:jc w:val="both"/>
        <w:rPr>
          <w:rFonts w:ascii="Times New Roman" w:eastAsia="Times New Roman" w:hAnsi="Times New Roman" w:cs="Times New Roman"/>
          <w:b/>
          <w:sz w:val="24"/>
          <w:szCs w:val="24"/>
          <w:lang w:eastAsia="en-ZA"/>
        </w:rPr>
      </w:pPr>
    </w:p>
    <w:p w14:paraId="0715C52E" w14:textId="77777777" w:rsidR="00B32317" w:rsidRPr="007457B1" w:rsidRDefault="006E1762"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PRSA</w:t>
      </w:r>
      <w:r w:rsidR="00B32317" w:rsidRPr="007457B1">
        <w:rPr>
          <w:rFonts w:ascii="Times New Roman" w:eastAsia="Times New Roman" w:hAnsi="Times New Roman" w:cs="Times New Roman"/>
          <w:sz w:val="24"/>
          <w:szCs w:val="24"/>
          <w:lang w:eastAsia="en-ZA"/>
        </w:rPr>
        <w:t xml:space="preserve"> performs functions that relate mainly to the regulation of pricing and other aspects of economic regulation, the promotion of equal access to ports facilities and services, the monitoring of the industry’s compliance with the regulatory framework, and the hearing of any complaints and appeals lodged with it. </w:t>
      </w:r>
    </w:p>
    <w:p w14:paraId="693A273D" w14:textId="77777777" w:rsidR="00B32317" w:rsidRPr="007457B1" w:rsidRDefault="00B32317" w:rsidP="00C07A5A">
      <w:pPr>
        <w:spacing w:after="0" w:line="360" w:lineRule="auto"/>
        <w:jc w:val="both"/>
        <w:rPr>
          <w:rFonts w:ascii="Times New Roman" w:eastAsia="Times New Roman" w:hAnsi="Times New Roman" w:cs="Times New Roman"/>
          <w:sz w:val="24"/>
          <w:szCs w:val="24"/>
          <w:lang w:eastAsia="en-ZA"/>
        </w:rPr>
      </w:pPr>
    </w:p>
    <w:p w14:paraId="77002B78" w14:textId="77777777" w:rsidR="007E2972" w:rsidRPr="007457B1" w:rsidRDefault="00B32317"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The regulator’s estimated expenditure for 2019/20 is R37.4 million.</w:t>
      </w:r>
    </w:p>
    <w:p w14:paraId="5C909267" w14:textId="77777777" w:rsidR="00923E90" w:rsidRPr="007457B1" w:rsidRDefault="00923E90" w:rsidP="00C07A5A">
      <w:pPr>
        <w:spacing w:after="0" w:line="360" w:lineRule="auto"/>
        <w:jc w:val="both"/>
        <w:rPr>
          <w:rFonts w:ascii="Times New Roman" w:eastAsia="Times New Roman" w:hAnsi="Times New Roman" w:cs="Times New Roman"/>
          <w:sz w:val="24"/>
          <w:szCs w:val="24"/>
          <w:lang w:eastAsia="en-ZA"/>
        </w:rPr>
      </w:pPr>
    </w:p>
    <w:p w14:paraId="314D6458" w14:textId="77777777" w:rsidR="00153B15" w:rsidRPr="007457B1" w:rsidRDefault="00153B15"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 xml:space="preserve">Over the medium term, </w:t>
      </w:r>
      <w:r w:rsidR="006E1762" w:rsidRPr="007457B1">
        <w:rPr>
          <w:rFonts w:ascii="Times New Roman" w:eastAsia="Times New Roman" w:hAnsi="Times New Roman" w:cs="Times New Roman"/>
          <w:sz w:val="24"/>
          <w:szCs w:val="24"/>
          <w:lang w:eastAsia="en-ZA"/>
        </w:rPr>
        <w:t>PRSA</w:t>
      </w:r>
      <w:r w:rsidRPr="007457B1">
        <w:rPr>
          <w:rFonts w:ascii="Times New Roman" w:eastAsia="Times New Roman" w:hAnsi="Times New Roman" w:cs="Times New Roman"/>
          <w:sz w:val="24"/>
          <w:szCs w:val="24"/>
          <w:lang w:eastAsia="en-ZA"/>
        </w:rPr>
        <w:t xml:space="preserve"> will continue to focus on strengthening the economic regulation of ports infrastructure, and strengthening compliance with the ports regulatory framework among industry stakeholders. In 2019/20, the regulator aims to finalise the asset valuation of the National Ports Authority to inform its work on the valuation of the regulated asset base in the port tariff assessment process. The regulator’s expenditure is expected to increase at an average annual rate of 10.2 </w:t>
      </w:r>
      <w:r w:rsidR="002B2B61" w:rsidRPr="007457B1">
        <w:rPr>
          <w:rFonts w:ascii="Times New Roman" w:hAnsi="Times New Roman" w:cs="Times New Roman"/>
          <w:sz w:val="24"/>
          <w:szCs w:val="24"/>
        </w:rPr>
        <w:t>percent</w:t>
      </w:r>
      <w:r w:rsidRPr="007457B1">
        <w:rPr>
          <w:rFonts w:ascii="Times New Roman" w:eastAsia="Times New Roman" w:hAnsi="Times New Roman" w:cs="Times New Roman"/>
          <w:sz w:val="24"/>
          <w:szCs w:val="24"/>
          <w:lang w:eastAsia="en-ZA"/>
        </w:rPr>
        <w:t xml:space="preserve">, from R31.1 million in 2018/19 to R41.7 million in 2021/22, mainly driven by </w:t>
      </w:r>
      <w:r w:rsidR="00C50424" w:rsidRPr="007457B1">
        <w:rPr>
          <w:rFonts w:ascii="Times New Roman" w:eastAsia="Times New Roman" w:hAnsi="Times New Roman" w:cs="Times New Roman"/>
          <w:sz w:val="24"/>
          <w:szCs w:val="24"/>
          <w:lang w:eastAsia="en-ZA"/>
        </w:rPr>
        <w:t>two</w:t>
      </w:r>
      <w:r w:rsidRPr="007457B1">
        <w:rPr>
          <w:rFonts w:ascii="Times New Roman" w:eastAsia="Times New Roman" w:hAnsi="Times New Roman" w:cs="Times New Roman"/>
          <w:sz w:val="24"/>
          <w:szCs w:val="24"/>
          <w:lang w:eastAsia="en-ZA"/>
        </w:rPr>
        <w:t xml:space="preserve"> additional personnel to its economic regulation programme. Transfers from the department amount to R116.6 million of total revenue over the medium term.</w:t>
      </w:r>
    </w:p>
    <w:p w14:paraId="010F3F2B" w14:textId="77777777" w:rsidR="00441A51" w:rsidRDefault="00441A51" w:rsidP="00C07A5A">
      <w:pPr>
        <w:spacing w:after="0" w:line="360" w:lineRule="auto"/>
        <w:jc w:val="both"/>
        <w:rPr>
          <w:rFonts w:ascii="Times New Roman" w:eastAsia="Times New Roman" w:hAnsi="Times New Roman" w:cs="Times New Roman"/>
          <w:sz w:val="24"/>
          <w:szCs w:val="24"/>
          <w:lang w:eastAsia="en-ZA"/>
        </w:rPr>
      </w:pPr>
    </w:p>
    <w:p w14:paraId="40F6F4C4" w14:textId="77777777" w:rsidR="00490066" w:rsidRPr="007457B1" w:rsidRDefault="00490066" w:rsidP="00C07A5A">
      <w:pPr>
        <w:spacing w:after="0" w:line="360" w:lineRule="auto"/>
        <w:jc w:val="both"/>
        <w:rPr>
          <w:rFonts w:ascii="Times New Roman" w:eastAsia="Times New Roman" w:hAnsi="Times New Roman" w:cs="Times New Roman"/>
          <w:sz w:val="24"/>
          <w:szCs w:val="24"/>
          <w:lang w:eastAsia="en-ZA"/>
        </w:rPr>
      </w:pPr>
    </w:p>
    <w:p w14:paraId="5D18DA1F" w14:textId="77777777" w:rsidR="00441A51" w:rsidRPr="007457B1" w:rsidRDefault="001E6AB6" w:rsidP="00C07A5A">
      <w:pPr>
        <w:spacing w:after="0" w:line="360" w:lineRule="auto"/>
        <w:jc w:val="both"/>
        <w:rPr>
          <w:rFonts w:ascii="Times New Roman" w:eastAsia="Times New Roman" w:hAnsi="Times New Roman" w:cs="Times New Roman"/>
          <w:b/>
          <w:sz w:val="24"/>
          <w:szCs w:val="24"/>
          <w:lang w:eastAsia="en-ZA"/>
        </w:rPr>
      </w:pPr>
      <w:r w:rsidRPr="007457B1">
        <w:rPr>
          <w:rFonts w:ascii="Times New Roman" w:eastAsia="Times New Roman" w:hAnsi="Times New Roman" w:cs="Times New Roman"/>
          <w:b/>
          <w:sz w:val="24"/>
          <w:szCs w:val="24"/>
          <w:lang w:eastAsia="en-ZA"/>
        </w:rPr>
        <w:t>6.8</w:t>
      </w:r>
      <w:r w:rsidRPr="007457B1">
        <w:rPr>
          <w:rFonts w:ascii="Times New Roman" w:eastAsia="Times New Roman" w:hAnsi="Times New Roman" w:cs="Times New Roman"/>
          <w:b/>
          <w:sz w:val="24"/>
          <w:szCs w:val="24"/>
          <w:lang w:eastAsia="en-ZA"/>
        </w:rPr>
        <w:tab/>
      </w:r>
      <w:r w:rsidR="00441A51" w:rsidRPr="007457B1">
        <w:rPr>
          <w:rFonts w:ascii="Times New Roman" w:eastAsia="Times New Roman" w:hAnsi="Times New Roman" w:cs="Times New Roman"/>
          <w:b/>
          <w:sz w:val="24"/>
          <w:szCs w:val="24"/>
          <w:lang w:eastAsia="en-ZA"/>
        </w:rPr>
        <w:t xml:space="preserve"> Railway Safety Regulator (RSR)</w:t>
      </w:r>
    </w:p>
    <w:p w14:paraId="1D74B12E" w14:textId="77777777" w:rsidR="00225209" w:rsidRPr="007457B1" w:rsidRDefault="00225209" w:rsidP="00C07A5A">
      <w:pPr>
        <w:spacing w:after="0" w:line="360" w:lineRule="auto"/>
        <w:jc w:val="both"/>
        <w:rPr>
          <w:rFonts w:ascii="Times New Roman" w:eastAsia="Times New Roman" w:hAnsi="Times New Roman" w:cs="Times New Roman"/>
          <w:b/>
          <w:sz w:val="24"/>
          <w:szCs w:val="24"/>
          <w:lang w:eastAsia="en-ZA"/>
        </w:rPr>
      </w:pPr>
    </w:p>
    <w:p w14:paraId="20BDE3FD" w14:textId="77777777" w:rsidR="00B32317" w:rsidRPr="007457B1" w:rsidRDefault="006E1762"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RSR</w:t>
      </w:r>
      <w:r w:rsidR="00B32317" w:rsidRPr="007457B1">
        <w:rPr>
          <w:rFonts w:ascii="Times New Roman" w:eastAsia="Times New Roman" w:hAnsi="Times New Roman" w:cs="Times New Roman"/>
          <w:sz w:val="24"/>
          <w:szCs w:val="24"/>
          <w:lang w:eastAsia="en-ZA"/>
        </w:rPr>
        <w:t xml:space="preserve"> oversees and promotes safe railway operations through appropriate support, monitoring and enforcement, guided by an enabling regulatory framework, including regulations for all rail operators in South Africa and those of neighbouring countries whose rail operations enter South Africa. </w:t>
      </w:r>
    </w:p>
    <w:p w14:paraId="2FE0362E" w14:textId="77777777" w:rsidR="00B32317" w:rsidRPr="007457B1" w:rsidRDefault="00B32317" w:rsidP="00C07A5A">
      <w:pPr>
        <w:spacing w:after="0" w:line="360" w:lineRule="auto"/>
        <w:jc w:val="both"/>
        <w:rPr>
          <w:rFonts w:ascii="Times New Roman" w:eastAsia="Times New Roman" w:hAnsi="Times New Roman" w:cs="Times New Roman"/>
          <w:sz w:val="24"/>
          <w:szCs w:val="24"/>
          <w:lang w:eastAsia="en-ZA"/>
        </w:rPr>
      </w:pPr>
    </w:p>
    <w:p w14:paraId="478B5150" w14:textId="77777777" w:rsidR="00441A51" w:rsidRPr="007457B1" w:rsidRDefault="00B32317"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The regulator’s estimated expenditure for 2019/20 is R240.6 million.</w:t>
      </w:r>
    </w:p>
    <w:p w14:paraId="46BB324B" w14:textId="77777777" w:rsidR="00153B15" w:rsidRPr="007457B1" w:rsidRDefault="00153B15" w:rsidP="00C07A5A">
      <w:pPr>
        <w:spacing w:after="0" w:line="360" w:lineRule="auto"/>
        <w:jc w:val="both"/>
        <w:rPr>
          <w:rFonts w:ascii="Times New Roman" w:eastAsia="Times New Roman" w:hAnsi="Times New Roman" w:cs="Times New Roman"/>
          <w:sz w:val="24"/>
          <w:szCs w:val="24"/>
          <w:lang w:eastAsia="en-ZA"/>
        </w:rPr>
      </w:pPr>
    </w:p>
    <w:p w14:paraId="168544FC" w14:textId="77777777" w:rsidR="00C50424" w:rsidRPr="007457B1" w:rsidRDefault="00153B15"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 xml:space="preserve">Over the medium term, </w:t>
      </w:r>
      <w:r w:rsidR="006E1762" w:rsidRPr="007457B1">
        <w:rPr>
          <w:rFonts w:ascii="Times New Roman" w:eastAsia="Times New Roman" w:hAnsi="Times New Roman" w:cs="Times New Roman"/>
          <w:sz w:val="24"/>
          <w:szCs w:val="24"/>
          <w:lang w:eastAsia="en-ZA"/>
        </w:rPr>
        <w:t>RSR</w:t>
      </w:r>
      <w:r w:rsidRPr="007457B1">
        <w:rPr>
          <w:rFonts w:ascii="Times New Roman" w:eastAsia="Times New Roman" w:hAnsi="Times New Roman" w:cs="Times New Roman"/>
          <w:sz w:val="24"/>
          <w:szCs w:val="24"/>
          <w:lang w:eastAsia="en-ZA"/>
        </w:rPr>
        <w:t xml:space="preserve"> will focus on improving railway safety and providing an independent regulatory function that focuses particularly on high-risk areas to ensure minimal rail incidents. As such, over the period ahead, the regulator plans to conduct 80 safety promotion initiatives, with a total of 75 targets set for high-risk operators. </w:t>
      </w:r>
    </w:p>
    <w:p w14:paraId="11B433F1" w14:textId="77777777" w:rsidR="00C50424" w:rsidRPr="007457B1" w:rsidRDefault="00C50424" w:rsidP="00C07A5A">
      <w:pPr>
        <w:spacing w:after="0" w:line="360" w:lineRule="auto"/>
        <w:jc w:val="both"/>
        <w:rPr>
          <w:rFonts w:ascii="Times New Roman" w:eastAsia="Times New Roman" w:hAnsi="Times New Roman" w:cs="Times New Roman"/>
          <w:sz w:val="24"/>
          <w:szCs w:val="24"/>
          <w:lang w:eastAsia="en-ZA"/>
        </w:rPr>
      </w:pPr>
    </w:p>
    <w:p w14:paraId="49396776" w14:textId="77777777" w:rsidR="00153B15" w:rsidRPr="007457B1" w:rsidRDefault="00153B15"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 xml:space="preserve">Expenditure is expected to increase at an average annual rate of 1 </w:t>
      </w:r>
      <w:r w:rsidR="002B2B61" w:rsidRPr="007457B1">
        <w:rPr>
          <w:rFonts w:ascii="Times New Roman" w:hAnsi="Times New Roman" w:cs="Times New Roman"/>
          <w:sz w:val="24"/>
          <w:szCs w:val="24"/>
        </w:rPr>
        <w:t>percent</w:t>
      </w:r>
      <w:r w:rsidRPr="007457B1">
        <w:rPr>
          <w:rFonts w:ascii="Times New Roman" w:eastAsia="Times New Roman" w:hAnsi="Times New Roman" w:cs="Times New Roman"/>
          <w:sz w:val="24"/>
          <w:szCs w:val="24"/>
          <w:lang w:eastAsia="en-ZA"/>
        </w:rPr>
        <w:t xml:space="preserve">, from R253.7 million in 2018/19 to R261.6 million in 2021/22. The regulator’s revenue is derived from safety permit fees, which amount to R529.8 million of total revenue over the period ahead. The bulk of the remaining revenue is derived from transfers from the department. Revenue is expected to increase at an average annual rate of 0.8 </w:t>
      </w:r>
      <w:r w:rsidR="002B2B61" w:rsidRPr="007457B1">
        <w:rPr>
          <w:rFonts w:ascii="Times New Roman" w:hAnsi="Times New Roman" w:cs="Times New Roman"/>
          <w:sz w:val="24"/>
          <w:szCs w:val="24"/>
        </w:rPr>
        <w:t>percent</w:t>
      </w:r>
      <w:r w:rsidRPr="007457B1">
        <w:rPr>
          <w:rFonts w:ascii="Times New Roman" w:eastAsia="Times New Roman" w:hAnsi="Times New Roman" w:cs="Times New Roman"/>
          <w:sz w:val="24"/>
          <w:szCs w:val="24"/>
          <w:lang w:eastAsia="en-ZA"/>
        </w:rPr>
        <w:t>, from R253.7 million in 2018/19 to R259.7 million in 2021/22.</w:t>
      </w:r>
    </w:p>
    <w:p w14:paraId="3A42FB93" w14:textId="77777777" w:rsidR="00B32317" w:rsidRDefault="00B32317" w:rsidP="00C07A5A">
      <w:pPr>
        <w:spacing w:after="0" w:line="360" w:lineRule="auto"/>
        <w:jc w:val="both"/>
        <w:rPr>
          <w:rFonts w:ascii="Times New Roman" w:eastAsia="Times New Roman" w:hAnsi="Times New Roman" w:cs="Times New Roman"/>
          <w:sz w:val="24"/>
          <w:szCs w:val="24"/>
          <w:lang w:eastAsia="en-ZA"/>
        </w:rPr>
      </w:pPr>
    </w:p>
    <w:p w14:paraId="36BA0AD9" w14:textId="77777777" w:rsidR="00490066" w:rsidRPr="007457B1" w:rsidRDefault="00490066" w:rsidP="00C07A5A">
      <w:pPr>
        <w:spacing w:after="0" w:line="360" w:lineRule="auto"/>
        <w:jc w:val="both"/>
        <w:rPr>
          <w:rFonts w:ascii="Times New Roman" w:eastAsia="Times New Roman" w:hAnsi="Times New Roman" w:cs="Times New Roman"/>
          <w:sz w:val="24"/>
          <w:szCs w:val="24"/>
          <w:lang w:eastAsia="en-ZA"/>
        </w:rPr>
      </w:pPr>
    </w:p>
    <w:p w14:paraId="1A3EF582" w14:textId="77777777" w:rsidR="00441A51" w:rsidRPr="007457B1" w:rsidRDefault="001E6AB6" w:rsidP="00C07A5A">
      <w:pPr>
        <w:spacing w:after="0" w:line="360" w:lineRule="auto"/>
        <w:jc w:val="both"/>
        <w:rPr>
          <w:rFonts w:ascii="Times New Roman" w:eastAsia="Times New Roman" w:hAnsi="Times New Roman" w:cs="Times New Roman"/>
          <w:b/>
          <w:sz w:val="24"/>
          <w:szCs w:val="24"/>
          <w:lang w:eastAsia="en-ZA"/>
        </w:rPr>
      </w:pPr>
      <w:r w:rsidRPr="007457B1">
        <w:rPr>
          <w:rFonts w:ascii="Times New Roman" w:eastAsia="Times New Roman" w:hAnsi="Times New Roman" w:cs="Times New Roman"/>
          <w:b/>
          <w:sz w:val="24"/>
          <w:szCs w:val="24"/>
          <w:lang w:eastAsia="en-ZA"/>
        </w:rPr>
        <w:t>6.9</w:t>
      </w:r>
      <w:r w:rsidRPr="007457B1">
        <w:rPr>
          <w:rFonts w:ascii="Times New Roman" w:eastAsia="Times New Roman" w:hAnsi="Times New Roman" w:cs="Times New Roman"/>
          <w:b/>
          <w:sz w:val="24"/>
          <w:szCs w:val="24"/>
          <w:lang w:eastAsia="en-ZA"/>
        </w:rPr>
        <w:tab/>
      </w:r>
      <w:r w:rsidR="00441A51" w:rsidRPr="007457B1">
        <w:rPr>
          <w:rFonts w:ascii="Times New Roman" w:eastAsia="Times New Roman" w:hAnsi="Times New Roman" w:cs="Times New Roman"/>
          <w:b/>
          <w:sz w:val="24"/>
          <w:szCs w:val="24"/>
          <w:lang w:eastAsia="en-ZA"/>
        </w:rPr>
        <w:t xml:space="preserve"> Road Traffic Infringement Agency (RTIA)</w:t>
      </w:r>
    </w:p>
    <w:p w14:paraId="7C5D4B6C" w14:textId="77777777" w:rsidR="00D00A7E" w:rsidRPr="007457B1" w:rsidRDefault="00D00A7E" w:rsidP="00C07A5A">
      <w:pPr>
        <w:spacing w:after="0" w:line="360" w:lineRule="auto"/>
        <w:jc w:val="both"/>
        <w:rPr>
          <w:rFonts w:ascii="Times New Roman" w:eastAsia="Times New Roman" w:hAnsi="Times New Roman" w:cs="Times New Roman"/>
          <w:sz w:val="24"/>
          <w:szCs w:val="24"/>
          <w:lang w:eastAsia="en-ZA"/>
        </w:rPr>
      </w:pPr>
    </w:p>
    <w:p w14:paraId="22236E37" w14:textId="77777777" w:rsidR="00B32317" w:rsidRPr="007457B1" w:rsidRDefault="006E1762"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RTIA</w:t>
      </w:r>
      <w:r w:rsidR="00B32317" w:rsidRPr="007457B1">
        <w:rPr>
          <w:rFonts w:ascii="Times New Roman" w:eastAsia="Times New Roman" w:hAnsi="Times New Roman" w:cs="Times New Roman"/>
          <w:sz w:val="24"/>
          <w:szCs w:val="24"/>
          <w:lang w:eastAsia="en-ZA"/>
        </w:rPr>
        <w:t xml:space="preserve"> promotes road traffic quality by providing for a scheme to discourage road traffic infringements to support the prosecution of offences in terms of national and provincial laws relating to road traffic, and implements a points demerit system. </w:t>
      </w:r>
    </w:p>
    <w:p w14:paraId="4447F0BF" w14:textId="77777777" w:rsidR="00B32317" w:rsidRPr="007457B1" w:rsidRDefault="00B32317" w:rsidP="00C07A5A">
      <w:pPr>
        <w:spacing w:after="0" w:line="360" w:lineRule="auto"/>
        <w:jc w:val="both"/>
        <w:rPr>
          <w:rFonts w:ascii="Times New Roman" w:eastAsia="Times New Roman" w:hAnsi="Times New Roman" w:cs="Times New Roman"/>
          <w:sz w:val="24"/>
          <w:szCs w:val="24"/>
          <w:lang w:eastAsia="en-ZA"/>
        </w:rPr>
      </w:pPr>
    </w:p>
    <w:p w14:paraId="16EBB524" w14:textId="77777777" w:rsidR="00441A51" w:rsidRPr="007457B1" w:rsidRDefault="00B32317"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The agency’s estimated expenditure for 2019/20 is R258.9 million.</w:t>
      </w:r>
    </w:p>
    <w:p w14:paraId="6B90F32D" w14:textId="77777777" w:rsidR="00153B15" w:rsidRPr="007457B1" w:rsidRDefault="00153B15" w:rsidP="00C07A5A">
      <w:pPr>
        <w:spacing w:after="0" w:line="360" w:lineRule="auto"/>
        <w:jc w:val="both"/>
        <w:rPr>
          <w:rFonts w:ascii="Times New Roman" w:eastAsia="Times New Roman" w:hAnsi="Times New Roman" w:cs="Times New Roman"/>
          <w:sz w:val="24"/>
          <w:szCs w:val="24"/>
          <w:lang w:eastAsia="en-ZA"/>
        </w:rPr>
      </w:pPr>
    </w:p>
    <w:p w14:paraId="32CE0208" w14:textId="77777777" w:rsidR="00C50424" w:rsidRPr="007457B1" w:rsidRDefault="00153B15"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 xml:space="preserve">Over the medium term, </w:t>
      </w:r>
      <w:r w:rsidR="006E1762" w:rsidRPr="007457B1">
        <w:rPr>
          <w:rFonts w:ascii="Times New Roman" w:eastAsia="Times New Roman" w:hAnsi="Times New Roman" w:cs="Times New Roman"/>
          <w:sz w:val="24"/>
          <w:szCs w:val="24"/>
          <w:lang w:eastAsia="en-ZA"/>
        </w:rPr>
        <w:t>RTIA</w:t>
      </w:r>
      <w:r w:rsidRPr="007457B1">
        <w:rPr>
          <w:rFonts w:ascii="Times New Roman" w:eastAsia="Times New Roman" w:hAnsi="Times New Roman" w:cs="Times New Roman"/>
          <w:sz w:val="24"/>
          <w:szCs w:val="24"/>
          <w:lang w:eastAsia="en-ZA"/>
        </w:rPr>
        <w:t xml:space="preserve"> will focus on coordinating and facilitating readiness for the national rollout of the Administrative Adjudication of Road Traffic Offences Act (1998). </w:t>
      </w:r>
    </w:p>
    <w:p w14:paraId="2430A9FA" w14:textId="77777777" w:rsidR="00C50424" w:rsidRPr="007457B1" w:rsidRDefault="00C50424" w:rsidP="00C07A5A">
      <w:pPr>
        <w:spacing w:after="0" w:line="360" w:lineRule="auto"/>
        <w:jc w:val="both"/>
        <w:rPr>
          <w:rFonts w:ascii="Times New Roman" w:eastAsia="Times New Roman" w:hAnsi="Times New Roman" w:cs="Times New Roman"/>
          <w:sz w:val="24"/>
          <w:szCs w:val="24"/>
          <w:lang w:eastAsia="en-ZA"/>
        </w:rPr>
      </w:pPr>
    </w:p>
    <w:p w14:paraId="79F590B7" w14:textId="77777777" w:rsidR="00153B15" w:rsidRPr="007457B1" w:rsidRDefault="00C50424"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E</w:t>
      </w:r>
      <w:r w:rsidR="00153B15" w:rsidRPr="007457B1">
        <w:rPr>
          <w:rFonts w:ascii="Times New Roman" w:eastAsia="Times New Roman" w:hAnsi="Times New Roman" w:cs="Times New Roman"/>
          <w:sz w:val="24"/>
          <w:szCs w:val="24"/>
          <w:lang w:eastAsia="en-ZA"/>
        </w:rPr>
        <w:t>xpenditure is expected to increase at an</w:t>
      </w:r>
      <w:r w:rsidR="002B2B61" w:rsidRPr="007457B1">
        <w:rPr>
          <w:rFonts w:ascii="Times New Roman" w:eastAsia="Times New Roman" w:hAnsi="Times New Roman" w:cs="Times New Roman"/>
          <w:sz w:val="24"/>
          <w:szCs w:val="24"/>
          <w:lang w:eastAsia="en-ZA"/>
        </w:rPr>
        <w:t xml:space="preserve"> average annual rate of 1.4 per</w:t>
      </w:r>
      <w:r w:rsidR="00153B15" w:rsidRPr="007457B1">
        <w:rPr>
          <w:rFonts w:ascii="Times New Roman" w:eastAsia="Times New Roman" w:hAnsi="Times New Roman" w:cs="Times New Roman"/>
          <w:sz w:val="24"/>
          <w:szCs w:val="24"/>
          <w:lang w:eastAsia="en-ZA"/>
        </w:rPr>
        <w:t>cent, from R290.4 million in 2018/19 to R302.8 million in 2021/22. Over the medium term, the agency i</w:t>
      </w:r>
      <w:r w:rsidR="002B2B61" w:rsidRPr="007457B1">
        <w:rPr>
          <w:rFonts w:ascii="Times New Roman" w:eastAsia="Times New Roman" w:hAnsi="Times New Roman" w:cs="Times New Roman"/>
          <w:sz w:val="24"/>
          <w:szCs w:val="24"/>
          <w:lang w:eastAsia="en-ZA"/>
        </w:rPr>
        <w:t>s expected to generate 96.9 per</w:t>
      </w:r>
      <w:r w:rsidR="00153B15" w:rsidRPr="007457B1">
        <w:rPr>
          <w:rFonts w:ascii="Times New Roman" w:eastAsia="Times New Roman" w:hAnsi="Times New Roman" w:cs="Times New Roman"/>
          <w:sz w:val="24"/>
          <w:szCs w:val="24"/>
          <w:lang w:eastAsia="en-ZA"/>
        </w:rPr>
        <w:t>cent of its total revenue from the administrative adjudication of road traffic offences and the remainder from transfers from the department. Revenue is expected to increase at an</w:t>
      </w:r>
      <w:r w:rsidR="002B2B61" w:rsidRPr="007457B1">
        <w:rPr>
          <w:rFonts w:ascii="Times New Roman" w:eastAsia="Times New Roman" w:hAnsi="Times New Roman" w:cs="Times New Roman"/>
          <w:sz w:val="24"/>
          <w:szCs w:val="24"/>
          <w:lang w:eastAsia="en-ZA"/>
        </w:rPr>
        <w:t xml:space="preserve"> average annual rate of 1.4 per</w:t>
      </w:r>
      <w:r w:rsidR="00153B15" w:rsidRPr="007457B1">
        <w:rPr>
          <w:rFonts w:ascii="Times New Roman" w:eastAsia="Times New Roman" w:hAnsi="Times New Roman" w:cs="Times New Roman"/>
          <w:sz w:val="24"/>
          <w:szCs w:val="24"/>
          <w:lang w:eastAsia="en-ZA"/>
        </w:rPr>
        <w:t>cent, from R290.4 million in 2018/19 to R302.8 million in 2021/22.</w:t>
      </w:r>
    </w:p>
    <w:p w14:paraId="5CBDC5D3" w14:textId="77777777" w:rsidR="00B32317" w:rsidRDefault="00B32317" w:rsidP="00C07A5A">
      <w:pPr>
        <w:spacing w:after="0" w:line="360" w:lineRule="auto"/>
        <w:jc w:val="both"/>
        <w:rPr>
          <w:rFonts w:ascii="Times New Roman" w:eastAsia="Times New Roman" w:hAnsi="Times New Roman" w:cs="Times New Roman"/>
          <w:sz w:val="24"/>
          <w:szCs w:val="24"/>
          <w:lang w:eastAsia="en-ZA"/>
        </w:rPr>
      </w:pPr>
    </w:p>
    <w:p w14:paraId="775B078A" w14:textId="77777777" w:rsidR="00490066" w:rsidRPr="007457B1" w:rsidRDefault="00490066" w:rsidP="00C07A5A">
      <w:pPr>
        <w:spacing w:after="0" w:line="360" w:lineRule="auto"/>
        <w:jc w:val="both"/>
        <w:rPr>
          <w:rFonts w:ascii="Times New Roman" w:eastAsia="Times New Roman" w:hAnsi="Times New Roman" w:cs="Times New Roman"/>
          <w:sz w:val="24"/>
          <w:szCs w:val="24"/>
          <w:lang w:eastAsia="en-ZA"/>
        </w:rPr>
      </w:pPr>
    </w:p>
    <w:p w14:paraId="7A3D3BCE" w14:textId="77777777" w:rsidR="00441A51" w:rsidRPr="007457B1" w:rsidRDefault="001E6AB6" w:rsidP="00C07A5A">
      <w:pPr>
        <w:spacing w:after="0" w:line="360" w:lineRule="auto"/>
        <w:jc w:val="both"/>
        <w:rPr>
          <w:rFonts w:ascii="Times New Roman" w:eastAsia="Times New Roman" w:hAnsi="Times New Roman" w:cs="Times New Roman"/>
          <w:b/>
          <w:sz w:val="24"/>
          <w:szCs w:val="24"/>
          <w:lang w:eastAsia="en-ZA"/>
        </w:rPr>
      </w:pPr>
      <w:r w:rsidRPr="007457B1">
        <w:rPr>
          <w:rFonts w:ascii="Times New Roman" w:eastAsia="Times New Roman" w:hAnsi="Times New Roman" w:cs="Times New Roman"/>
          <w:b/>
          <w:sz w:val="24"/>
          <w:szCs w:val="24"/>
          <w:lang w:eastAsia="en-ZA"/>
        </w:rPr>
        <w:t>6.10</w:t>
      </w:r>
      <w:r w:rsidRPr="007457B1">
        <w:rPr>
          <w:rFonts w:ascii="Times New Roman" w:eastAsia="Times New Roman" w:hAnsi="Times New Roman" w:cs="Times New Roman"/>
          <w:b/>
          <w:sz w:val="24"/>
          <w:szCs w:val="24"/>
          <w:lang w:eastAsia="en-ZA"/>
        </w:rPr>
        <w:tab/>
      </w:r>
      <w:r w:rsidR="00441A51" w:rsidRPr="007457B1">
        <w:rPr>
          <w:rFonts w:ascii="Times New Roman" w:eastAsia="Times New Roman" w:hAnsi="Times New Roman" w:cs="Times New Roman"/>
          <w:b/>
          <w:sz w:val="24"/>
          <w:szCs w:val="24"/>
          <w:lang w:eastAsia="en-ZA"/>
        </w:rPr>
        <w:t>Road Traffic Management Corporation (RTMC)</w:t>
      </w:r>
    </w:p>
    <w:p w14:paraId="1A2C45A6" w14:textId="77777777" w:rsidR="00225209" w:rsidRPr="007457B1" w:rsidRDefault="00225209" w:rsidP="00C07A5A">
      <w:pPr>
        <w:spacing w:after="0" w:line="360" w:lineRule="auto"/>
        <w:jc w:val="both"/>
        <w:rPr>
          <w:rFonts w:ascii="Times New Roman" w:eastAsia="Times New Roman" w:hAnsi="Times New Roman" w:cs="Times New Roman"/>
          <w:b/>
          <w:sz w:val="24"/>
          <w:szCs w:val="24"/>
          <w:lang w:eastAsia="en-ZA"/>
        </w:rPr>
      </w:pPr>
    </w:p>
    <w:p w14:paraId="2F78B5DE" w14:textId="77777777" w:rsidR="00B32317" w:rsidRPr="007457B1" w:rsidRDefault="006E1762"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RTMC</w:t>
      </w:r>
      <w:r w:rsidR="00B32317" w:rsidRPr="007457B1">
        <w:rPr>
          <w:rFonts w:ascii="Times New Roman" w:eastAsia="Times New Roman" w:hAnsi="Times New Roman" w:cs="Times New Roman"/>
          <w:sz w:val="24"/>
          <w:szCs w:val="24"/>
          <w:lang w:eastAsia="en-ZA"/>
        </w:rPr>
        <w:t xml:space="preserve"> pools national and provincial government resources for the provision of road traffic management. This includes cooperative and coordinated road traffic strategic planning, regulation, facilitation and law enforcement. </w:t>
      </w:r>
    </w:p>
    <w:p w14:paraId="44E5C0D8" w14:textId="77777777" w:rsidR="00B32317" w:rsidRPr="007457B1" w:rsidRDefault="00B32317" w:rsidP="00C07A5A">
      <w:pPr>
        <w:spacing w:after="0" w:line="360" w:lineRule="auto"/>
        <w:jc w:val="both"/>
        <w:rPr>
          <w:rFonts w:ascii="Times New Roman" w:eastAsia="Times New Roman" w:hAnsi="Times New Roman" w:cs="Times New Roman"/>
          <w:sz w:val="24"/>
          <w:szCs w:val="24"/>
          <w:lang w:eastAsia="en-ZA"/>
        </w:rPr>
      </w:pPr>
    </w:p>
    <w:p w14:paraId="3D23E4FA" w14:textId="77777777" w:rsidR="00441A51" w:rsidRPr="007457B1" w:rsidRDefault="00B32317"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The corporation’s estimated expenditure for 2019/20 is R1.5 billion.</w:t>
      </w:r>
    </w:p>
    <w:p w14:paraId="251421BD" w14:textId="77777777" w:rsidR="00153B15" w:rsidRPr="007457B1" w:rsidRDefault="00153B15" w:rsidP="00C07A5A">
      <w:pPr>
        <w:spacing w:after="0" w:line="360" w:lineRule="auto"/>
        <w:jc w:val="both"/>
        <w:rPr>
          <w:rFonts w:ascii="Times New Roman" w:eastAsia="Times New Roman" w:hAnsi="Times New Roman" w:cs="Times New Roman"/>
          <w:sz w:val="24"/>
          <w:szCs w:val="24"/>
          <w:lang w:eastAsia="en-ZA"/>
        </w:rPr>
      </w:pPr>
    </w:p>
    <w:p w14:paraId="105F1E1D" w14:textId="77777777" w:rsidR="00C50424" w:rsidRPr="007457B1" w:rsidRDefault="00153B15"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 xml:space="preserve">Over the medium term, </w:t>
      </w:r>
      <w:r w:rsidR="006E1762" w:rsidRPr="007457B1">
        <w:rPr>
          <w:rFonts w:ascii="Times New Roman" w:eastAsia="Times New Roman" w:hAnsi="Times New Roman" w:cs="Times New Roman"/>
          <w:sz w:val="24"/>
          <w:szCs w:val="24"/>
          <w:lang w:eastAsia="en-ZA"/>
        </w:rPr>
        <w:t>RTMC</w:t>
      </w:r>
      <w:r w:rsidRPr="007457B1">
        <w:rPr>
          <w:rFonts w:ascii="Times New Roman" w:eastAsia="Times New Roman" w:hAnsi="Times New Roman" w:cs="Times New Roman"/>
          <w:sz w:val="24"/>
          <w:szCs w:val="24"/>
          <w:lang w:eastAsia="en-ZA"/>
        </w:rPr>
        <w:t xml:space="preserve"> will continue to oversee the management and administration of the national traffic information system. As such, the corporation will focus on: improving road traffic data and information by compiling road traffic reports and research studies, overseeing the national traffic police, improving the size and visibility of road traffic law enforcement officers, and promoting compliance with road safety and road traffic law through educational programmes and awareness campaigns. </w:t>
      </w:r>
    </w:p>
    <w:p w14:paraId="2C12F8D5" w14:textId="77777777" w:rsidR="00C50424" w:rsidRPr="007457B1" w:rsidRDefault="00C50424" w:rsidP="00C07A5A">
      <w:pPr>
        <w:spacing w:after="0" w:line="360" w:lineRule="auto"/>
        <w:jc w:val="both"/>
        <w:rPr>
          <w:rFonts w:ascii="Times New Roman" w:eastAsia="Times New Roman" w:hAnsi="Times New Roman" w:cs="Times New Roman"/>
          <w:sz w:val="24"/>
          <w:szCs w:val="24"/>
          <w:lang w:eastAsia="en-ZA"/>
        </w:rPr>
      </w:pPr>
    </w:p>
    <w:p w14:paraId="6EE0C2FE" w14:textId="77777777" w:rsidR="00153B15" w:rsidRPr="007457B1" w:rsidRDefault="00153B15"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 xml:space="preserve">In line with its strategic focus, the corporation’s expenditure on operations, law enforcement, and traffic intelligence and security is expected to amount to R2 billion of total expenditure over the medium term. Expenditure is expected to increase at an </w:t>
      </w:r>
      <w:r w:rsidR="002B2B61" w:rsidRPr="007457B1">
        <w:rPr>
          <w:rFonts w:ascii="Times New Roman" w:eastAsia="Times New Roman" w:hAnsi="Times New Roman" w:cs="Times New Roman"/>
          <w:sz w:val="24"/>
          <w:szCs w:val="24"/>
          <w:lang w:eastAsia="en-ZA"/>
        </w:rPr>
        <w:t>average annual rate of 13.8 per</w:t>
      </w:r>
      <w:r w:rsidRPr="007457B1">
        <w:rPr>
          <w:rFonts w:ascii="Times New Roman" w:eastAsia="Times New Roman" w:hAnsi="Times New Roman" w:cs="Times New Roman"/>
          <w:sz w:val="24"/>
          <w:szCs w:val="24"/>
          <w:lang w:eastAsia="en-ZA"/>
        </w:rPr>
        <w:t xml:space="preserve">cent, from R1.2 billion in 2018/19 to R1.8 billion in 2021/22.   The corporation generates most of its revenue from transaction fees related to the national traffic information system and transfers from the department of transport. Total revenue is expected to increase at an </w:t>
      </w:r>
      <w:r w:rsidR="002B2B61" w:rsidRPr="007457B1">
        <w:rPr>
          <w:rFonts w:ascii="Times New Roman" w:eastAsia="Times New Roman" w:hAnsi="Times New Roman" w:cs="Times New Roman"/>
          <w:sz w:val="24"/>
          <w:szCs w:val="24"/>
          <w:lang w:eastAsia="en-ZA"/>
        </w:rPr>
        <w:t>average annual rate of 13.8 per</w:t>
      </w:r>
      <w:r w:rsidRPr="007457B1">
        <w:rPr>
          <w:rFonts w:ascii="Times New Roman" w:eastAsia="Times New Roman" w:hAnsi="Times New Roman" w:cs="Times New Roman"/>
          <w:sz w:val="24"/>
          <w:szCs w:val="24"/>
          <w:lang w:eastAsia="en-ZA"/>
        </w:rPr>
        <w:t>cent from R1.2 billion in 2018/19 to R1.8 billion in 2021/22.</w:t>
      </w:r>
    </w:p>
    <w:p w14:paraId="3FA56C48" w14:textId="77777777" w:rsidR="00B32317" w:rsidRDefault="00B32317" w:rsidP="00C07A5A">
      <w:pPr>
        <w:spacing w:after="0" w:line="360" w:lineRule="auto"/>
        <w:jc w:val="both"/>
        <w:rPr>
          <w:rFonts w:ascii="Times New Roman" w:eastAsia="Times New Roman" w:hAnsi="Times New Roman" w:cs="Times New Roman"/>
          <w:sz w:val="24"/>
          <w:szCs w:val="24"/>
          <w:lang w:eastAsia="en-ZA"/>
        </w:rPr>
      </w:pPr>
    </w:p>
    <w:p w14:paraId="4837D01C" w14:textId="77777777" w:rsidR="00490066" w:rsidRPr="007457B1" w:rsidRDefault="00490066" w:rsidP="00C07A5A">
      <w:pPr>
        <w:spacing w:after="0" w:line="360" w:lineRule="auto"/>
        <w:jc w:val="both"/>
        <w:rPr>
          <w:rFonts w:ascii="Times New Roman" w:eastAsia="Times New Roman" w:hAnsi="Times New Roman" w:cs="Times New Roman"/>
          <w:sz w:val="24"/>
          <w:szCs w:val="24"/>
          <w:lang w:eastAsia="en-ZA"/>
        </w:rPr>
      </w:pPr>
    </w:p>
    <w:p w14:paraId="2037A6BA" w14:textId="77777777" w:rsidR="00441A51" w:rsidRPr="007457B1" w:rsidRDefault="001E6AB6" w:rsidP="00C07A5A">
      <w:pPr>
        <w:spacing w:after="0" w:line="360" w:lineRule="auto"/>
        <w:jc w:val="both"/>
        <w:rPr>
          <w:rFonts w:ascii="Times New Roman" w:eastAsia="Times New Roman" w:hAnsi="Times New Roman" w:cs="Times New Roman"/>
          <w:b/>
          <w:sz w:val="24"/>
          <w:szCs w:val="24"/>
          <w:lang w:eastAsia="en-ZA"/>
        </w:rPr>
      </w:pPr>
      <w:r w:rsidRPr="007457B1">
        <w:rPr>
          <w:rFonts w:ascii="Times New Roman" w:eastAsia="Times New Roman" w:hAnsi="Times New Roman" w:cs="Times New Roman"/>
          <w:b/>
          <w:sz w:val="24"/>
          <w:szCs w:val="24"/>
          <w:lang w:eastAsia="en-ZA"/>
        </w:rPr>
        <w:t>6.11</w:t>
      </w:r>
      <w:r w:rsidRPr="007457B1">
        <w:rPr>
          <w:rFonts w:ascii="Times New Roman" w:eastAsia="Times New Roman" w:hAnsi="Times New Roman" w:cs="Times New Roman"/>
          <w:b/>
          <w:sz w:val="24"/>
          <w:szCs w:val="24"/>
          <w:lang w:eastAsia="en-ZA"/>
        </w:rPr>
        <w:tab/>
      </w:r>
      <w:r w:rsidR="00441A51" w:rsidRPr="007457B1">
        <w:rPr>
          <w:rFonts w:ascii="Times New Roman" w:eastAsia="Times New Roman" w:hAnsi="Times New Roman" w:cs="Times New Roman"/>
          <w:b/>
          <w:sz w:val="24"/>
          <w:szCs w:val="24"/>
          <w:lang w:eastAsia="en-ZA"/>
        </w:rPr>
        <w:t>South African Civil Aviation Authority (SACAA)</w:t>
      </w:r>
    </w:p>
    <w:p w14:paraId="1203FE45" w14:textId="77777777" w:rsidR="00D00A7E" w:rsidRPr="007457B1" w:rsidRDefault="00D00A7E" w:rsidP="00C07A5A">
      <w:pPr>
        <w:spacing w:after="0" w:line="360" w:lineRule="auto"/>
        <w:jc w:val="both"/>
        <w:rPr>
          <w:rFonts w:ascii="Times New Roman" w:eastAsia="Times New Roman" w:hAnsi="Times New Roman" w:cs="Times New Roman"/>
          <w:sz w:val="24"/>
          <w:szCs w:val="24"/>
          <w:lang w:eastAsia="en-ZA"/>
        </w:rPr>
      </w:pPr>
    </w:p>
    <w:p w14:paraId="3E3E6898" w14:textId="77777777" w:rsidR="00B32317" w:rsidRPr="007457B1" w:rsidRDefault="006E1762"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SACAA</w:t>
      </w:r>
      <w:r w:rsidR="00B32317" w:rsidRPr="007457B1">
        <w:rPr>
          <w:rFonts w:ascii="Times New Roman" w:eastAsia="Times New Roman" w:hAnsi="Times New Roman" w:cs="Times New Roman"/>
          <w:sz w:val="24"/>
          <w:szCs w:val="24"/>
          <w:lang w:eastAsia="en-ZA"/>
        </w:rPr>
        <w:t xml:space="preserve"> promotes, regulates and enforces civil aviation safety and security standards across the aviation industry. </w:t>
      </w:r>
    </w:p>
    <w:p w14:paraId="7B3F6CA7" w14:textId="77777777" w:rsidR="00B32317" w:rsidRPr="007457B1" w:rsidRDefault="00B32317" w:rsidP="00C07A5A">
      <w:pPr>
        <w:spacing w:after="0" w:line="360" w:lineRule="auto"/>
        <w:jc w:val="both"/>
        <w:rPr>
          <w:rFonts w:ascii="Times New Roman" w:eastAsia="Times New Roman" w:hAnsi="Times New Roman" w:cs="Times New Roman"/>
          <w:sz w:val="24"/>
          <w:szCs w:val="24"/>
          <w:lang w:eastAsia="en-ZA"/>
        </w:rPr>
      </w:pPr>
    </w:p>
    <w:p w14:paraId="4B382FEA" w14:textId="77777777" w:rsidR="00441A51" w:rsidRPr="007457B1" w:rsidRDefault="00B32317"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The entity’s estimated expenditure for 2019/20 is R792.5 million.</w:t>
      </w:r>
    </w:p>
    <w:p w14:paraId="4592F78E" w14:textId="77777777" w:rsidR="00153B15" w:rsidRPr="007457B1" w:rsidRDefault="00153B15" w:rsidP="00C07A5A">
      <w:pPr>
        <w:spacing w:after="0" w:line="360" w:lineRule="auto"/>
        <w:jc w:val="both"/>
        <w:rPr>
          <w:rFonts w:ascii="Times New Roman" w:eastAsia="Times New Roman" w:hAnsi="Times New Roman" w:cs="Times New Roman"/>
          <w:sz w:val="24"/>
          <w:szCs w:val="24"/>
          <w:lang w:eastAsia="en-ZA"/>
        </w:rPr>
      </w:pPr>
    </w:p>
    <w:p w14:paraId="322FCA5E" w14:textId="77777777" w:rsidR="00C50424" w:rsidRPr="007457B1" w:rsidRDefault="00153B15"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 xml:space="preserve">Over the medium term, </w:t>
      </w:r>
      <w:r w:rsidR="006E1762" w:rsidRPr="007457B1">
        <w:rPr>
          <w:rFonts w:ascii="Times New Roman" w:eastAsia="Times New Roman" w:hAnsi="Times New Roman" w:cs="Times New Roman"/>
          <w:sz w:val="24"/>
          <w:szCs w:val="24"/>
          <w:lang w:eastAsia="en-ZA"/>
        </w:rPr>
        <w:t>SACAA</w:t>
      </w:r>
      <w:r w:rsidRPr="007457B1">
        <w:rPr>
          <w:rFonts w:ascii="Times New Roman" w:eastAsia="Times New Roman" w:hAnsi="Times New Roman" w:cs="Times New Roman"/>
          <w:sz w:val="24"/>
          <w:szCs w:val="24"/>
          <w:lang w:eastAsia="en-ZA"/>
        </w:rPr>
        <w:t xml:space="preserve"> will continue to focus on improving civil aviation safety and security through greater compliance with global standards and practices. In addition, the authority plans to improve its operational efficiencies by implementing a new enterprise business system and electronic documents management solution, and acquiring a new flight inspection aircraft. Accordingly, expenditure is expected to increase at </w:t>
      </w:r>
      <w:r w:rsidR="002B2B61" w:rsidRPr="007457B1">
        <w:rPr>
          <w:rFonts w:ascii="Times New Roman" w:eastAsia="Times New Roman" w:hAnsi="Times New Roman" w:cs="Times New Roman"/>
          <w:sz w:val="24"/>
          <w:szCs w:val="24"/>
          <w:lang w:eastAsia="en-ZA"/>
        </w:rPr>
        <w:t>an average annual rate of 9 per</w:t>
      </w:r>
      <w:r w:rsidRPr="007457B1">
        <w:rPr>
          <w:rFonts w:ascii="Times New Roman" w:eastAsia="Times New Roman" w:hAnsi="Times New Roman" w:cs="Times New Roman"/>
          <w:sz w:val="24"/>
          <w:szCs w:val="24"/>
          <w:lang w:eastAsia="en-ZA"/>
        </w:rPr>
        <w:t xml:space="preserve">cent, from R710.6 million in 2018/19 to R920.2 million in 2021/22.  </w:t>
      </w:r>
    </w:p>
    <w:p w14:paraId="6E73526F" w14:textId="77777777" w:rsidR="00C50424" w:rsidRPr="007457B1" w:rsidRDefault="00C50424" w:rsidP="00C07A5A">
      <w:pPr>
        <w:spacing w:after="0" w:line="360" w:lineRule="auto"/>
        <w:jc w:val="both"/>
        <w:rPr>
          <w:rFonts w:ascii="Times New Roman" w:eastAsia="Times New Roman" w:hAnsi="Times New Roman" w:cs="Times New Roman"/>
          <w:sz w:val="24"/>
          <w:szCs w:val="24"/>
          <w:lang w:eastAsia="en-ZA"/>
        </w:rPr>
      </w:pPr>
    </w:p>
    <w:p w14:paraId="592E67CE" w14:textId="77777777" w:rsidR="00153B15" w:rsidRPr="007457B1" w:rsidRDefault="00153B15" w:rsidP="00C07A5A">
      <w:pPr>
        <w:spacing w:after="0" w:line="360" w:lineRule="auto"/>
        <w:jc w:val="both"/>
        <w:rPr>
          <w:rFonts w:ascii="Times New Roman" w:eastAsia="Times New Roman" w:hAnsi="Times New Roman" w:cs="Times New Roman"/>
          <w:sz w:val="24"/>
          <w:szCs w:val="24"/>
          <w:lang w:eastAsia="en-ZA"/>
        </w:rPr>
      </w:pPr>
      <w:r w:rsidRPr="007457B1">
        <w:rPr>
          <w:rFonts w:ascii="Times New Roman" w:eastAsia="Times New Roman" w:hAnsi="Times New Roman" w:cs="Times New Roman"/>
          <w:sz w:val="24"/>
          <w:szCs w:val="24"/>
          <w:lang w:eastAsia="en-ZA"/>
        </w:rPr>
        <w:t>The authority expects to continue to generate most of its revenue from passenger safety charges, user fees and the aviation fue</w:t>
      </w:r>
      <w:r w:rsidR="002B2B61" w:rsidRPr="007457B1">
        <w:rPr>
          <w:rFonts w:ascii="Times New Roman" w:eastAsia="Times New Roman" w:hAnsi="Times New Roman" w:cs="Times New Roman"/>
          <w:sz w:val="24"/>
          <w:szCs w:val="24"/>
          <w:lang w:eastAsia="en-ZA"/>
        </w:rPr>
        <w:t>l levy, accounting for 93.5 per</w:t>
      </w:r>
      <w:r w:rsidRPr="007457B1">
        <w:rPr>
          <w:rFonts w:ascii="Times New Roman" w:eastAsia="Times New Roman" w:hAnsi="Times New Roman" w:cs="Times New Roman"/>
          <w:sz w:val="24"/>
          <w:szCs w:val="24"/>
          <w:lang w:eastAsia="en-ZA"/>
        </w:rPr>
        <w:t>cent (R2.4 billion) of total revenue over the medium term. Revenue is expected to increase at an</w:t>
      </w:r>
      <w:r w:rsidR="002B2B61" w:rsidRPr="007457B1">
        <w:rPr>
          <w:rFonts w:ascii="Times New Roman" w:eastAsia="Times New Roman" w:hAnsi="Times New Roman" w:cs="Times New Roman"/>
          <w:sz w:val="24"/>
          <w:szCs w:val="24"/>
          <w:lang w:eastAsia="en-ZA"/>
        </w:rPr>
        <w:t xml:space="preserve"> average annual rate of 9 per</w:t>
      </w:r>
      <w:r w:rsidRPr="007457B1">
        <w:rPr>
          <w:rFonts w:ascii="Times New Roman" w:eastAsia="Times New Roman" w:hAnsi="Times New Roman" w:cs="Times New Roman"/>
          <w:sz w:val="24"/>
          <w:szCs w:val="24"/>
          <w:lang w:eastAsia="en-ZA"/>
        </w:rPr>
        <w:t>cent, from R711.8 million in 2018/19 to R922.9 million in 2021/22, mainly driven by annual increments in the user charges and levies, and an additional R10 million in each year over the medium term for aviation accidents and incidents investigations.</w:t>
      </w:r>
    </w:p>
    <w:p w14:paraId="645130DC" w14:textId="77777777" w:rsidR="00B32317" w:rsidRDefault="00B32317" w:rsidP="00C07A5A">
      <w:pPr>
        <w:spacing w:after="0" w:line="360" w:lineRule="auto"/>
        <w:jc w:val="both"/>
        <w:rPr>
          <w:rFonts w:ascii="Times New Roman" w:eastAsia="Times New Roman" w:hAnsi="Times New Roman" w:cs="Times New Roman"/>
          <w:sz w:val="24"/>
          <w:szCs w:val="24"/>
          <w:lang w:eastAsia="en-ZA"/>
        </w:rPr>
      </w:pPr>
    </w:p>
    <w:p w14:paraId="19CC5EC3" w14:textId="77777777" w:rsidR="00490066" w:rsidRPr="007457B1" w:rsidRDefault="00490066" w:rsidP="00C07A5A">
      <w:pPr>
        <w:spacing w:after="0" w:line="360" w:lineRule="auto"/>
        <w:jc w:val="both"/>
        <w:rPr>
          <w:rFonts w:ascii="Times New Roman" w:eastAsia="Times New Roman" w:hAnsi="Times New Roman" w:cs="Times New Roman"/>
          <w:sz w:val="24"/>
          <w:szCs w:val="24"/>
          <w:lang w:eastAsia="en-ZA"/>
        </w:rPr>
      </w:pPr>
    </w:p>
    <w:p w14:paraId="505C1576" w14:textId="77777777" w:rsidR="00441A51" w:rsidRPr="007457B1" w:rsidRDefault="001E6AB6" w:rsidP="00C07A5A">
      <w:pPr>
        <w:spacing w:after="0" w:line="360" w:lineRule="auto"/>
        <w:jc w:val="both"/>
        <w:rPr>
          <w:rFonts w:ascii="Times New Roman" w:eastAsia="Times New Roman" w:hAnsi="Times New Roman" w:cs="Times New Roman"/>
          <w:b/>
          <w:sz w:val="24"/>
          <w:szCs w:val="24"/>
          <w:lang w:eastAsia="en-ZA"/>
        </w:rPr>
      </w:pPr>
      <w:r w:rsidRPr="007457B1">
        <w:rPr>
          <w:rFonts w:ascii="Times New Roman" w:eastAsia="Times New Roman" w:hAnsi="Times New Roman" w:cs="Times New Roman"/>
          <w:b/>
          <w:sz w:val="24"/>
          <w:szCs w:val="24"/>
          <w:lang w:eastAsia="en-ZA"/>
        </w:rPr>
        <w:t>6</w:t>
      </w:r>
      <w:r w:rsidR="001B376F" w:rsidRPr="007457B1">
        <w:rPr>
          <w:rFonts w:ascii="Times New Roman" w:eastAsia="Times New Roman" w:hAnsi="Times New Roman" w:cs="Times New Roman"/>
          <w:b/>
          <w:sz w:val="24"/>
          <w:szCs w:val="24"/>
          <w:lang w:eastAsia="en-ZA"/>
        </w:rPr>
        <w:t>.12</w:t>
      </w:r>
      <w:r w:rsidRPr="007457B1">
        <w:rPr>
          <w:rFonts w:ascii="Times New Roman" w:eastAsia="Times New Roman" w:hAnsi="Times New Roman" w:cs="Times New Roman"/>
          <w:b/>
          <w:sz w:val="24"/>
          <w:szCs w:val="24"/>
          <w:lang w:eastAsia="en-ZA"/>
        </w:rPr>
        <w:tab/>
      </w:r>
      <w:r w:rsidR="00441A51" w:rsidRPr="007457B1">
        <w:rPr>
          <w:rFonts w:ascii="Times New Roman" w:eastAsia="Times New Roman" w:hAnsi="Times New Roman" w:cs="Times New Roman"/>
          <w:b/>
          <w:sz w:val="24"/>
          <w:szCs w:val="24"/>
          <w:lang w:eastAsia="en-ZA"/>
        </w:rPr>
        <w:t xml:space="preserve"> South African Maritime Safety Authority (SAMSA)</w:t>
      </w:r>
    </w:p>
    <w:p w14:paraId="77B039AA" w14:textId="77777777" w:rsidR="00225209" w:rsidRPr="007457B1" w:rsidRDefault="00225209" w:rsidP="00C07A5A">
      <w:pPr>
        <w:spacing w:after="0" w:line="360" w:lineRule="auto"/>
        <w:jc w:val="both"/>
        <w:rPr>
          <w:rFonts w:ascii="Times New Roman" w:eastAsia="Times New Roman" w:hAnsi="Times New Roman" w:cs="Times New Roman"/>
          <w:b/>
          <w:sz w:val="24"/>
          <w:szCs w:val="24"/>
          <w:lang w:eastAsia="en-ZA"/>
        </w:rPr>
      </w:pPr>
    </w:p>
    <w:p w14:paraId="3EA11AE1" w14:textId="77777777" w:rsidR="00B32317" w:rsidRPr="007457B1" w:rsidRDefault="006E1762"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SAMSA</w:t>
      </w:r>
      <w:r w:rsidR="00B32317" w:rsidRPr="007457B1">
        <w:rPr>
          <w:rFonts w:ascii="Times New Roman" w:hAnsi="Times New Roman" w:cs="Times New Roman"/>
          <w:sz w:val="24"/>
          <w:szCs w:val="24"/>
        </w:rPr>
        <w:t xml:space="preserve"> promotes South Africa’s maritime interests, ensures the safety of life and property at sea, and prevents and combats the pollution of the marine environment by ships. Functions of the entity are also defined as per international maritime conventions to which South Africa is a signatory. </w:t>
      </w:r>
    </w:p>
    <w:p w14:paraId="459107C6" w14:textId="77777777" w:rsidR="0046376F" w:rsidRPr="007457B1" w:rsidRDefault="00B32317"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entity’s estimated expenditure for 2019/20 is R505.7 million.</w:t>
      </w:r>
    </w:p>
    <w:p w14:paraId="67E40F31" w14:textId="77777777" w:rsidR="00C50424" w:rsidRPr="007457B1" w:rsidRDefault="00153B15"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Over the medium term, </w:t>
      </w:r>
      <w:r w:rsidR="006E1762" w:rsidRPr="007457B1">
        <w:rPr>
          <w:rFonts w:ascii="Times New Roman" w:hAnsi="Times New Roman" w:cs="Times New Roman"/>
          <w:sz w:val="24"/>
          <w:szCs w:val="24"/>
        </w:rPr>
        <w:t>SAMSA</w:t>
      </w:r>
      <w:r w:rsidRPr="007457B1">
        <w:rPr>
          <w:rFonts w:ascii="Times New Roman" w:hAnsi="Times New Roman" w:cs="Times New Roman"/>
          <w:sz w:val="24"/>
          <w:szCs w:val="24"/>
        </w:rPr>
        <w:t xml:space="preserve"> will focus on safety, promoting a culture of preventing marine incidents and combating pollution caused by ships. In ensuring the safety of life and property at sea, the authority will conduct 1 040 port inspections over the period ahead. </w:t>
      </w:r>
    </w:p>
    <w:p w14:paraId="3327C9F5" w14:textId="77777777" w:rsidR="00153B15" w:rsidRPr="007457B1" w:rsidRDefault="00153B15"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Expenditure is expected to increase at an </w:t>
      </w:r>
      <w:r w:rsidR="002B2B61" w:rsidRPr="007457B1">
        <w:rPr>
          <w:rFonts w:ascii="Times New Roman" w:hAnsi="Times New Roman" w:cs="Times New Roman"/>
          <w:sz w:val="24"/>
          <w:szCs w:val="24"/>
        </w:rPr>
        <w:t>average annual rate of 10.2 per</w:t>
      </w:r>
      <w:r w:rsidRPr="007457B1">
        <w:rPr>
          <w:rFonts w:ascii="Times New Roman" w:hAnsi="Times New Roman" w:cs="Times New Roman"/>
          <w:sz w:val="24"/>
          <w:szCs w:val="24"/>
        </w:rPr>
        <w:t xml:space="preserve">cent, from R414.2 million in 2018/19 to R554 million in 2021/22. The authority mainly generates its revenue from levies and user charges. Revenue is expected to increase at an </w:t>
      </w:r>
      <w:r w:rsidR="002B2B61" w:rsidRPr="007457B1">
        <w:rPr>
          <w:rFonts w:ascii="Times New Roman" w:hAnsi="Times New Roman" w:cs="Times New Roman"/>
          <w:sz w:val="24"/>
          <w:szCs w:val="24"/>
        </w:rPr>
        <w:t>average annual rate of 10.6 per</w:t>
      </w:r>
      <w:r w:rsidRPr="007457B1">
        <w:rPr>
          <w:rFonts w:ascii="Times New Roman" w:hAnsi="Times New Roman" w:cs="Times New Roman"/>
          <w:sz w:val="24"/>
          <w:szCs w:val="24"/>
        </w:rPr>
        <w:t>cent, from R415.6 million in 2018/19 to R562 million in 2021/22.</w:t>
      </w:r>
    </w:p>
    <w:p w14:paraId="187B78D9" w14:textId="77777777" w:rsidR="00153B15" w:rsidRPr="007457B1" w:rsidRDefault="00153B15" w:rsidP="00C07A5A">
      <w:pPr>
        <w:spacing w:line="360" w:lineRule="auto"/>
        <w:jc w:val="both"/>
        <w:rPr>
          <w:rFonts w:ascii="Times New Roman" w:hAnsi="Times New Roman" w:cs="Times New Roman"/>
          <w:sz w:val="24"/>
          <w:szCs w:val="24"/>
        </w:rPr>
      </w:pPr>
    </w:p>
    <w:p w14:paraId="53D7E330" w14:textId="77777777" w:rsidR="00521FED" w:rsidRPr="007457B1" w:rsidRDefault="001B376F"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6.13</w:t>
      </w:r>
      <w:r w:rsidRPr="007457B1">
        <w:rPr>
          <w:rFonts w:ascii="Times New Roman" w:hAnsi="Times New Roman" w:cs="Times New Roman"/>
          <w:b/>
          <w:sz w:val="24"/>
          <w:szCs w:val="24"/>
        </w:rPr>
        <w:tab/>
      </w:r>
      <w:r w:rsidR="003162F7" w:rsidRPr="007457B1">
        <w:rPr>
          <w:rFonts w:ascii="Times New Roman" w:hAnsi="Times New Roman" w:cs="Times New Roman"/>
          <w:b/>
          <w:sz w:val="24"/>
          <w:szCs w:val="24"/>
        </w:rPr>
        <w:t xml:space="preserve">Driving </w:t>
      </w:r>
      <w:r w:rsidR="006E1762" w:rsidRPr="007457B1">
        <w:rPr>
          <w:rFonts w:ascii="Times New Roman" w:hAnsi="Times New Roman" w:cs="Times New Roman"/>
          <w:b/>
          <w:sz w:val="24"/>
          <w:szCs w:val="24"/>
        </w:rPr>
        <w:t>L</w:t>
      </w:r>
      <w:r w:rsidR="003162F7" w:rsidRPr="007457B1">
        <w:rPr>
          <w:rFonts w:ascii="Times New Roman" w:hAnsi="Times New Roman" w:cs="Times New Roman"/>
          <w:b/>
          <w:sz w:val="24"/>
          <w:szCs w:val="24"/>
        </w:rPr>
        <w:t xml:space="preserve">icence </w:t>
      </w:r>
      <w:r w:rsidR="006E1762" w:rsidRPr="007457B1">
        <w:rPr>
          <w:rFonts w:ascii="Times New Roman" w:hAnsi="Times New Roman" w:cs="Times New Roman"/>
          <w:b/>
          <w:sz w:val="24"/>
          <w:szCs w:val="24"/>
        </w:rPr>
        <w:t>C</w:t>
      </w:r>
      <w:r w:rsidR="003162F7" w:rsidRPr="007457B1">
        <w:rPr>
          <w:rFonts w:ascii="Times New Roman" w:hAnsi="Times New Roman" w:cs="Times New Roman"/>
          <w:b/>
          <w:sz w:val="24"/>
          <w:szCs w:val="24"/>
        </w:rPr>
        <w:t xml:space="preserve">ard </w:t>
      </w:r>
      <w:r w:rsidR="006E1762" w:rsidRPr="007457B1">
        <w:rPr>
          <w:rFonts w:ascii="Times New Roman" w:hAnsi="Times New Roman" w:cs="Times New Roman"/>
          <w:b/>
          <w:sz w:val="24"/>
          <w:szCs w:val="24"/>
        </w:rPr>
        <w:t>A</w:t>
      </w:r>
      <w:r w:rsidR="003162F7" w:rsidRPr="007457B1">
        <w:rPr>
          <w:rFonts w:ascii="Times New Roman" w:hAnsi="Times New Roman" w:cs="Times New Roman"/>
          <w:b/>
          <w:sz w:val="24"/>
          <w:szCs w:val="24"/>
        </w:rPr>
        <w:t>ccount</w:t>
      </w:r>
      <w:r w:rsidR="006E1762" w:rsidRPr="007457B1">
        <w:rPr>
          <w:rFonts w:ascii="Times New Roman" w:hAnsi="Times New Roman" w:cs="Times New Roman"/>
          <w:b/>
          <w:sz w:val="24"/>
          <w:szCs w:val="24"/>
        </w:rPr>
        <w:t xml:space="preserve"> (DLCA)</w:t>
      </w:r>
    </w:p>
    <w:p w14:paraId="1C3397C9" w14:textId="77777777" w:rsidR="00B32317" w:rsidRPr="007457B1" w:rsidRDefault="006E1762"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DLCA</w:t>
      </w:r>
      <w:r w:rsidR="00B32317" w:rsidRPr="007457B1">
        <w:rPr>
          <w:rFonts w:ascii="Times New Roman" w:hAnsi="Times New Roman" w:cs="Times New Roman"/>
          <w:sz w:val="24"/>
          <w:szCs w:val="24"/>
        </w:rPr>
        <w:t xml:space="preserve"> manufactures credit card format driving licences, based on orders received from driving licence testing centres, and generates its own revenue through the sale of the licence cards. </w:t>
      </w:r>
    </w:p>
    <w:p w14:paraId="0252AA5A" w14:textId="77777777" w:rsidR="0046376F" w:rsidRPr="007457B1" w:rsidRDefault="00B32317"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entity’s estimated expenditure for 2019/20 is R235 million.</w:t>
      </w:r>
    </w:p>
    <w:p w14:paraId="385DF83E" w14:textId="77777777" w:rsidR="008511CB" w:rsidRPr="007457B1" w:rsidRDefault="00153B15"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driving licence card account will continue to manufacture highly secure driving licence cards and distribute them to driving licence testing centres. Following the completion of the replacement of the live capture units in driving licence testing centres in 2018/19, over the medium term, the entity will upgrade the live enrolment unit software to ensure optimal manufacturing productivity. </w:t>
      </w:r>
    </w:p>
    <w:p w14:paraId="08092930" w14:textId="77777777" w:rsidR="00153B15" w:rsidRPr="007457B1" w:rsidRDefault="00153B15"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entity is also in the process of introducing a newly designed driving licence card, which it intends to deliver by 2021/22. Accordingly, total expenditure is expected to increase at an average annual </w:t>
      </w:r>
      <w:r w:rsidR="002B2B61" w:rsidRPr="007457B1">
        <w:rPr>
          <w:rFonts w:ascii="Times New Roman" w:hAnsi="Times New Roman" w:cs="Times New Roman"/>
          <w:sz w:val="24"/>
          <w:szCs w:val="24"/>
        </w:rPr>
        <w:t>rate of 3.2 per</w:t>
      </w:r>
      <w:r w:rsidRPr="007457B1">
        <w:rPr>
          <w:rFonts w:ascii="Times New Roman" w:hAnsi="Times New Roman" w:cs="Times New Roman"/>
          <w:sz w:val="24"/>
          <w:szCs w:val="24"/>
        </w:rPr>
        <w:t>cent, from R223.1 million in 2018/19 to R245.3 million in 2021/22. The entity generates its revenue mainly from the sale of driving licence cards, amounting to R600 million of total revenue over the medium term.</w:t>
      </w:r>
    </w:p>
    <w:p w14:paraId="627DC591" w14:textId="77777777" w:rsidR="00B32317" w:rsidRPr="007457B1" w:rsidRDefault="00B32317" w:rsidP="00C07A5A">
      <w:pPr>
        <w:spacing w:line="360" w:lineRule="auto"/>
        <w:jc w:val="both"/>
        <w:rPr>
          <w:rFonts w:ascii="Times New Roman" w:hAnsi="Times New Roman" w:cs="Times New Roman"/>
          <w:sz w:val="24"/>
          <w:szCs w:val="24"/>
        </w:rPr>
      </w:pPr>
    </w:p>
    <w:p w14:paraId="0E112F2F" w14:textId="77777777" w:rsidR="00080EC4" w:rsidRDefault="00080EC4">
      <w:pPr>
        <w:rPr>
          <w:rFonts w:ascii="Times New Roman" w:eastAsia="Calibri" w:hAnsi="Times New Roman" w:cs="Times New Roman"/>
          <w:b/>
          <w:sz w:val="28"/>
          <w:szCs w:val="28"/>
        </w:rPr>
      </w:pPr>
      <w:r>
        <w:rPr>
          <w:rFonts w:ascii="Times New Roman" w:hAnsi="Times New Roman"/>
          <w:b/>
          <w:sz w:val="28"/>
          <w:szCs w:val="28"/>
        </w:rPr>
        <w:br w:type="page"/>
      </w:r>
    </w:p>
    <w:p w14:paraId="444BD9F1" w14:textId="77777777" w:rsidR="001B376F" w:rsidRPr="009008E4" w:rsidRDefault="001E369C" w:rsidP="00C07A5A">
      <w:pPr>
        <w:pStyle w:val="ListParagraph"/>
        <w:numPr>
          <w:ilvl w:val="0"/>
          <w:numId w:val="18"/>
        </w:numPr>
        <w:spacing w:line="360" w:lineRule="auto"/>
        <w:ind w:hanging="720"/>
        <w:jc w:val="both"/>
        <w:rPr>
          <w:rFonts w:ascii="Times New Roman" w:hAnsi="Times New Roman"/>
          <w:b/>
          <w:sz w:val="28"/>
          <w:szCs w:val="28"/>
        </w:rPr>
      </w:pPr>
      <w:r w:rsidRPr="009008E4">
        <w:rPr>
          <w:rFonts w:ascii="Times New Roman" w:hAnsi="Times New Roman"/>
          <w:b/>
          <w:sz w:val="28"/>
          <w:szCs w:val="28"/>
        </w:rPr>
        <w:t xml:space="preserve">   </w:t>
      </w:r>
      <w:r w:rsidR="00D452DC" w:rsidRPr="009008E4">
        <w:rPr>
          <w:rFonts w:ascii="Times New Roman" w:hAnsi="Times New Roman"/>
          <w:b/>
          <w:sz w:val="28"/>
          <w:szCs w:val="28"/>
        </w:rPr>
        <w:t>COMMITTEE OBSERVATIONS</w:t>
      </w:r>
    </w:p>
    <w:p w14:paraId="2CF4D169" w14:textId="77777777" w:rsidR="000249BD" w:rsidRPr="007457B1" w:rsidRDefault="000249BD" w:rsidP="00C07A5A">
      <w:pPr>
        <w:spacing w:line="360" w:lineRule="auto"/>
        <w:ind w:left="-142"/>
        <w:jc w:val="both"/>
        <w:rPr>
          <w:rFonts w:ascii="Times New Roman" w:hAnsi="Times New Roman" w:cs="Times New Roman"/>
          <w:sz w:val="24"/>
          <w:szCs w:val="24"/>
        </w:rPr>
      </w:pPr>
    </w:p>
    <w:p w14:paraId="47128156" w14:textId="77777777" w:rsidR="001B376F" w:rsidRPr="007457B1" w:rsidRDefault="001B376F" w:rsidP="009008E4">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Members made the following observations during discussions:</w:t>
      </w:r>
    </w:p>
    <w:p w14:paraId="2BF89211" w14:textId="77777777" w:rsidR="00490066" w:rsidRDefault="001E369C" w:rsidP="00080EC4">
      <w:pPr>
        <w:pStyle w:val="ListParagraph"/>
        <w:spacing w:line="360" w:lineRule="auto"/>
        <w:ind w:left="-142"/>
        <w:jc w:val="both"/>
        <w:rPr>
          <w:rFonts w:ascii="Times New Roman" w:hAnsi="Times New Roman"/>
          <w:b/>
          <w:sz w:val="24"/>
          <w:szCs w:val="24"/>
        </w:rPr>
      </w:pPr>
      <w:r w:rsidRPr="007457B1">
        <w:rPr>
          <w:rFonts w:ascii="Times New Roman" w:hAnsi="Times New Roman"/>
          <w:b/>
          <w:sz w:val="24"/>
          <w:szCs w:val="24"/>
        </w:rPr>
        <w:t xml:space="preserve"> </w:t>
      </w:r>
    </w:p>
    <w:p w14:paraId="7A085723" w14:textId="77777777" w:rsidR="000249BD" w:rsidRPr="007457B1" w:rsidRDefault="001B376F" w:rsidP="00490066">
      <w:pPr>
        <w:pStyle w:val="ListParagraph"/>
        <w:spacing w:line="360" w:lineRule="auto"/>
        <w:ind w:left="0"/>
        <w:jc w:val="both"/>
        <w:rPr>
          <w:rFonts w:ascii="Times New Roman" w:hAnsi="Times New Roman"/>
          <w:b/>
          <w:sz w:val="24"/>
          <w:szCs w:val="24"/>
        </w:rPr>
      </w:pPr>
      <w:r w:rsidRPr="007457B1">
        <w:rPr>
          <w:rFonts w:ascii="Times New Roman" w:hAnsi="Times New Roman"/>
          <w:b/>
          <w:sz w:val="24"/>
          <w:szCs w:val="24"/>
        </w:rPr>
        <w:t xml:space="preserve">7.1        </w:t>
      </w:r>
      <w:r w:rsidR="000249BD" w:rsidRPr="007457B1">
        <w:rPr>
          <w:rFonts w:ascii="Times New Roman" w:hAnsi="Times New Roman"/>
          <w:b/>
          <w:sz w:val="24"/>
          <w:szCs w:val="24"/>
        </w:rPr>
        <w:t>General</w:t>
      </w:r>
    </w:p>
    <w:p w14:paraId="2D03C610" w14:textId="77777777" w:rsidR="000249BD" w:rsidRPr="007457B1" w:rsidRDefault="000249BD" w:rsidP="00C07A5A">
      <w:pPr>
        <w:pStyle w:val="ListParagraph"/>
        <w:spacing w:line="360" w:lineRule="auto"/>
        <w:ind w:left="-142"/>
        <w:jc w:val="both"/>
        <w:rPr>
          <w:rFonts w:ascii="Times New Roman" w:hAnsi="Times New Roman"/>
          <w:b/>
          <w:sz w:val="24"/>
          <w:szCs w:val="24"/>
        </w:rPr>
      </w:pPr>
    </w:p>
    <w:p w14:paraId="04D22078" w14:textId="77777777" w:rsidR="000249BD" w:rsidRPr="007457B1" w:rsidRDefault="000249BD" w:rsidP="000249BD">
      <w:pPr>
        <w:pStyle w:val="ListParagraph"/>
        <w:spacing w:line="360" w:lineRule="auto"/>
        <w:ind w:left="0"/>
        <w:jc w:val="both"/>
        <w:rPr>
          <w:rFonts w:ascii="Times New Roman" w:hAnsi="Times New Roman"/>
          <w:sz w:val="24"/>
          <w:szCs w:val="24"/>
        </w:rPr>
      </w:pPr>
      <w:r w:rsidRPr="007457B1">
        <w:rPr>
          <w:rFonts w:ascii="Times New Roman" w:hAnsi="Times New Roman"/>
          <w:sz w:val="24"/>
          <w:szCs w:val="24"/>
        </w:rPr>
        <w:t>The Committee noted that there were some errors in the tabled APP for 2019/20 which the Department undertook to correct. Furthermore, there was a concern that a number of targets contained in the APP had no target delivery dates or finalisation dates and that some dates indicated under new targets for the Maritime Transport Programme had been pointed out by the Department as being incorrect.</w:t>
      </w:r>
    </w:p>
    <w:p w14:paraId="0C34481B" w14:textId="77777777" w:rsidR="000249BD" w:rsidRDefault="000249BD" w:rsidP="00C07A5A">
      <w:pPr>
        <w:pStyle w:val="ListParagraph"/>
        <w:spacing w:line="360" w:lineRule="auto"/>
        <w:ind w:left="-142"/>
        <w:jc w:val="both"/>
        <w:rPr>
          <w:rFonts w:ascii="Times New Roman" w:hAnsi="Times New Roman"/>
          <w:b/>
          <w:sz w:val="24"/>
          <w:szCs w:val="24"/>
        </w:rPr>
      </w:pPr>
    </w:p>
    <w:p w14:paraId="4CBEE33D" w14:textId="77777777" w:rsidR="00490066" w:rsidRPr="007457B1" w:rsidRDefault="00490066" w:rsidP="00C07A5A">
      <w:pPr>
        <w:pStyle w:val="ListParagraph"/>
        <w:spacing w:line="360" w:lineRule="auto"/>
        <w:ind w:left="-142"/>
        <w:jc w:val="both"/>
        <w:rPr>
          <w:rFonts w:ascii="Times New Roman" w:hAnsi="Times New Roman"/>
          <w:b/>
          <w:sz w:val="24"/>
          <w:szCs w:val="24"/>
        </w:rPr>
      </w:pPr>
    </w:p>
    <w:p w14:paraId="5220742D" w14:textId="77777777" w:rsidR="001B376F" w:rsidRPr="007457B1" w:rsidRDefault="000249BD" w:rsidP="000249BD">
      <w:pPr>
        <w:pStyle w:val="ListParagraph"/>
        <w:spacing w:line="360" w:lineRule="auto"/>
        <w:ind w:left="0"/>
        <w:jc w:val="both"/>
        <w:rPr>
          <w:rFonts w:ascii="Times New Roman" w:hAnsi="Times New Roman"/>
          <w:b/>
          <w:sz w:val="24"/>
          <w:szCs w:val="24"/>
        </w:rPr>
      </w:pPr>
      <w:r w:rsidRPr="007457B1">
        <w:rPr>
          <w:rFonts w:ascii="Times New Roman" w:hAnsi="Times New Roman"/>
          <w:b/>
          <w:sz w:val="24"/>
          <w:szCs w:val="24"/>
        </w:rPr>
        <w:t>7.2</w:t>
      </w:r>
      <w:r w:rsidRPr="007457B1">
        <w:rPr>
          <w:rFonts w:ascii="Times New Roman" w:hAnsi="Times New Roman"/>
          <w:b/>
          <w:sz w:val="24"/>
          <w:szCs w:val="24"/>
        </w:rPr>
        <w:tab/>
      </w:r>
      <w:r w:rsidR="00322411" w:rsidRPr="007457B1">
        <w:rPr>
          <w:rFonts w:ascii="Times New Roman" w:hAnsi="Times New Roman"/>
          <w:b/>
          <w:sz w:val="24"/>
          <w:szCs w:val="24"/>
        </w:rPr>
        <w:t>Use of consultants</w:t>
      </w:r>
    </w:p>
    <w:p w14:paraId="4215B418" w14:textId="77777777" w:rsidR="00E6255B" w:rsidRPr="007457B1" w:rsidRDefault="00E6255B" w:rsidP="00C07A5A">
      <w:pPr>
        <w:pStyle w:val="ListParagraph"/>
        <w:spacing w:line="360" w:lineRule="auto"/>
        <w:ind w:left="0"/>
        <w:jc w:val="both"/>
        <w:rPr>
          <w:rFonts w:ascii="Times New Roman" w:hAnsi="Times New Roman"/>
          <w:sz w:val="24"/>
          <w:szCs w:val="24"/>
        </w:rPr>
      </w:pPr>
    </w:p>
    <w:p w14:paraId="55AADD13" w14:textId="77777777" w:rsidR="00CA10D7" w:rsidRPr="007457B1" w:rsidRDefault="00523F81" w:rsidP="00C07A5A">
      <w:pPr>
        <w:pStyle w:val="ListParagraph"/>
        <w:spacing w:line="360" w:lineRule="auto"/>
        <w:ind w:left="0"/>
        <w:jc w:val="both"/>
        <w:rPr>
          <w:rFonts w:ascii="Times New Roman" w:hAnsi="Times New Roman"/>
          <w:sz w:val="24"/>
          <w:szCs w:val="24"/>
        </w:rPr>
      </w:pPr>
      <w:r w:rsidRPr="007457B1">
        <w:rPr>
          <w:rFonts w:ascii="Times New Roman" w:hAnsi="Times New Roman"/>
          <w:sz w:val="24"/>
          <w:szCs w:val="24"/>
        </w:rPr>
        <w:t xml:space="preserve">The overall allocation to compensation of employees increases from R496.7 million </w:t>
      </w:r>
      <w:r w:rsidR="006E1762" w:rsidRPr="007457B1">
        <w:rPr>
          <w:rFonts w:ascii="Times New Roman" w:hAnsi="Times New Roman"/>
          <w:sz w:val="24"/>
          <w:szCs w:val="24"/>
        </w:rPr>
        <w:t>in 2018/19</w:t>
      </w:r>
      <w:r w:rsidRPr="007457B1">
        <w:rPr>
          <w:rFonts w:ascii="Times New Roman" w:hAnsi="Times New Roman"/>
          <w:sz w:val="24"/>
          <w:szCs w:val="24"/>
        </w:rPr>
        <w:t xml:space="preserve"> to R534.7 million in 2019/20. This year, expenditure on consultants (business and advisory services) is set to increase from R266.2 million to R463.8 million</w:t>
      </w:r>
      <w:r w:rsidR="00CA10D7" w:rsidRPr="007457B1">
        <w:rPr>
          <w:rFonts w:ascii="Times New Roman" w:hAnsi="Times New Roman"/>
          <w:sz w:val="24"/>
          <w:szCs w:val="24"/>
        </w:rPr>
        <w:t xml:space="preserve"> (which, shockingly, is almost equal to the overall allocation to compensation of employees for the previous budget cycle)</w:t>
      </w:r>
      <w:r w:rsidRPr="007457B1">
        <w:rPr>
          <w:rFonts w:ascii="Times New Roman" w:hAnsi="Times New Roman"/>
          <w:sz w:val="24"/>
          <w:szCs w:val="24"/>
        </w:rPr>
        <w:t>, indicating an above-inflation increase of 65.6</w:t>
      </w:r>
      <w:r w:rsidR="00D67263" w:rsidRPr="007457B1">
        <w:rPr>
          <w:rFonts w:ascii="Times New Roman" w:hAnsi="Times New Roman"/>
          <w:sz w:val="24"/>
          <w:szCs w:val="24"/>
        </w:rPr>
        <w:t xml:space="preserve"> percent</w:t>
      </w:r>
      <w:r w:rsidRPr="007457B1">
        <w:rPr>
          <w:rFonts w:ascii="Times New Roman" w:hAnsi="Times New Roman"/>
          <w:sz w:val="24"/>
          <w:szCs w:val="24"/>
        </w:rPr>
        <w:t xml:space="preserve">. </w:t>
      </w:r>
    </w:p>
    <w:p w14:paraId="16F0125F" w14:textId="77777777" w:rsidR="00CA10D7" w:rsidRPr="007457B1" w:rsidRDefault="00CA10D7" w:rsidP="00C07A5A">
      <w:pPr>
        <w:pStyle w:val="ListParagraph"/>
        <w:spacing w:line="360" w:lineRule="auto"/>
        <w:ind w:left="0"/>
        <w:jc w:val="both"/>
        <w:rPr>
          <w:rFonts w:ascii="Times New Roman" w:hAnsi="Times New Roman"/>
          <w:sz w:val="24"/>
          <w:szCs w:val="24"/>
        </w:rPr>
      </w:pPr>
    </w:p>
    <w:p w14:paraId="12FD92A4" w14:textId="77777777" w:rsidR="00596A0F" w:rsidRPr="007457B1" w:rsidRDefault="00523F81" w:rsidP="00C07A5A">
      <w:pPr>
        <w:pStyle w:val="ListParagraph"/>
        <w:spacing w:line="360" w:lineRule="auto"/>
        <w:ind w:left="0"/>
        <w:jc w:val="both"/>
        <w:rPr>
          <w:rFonts w:ascii="Times New Roman" w:hAnsi="Times New Roman"/>
          <w:sz w:val="24"/>
          <w:szCs w:val="24"/>
        </w:rPr>
      </w:pPr>
      <w:r w:rsidRPr="007457B1">
        <w:rPr>
          <w:rFonts w:ascii="Times New Roman" w:hAnsi="Times New Roman"/>
          <w:sz w:val="24"/>
          <w:szCs w:val="24"/>
        </w:rPr>
        <w:t>The exponential increase for consultants (business and advisory services) is linked to changes in the Integrated Transport Planning and Public Transport programmes. Conversely, funding for the use of consultants in the Maritime Transport programme declines from R17.0 million in 2018/</w:t>
      </w:r>
      <w:r w:rsidR="00CA10D7" w:rsidRPr="007457B1">
        <w:rPr>
          <w:rFonts w:ascii="Times New Roman" w:hAnsi="Times New Roman"/>
          <w:sz w:val="24"/>
          <w:szCs w:val="24"/>
        </w:rPr>
        <w:t xml:space="preserve">19 to R9.7 million in 2019/20 (a decrease of </w:t>
      </w:r>
      <w:r w:rsidRPr="007457B1">
        <w:rPr>
          <w:rFonts w:ascii="Times New Roman" w:hAnsi="Times New Roman"/>
          <w:sz w:val="24"/>
          <w:szCs w:val="24"/>
        </w:rPr>
        <w:t>45.8</w:t>
      </w:r>
      <w:r w:rsidR="00D67263" w:rsidRPr="007457B1">
        <w:rPr>
          <w:rFonts w:ascii="Times New Roman" w:hAnsi="Times New Roman"/>
          <w:sz w:val="24"/>
          <w:szCs w:val="24"/>
        </w:rPr>
        <w:t xml:space="preserve"> percent </w:t>
      </w:r>
      <w:r w:rsidRPr="007457B1">
        <w:rPr>
          <w:rFonts w:ascii="Times New Roman" w:hAnsi="Times New Roman"/>
          <w:sz w:val="24"/>
          <w:szCs w:val="24"/>
        </w:rPr>
        <w:t>in real terms).</w:t>
      </w:r>
    </w:p>
    <w:p w14:paraId="24EF6609" w14:textId="77777777" w:rsidR="00CA10D7" w:rsidRPr="007457B1" w:rsidRDefault="00CA10D7" w:rsidP="00C07A5A">
      <w:pPr>
        <w:pStyle w:val="ListParagraph"/>
        <w:spacing w:line="360" w:lineRule="auto"/>
        <w:ind w:left="0"/>
        <w:jc w:val="both"/>
        <w:rPr>
          <w:rFonts w:ascii="Times New Roman" w:hAnsi="Times New Roman"/>
          <w:sz w:val="24"/>
          <w:szCs w:val="24"/>
        </w:rPr>
      </w:pPr>
    </w:p>
    <w:p w14:paraId="0F2A338D" w14:textId="77777777" w:rsidR="00CA10D7" w:rsidRPr="007457B1" w:rsidRDefault="00CA10D7" w:rsidP="00C07A5A">
      <w:pPr>
        <w:pStyle w:val="ListParagraph"/>
        <w:spacing w:line="360" w:lineRule="auto"/>
        <w:ind w:left="0"/>
        <w:jc w:val="both"/>
        <w:rPr>
          <w:rFonts w:ascii="Times New Roman" w:hAnsi="Times New Roman"/>
          <w:sz w:val="24"/>
          <w:szCs w:val="24"/>
        </w:rPr>
      </w:pPr>
      <w:r w:rsidRPr="007457B1">
        <w:rPr>
          <w:rFonts w:ascii="Times New Roman" w:hAnsi="Times New Roman"/>
          <w:sz w:val="24"/>
          <w:szCs w:val="24"/>
        </w:rPr>
        <w:t>The Committee was adamant that the Department cannot continue spending this much of the budget on consultants, especially while government is required to work towards a reduction in the wage bill, a reduction in the use of consultants and a drive towards ensuring that internal capacity</w:t>
      </w:r>
      <w:r w:rsidR="00C96B77" w:rsidRPr="007457B1">
        <w:rPr>
          <w:rFonts w:ascii="Times New Roman" w:hAnsi="Times New Roman"/>
          <w:sz w:val="24"/>
          <w:szCs w:val="24"/>
        </w:rPr>
        <w:t xml:space="preserve"> of the Department and its entities</w:t>
      </w:r>
      <w:r w:rsidRPr="007457B1">
        <w:rPr>
          <w:rFonts w:ascii="Times New Roman" w:hAnsi="Times New Roman"/>
          <w:sz w:val="24"/>
          <w:szCs w:val="24"/>
        </w:rPr>
        <w:t xml:space="preserve"> is strengthened.</w:t>
      </w:r>
    </w:p>
    <w:p w14:paraId="61085840" w14:textId="77777777" w:rsidR="00523F81" w:rsidRPr="007457B1" w:rsidRDefault="00523F81" w:rsidP="00C07A5A">
      <w:pPr>
        <w:pStyle w:val="ListParagraph"/>
        <w:spacing w:line="360" w:lineRule="auto"/>
        <w:ind w:left="0"/>
        <w:jc w:val="both"/>
        <w:rPr>
          <w:rFonts w:ascii="Times New Roman" w:hAnsi="Times New Roman"/>
          <w:sz w:val="24"/>
          <w:szCs w:val="24"/>
        </w:rPr>
      </w:pPr>
    </w:p>
    <w:p w14:paraId="182E79A7" w14:textId="77777777" w:rsidR="00523F81" w:rsidRPr="007457B1" w:rsidRDefault="00523F81" w:rsidP="00C07A5A">
      <w:pPr>
        <w:pStyle w:val="ListParagraph"/>
        <w:spacing w:line="360" w:lineRule="auto"/>
        <w:ind w:left="0"/>
        <w:jc w:val="both"/>
        <w:rPr>
          <w:rFonts w:ascii="Times New Roman" w:hAnsi="Times New Roman"/>
          <w:sz w:val="24"/>
          <w:szCs w:val="24"/>
        </w:rPr>
      </w:pPr>
    </w:p>
    <w:p w14:paraId="49FDAC72" w14:textId="77777777" w:rsidR="00A708EE" w:rsidRPr="007457B1" w:rsidRDefault="000249BD" w:rsidP="00C07A5A">
      <w:pPr>
        <w:pStyle w:val="ListParagraph"/>
        <w:spacing w:line="360" w:lineRule="auto"/>
        <w:ind w:left="0"/>
        <w:jc w:val="both"/>
        <w:rPr>
          <w:rFonts w:ascii="Times New Roman" w:hAnsi="Times New Roman"/>
          <w:b/>
          <w:sz w:val="24"/>
          <w:szCs w:val="24"/>
        </w:rPr>
      </w:pPr>
      <w:r w:rsidRPr="007457B1">
        <w:rPr>
          <w:rFonts w:ascii="Times New Roman" w:hAnsi="Times New Roman"/>
          <w:b/>
          <w:sz w:val="24"/>
          <w:szCs w:val="24"/>
        </w:rPr>
        <w:t>7.3</w:t>
      </w:r>
      <w:r w:rsidR="00596A0F" w:rsidRPr="007457B1">
        <w:rPr>
          <w:rFonts w:ascii="Times New Roman" w:hAnsi="Times New Roman"/>
          <w:sz w:val="24"/>
          <w:szCs w:val="24"/>
        </w:rPr>
        <w:tab/>
      </w:r>
      <w:r w:rsidR="001E369C" w:rsidRPr="007457B1">
        <w:rPr>
          <w:rFonts w:ascii="Times New Roman" w:hAnsi="Times New Roman"/>
          <w:b/>
          <w:sz w:val="24"/>
          <w:szCs w:val="24"/>
        </w:rPr>
        <w:t>Public Transport Network Grant (PTNG)</w:t>
      </w:r>
    </w:p>
    <w:p w14:paraId="23CD74C5" w14:textId="77777777" w:rsidR="00596A0F" w:rsidRPr="007457B1" w:rsidRDefault="001E369C"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b</w:t>
      </w:r>
      <w:r w:rsidR="001314CE" w:rsidRPr="007457B1">
        <w:rPr>
          <w:rFonts w:ascii="Times New Roman" w:hAnsi="Times New Roman" w:cs="Times New Roman"/>
          <w:sz w:val="24"/>
          <w:szCs w:val="24"/>
        </w:rPr>
        <w:t>u</w:t>
      </w:r>
      <w:r w:rsidR="002C7F1E" w:rsidRPr="007457B1">
        <w:rPr>
          <w:rFonts w:ascii="Times New Roman" w:hAnsi="Times New Roman" w:cs="Times New Roman"/>
          <w:sz w:val="24"/>
          <w:szCs w:val="24"/>
        </w:rPr>
        <w:t>dget a</w:t>
      </w:r>
      <w:r w:rsidR="00596A0F" w:rsidRPr="007457B1">
        <w:rPr>
          <w:rFonts w:ascii="Times New Roman" w:hAnsi="Times New Roman" w:cs="Times New Roman"/>
          <w:sz w:val="24"/>
          <w:szCs w:val="24"/>
        </w:rPr>
        <w:t>llocation for the PTNG increased</w:t>
      </w:r>
      <w:r w:rsidR="002C7F1E" w:rsidRPr="007457B1">
        <w:rPr>
          <w:rFonts w:ascii="Times New Roman" w:hAnsi="Times New Roman" w:cs="Times New Roman"/>
          <w:sz w:val="24"/>
          <w:szCs w:val="24"/>
        </w:rPr>
        <w:t xml:space="preserve"> from R</w:t>
      </w:r>
      <w:r w:rsidR="00776424" w:rsidRPr="007457B1">
        <w:rPr>
          <w:rFonts w:ascii="Times New Roman" w:hAnsi="Times New Roman" w:cs="Times New Roman"/>
          <w:sz w:val="24"/>
          <w:szCs w:val="24"/>
        </w:rPr>
        <w:t>6.</w:t>
      </w:r>
      <w:r w:rsidR="00523F81" w:rsidRPr="007457B1">
        <w:rPr>
          <w:rFonts w:ascii="Times New Roman" w:hAnsi="Times New Roman" w:cs="Times New Roman"/>
          <w:sz w:val="24"/>
          <w:szCs w:val="24"/>
        </w:rPr>
        <w:t>3</w:t>
      </w:r>
      <w:r w:rsidR="00776424" w:rsidRPr="007457B1">
        <w:rPr>
          <w:rFonts w:ascii="Times New Roman" w:hAnsi="Times New Roman" w:cs="Times New Roman"/>
          <w:sz w:val="24"/>
          <w:szCs w:val="24"/>
        </w:rPr>
        <w:t xml:space="preserve"> billion in 201</w:t>
      </w:r>
      <w:r w:rsidR="00523F81" w:rsidRPr="007457B1">
        <w:rPr>
          <w:rFonts w:ascii="Times New Roman" w:hAnsi="Times New Roman" w:cs="Times New Roman"/>
          <w:sz w:val="24"/>
          <w:szCs w:val="24"/>
        </w:rPr>
        <w:t>8</w:t>
      </w:r>
      <w:r w:rsidR="00776424" w:rsidRPr="007457B1">
        <w:rPr>
          <w:rFonts w:ascii="Times New Roman" w:hAnsi="Times New Roman" w:cs="Times New Roman"/>
          <w:sz w:val="24"/>
          <w:szCs w:val="24"/>
        </w:rPr>
        <w:t>/1</w:t>
      </w:r>
      <w:r w:rsidR="00523F81" w:rsidRPr="007457B1">
        <w:rPr>
          <w:rFonts w:ascii="Times New Roman" w:hAnsi="Times New Roman" w:cs="Times New Roman"/>
          <w:sz w:val="24"/>
          <w:szCs w:val="24"/>
        </w:rPr>
        <w:t>9</w:t>
      </w:r>
      <w:r w:rsidR="00776424" w:rsidRPr="007457B1">
        <w:rPr>
          <w:rFonts w:ascii="Times New Roman" w:hAnsi="Times New Roman" w:cs="Times New Roman"/>
          <w:sz w:val="24"/>
          <w:szCs w:val="24"/>
        </w:rPr>
        <w:t xml:space="preserve"> to R6.</w:t>
      </w:r>
      <w:r w:rsidR="00523F81" w:rsidRPr="007457B1">
        <w:rPr>
          <w:rFonts w:ascii="Times New Roman" w:hAnsi="Times New Roman" w:cs="Times New Roman"/>
          <w:sz w:val="24"/>
          <w:szCs w:val="24"/>
        </w:rPr>
        <w:t>5</w:t>
      </w:r>
      <w:r w:rsidR="00776424" w:rsidRPr="007457B1">
        <w:rPr>
          <w:rFonts w:ascii="Times New Roman" w:hAnsi="Times New Roman" w:cs="Times New Roman"/>
          <w:sz w:val="24"/>
          <w:szCs w:val="24"/>
        </w:rPr>
        <w:t xml:space="preserve"> b</w:t>
      </w:r>
      <w:r w:rsidR="002C7F1E" w:rsidRPr="007457B1">
        <w:rPr>
          <w:rFonts w:ascii="Times New Roman" w:hAnsi="Times New Roman" w:cs="Times New Roman"/>
          <w:sz w:val="24"/>
          <w:szCs w:val="24"/>
        </w:rPr>
        <w:t xml:space="preserve">illion </w:t>
      </w:r>
      <w:r w:rsidR="00776424" w:rsidRPr="007457B1">
        <w:rPr>
          <w:rFonts w:ascii="Times New Roman" w:hAnsi="Times New Roman" w:cs="Times New Roman"/>
          <w:sz w:val="24"/>
          <w:szCs w:val="24"/>
        </w:rPr>
        <w:t>in 201</w:t>
      </w:r>
      <w:r w:rsidR="00523F81" w:rsidRPr="007457B1">
        <w:rPr>
          <w:rFonts w:ascii="Times New Roman" w:hAnsi="Times New Roman" w:cs="Times New Roman"/>
          <w:sz w:val="24"/>
          <w:szCs w:val="24"/>
        </w:rPr>
        <w:t>9</w:t>
      </w:r>
      <w:r w:rsidR="00776424" w:rsidRPr="007457B1">
        <w:rPr>
          <w:rFonts w:ascii="Times New Roman" w:hAnsi="Times New Roman" w:cs="Times New Roman"/>
          <w:sz w:val="24"/>
          <w:szCs w:val="24"/>
        </w:rPr>
        <w:t>/</w:t>
      </w:r>
      <w:r w:rsidR="00523F81" w:rsidRPr="007457B1">
        <w:rPr>
          <w:rFonts w:ascii="Times New Roman" w:hAnsi="Times New Roman" w:cs="Times New Roman"/>
          <w:sz w:val="24"/>
          <w:szCs w:val="24"/>
        </w:rPr>
        <w:t>20</w:t>
      </w:r>
      <w:r w:rsidR="00776424" w:rsidRPr="007457B1">
        <w:rPr>
          <w:rFonts w:ascii="Times New Roman" w:hAnsi="Times New Roman" w:cs="Times New Roman"/>
          <w:sz w:val="24"/>
          <w:szCs w:val="24"/>
        </w:rPr>
        <w:t>.</w:t>
      </w:r>
      <w:r w:rsidR="00D47475" w:rsidRPr="007457B1">
        <w:rPr>
          <w:rFonts w:ascii="Times New Roman" w:hAnsi="Times New Roman" w:cs="Times New Roman"/>
          <w:sz w:val="24"/>
          <w:szCs w:val="24"/>
        </w:rPr>
        <w:t xml:space="preserve">  </w:t>
      </w:r>
      <w:r w:rsidR="00AC59F3" w:rsidRPr="007457B1">
        <w:rPr>
          <w:rFonts w:ascii="Times New Roman" w:hAnsi="Times New Roman" w:cs="Times New Roman"/>
          <w:sz w:val="24"/>
          <w:szCs w:val="24"/>
        </w:rPr>
        <w:t xml:space="preserve"> </w:t>
      </w:r>
      <w:r w:rsidR="00351053" w:rsidRPr="007457B1">
        <w:rPr>
          <w:rFonts w:ascii="Times New Roman" w:hAnsi="Times New Roman" w:cs="Times New Roman"/>
          <w:sz w:val="24"/>
          <w:szCs w:val="24"/>
        </w:rPr>
        <w:t>The Committee noted that the implementation and</w:t>
      </w:r>
      <w:r w:rsidR="00C96B77" w:rsidRPr="007457B1">
        <w:rPr>
          <w:rFonts w:ascii="Times New Roman" w:hAnsi="Times New Roman" w:cs="Times New Roman"/>
          <w:sz w:val="24"/>
          <w:szCs w:val="24"/>
        </w:rPr>
        <w:t>/or</w:t>
      </w:r>
      <w:r w:rsidR="00351053" w:rsidRPr="007457B1">
        <w:rPr>
          <w:rFonts w:ascii="Times New Roman" w:hAnsi="Times New Roman" w:cs="Times New Roman"/>
          <w:sz w:val="24"/>
          <w:szCs w:val="24"/>
        </w:rPr>
        <w:t xml:space="preserve"> rollout of these projects differ in each municipality</w:t>
      </w:r>
      <w:r w:rsidR="00C96B77" w:rsidRPr="007457B1">
        <w:rPr>
          <w:rFonts w:ascii="Times New Roman" w:hAnsi="Times New Roman" w:cs="Times New Roman"/>
          <w:sz w:val="24"/>
          <w:szCs w:val="24"/>
        </w:rPr>
        <w:t xml:space="preserve"> despite past targets having been for operations to begin in nine cities by the end of 2018/19 whereas the actual progress </w:t>
      </w:r>
      <w:r w:rsidR="009A14AC" w:rsidRPr="007457B1">
        <w:rPr>
          <w:rFonts w:ascii="Times New Roman" w:hAnsi="Times New Roman" w:cs="Times New Roman"/>
          <w:sz w:val="24"/>
          <w:szCs w:val="24"/>
        </w:rPr>
        <w:t xml:space="preserve">indicated in the APP of 2019/20 </w:t>
      </w:r>
      <w:r w:rsidR="00C96B77" w:rsidRPr="007457B1">
        <w:rPr>
          <w:rFonts w:ascii="Times New Roman" w:hAnsi="Times New Roman" w:cs="Times New Roman"/>
          <w:sz w:val="24"/>
          <w:szCs w:val="24"/>
        </w:rPr>
        <w:t>was that only six had beg</w:t>
      </w:r>
      <w:r w:rsidR="00E6562B" w:rsidRPr="007457B1">
        <w:rPr>
          <w:rFonts w:ascii="Times New Roman" w:hAnsi="Times New Roman" w:cs="Times New Roman"/>
          <w:sz w:val="24"/>
          <w:szCs w:val="24"/>
        </w:rPr>
        <w:t>u</w:t>
      </w:r>
      <w:r w:rsidR="00C96B77" w:rsidRPr="007457B1">
        <w:rPr>
          <w:rFonts w:ascii="Times New Roman" w:hAnsi="Times New Roman" w:cs="Times New Roman"/>
          <w:sz w:val="24"/>
          <w:szCs w:val="24"/>
        </w:rPr>
        <w:t>n operations (one of which is a pilot of a small scale service). The Committee further raised concerns regarding the progress on the planned targets for roll-out of the IPTNs in the municipalities when such progress is compared to the billions of allocated funds already spent on the projects.</w:t>
      </w:r>
    </w:p>
    <w:p w14:paraId="1C057DDD" w14:textId="77777777" w:rsidR="00C96B77" w:rsidRPr="007457B1" w:rsidRDefault="00C96B77"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It was noted that the </w:t>
      </w:r>
      <w:r w:rsidR="007F407E" w:rsidRPr="007457B1">
        <w:rPr>
          <w:rFonts w:ascii="Times New Roman" w:hAnsi="Times New Roman" w:cs="Times New Roman"/>
          <w:sz w:val="24"/>
          <w:szCs w:val="24"/>
        </w:rPr>
        <w:t>Department had issued an instruction to scale down plans and big ticket infrastructure in these projects, but to rather optimise modal technologies based on realistic demand volumes. Designed projects or earlier plans in smaller cities have been amended to focus mostly on supplying new vehicles, few stations and shelters/stops and other related infrastructure such as depots.</w:t>
      </w:r>
    </w:p>
    <w:p w14:paraId="19BA4807" w14:textId="77777777" w:rsidR="00C96B77" w:rsidRPr="007457B1" w:rsidRDefault="00C96B77"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It was noted that the Department will be working on a Regional Integration Strategy as a new indicator in the APP for 2019/20 and that this is targeted to be submitted to Cabinet by March 2022.</w:t>
      </w:r>
    </w:p>
    <w:p w14:paraId="1A69E5A0" w14:textId="77777777" w:rsidR="00ED4976" w:rsidRPr="007457B1" w:rsidRDefault="00ED4976" w:rsidP="00C07A5A">
      <w:pPr>
        <w:spacing w:line="360" w:lineRule="auto"/>
        <w:jc w:val="both"/>
        <w:rPr>
          <w:rFonts w:ascii="Times New Roman" w:hAnsi="Times New Roman" w:cs="Times New Roman"/>
          <w:sz w:val="24"/>
          <w:szCs w:val="24"/>
        </w:rPr>
      </w:pPr>
    </w:p>
    <w:p w14:paraId="6B9ADDA0" w14:textId="77777777" w:rsidR="0076782E" w:rsidRPr="007457B1" w:rsidRDefault="00596A0F" w:rsidP="00C07A5A">
      <w:pPr>
        <w:spacing w:line="360" w:lineRule="auto"/>
        <w:jc w:val="both"/>
        <w:rPr>
          <w:rFonts w:ascii="Times New Roman" w:hAnsi="Times New Roman" w:cs="Times New Roman"/>
          <w:b/>
          <w:sz w:val="24"/>
          <w:szCs w:val="24"/>
        </w:rPr>
      </w:pPr>
      <w:r w:rsidRPr="007457B1">
        <w:rPr>
          <w:rFonts w:ascii="Times New Roman" w:hAnsi="Times New Roman" w:cs="Times New Roman"/>
          <w:sz w:val="24"/>
          <w:szCs w:val="24"/>
        </w:rPr>
        <w:t xml:space="preserve"> </w:t>
      </w:r>
      <w:r w:rsidRPr="007457B1">
        <w:rPr>
          <w:rFonts w:ascii="Times New Roman" w:hAnsi="Times New Roman" w:cs="Times New Roman"/>
          <w:b/>
          <w:sz w:val="24"/>
          <w:szCs w:val="24"/>
        </w:rPr>
        <w:t>7.</w:t>
      </w:r>
      <w:r w:rsidR="000249BD" w:rsidRPr="007457B1">
        <w:rPr>
          <w:rFonts w:ascii="Times New Roman" w:hAnsi="Times New Roman" w:cs="Times New Roman"/>
          <w:b/>
          <w:sz w:val="24"/>
          <w:szCs w:val="24"/>
        </w:rPr>
        <w:t>4</w:t>
      </w:r>
      <w:r w:rsidRPr="007457B1">
        <w:rPr>
          <w:rFonts w:ascii="Times New Roman" w:hAnsi="Times New Roman" w:cs="Times New Roman"/>
          <w:sz w:val="24"/>
          <w:szCs w:val="24"/>
        </w:rPr>
        <w:tab/>
      </w:r>
      <w:r w:rsidR="00E6255B" w:rsidRPr="007457B1">
        <w:rPr>
          <w:rFonts w:ascii="Times New Roman" w:hAnsi="Times New Roman" w:cs="Times New Roman"/>
          <w:b/>
          <w:sz w:val="24"/>
          <w:szCs w:val="24"/>
        </w:rPr>
        <w:t>Provincial</w:t>
      </w:r>
      <w:r w:rsidR="00E6255B" w:rsidRPr="007457B1">
        <w:rPr>
          <w:rFonts w:ascii="Times New Roman" w:hAnsi="Times New Roman" w:cs="Times New Roman"/>
          <w:sz w:val="24"/>
          <w:szCs w:val="24"/>
        </w:rPr>
        <w:t xml:space="preserve"> </w:t>
      </w:r>
      <w:r w:rsidR="00AA4BFB" w:rsidRPr="007457B1">
        <w:rPr>
          <w:rFonts w:ascii="Times New Roman" w:hAnsi="Times New Roman" w:cs="Times New Roman"/>
          <w:b/>
          <w:sz w:val="24"/>
          <w:szCs w:val="24"/>
        </w:rPr>
        <w:t xml:space="preserve">Road </w:t>
      </w:r>
      <w:r w:rsidR="00E6255B" w:rsidRPr="007457B1">
        <w:rPr>
          <w:rFonts w:ascii="Times New Roman" w:hAnsi="Times New Roman" w:cs="Times New Roman"/>
          <w:b/>
          <w:sz w:val="24"/>
          <w:szCs w:val="24"/>
        </w:rPr>
        <w:t>M</w:t>
      </w:r>
      <w:r w:rsidR="00AA4BFB" w:rsidRPr="007457B1">
        <w:rPr>
          <w:rFonts w:ascii="Times New Roman" w:hAnsi="Times New Roman" w:cs="Times New Roman"/>
          <w:b/>
          <w:sz w:val="24"/>
          <w:szCs w:val="24"/>
        </w:rPr>
        <w:t>aintenance</w:t>
      </w:r>
      <w:r w:rsidR="00E6255B" w:rsidRPr="007457B1">
        <w:rPr>
          <w:rFonts w:ascii="Times New Roman" w:hAnsi="Times New Roman" w:cs="Times New Roman"/>
          <w:b/>
          <w:sz w:val="24"/>
          <w:szCs w:val="24"/>
        </w:rPr>
        <w:t xml:space="preserve"> Grant</w:t>
      </w:r>
      <w:r w:rsidR="00AA4BFB" w:rsidRPr="007457B1">
        <w:rPr>
          <w:rFonts w:ascii="Times New Roman" w:hAnsi="Times New Roman" w:cs="Times New Roman"/>
          <w:b/>
          <w:sz w:val="24"/>
          <w:szCs w:val="24"/>
        </w:rPr>
        <w:t xml:space="preserve"> (PRMG)</w:t>
      </w:r>
    </w:p>
    <w:p w14:paraId="2F352D4D" w14:textId="77777777" w:rsidR="0086541F" w:rsidRPr="007457B1" w:rsidRDefault="00596A0F" w:rsidP="00C07A5A">
      <w:pPr>
        <w:spacing w:line="360" w:lineRule="auto"/>
        <w:ind w:hanging="142"/>
        <w:jc w:val="both"/>
        <w:rPr>
          <w:rFonts w:ascii="Times New Roman" w:hAnsi="Times New Roman" w:cs="Times New Roman"/>
          <w:sz w:val="24"/>
          <w:szCs w:val="24"/>
        </w:rPr>
      </w:pPr>
      <w:r w:rsidRPr="007457B1">
        <w:rPr>
          <w:rFonts w:ascii="Times New Roman" w:hAnsi="Times New Roman" w:cs="Times New Roman"/>
          <w:sz w:val="24"/>
          <w:szCs w:val="24"/>
        </w:rPr>
        <w:t xml:space="preserve"> </w:t>
      </w:r>
      <w:r w:rsidR="00371B5E" w:rsidRPr="007457B1">
        <w:rPr>
          <w:rFonts w:ascii="Times New Roman" w:hAnsi="Times New Roman" w:cs="Times New Roman"/>
          <w:sz w:val="24"/>
          <w:szCs w:val="24"/>
        </w:rPr>
        <w:t xml:space="preserve">  </w:t>
      </w:r>
      <w:r w:rsidR="00853926" w:rsidRPr="007457B1">
        <w:rPr>
          <w:rFonts w:ascii="Times New Roman" w:hAnsi="Times New Roman" w:cs="Times New Roman"/>
          <w:sz w:val="24"/>
          <w:szCs w:val="24"/>
        </w:rPr>
        <w:t>The Commit</w:t>
      </w:r>
      <w:r w:rsidR="00B4669E" w:rsidRPr="007457B1">
        <w:rPr>
          <w:rFonts w:ascii="Times New Roman" w:hAnsi="Times New Roman" w:cs="Times New Roman"/>
          <w:sz w:val="24"/>
          <w:szCs w:val="24"/>
        </w:rPr>
        <w:t>t</w:t>
      </w:r>
      <w:r w:rsidR="00853926" w:rsidRPr="007457B1">
        <w:rPr>
          <w:rFonts w:ascii="Times New Roman" w:hAnsi="Times New Roman" w:cs="Times New Roman"/>
          <w:sz w:val="24"/>
          <w:szCs w:val="24"/>
        </w:rPr>
        <w:t>ee observed that the budget allocation for the PRMG:</w:t>
      </w:r>
      <w:r w:rsidR="00206913" w:rsidRPr="007457B1">
        <w:rPr>
          <w:rFonts w:ascii="Times New Roman" w:hAnsi="Times New Roman" w:cs="Times New Roman"/>
          <w:sz w:val="24"/>
          <w:szCs w:val="24"/>
        </w:rPr>
        <w:t xml:space="preserve"> </w:t>
      </w:r>
      <w:r w:rsidR="00B4669E" w:rsidRPr="007457B1">
        <w:rPr>
          <w:rFonts w:ascii="Times New Roman" w:hAnsi="Times New Roman" w:cs="Times New Roman"/>
          <w:sz w:val="24"/>
          <w:szCs w:val="24"/>
        </w:rPr>
        <w:t xml:space="preserve">roads maintenance </w:t>
      </w:r>
      <w:r w:rsidR="00371B5E" w:rsidRPr="007457B1">
        <w:rPr>
          <w:rFonts w:ascii="Times New Roman" w:hAnsi="Times New Roman" w:cs="Times New Roman"/>
          <w:sz w:val="24"/>
          <w:szCs w:val="24"/>
        </w:rPr>
        <w:t>component increased</w:t>
      </w:r>
      <w:r w:rsidR="00B4669E" w:rsidRPr="007457B1">
        <w:rPr>
          <w:rFonts w:ascii="Times New Roman" w:hAnsi="Times New Roman" w:cs="Times New Roman"/>
          <w:sz w:val="24"/>
          <w:szCs w:val="24"/>
        </w:rPr>
        <w:t xml:space="preserve"> from R10</w:t>
      </w:r>
      <w:r w:rsidR="00523F81" w:rsidRPr="007457B1">
        <w:rPr>
          <w:rFonts w:ascii="Times New Roman" w:hAnsi="Times New Roman" w:cs="Times New Roman"/>
          <w:sz w:val="24"/>
          <w:szCs w:val="24"/>
        </w:rPr>
        <w:t>.3</w:t>
      </w:r>
      <w:r w:rsidR="00B4669E" w:rsidRPr="007457B1">
        <w:rPr>
          <w:rFonts w:ascii="Times New Roman" w:hAnsi="Times New Roman" w:cs="Times New Roman"/>
          <w:sz w:val="24"/>
          <w:szCs w:val="24"/>
        </w:rPr>
        <w:t xml:space="preserve"> billion in 201</w:t>
      </w:r>
      <w:r w:rsidR="00523F81" w:rsidRPr="007457B1">
        <w:rPr>
          <w:rFonts w:ascii="Times New Roman" w:hAnsi="Times New Roman" w:cs="Times New Roman"/>
          <w:sz w:val="24"/>
          <w:szCs w:val="24"/>
        </w:rPr>
        <w:t>8</w:t>
      </w:r>
      <w:r w:rsidR="00B4669E" w:rsidRPr="007457B1">
        <w:rPr>
          <w:rFonts w:ascii="Times New Roman" w:hAnsi="Times New Roman" w:cs="Times New Roman"/>
          <w:sz w:val="24"/>
          <w:szCs w:val="24"/>
        </w:rPr>
        <w:t>/1</w:t>
      </w:r>
      <w:r w:rsidR="00523F81" w:rsidRPr="007457B1">
        <w:rPr>
          <w:rFonts w:ascii="Times New Roman" w:hAnsi="Times New Roman" w:cs="Times New Roman"/>
          <w:sz w:val="24"/>
          <w:szCs w:val="24"/>
        </w:rPr>
        <w:t>9</w:t>
      </w:r>
      <w:r w:rsidR="00B4669E" w:rsidRPr="007457B1">
        <w:rPr>
          <w:rFonts w:ascii="Times New Roman" w:hAnsi="Times New Roman" w:cs="Times New Roman"/>
          <w:sz w:val="24"/>
          <w:szCs w:val="24"/>
        </w:rPr>
        <w:t xml:space="preserve"> </w:t>
      </w:r>
      <w:r w:rsidR="00E906AA" w:rsidRPr="007457B1">
        <w:rPr>
          <w:rFonts w:ascii="Times New Roman" w:hAnsi="Times New Roman" w:cs="Times New Roman"/>
          <w:sz w:val="24"/>
          <w:szCs w:val="24"/>
        </w:rPr>
        <w:t>to R10.</w:t>
      </w:r>
      <w:r w:rsidR="00523F81" w:rsidRPr="007457B1">
        <w:rPr>
          <w:rFonts w:ascii="Times New Roman" w:hAnsi="Times New Roman" w:cs="Times New Roman"/>
          <w:sz w:val="24"/>
          <w:szCs w:val="24"/>
        </w:rPr>
        <w:t>6</w:t>
      </w:r>
      <w:r w:rsidR="00E906AA" w:rsidRPr="007457B1">
        <w:rPr>
          <w:rFonts w:ascii="Times New Roman" w:hAnsi="Times New Roman" w:cs="Times New Roman"/>
          <w:sz w:val="24"/>
          <w:szCs w:val="24"/>
        </w:rPr>
        <w:t xml:space="preserve"> billion in 201</w:t>
      </w:r>
      <w:r w:rsidR="00523F81" w:rsidRPr="007457B1">
        <w:rPr>
          <w:rFonts w:ascii="Times New Roman" w:hAnsi="Times New Roman" w:cs="Times New Roman"/>
          <w:sz w:val="24"/>
          <w:szCs w:val="24"/>
        </w:rPr>
        <w:t>9</w:t>
      </w:r>
      <w:r w:rsidR="00E906AA" w:rsidRPr="007457B1">
        <w:rPr>
          <w:rFonts w:ascii="Times New Roman" w:hAnsi="Times New Roman" w:cs="Times New Roman"/>
          <w:sz w:val="24"/>
          <w:szCs w:val="24"/>
        </w:rPr>
        <w:t>/</w:t>
      </w:r>
      <w:r w:rsidR="00523F81" w:rsidRPr="007457B1">
        <w:rPr>
          <w:rFonts w:ascii="Times New Roman" w:hAnsi="Times New Roman" w:cs="Times New Roman"/>
          <w:sz w:val="24"/>
          <w:szCs w:val="24"/>
        </w:rPr>
        <w:t>20</w:t>
      </w:r>
      <w:r w:rsidR="00E906AA" w:rsidRPr="007457B1">
        <w:rPr>
          <w:rFonts w:ascii="Times New Roman" w:hAnsi="Times New Roman" w:cs="Times New Roman"/>
          <w:sz w:val="24"/>
          <w:szCs w:val="24"/>
        </w:rPr>
        <w:t xml:space="preserve">. </w:t>
      </w:r>
      <w:r w:rsidR="00523F81" w:rsidRPr="007457B1">
        <w:rPr>
          <w:rFonts w:ascii="Times New Roman" w:hAnsi="Times New Roman" w:cs="Times New Roman"/>
          <w:sz w:val="24"/>
          <w:szCs w:val="24"/>
        </w:rPr>
        <w:t>The PRMG: Disaster relief component decreased from R210.0 million in 2018/19 to R206.2 million in 2019/20. The PRMG: Mpumalanga coal haulage roads maintenance component increased significantly from R501.1 million in 2018/19 to R526.2 million in 2019/20.</w:t>
      </w:r>
    </w:p>
    <w:p w14:paraId="2617A549" w14:textId="77777777" w:rsidR="009A14AC" w:rsidRPr="007457B1" w:rsidRDefault="009A14AC" w:rsidP="009A14AC">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During its presentation</w:t>
      </w:r>
      <w:r w:rsidR="00E6562B" w:rsidRPr="007457B1">
        <w:rPr>
          <w:rFonts w:ascii="Times New Roman" w:hAnsi="Times New Roman" w:cs="Times New Roman"/>
          <w:sz w:val="24"/>
          <w:szCs w:val="24"/>
        </w:rPr>
        <w:t>,</w:t>
      </w:r>
      <w:r w:rsidRPr="007457B1">
        <w:rPr>
          <w:rFonts w:ascii="Times New Roman" w:hAnsi="Times New Roman" w:cs="Times New Roman"/>
          <w:sz w:val="24"/>
          <w:szCs w:val="24"/>
        </w:rPr>
        <w:t xml:space="preserve"> the Department indicated that a trend had emerged over the past few years whereby some Provinces would decrease their allocation of provincial funds to road projects in years where the PRMG grant transferred from the Department had an increased allocation</w:t>
      </w:r>
      <w:r w:rsidR="00560DFB" w:rsidRPr="007457B1">
        <w:rPr>
          <w:rFonts w:ascii="Times New Roman" w:hAnsi="Times New Roman" w:cs="Times New Roman"/>
          <w:sz w:val="24"/>
          <w:szCs w:val="24"/>
        </w:rPr>
        <w:t xml:space="preserve">. The Committee noted </w:t>
      </w:r>
      <w:r w:rsidR="00E6562B" w:rsidRPr="007457B1">
        <w:rPr>
          <w:rFonts w:ascii="Times New Roman" w:hAnsi="Times New Roman" w:cs="Times New Roman"/>
          <w:sz w:val="24"/>
          <w:szCs w:val="24"/>
        </w:rPr>
        <w:t xml:space="preserve">its </w:t>
      </w:r>
      <w:r w:rsidR="00560DFB" w:rsidRPr="007457B1">
        <w:rPr>
          <w:rFonts w:ascii="Times New Roman" w:hAnsi="Times New Roman" w:cs="Times New Roman"/>
          <w:sz w:val="24"/>
          <w:szCs w:val="24"/>
        </w:rPr>
        <w:t>concern of such practices and indicated that this must come to an end as there should be guidelines by which the Department would support grant allocation increases based on reciprocated commitments in funding and spending capacity from the provinces for these road maintenance projects.</w:t>
      </w:r>
    </w:p>
    <w:p w14:paraId="742CB1D7" w14:textId="77777777" w:rsidR="00490066" w:rsidRDefault="00490066" w:rsidP="00080EC4">
      <w:pPr>
        <w:spacing w:line="360" w:lineRule="auto"/>
        <w:jc w:val="both"/>
        <w:rPr>
          <w:rFonts w:ascii="Times New Roman" w:hAnsi="Times New Roman" w:cs="Times New Roman"/>
          <w:sz w:val="24"/>
          <w:szCs w:val="24"/>
        </w:rPr>
      </w:pPr>
    </w:p>
    <w:p w14:paraId="71AF7A84" w14:textId="77777777" w:rsidR="00B74E04" w:rsidRPr="007457B1" w:rsidRDefault="000249BD" w:rsidP="00080EC4">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7.5</w:t>
      </w:r>
      <w:r w:rsidR="0086541F" w:rsidRPr="007457B1">
        <w:rPr>
          <w:rFonts w:ascii="Times New Roman" w:hAnsi="Times New Roman" w:cs="Times New Roman"/>
          <w:sz w:val="24"/>
          <w:szCs w:val="24"/>
        </w:rPr>
        <w:tab/>
      </w:r>
      <w:r w:rsidR="00B74E04" w:rsidRPr="007457B1">
        <w:rPr>
          <w:rFonts w:ascii="Times New Roman" w:hAnsi="Times New Roman" w:cs="Times New Roman"/>
          <w:b/>
          <w:sz w:val="24"/>
          <w:szCs w:val="24"/>
        </w:rPr>
        <w:t>Moloto Road upgrade</w:t>
      </w:r>
      <w:r w:rsidR="00A352D1" w:rsidRPr="007457B1">
        <w:rPr>
          <w:rFonts w:ascii="Times New Roman" w:hAnsi="Times New Roman" w:cs="Times New Roman"/>
          <w:b/>
          <w:sz w:val="24"/>
          <w:szCs w:val="24"/>
        </w:rPr>
        <w:t xml:space="preserve"> and Moloto Development Corridor</w:t>
      </w:r>
    </w:p>
    <w:p w14:paraId="73FC0C11" w14:textId="77777777" w:rsidR="009D73BC" w:rsidRPr="007457B1" w:rsidRDefault="009D73BC"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For SANRAL, R3.3 billion is allocated</w:t>
      </w:r>
      <w:r w:rsidR="006F75F5" w:rsidRPr="007457B1">
        <w:rPr>
          <w:rFonts w:ascii="Times New Roman" w:hAnsi="Times New Roman" w:cs="Times New Roman"/>
          <w:sz w:val="24"/>
          <w:szCs w:val="24"/>
        </w:rPr>
        <w:t xml:space="preserve"> over the medium term</w:t>
      </w:r>
      <w:r w:rsidRPr="007457B1">
        <w:rPr>
          <w:rFonts w:ascii="Times New Roman" w:hAnsi="Times New Roman" w:cs="Times New Roman"/>
          <w:sz w:val="24"/>
          <w:szCs w:val="24"/>
        </w:rPr>
        <w:t xml:space="preserve"> for the upgrade of the R573 (Moloto Road).</w:t>
      </w:r>
    </w:p>
    <w:p w14:paraId="2767DA98" w14:textId="77777777" w:rsidR="00560DFB" w:rsidRPr="007457B1" w:rsidRDefault="0087000D"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Committee noted the </w:t>
      </w:r>
      <w:r w:rsidR="00777318" w:rsidRPr="007457B1">
        <w:rPr>
          <w:rFonts w:ascii="Times New Roman" w:hAnsi="Times New Roman" w:cs="Times New Roman"/>
          <w:sz w:val="24"/>
          <w:szCs w:val="24"/>
        </w:rPr>
        <w:t>decrease</w:t>
      </w:r>
      <w:r w:rsidRPr="007457B1">
        <w:rPr>
          <w:rFonts w:ascii="Times New Roman" w:hAnsi="Times New Roman" w:cs="Times New Roman"/>
          <w:sz w:val="24"/>
          <w:szCs w:val="24"/>
        </w:rPr>
        <w:t xml:space="preserve"> in the </w:t>
      </w:r>
      <w:r w:rsidR="00CE3BEC" w:rsidRPr="007457B1">
        <w:rPr>
          <w:rFonts w:ascii="Times New Roman" w:hAnsi="Times New Roman" w:cs="Times New Roman"/>
          <w:sz w:val="24"/>
          <w:szCs w:val="24"/>
        </w:rPr>
        <w:t>budget allocation</w:t>
      </w:r>
      <w:r w:rsidRPr="007457B1">
        <w:rPr>
          <w:rFonts w:ascii="Times New Roman" w:hAnsi="Times New Roman" w:cs="Times New Roman"/>
          <w:sz w:val="24"/>
          <w:szCs w:val="24"/>
        </w:rPr>
        <w:t xml:space="preserve"> from </w:t>
      </w:r>
      <w:r w:rsidR="00B74E04" w:rsidRPr="007457B1">
        <w:rPr>
          <w:rFonts w:ascii="Times New Roman" w:hAnsi="Times New Roman" w:cs="Times New Roman"/>
          <w:sz w:val="24"/>
          <w:szCs w:val="24"/>
        </w:rPr>
        <w:t>R1.</w:t>
      </w:r>
      <w:r w:rsidR="00777318" w:rsidRPr="007457B1">
        <w:rPr>
          <w:rFonts w:ascii="Times New Roman" w:hAnsi="Times New Roman" w:cs="Times New Roman"/>
          <w:sz w:val="24"/>
          <w:szCs w:val="24"/>
        </w:rPr>
        <w:t>8</w:t>
      </w:r>
      <w:r w:rsidR="00B74E04" w:rsidRPr="007457B1">
        <w:rPr>
          <w:rFonts w:ascii="Times New Roman" w:hAnsi="Times New Roman" w:cs="Times New Roman"/>
          <w:sz w:val="24"/>
          <w:szCs w:val="24"/>
        </w:rPr>
        <w:t xml:space="preserve"> billion in 201</w:t>
      </w:r>
      <w:r w:rsidR="00777318" w:rsidRPr="007457B1">
        <w:rPr>
          <w:rFonts w:ascii="Times New Roman" w:hAnsi="Times New Roman" w:cs="Times New Roman"/>
          <w:sz w:val="24"/>
          <w:szCs w:val="24"/>
        </w:rPr>
        <w:t>8</w:t>
      </w:r>
      <w:r w:rsidR="00B74E04" w:rsidRPr="007457B1">
        <w:rPr>
          <w:rFonts w:ascii="Times New Roman" w:hAnsi="Times New Roman" w:cs="Times New Roman"/>
          <w:sz w:val="24"/>
          <w:szCs w:val="24"/>
        </w:rPr>
        <w:t>/1</w:t>
      </w:r>
      <w:r w:rsidR="00777318" w:rsidRPr="007457B1">
        <w:rPr>
          <w:rFonts w:ascii="Times New Roman" w:hAnsi="Times New Roman" w:cs="Times New Roman"/>
          <w:sz w:val="24"/>
          <w:szCs w:val="24"/>
        </w:rPr>
        <w:t>9</w:t>
      </w:r>
      <w:r w:rsidR="00B74E04" w:rsidRPr="007457B1">
        <w:rPr>
          <w:rFonts w:ascii="Times New Roman" w:hAnsi="Times New Roman" w:cs="Times New Roman"/>
          <w:sz w:val="24"/>
          <w:szCs w:val="24"/>
        </w:rPr>
        <w:t xml:space="preserve"> to R1.</w:t>
      </w:r>
      <w:r w:rsidR="00777318" w:rsidRPr="007457B1">
        <w:rPr>
          <w:rFonts w:ascii="Times New Roman" w:hAnsi="Times New Roman" w:cs="Times New Roman"/>
          <w:sz w:val="24"/>
          <w:szCs w:val="24"/>
        </w:rPr>
        <w:t>7</w:t>
      </w:r>
      <w:r w:rsidR="00B74E04" w:rsidRPr="007457B1">
        <w:rPr>
          <w:rFonts w:ascii="Times New Roman" w:hAnsi="Times New Roman" w:cs="Times New Roman"/>
          <w:sz w:val="24"/>
          <w:szCs w:val="24"/>
        </w:rPr>
        <w:t xml:space="preserve"> billion in 201</w:t>
      </w:r>
      <w:r w:rsidR="00777318" w:rsidRPr="007457B1">
        <w:rPr>
          <w:rFonts w:ascii="Times New Roman" w:hAnsi="Times New Roman" w:cs="Times New Roman"/>
          <w:sz w:val="24"/>
          <w:szCs w:val="24"/>
        </w:rPr>
        <w:t>9</w:t>
      </w:r>
      <w:r w:rsidR="00B74E04" w:rsidRPr="007457B1">
        <w:rPr>
          <w:rFonts w:ascii="Times New Roman" w:hAnsi="Times New Roman" w:cs="Times New Roman"/>
          <w:sz w:val="24"/>
          <w:szCs w:val="24"/>
        </w:rPr>
        <w:t>/</w:t>
      </w:r>
      <w:r w:rsidR="00777318" w:rsidRPr="007457B1">
        <w:rPr>
          <w:rFonts w:ascii="Times New Roman" w:hAnsi="Times New Roman" w:cs="Times New Roman"/>
          <w:sz w:val="24"/>
          <w:szCs w:val="24"/>
        </w:rPr>
        <w:t>20</w:t>
      </w:r>
      <w:r w:rsidR="00B74E04" w:rsidRPr="007457B1">
        <w:rPr>
          <w:rFonts w:ascii="Times New Roman" w:hAnsi="Times New Roman" w:cs="Times New Roman"/>
          <w:sz w:val="24"/>
          <w:szCs w:val="24"/>
        </w:rPr>
        <w:t xml:space="preserve"> </w:t>
      </w:r>
      <w:r w:rsidR="004A2D12" w:rsidRPr="007457B1">
        <w:rPr>
          <w:rFonts w:ascii="Times New Roman" w:hAnsi="Times New Roman" w:cs="Times New Roman"/>
          <w:sz w:val="24"/>
          <w:szCs w:val="24"/>
        </w:rPr>
        <w:t>for the Moloto Road u</w:t>
      </w:r>
      <w:r w:rsidR="00CE3BEC" w:rsidRPr="007457B1">
        <w:rPr>
          <w:rFonts w:ascii="Times New Roman" w:hAnsi="Times New Roman" w:cs="Times New Roman"/>
          <w:sz w:val="24"/>
          <w:szCs w:val="24"/>
        </w:rPr>
        <w:t>pgrade.</w:t>
      </w:r>
      <w:r w:rsidRPr="007457B1">
        <w:rPr>
          <w:rFonts w:ascii="Times New Roman" w:hAnsi="Times New Roman" w:cs="Times New Roman"/>
          <w:sz w:val="24"/>
          <w:szCs w:val="24"/>
        </w:rPr>
        <w:t xml:space="preserve"> </w:t>
      </w:r>
      <w:r w:rsidR="00A352D1" w:rsidRPr="007457B1">
        <w:rPr>
          <w:rFonts w:ascii="Times New Roman" w:hAnsi="Times New Roman" w:cs="Times New Roman"/>
          <w:sz w:val="24"/>
          <w:szCs w:val="24"/>
        </w:rPr>
        <w:t xml:space="preserve">The Committee noted that there has been progress regarding the R573 Moloto Road that connects the three provinces of Gauteng, Mpumalanga and Limpopo. Mpumalanga and Limpopo provinces have transferred their sections of the road to SANRAL, </w:t>
      </w:r>
      <w:r w:rsidR="00F5282A" w:rsidRPr="007457B1">
        <w:rPr>
          <w:rFonts w:ascii="Times New Roman" w:hAnsi="Times New Roman" w:cs="Times New Roman"/>
          <w:sz w:val="24"/>
          <w:szCs w:val="24"/>
        </w:rPr>
        <w:t xml:space="preserve">while </w:t>
      </w:r>
      <w:r w:rsidR="00A352D1" w:rsidRPr="007457B1">
        <w:rPr>
          <w:rFonts w:ascii="Times New Roman" w:hAnsi="Times New Roman" w:cs="Times New Roman"/>
          <w:sz w:val="24"/>
          <w:szCs w:val="24"/>
        </w:rPr>
        <w:t xml:space="preserve">Gauteng province has not </w:t>
      </w:r>
      <w:r w:rsidR="00F5282A" w:rsidRPr="007457B1">
        <w:rPr>
          <w:rFonts w:ascii="Times New Roman" w:hAnsi="Times New Roman" w:cs="Times New Roman"/>
          <w:sz w:val="24"/>
          <w:szCs w:val="24"/>
        </w:rPr>
        <w:t>yet done so</w:t>
      </w:r>
      <w:r w:rsidR="00A352D1" w:rsidRPr="007457B1">
        <w:rPr>
          <w:rFonts w:ascii="Times New Roman" w:hAnsi="Times New Roman" w:cs="Times New Roman"/>
          <w:sz w:val="24"/>
          <w:szCs w:val="24"/>
        </w:rPr>
        <w:t xml:space="preserve">. The Committee was, however, concerned about the slow progress of this originally planned five year upgrade project and also noted that the </w:t>
      </w:r>
      <w:r w:rsidR="00E6562B" w:rsidRPr="007457B1">
        <w:rPr>
          <w:rFonts w:ascii="Times New Roman" w:hAnsi="Times New Roman" w:cs="Times New Roman"/>
          <w:sz w:val="24"/>
          <w:szCs w:val="24"/>
        </w:rPr>
        <w:t>r</w:t>
      </w:r>
      <w:r w:rsidR="00A352D1" w:rsidRPr="007457B1">
        <w:rPr>
          <w:rFonts w:ascii="Times New Roman" w:hAnsi="Times New Roman" w:cs="Times New Roman"/>
          <w:sz w:val="24"/>
          <w:szCs w:val="24"/>
        </w:rPr>
        <w:t>ail portion of the Development Corridor project has slowed</w:t>
      </w:r>
      <w:r w:rsidR="00560DFB" w:rsidRPr="007457B1">
        <w:rPr>
          <w:rFonts w:ascii="Times New Roman" w:hAnsi="Times New Roman" w:cs="Times New Roman"/>
          <w:sz w:val="24"/>
          <w:szCs w:val="24"/>
        </w:rPr>
        <w:t xml:space="preserve"> despite</w:t>
      </w:r>
      <w:r w:rsidR="006F75F5" w:rsidRPr="007457B1">
        <w:rPr>
          <w:rFonts w:ascii="Times New Roman" w:hAnsi="Times New Roman" w:cs="Times New Roman"/>
          <w:sz w:val="24"/>
          <w:szCs w:val="24"/>
        </w:rPr>
        <w:t xml:space="preserve"> the </w:t>
      </w:r>
      <w:r w:rsidR="005F4FE6" w:rsidRPr="007457B1">
        <w:rPr>
          <w:rFonts w:ascii="Times New Roman" w:hAnsi="Times New Roman" w:cs="Times New Roman"/>
          <w:sz w:val="24"/>
          <w:szCs w:val="24"/>
        </w:rPr>
        <w:t>PRASA Corporate Plan</w:t>
      </w:r>
      <w:r w:rsidR="00560DFB" w:rsidRPr="007457B1">
        <w:rPr>
          <w:rFonts w:ascii="Times New Roman" w:hAnsi="Times New Roman" w:cs="Times New Roman"/>
          <w:sz w:val="24"/>
          <w:szCs w:val="24"/>
        </w:rPr>
        <w:t xml:space="preserve"> of 2018/19 indicating</w:t>
      </w:r>
      <w:r w:rsidR="005F4FE6" w:rsidRPr="007457B1">
        <w:rPr>
          <w:rFonts w:ascii="Times New Roman" w:hAnsi="Times New Roman" w:cs="Times New Roman"/>
          <w:sz w:val="24"/>
          <w:szCs w:val="24"/>
        </w:rPr>
        <w:t xml:space="preserve"> that for 2018/19 the entity will target to finalise funding with the Department and National Treasury by the </w:t>
      </w:r>
      <w:r w:rsidR="00F5282A" w:rsidRPr="007457B1">
        <w:rPr>
          <w:rFonts w:ascii="Times New Roman" w:hAnsi="Times New Roman" w:cs="Times New Roman"/>
          <w:sz w:val="24"/>
          <w:szCs w:val="24"/>
        </w:rPr>
        <w:t>S</w:t>
      </w:r>
      <w:r w:rsidR="005F4FE6" w:rsidRPr="007457B1">
        <w:rPr>
          <w:rFonts w:ascii="Times New Roman" w:hAnsi="Times New Roman" w:cs="Times New Roman"/>
          <w:sz w:val="24"/>
          <w:szCs w:val="24"/>
        </w:rPr>
        <w:t xml:space="preserve">econd </w:t>
      </w:r>
      <w:r w:rsidR="00F5282A" w:rsidRPr="007457B1">
        <w:rPr>
          <w:rFonts w:ascii="Times New Roman" w:hAnsi="Times New Roman" w:cs="Times New Roman"/>
          <w:sz w:val="24"/>
          <w:szCs w:val="24"/>
        </w:rPr>
        <w:t>Q</w:t>
      </w:r>
      <w:r w:rsidR="005F4FE6" w:rsidRPr="007457B1">
        <w:rPr>
          <w:rFonts w:ascii="Times New Roman" w:hAnsi="Times New Roman" w:cs="Times New Roman"/>
          <w:sz w:val="24"/>
          <w:szCs w:val="24"/>
        </w:rPr>
        <w:t>uarter</w:t>
      </w:r>
      <w:r w:rsidR="00560DFB" w:rsidRPr="007457B1">
        <w:rPr>
          <w:rFonts w:ascii="Times New Roman" w:hAnsi="Times New Roman" w:cs="Times New Roman"/>
          <w:sz w:val="24"/>
          <w:szCs w:val="24"/>
        </w:rPr>
        <w:t xml:space="preserve">. It was further noted with concern that neither </w:t>
      </w:r>
      <w:r w:rsidR="006F75F5" w:rsidRPr="007457B1">
        <w:rPr>
          <w:rFonts w:ascii="Times New Roman" w:hAnsi="Times New Roman" w:cs="Times New Roman"/>
          <w:sz w:val="24"/>
          <w:szCs w:val="24"/>
        </w:rPr>
        <w:t xml:space="preserve">the budget </w:t>
      </w:r>
      <w:r w:rsidR="00560DFB" w:rsidRPr="007457B1">
        <w:rPr>
          <w:rFonts w:ascii="Times New Roman" w:hAnsi="Times New Roman" w:cs="Times New Roman"/>
          <w:sz w:val="24"/>
          <w:szCs w:val="24"/>
        </w:rPr>
        <w:t>allocation nor the Department</w:t>
      </w:r>
      <w:r w:rsidR="00E6562B" w:rsidRPr="007457B1">
        <w:rPr>
          <w:rFonts w:ascii="Times New Roman" w:hAnsi="Times New Roman" w:cs="Times New Roman"/>
          <w:sz w:val="24"/>
          <w:szCs w:val="24"/>
        </w:rPr>
        <w:t>’s</w:t>
      </w:r>
      <w:r w:rsidR="00560DFB" w:rsidRPr="007457B1">
        <w:rPr>
          <w:rFonts w:ascii="Times New Roman" w:hAnsi="Times New Roman" w:cs="Times New Roman"/>
          <w:sz w:val="24"/>
          <w:szCs w:val="24"/>
        </w:rPr>
        <w:t xml:space="preserve"> APP for 2019/20 </w:t>
      </w:r>
      <w:r w:rsidR="006F75F5" w:rsidRPr="007457B1">
        <w:rPr>
          <w:rFonts w:ascii="Times New Roman" w:hAnsi="Times New Roman" w:cs="Times New Roman"/>
          <w:sz w:val="24"/>
          <w:szCs w:val="24"/>
        </w:rPr>
        <w:t xml:space="preserve">makes </w:t>
      </w:r>
      <w:r w:rsidR="00560DFB" w:rsidRPr="007457B1">
        <w:rPr>
          <w:rFonts w:ascii="Times New Roman" w:hAnsi="Times New Roman" w:cs="Times New Roman"/>
          <w:sz w:val="24"/>
          <w:szCs w:val="24"/>
        </w:rPr>
        <w:t>any</w:t>
      </w:r>
      <w:r w:rsidR="006F75F5" w:rsidRPr="007457B1">
        <w:rPr>
          <w:rFonts w:ascii="Times New Roman" w:hAnsi="Times New Roman" w:cs="Times New Roman"/>
          <w:sz w:val="24"/>
          <w:szCs w:val="24"/>
        </w:rPr>
        <w:t xml:space="preserve"> mention of the Moloto (Rail) Development Corridor</w:t>
      </w:r>
      <w:r w:rsidR="00A352D1" w:rsidRPr="007457B1">
        <w:rPr>
          <w:rFonts w:ascii="Times New Roman" w:hAnsi="Times New Roman" w:cs="Times New Roman"/>
          <w:sz w:val="24"/>
          <w:szCs w:val="24"/>
        </w:rPr>
        <w:t xml:space="preserve">. </w:t>
      </w:r>
    </w:p>
    <w:p w14:paraId="5639BAC8" w14:textId="77777777" w:rsidR="00560DFB" w:rsidRPr="007457B1" w:rsidRDefault="00560DFB"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Department indicated to the Committee that fiscal constraints were affecting the rail portion of the Moloto Corridor project and that the focus had been shifted to prioritise the R573 Moloto Road project. Treasury had not allocated funds to the rail project due to affordability concerns </w:t>
      </w:r>
      <w:r w:rsidR="00A10AF0" w:rsidRPr="007457B1">
        <w:rPr>
          <w:rFonts w:ascii="Times New Roman" w:hAnsi="Times New Roman" w:cs="Times New Roman"/>
          <w:sz w:val="24"/>
          <w:szCs w:val="24"/>
        </w:rPr>
        <w:t>and there had been discussions that this project may have to move to the Presidential Infrastructure Coordinating Commission (PICC). In this regard</w:t>
      </w:r>
      <w:r w:rsidR="00E6562B" w:rsidRPr="007457B1">
        <w:rPr>
          <w:rFonts w:ascii="Times New Roman" w:hAnsi="Times New Roman" w:cs="Times New Roman"/>
          <w:sz w:val="24"/>
          <w:szCs w:val="24"/>
        </w:rPr>
        <w:t>,</w:t>
      </w:r>
      <w:r w:rsidR="00A10AF0" w:rsidRPr="007457B1">
        <w:rPr>
          <w:rFonts w:ascii="Times New Roman" w:hAnsi="Times New Roman" w:cs="Times New Roman"/>
          <w:sz w:val="24"/>
          <w:szCs w:val="24"/>
        </w:rPr>
        <w:t xml:space="preserve"> the Department indicated that the Minister of Transport and the Minister of Finance will be meeting to discuss this issue.</w:t>
      </w:r>
    </w:p>
    <w:p w14:paraId="7FBF6205" w14:textId="77777777" w:rsidR="00B74E04" w:rsidRPr="007457B1" w:rsidRDefault="00777318"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During the 2018/19 budget briefing</w:t>
      </w:r>
      <w:r w:rsidR="00E6562B" w:rsidRPr="007457B1">
        <w:rPr>
          <w:rFonts w:ascii="Times New Roman" w:hAnsi="Times New Roman" w:cs="Times New Roman"/>
          <w:sz w:val="24"/>
          <w:szCs w:val="24"/>
        </w:rPr>
        <w:t>,</w:t>
      </w:r>
      <w:r w:rsidRPr="007457B1">
        <w:rPr>
          <w:rFonts w:ascii="Times New Roman" w:hAnsi="Times New Roman" w:cs="Times New Roman"/>
          <w:sz w:val="24"/>
          <w:szCs w:val="24"/>
        </w:rPr>
        <w:t xml:space="preserve"> the</w:t>
      </w:r>
      <w:r w:rsidR="00A352D1" w:rsidRPr="007457B1">
        <w:rPr>
          <w:rFonts w:ascii="Times New Roman" w:hAnsi="Times New Roman" w:cs="Times New Roman"/>
          <w:sz w:val="24"/>
          <w:szCs w:val="24"/>
        </w:rPr>
        <w:t xml:space="preserve"> Department</w:t>
      </w:r>
      <w:r w:rsidRPr="007457B1">
        <w:rPr>
          <w:rFonts w:ascii="Times New Roman" w:hAnsi="Times New Roman" w:cs="Times New Roman"/>
          <w:sz w:val="24"/>
          <w:szCs w:val="24"/>
        </w:rPr>
        <w:t xml:space="preserve"> indicated that it</w:t>
      </w:r>
      <w:r w:rsidR="00A352D1" w:rsidRPr="007457B1">
        <w:rPr>
          <w:rFonts w:ascii="Times New Roman" w:hAnsi="Times New Roman" w:cs="Times New Roman"/>
          <w:sz w:val="24"/>
          <w:szCs w:val="24"/>
        </w:rPr>
        <w:t xml:space="preserve"> has concluded a review and assessment of the Putco Moloto </w:t>
      </w:r>
      <w:r w:rsidR="00A10AF0" w:rsidRPr="007457B1">
        <w:rPr>
          <w:rFonts w:ascii="Times New Roman" w:hAnsi="Times New Roman" w:cs="Times New Roman"/>
          <w:sz w:val="24"/>
          <w:szCs w:val="24"/>
        </w:rPr>
        <w:t xml:space="preserve">subsidised bus services </w:t>
      </w:r>
      <w:r w:rsidR="00A352D1" w:rsidRPr="007457B1">
        <w:rPr>
          <w:rFonts w:ascii="Times New Roman" w:hAnsi="Times New Roman" w:cs="Times New Roman"/>
          <w:sz w:val="24"/>
          <w:szCs w:val="24"/>
        </w:rPr>
        <w:t>contract, which included a detailed census to determine current demand. The</w:t>
      </w:r>
      <w:r w:rsidR="003E2322" w:rsidRPr="007457B1">
        <w:rPr>
          <w:rFonts w:ascii="Times New Roman" w:hAnsi="Times New Roman" w:cs="Times New Roman"/>
          <w:sz w:val="24"/>
          <w:szCs w:val="24"/>
        </w:rPr>
        <w:t xml:space="preserve"> outcome of this</w:t>
      </w:r>
      <w:r w:rsidR="00A352D1" w:rsidRPr="007457B1">
        <w:rPr>
          <w:rFonts w:ascii="Times New Roman" w:hAnsi="Times New Roman" w:cs="Times New Roman"/>
          <w:sz w:val="24"/>
          <w:szCs w:val="24"/>
        </w:rPr>
        <w:t xml:space="preserve"> review</w:t>
      </w:r>
      <w:r w:rsidR="003E2322" w:rsidRPr="007457B1">
        <w:rPr>
          <w:rFonts w:ascii="Times New Roman" w:hAnsi="Times New Roman" w:cs="Times New Roman"/>
          <w:sz w:val="24"/>
          <w:szCs w:val="24"/>
        </w:rPr>
        <w:t xml:space="preserve"> and whether or not</w:t>
      </w:r>
      <w:r w:rsidR="00F5282A" w:rsidRPr="007457B1">
        <w:rPr>
          <w:rFonts w:ascii="Times New Roman" w:hAnsi="Times New Roman" w:cs="Times New Roman"/>
          <w:sz w:val="24"/>
          <w:szCs w:val="24"/>
        </w:rPr>
        <w:t xml:space="preserve"> </w:t>
      </w:r>
      <w:r w:rsidR="00A352D1" w:rsidRPr="007457B1">
        <w:rPr>
          <w:rFonts w:ascii="Times New Roman" w:hAnsi="Times New Roman" w:cs="Times New Roman"/>
          <w:sz w:val="24"/>
          <w:szCs w:val="24"/>
        </w:rPr>
        <w:t xml:space="preserve">a new contract </w:t>
      </w:r>
      <w:r w:rsidR="00560DFB" w:rsidRPr="007457B1">
        <w:rPr>
          <w:rFonts w:ascii="Times New Roman" w:hAnsi="Times New Roman" w:cs="Times New Roman"/>
          <w:sz w:val="24"/>
          <w:szCs w:val="24"/>
        </w:rPr>
        <w:t xml:space="preserve">would </w:t>
      </w:r>
      <w:r w:rsidR="00A352D1" w:rsidRPr="007457B1">
        <w:rPr>
          <w:rFonts w:ascii="Times New Roman" w:hAnsi="Times New Roman" w:cs="Times New Roman"/>
          <w:sz w:val="24"/>
          <w:szCs w:val="24"/>
        </w:rPr>
        <w:t>be introduced to replace the current one based on the outcome of the passenger census and the current demand</w:t>
      </w:r>
      <w:r w:rsidR="003E2322" w:rsidRPr="007457B1">
        <w:rPr>
          <w:rFonts w:ascii="Times New Roman" w:hAnsi="Times New Roman" w:cs="Times New Roman"/>
          <w:sz w:val="24"/>
          <w:szCs w:val="24"/>
        </w:rPr>
        <w:t xml:space="preserve"> </w:t>
      </w:r>
      <w:r w:rsidR="00A10AF0" w:rsidRPr="007457B1">
        <w:rPr>
          <w:rFonts w:ascii="Times New Roman" w:hAnsi="Times New Roman" w:cs="Times New Roman"/>
          <w:sz w:val="24"/>
          <w:szCs w:val="24"/>
        </w:rPr>
        <w:t>had not been presented to the Committee yet</w:t>
      </w:r>
      <w:r w:rsidR="00A352D1" w:rsidRPr="007457B1">
        <w:rPr>
          <w:rFonts w:ascii="Times New Roman" w:hAnsi="Times New Roman" w:cs="Times New Roman"/>
          <w:sz w:val="24"/>
          <w:szCs w:val="24"/>
        </w:rPr>
        <w:t>.</w:t>
      </w:r>
    </w:p>
    <w:p w14:paraId="6C205213" w14:textId="77777777" w:rsidR="00327E22" w:rsidRPr="007457B1" w:rsidRDefault="00327E22" w:rsidP="00C07A5A">
      <w:pPr>
        <w:spacing w:line="360" w:lineRule="auto"/>
        <w:jc w:val="both"/>
        <w:rPr>
          <w:rFonts w:ascii="Times New Roman" w:hAnsi="Times New Roman" w:cs="Times New Roman"/>
          <w:sz w:val="24"/>
          <w:szCs w:val="24"/>
        </w:rPr>
      </w:pPr>
    </w:p>
    <w:p w14:paraId="2EF99146" w14:textId="77777777" w:rsidR="00327E22" w:rsidRPr="007457B1" w:rsidRDefault="000249BD" w:rsidP="000249BD">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7.6</w:t>
      </w:r>
      <w:r w:rsidRPr="007457B1">
        <w:rPr>
          <w:rFonts w:ascii="Times New Roman" w:hAnsi="Times New Roman" w:cs="Times New Roman"/>
          <w:b/>
          <w:sz w:val="24"/>
          <w:szCs w:val="24"/>
        </w:rPr>
        <w:tab/>
      </w:r>
      <w:r w:rsidR="004F63C1" w:rsidRPr="007457B1">
        <w:rPr>
          <w:rFonts w:ascii="Times New Roman" w:hAnsi="Times New Roman" w:cs="Times New Roman"/>
          <w:b/>
          <w:sz w:val="24"/>
          <w:szCs w:val="24"/>
        </w:rPr>
        <w:t>Non-toll road network</w:t>
      </w:r>
    </w:p>
    <w:p w14:paraId="3746F356" w14:textId="77777777" w:rsidR="004F63C1" w:rsidRPr="007457B1" w:rsidRDefault="004F63C1"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budget allocation </w:t>
      </w:r>
      <w:r w:rsidR="00F5282A" w:rsidRPr="007457B1">
        <w:rPr>
          <w:rFonts w:ascii="Times New Roman" w:hAnsi="Times New Roman" w:cs="Times New Roman"/>
          <w:sz w:val="24"/>
          <w:szCs w:val="24"/>
        </w:rPr>
        <w:t xml:space="preserve">for the non-toll network </w:t>
      </w:r>
      <w:r w:rsidR="00AA480F" w:rsidRPr="007457B1">
        <w:rPr>
          <w:rFonts w:ascii="Times New Roman" w:hAnsi="Times New Roman" w:cs="Times New Roman"/>
          <w:sz w:val="24"/>
          <w:szCs w:val="24"/>
        </w:rPr>
        <w:t>increased (more than doubled)</w:t>
      </w:r>
      <w:r w:rsidRPr="007457B1">
        <w:rPr>
          <w:rFonts w:ascii="Times New Roman" w:hAnsi="Times New Roman" w:cs="Times New Roman"/>
          <w:sz w:val="24"/>
          <w:szCs w:val="24"/>
        </w:rPr>
        <w:t xml:space="preserve"> from R</w:t>
      </w:r>
      <w:r w:rsidR="00AA480F" w:rsidRPr="007457B1">
        <w:rPr>
          <w:rFonts w:ascii="Times New Roman" w:hAnsi="Times New Roman" w:cs="Times New Roman"/>
          <w:sz w:val="24"/>
          <w:szCs w:val="24"/>
        </w:rPr>
        <w:t>5</w:t>
      </w:r>
      <w:r w:rsidRPr="007457B1">
        <w:rPr>
          <w:rFonts w:ascii="Times New Roman" w:hAnsi="Times New Roman" w:cs="Times New Roman"/>
          <w:sz w:val="24"/>
          <w:szCs w:val="24"/>
        </w:rPr>
        <w:t>.1 billion in 201</w:t>
      </w:r>
      <w:r w:rsidR="00AA480F" w:rsidRPr="007457B1">
        <w:rPr>
          <w:rFonts w:ascii="Times New Roman" w:hAnsi="Times New Roman" w:cs="Times New Roman"/>
          <w:sz w:val="24"/>
          <w:szCs w:val="24"/>
        </w:rPr>
        <w:t>8</w:t>
      </w:r>
      <w:r w:rsidRPr="007457B1">
        <w:rPr>
          <w:rFonts w:ascii="Times New Roman" w:hAnsi="Times New Roman" w:cs="Times New Roman"/>
          <w:sz w:val="24"/>
          <w:szCs w:val="24"/>
        </w:rPr>
        <w:t>/1</w:t>
      </w:r>
      <w:r w:rsidR="00AA480F" w:rsidRPr="007457B1">
        <w:rPr>
          <w:rFonts w:ascii="Times New Roman" w:hAnsi="Times New Roman" w:cs="Times New Roman"/>
          <w:sz w:val="24"/>
          <w:szCs w:val="24"/>
        </w:rPr>
        <w:t>9</w:t>
      </w:r>
      <w:r w:rsidRPr="007457B1">
        <w:rPr>
          <w:rFonts w:ascii="Times New Roman" w:hAnsi="Times New Roman" w:cs="Times New Roman"/>
          <w:sz w:val="24"/>
          <w:szCs w:val="24"/>
        </w:rPr>
        <w:t xml:space="preserve"> to R</w:t>
      </w:r>
      <w:r w:rsidR="00AA480F" w:rsidRPr="007457B1">
        <w:rPr>
          <w:rFonts w:ascii="Times New Roman" w:hAnsi="Times New Roman" w:cs="Times New Roman"/>
          <w:sz w:val="24"/>
          <w:szCs w:val="24"/>
        </w:rPr>
        <w:t>12.3</w:t>
      </w:r>
      <w:r w:rsidRPr="007457B1">
        <w:rPr>
          <w:rFonts w:ascii="Times New Roman" w:hAnsi="Times New Roman" w:cs="Times New Roman"/>
          <w:sz w:val="24"/>
          <w:szCs w:val="24"/>
        </w:rPr>
        <w:t xml:space="preserve"> billion in 201</w:t>
      </w:r>
      <w:r w:rsidR="00AA480F" w:rsidRPr="007457B1">
        <w:rPr>
          <w:rFonts w:ascii="Times New Roman" w:hAnsi="Times New Roman" w:cs="Times New Roman"/>
          <w:sz w:val="24"/>
          <w:szCs w:val="24"/>
        </w:rPr>
        <w:t>9</w:t>
      </w:r>
      <w:r w:rsidRPr="007457B1">
        <w:rPr>
          <w:rFonts w:ascii="Times New Roman" w:hAnsi="Times New Roman" w:cs="Times New Roman"/>
          <w:sz w:val="24"/>
          <w:szCs w:val="24"/>
        </w:rPr>
        <w:t>/</w:t>
      </w:r>
      <w:r w:rsidR="00AA480F" w:rsidRPr="007457B1">
        <w:rPr>
          <w:rFonts w:ascii="Times New Roman" w:hAnsi="Times New Roman" w:cs="Times New Roman"/>
          <w:sz w:val="24"/>
          <w:szCs w:val="24"/>
        </w:rPr>
        <w:t>20</w:t>
      </w:r>
      <w:r w:rsidR="004A2D12" w:rsidRPr="007457B1">
        <w:rPr>
          <w:rFonts w:ascii="Times New Roman" w:hAnsi="Times New Roman" w:cs="Times New Roman"/>
          <w:sz w:val="24"/>
          <w:szCs w:val="24"/>
        </w:rPr>
        <w:t xml:space="preserve">. </w:t>
      </w:r>
      <w:r w:rsidR="00816521" w:rsidRPr="007457B1">
        <w:rPr>
          <w:rFonts w:ascii="Times New Roman" w:hAnsi="Times New Roman" w:cs="Times New Roman"/>
          <w:sz w:val="24"/>
          <w:szCs w:val="24"/>
        </w:rPr>
        <w:t>During the previous year</w:t>
      </w:r>
      <w:r w:rsidR="00E6562B" w:rsidRPr="007457B1">
        <w:rPr>
          <w:rFonts w:ascii="Times New Roman" w:hAnsi="Times New Roman" w:cs="Times New Roman"/>
          <w:sz w:val="24"/>
          <w:szCs w:val="24"/>
        </w:rPr>
        <w:t>,</w:t>
      </w:r>
      <w:r w:rsidR="00816521" w:rsidRPr="007457B1">
        <w:rPr>
          <w:rFonts w:ascii="Times New Roman" w:hAnsi="Times New Roman" w:cs="Times New Roman"/>
          <w:sz w:val="24"/>
          <w:szCs w:val="24"/>
        </w:rPr>
        <w:t xml:space="preserve"> the Department had to ensure that SANRAL does not default on payments related to the GFIP and therefore had to shift/transfer funds in order to do so. This year</w:t>
      </w:r>
      <w:r w:rsidR="00E6562B" w:rsidRPr="007457B1">
        <w:rPr>
          <w:rFonts w:ascii="Times New Roman" w:hAnsi="Times New Roman" w:cs="Times New Roman"/>
          <w:sz w:val="24"/>
          <w:szCs w:val="24"/>
        </w:rPr>
        <w:t>,</w:t>
      </w:r>
      <w:r w:rsidR="00816521" w:rsidRPr="007457B1">
        <w:rPr>
          <w:rFonts w:ascii="Times New Roman" w:hAnsi="Times New Roman" w:cs="Times New Roman"/>
          <w:sz w:val="24"/>
          <w:szCs w:val="24"/>
        </w:rPr>
        <w:t xml:space="preserve"> the funding allocation to the GFIP project ha</w:t>
      </w:r>
      <w:r w:rsidR="00E6562B" w:rsidRPr="007457B1">
        <w:rPr>
          <w:rFonts w:ascii="Times New Roman" w:hAnsi="Times New Roman" w:cs="Times New Roman"/>
          <w:sz w:val="24"/>
          <w:szCs w:val="24"/>
        </w:rPr>
        <w:t>s</w:t>
      </w:r>
      <w:r w:rsidR="00816521" w:rsidRPr="007457B1">
        <w:rPr>
          <w:rFonts w:ascii="Times New Roman" w:hAnsi="Times New Roman" w:cs="Times New Roman"/>
          <w:sz w:val="24"/>
          <w:szCs w:val="24"/>
        </w:rPr>
        <w:t xml:space="preserve"> </w:t>
      </w:r>
      <w:r w:rsidR="00E6562B" w:rsidRPr="007457B1">
        <w:rPr>
          <w:rFonts w:ascii="Times New Roman" w:hAnsi="Times New Roman" w:cs="Times New Roman"/>
          <w:sz w:val="24"/>
          <w:szCs w:val="24"/>
        </w:rPr>
        <w:t xml:space="preserve">been </w:t>
      </w:r>
      <w:r w:rsidR="00816521" w:rsidRPr="007457B1">
        <w:rPr>
          <w:rFonts w:ascii="Times New Roman" w:hAnsi="Times New Roman" w:cs="Times New Roman"/>
          <w:sz w:val="24"/>
          <w:szCs w:val="24"/>
        </w:rPr>
        <w:t>significantly reduced and allowed for the increase in budget to the non-toll road network.</w:t>
      </w:r>
    </w:p>
    <w:p w14:paraId="37F1F9F7" w14:textId="77777777" w:rsidR="00EB6974" w:rsidRPr="007457B1" w:rsidRDefault="00EB6974"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Committee noted that the following non-toll road projects were planned for the MTEF 2019 – 2022:</w:t>
      </w:r>
    </w:p>
    <w:p w14:paraId="590F5CC2" w14:textId="77777777" w:rsidR="00080EC4" w:rsidRDefault="00EB6974" w:rsidP="00080EC4">
      <w:pPr>
        <w:pStyle w:val="ListParagraph"/>
        <w:numPr>
          <w:ilvl w:val="0"/>
          <w:numId w:val="34"/>
        </w:numPr>
        <w:spacing w:line="360" w:lineRule="auto"/>
        <w:ind w:left="426"/>
        <w:jc w:val="both"/>
        <w:rPr>
          <w:rFonts w:ascii="Times New Roman" w:hAnsi="Times New Roman"/>
          <w:sz w:val="24"/>
          <w:szCs w:val="24"/>
        </w:rPr>
      </w:pPr>
      <w:r w:rsidRPr="00080EC4">
        <w:rPr>
          <w:rFonts w:ascii="Times New Roman" w:hAnsi="Times New Roman"/>
          <w:sz w:val="24"/>
          <w:szCs w:val="24"/>
        </w:rPr>
        <w:t>N12 Johannesburg to Klerksdorp</w:t>
      </w:r>
    </w:p>
    <w:p w14:paraId="3D666B20" w14:textId="77777777" w:rsidR="00080EC4" w:rsidRDefault="00EB6974" w:rsidP="00080EC4">
      <w:pPr>
        <w:pStyle w:val="ListParagraph"/>
        <w:numPr>
          <w:ilvl w:val="0"/>
          <w:numId w:val="34"/>
        </w:numPr>
        <w:spacing w:line="360" w:lineRule="auto"/>
        <w:ind w:left="426"/>
        <w:jc w:val="both"/>
        <w:rPr>
          <w:rFonts w:ascii="Times New Roman" w:hAnsi="Times New Roman"/>
          <w:sz w:val="24"/>
          <w:szCs w:val="24"/>
        </w:rPr>
      </w:pPr>
      <w:r w:rsidRPr="00080EC4">
        <w:rPr>
          <w:rFonts w:ascii="Times New Roman" w:hAnsi="Times New Roman"/>
          <w:sz w:val="24"/>
          <w:szCs w:val="24"/>
        </w:rPr>
        <w:t>N2 Richards Bay to Ermelo</w:t>
      </w:r>
    </w:p>
    <w:p w14:paraId="1D286CA4" w14:textId="77777777" w:rsidR="00080EC4" w:rsidRDefault="00EB6974" w:rsidP="00080EC4">
      <w:pPr>
        <w:pStyle w:val="ListParagraph"/>
        <w:numPr>
          <w:ilvl w:val="0"/>
          <w:numId w:val="34"/>
        </w:numPr>
        <w:spacing w:line="360" w:lineRule="auto"/>
        <w:ind w:left="426"/>
        <w:jc w:val="both"/>
        <w:rPr>
          <w:rFonts w:ascii="Times New Roman" w:hAnsi="Times New Roman"/>
          <w:sz w:val="24"/>
          <w:szCs w:val="24"/>
        </w:rPr>
      </w:pPr>
      <w:r w:rsidRPr="00080EC4">
        <w:rPr>
          <w:rFonts w:ascii="Times New Roman" w:hAnsi="Times New Roman"/>
          <w:sz w:val="24"/>
          <w:szCs w:val="24"/>
        </w:rPr>
        <w:t>N2 Botrivier to Port Elizabeth</w:t>
      </w:r>
    </w:p>
    <w:p w14:paraId="32DC8407" w14:textId="77777777" w:rsidR="00080EC4" w:rsidRDefault="00EB6974" w:rsidP="00080EC4">
      <w:pPr>
        <w:pStyle w:val="ListParagraph"/>
        <w:numPr>
          <w:ilvl w:val="0"/>
          <w:numId w:val="34"/>
        </w:numPr>
        <w:spacing w:line="360" w:lineRule="auto"/>
        <w:ind w:left="426"/>
        <w:jc w:val="both"/>
        <w:rPr>
          <w:rFonts w:ascii="Times New Roman" w:hAnsi="Times New Roman"/>
          <w:sz w:val="24"/>
          <w:szCs w:val="24"/>
        </w:rPr>
      </w:pPr>
      <w:r w:rsidRPr="00080EC4">
        <w:rPr>
          <w:rFonts w:ascii="Times New Roman" w:hAnsi="Times New Roman"/>
          <w:sz w:val="24"/>
          <w:szCs w:val="24"/>
        </w:rPr>
        <w:t>N12 Benoni to Witbank</w:t>
      </w:r>
    </w:p>
    <w:p w14:paraId="50C1E013" w14:textId="77777777" w:rsidR="00080EC4" w:rsidRDefault="00EB6974" w:rsidP="00080EC4">
      <w:pPr>
        <w:pStyle w:val="ListParagraph"/>
        <w:numPr>
          <w:ilvl w:val="0"/>
          <w:numId w:val="34"/>
        </w:numPr>
        <w:spacing w:line="360" w:lineRule="auto"/>
        <w:ind w:left="426"/>
        <w:jc w:val="both"/>
        <w:rPr>
          <w:rFonts w:ascii="Times New Roman" w:hAnsi="Times New Roman"/>
          <w:sz w:val="24"/>
          <w:szCs w:val="24"/>
        </w:rPr>
      </w:pPr>
      <w:r w:rsidRPr="00080EC4">
        <w:rPr>
          <w:rFonts w:ascii="Times New Roman" w:hAnsi="Times New Roman"/>
          <w:sz w:val="24"/>
          <w:szCs w:val="24"/>
        </w:rPr>
        <w:t>R72/N2 Port Elizabeth to East London</w:t>
      </w:r>
    </w:p>
    <w:p w14:paraId="38BE2972" w14:textId="77777777" w:rsidR="00EB6974" w:rsidRPr="00080EC4" w:rsidRDefault="00EB6974" w:rsidP="00080EC4">
      <w:pPr>
        <w:pStyle w:val="ListParagraph"/>
        <w:numPr>
          <w:ilvl w:val="0"/>
          <w:numId w:val="34"/>
        </w:numPr>
        <w:spacing w:line="360" w:lineRule="auto"/>
        <w:ind w:left="426"/>
        <w:jc w:val="both"/>
        <w:rPr>
          <w:rFonts w:ascii="Times New Roman" w:hAnsi="Times New Roman"/>
          <w:sz w:val="24"/>
          <w:szCs w:val="24"/>
        </w:rPr>
      </w:pPr>
      <w:r w:rsidRPr="00080EC4">
        <w:rPr>
          <w:rFonts w:ascii="Times New Roman" w:hAnsi="Times New Roman"/>
          <w:sz w:val="24"/>
          <w:szCs w:val="24"/>
        </w:rPr>
        <w:t>R300 Cape Town Ring Road</w:t>
      </w:r>
    </w:p>
    <w:p w14:paraId="7248CD82" w14:textId="77777777" w:rsidR="008D5F01" w:rsidRPr="007457B1" w:rsidRDefault="008D5F01" w:rsidP="00C07A5A">
      <w:pPr>
        <w:spacing w:line="360" w:lineRule="auto"/>
        <w:jc w:val="both"/>
        <w:rPr>
          <w:rFonts w:ascii="Times New Roman" w:hAnsi="Times New Roman" w:cs="Times New Roman"/>
          <w:sz w:val="24"/>
          <w:szCs w:val="24"/>
        </w:rPr>
      </w:pPr>
    </w:p>
    <w:p w14:paraId="6E00DEEC" w14:textId="77777777" w:rsidR="00901538" w:rsidRPr="007457B1" w:rsidRDefault="00901538"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7.</w:t>
      </w:r>
      <w:r w:rsidR="000249BD" w:rsidRPr="007457B1">
        <w:rPr>
          <w:rFonts w:ascii="Times New Roman" w:hAnsi="Times New Roman" w:cs="Times New Roman"/>
          <w:b/>
          <w:sz w:val="24"/>
          <w:szCs w:val="24"/>
        </w:rPr>
        <w:t>7</w:t>
      </w:r>
      <w:r w:rsidRPr="007457B1">
        <w:rPr>
          <w:rFonts w:ascii="Times New Roman" w:hAnsi="Times New Roman" w:cs="Times New Roman"/>
          <w:b/>
          <w:sz w:val="24"/>
          <w:szCs w:val="24"/>
        </w:rPr>
        <w:tab/>
      </w:r>
      <w:r w:rsidR="00C50E5D" w:rsidRPr="007457B1">
        <w:rPr>
          <w:rFonts w:ascii="Times New Roman" w:hAnsi="Times New Roman" w:cs="Times New Roman"/>
          <w:b/>
          <w:sz w:val="24"/>
          <w:szCs w:val="24"/>
        </w:rPr>
        <w:t>Vacancies and Acting Positions</w:t>
      </w:r>
    </w:p>
    <w:p w14:paraId="3274F6C0" w14:textId="77777777" w:rsidR="00852135" w:rsidRPr="007457B1" w:rsidRDefault="00C50E5D"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Committee </w:t>
      </w:r>
      <w:r w:rsidR="00852135" w:rsidRPr="007457B1">
        <w:rPr>
          <w:rFonts w:ascii="Times New Roman" w:hAnsi="Times New Roman" w:cs="Times New Roman"/>
          <w:sz w:val="24"/>
          <w:szCs w:val="24"/>
        </w:rPr>
        <w:t>noted that</w:t>
      </w:r>
      <w:r w:rsidRPr="007457B1">
        <w:rPr>
          <w:rFonts w:ascii="Times New Roman" w:hAnsi="Times New Roman" w:cs="Times New Roman"/>
          <w:sz w:val="24"/>
          <w:szCs w:val="24"/>
        </w:rPr>
        <w:t xml:space="preserve"> the end of term for </w:t>
      </w:r>
      <w:r w:rsidR="00852135" w:rsidRPr="007457B1">
        <w:rPr>
          <w:rFonts w:ascii="Times New Roman" w:hAnsi="Times New Roman" w:cs="Times New Roman"/>
          <w:sz w:val="24"/>
          <w:szCs w:val="24"/>
        </w:rPr>
        <w:t xml:space="preserve">members of </w:t>
      </w:r>
      <w:r w:rsidRPr="007457B1">
        <w:rPr>
          <w:rFonts w:ascii="Times New Roman" w:hAnsi="Times New Roman" w:cs="Times New Roman"/>
          <w:sz w:val="24"/>
          <w:szCs w:val="24"/>
        </w:rPr>
        <w:t xml:space="preserve">boards at </w:t>
      </w:r>
      <w:r w:rsidR="00AA480F" w:rsidRPr="007457B1">
        <w:rPr>
          <w:rFonts w:ascii="Times New Roman" w:hAnsi="Times New Roman" w:cs="Times New Roman"/>
          <w:sz w:val="24"/>
          <w:szCs w:val="24"/>
        </w:rPr>
        <w:t>various entities</w:t>
      </w:r>
      <w:r w:rsidR="00852135" w:rsidRPr="007457B1">
        <w:rPr>
          <w:rFonts w:ascii="Times New Roman" w:hAnsi="Times New Roman" w:cs="Times New Roman"/>
          <w:sz w:val="24"/>
          <w:szCs w:val="24"/>
        </w:rPr>
        <w:t xml:space="preserve"> are near, that some boards were not fully constituted which may affect their performance and reporting, that some advertisements were already published for filling these vacancies,</w:t>
      </w:r>
      <w:r w:rsidR="00AA480F" w:rsidRPr="007457B1">
        <w:rPr>
          <w:rFonts w:ascii="Times New Roman" w:hAnsi="Times New Roman" w:cs="Times New Roman"/>
          <w:sz w:val="24"/>
          <w:szCs w:val="24"/>
        </w:rPr>
        <w:t xml:space="preserve"> and that PRASA still had an interim board</w:t>
      </w:r>
      <w:r w:rsidRPr="007457B1">
        <w:rPr>
          <w:rFonts w:ascii="Times New Roman" w:hAnsi="Times New Roman" w:cs="Times New Roman"/>
          <w:sz w:val="24"/>
          <w:szCs w:val="24"/>
        </w:rPr>
        <w:t xml:space="preserve">. </w:t>
      </w:r>
    </w:p>
    <w:p w14:paraId="4C2AF6B2" w14:textId="77777777" w:rsidR="00E640E7" w:rsidRPr="007457B1" w:rsidRDefault="00E640E7" w:rsidP="00E640E7">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Committee highlighted a serious concern regarding the Ports Regulator’s expenditure that is expected to increase at an average annual rate of 10.2 percent, from R31.1 million in 2018/19 to R41.7 million in 2021/22, mainly driven by two additional personnel to its economic regulation programme. The Committee was of the view that it is concerning that such a massive increase is intended to only be used for two additional personnel.</w:t>
      </w:r>
    </w:p>
    <w:p w14:paraId="2746E76D" w14:textId="77777777" w:rsidR="00852135" w:rsidRPr="007457B1" w:rsidRDefault="00852135"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It was further noted that n</w:t>
      </w:r>
      <w:r w:rsidR="00C50E5D" w:rsidRPr="007457B1">
        <w:rPr>
          <w:rFonts w:ascii="Times New Roman" w:hAnsi="Times New Roman" w:cs="Times New Roman"/>
          <w:sz w:val="24"/>
          <w:szCs w:val="24"/>
        </w:rPr>
        <w:t xml:space="preserve">umerous vacancies also still exist in the Department and </w:t>
      </w:r>
      <w:r w:rsidRPr="007457B1">
        <w:rPr>
          <w:rFonts w:ascii="Times New Roman" w:hAnsi="Times New Roman" w:cs="Times New Roman"/>
          <w:sz w:val="24"/>
          <w:szCs w:val="24"/>
        </w:rPr>
        <w:t xml:space="preserve">in the executive of </w:t>
      </w:r>
      <w:r w:rsidR="00C50E5D" w:rsidRPr="007457B1">
        <w:rPr>
          <w:rFonts w:ascii="Times New Roman" w:hAnsi="Times New Roman" w:cs="Times New Roman"/>
          <w:sz w:val="24"/>
          <w:szCs w:val="24"/>
        </w:rPr>
        <w:t>its entities</w:t>
      </w:r>
      <w:r w:rsidR="00AA480F" w:rsidRPr="007457B1">
        <w:rPr>
          <w:rFonts w:ascii="Times New Roman" w:hAnsi="Times New Roman" w:cs="Times New Roman"/>
          <w:sz w:val="24"/>
          <w:szCs w:val="24"/>
        </w:rPr>
        <w:t>,</w:t>
      </w:r>
      <w:r w:rsidR="00C50E5D" w:rsidRPr="007457B1">
        <w:rPr>
          <w:rFonts w:ascii="Times New Roman" w:hAnsi="Times New Roman" w:cs="Times New Roman"/>
          <w:sz w:val="24"/>
          <w:szCs w:val="24"/>
        </w:rPr>
        <w:t xml:space="preserve"> which led to an increase in </w:t>
      </w:r>
      <w:r w:rsidR="00B95D36" w:rsidRPr="007457B1">
        <w:rPr>
          <w:rFonts w:ascii="Times New Roman" w:hAnsi="Times New Roman" w:cs="Times New Roman"/>
          <w:sz w:val="24"/>
          <w:szCs w:val="24"/>
        </w:rPr>
        <w:t xml:space="preserve">the </w:t>
      </w:r>
      <w:r w:rsidRPr="007457B1">
        <w:rPr>
          <w:rFonts w:ascii="Times New Roman" w:hAnsi="Times New Roman" w:cs="Times New Roman"/>
          <w:sz w:val="24"/>
          <w:szCs w:val="24"/>
        </w:rPr>
        <w:t xml:space="preserve">reliance on </w:t>
      </w:r>
      <w:r w:rsidR="00C50E5D" w:rsidRPr="007457B1">
        <w:rPr>
          <w:rFonts w:ascii="Times New Roman" w:hAnsi="Times New Roman" w:cs="Times New Roman"/>
          <w:sz w:val="24"/>
          <w:szCs w:val="24"/>
        </w:rPr>
        <w:t xml:space="preserve">acting </w:t>
      </w:r>
      <w:r w:rsidRPr="007457B1">
        <w:rPr>
          <w:rFonts w:ascii="Times New Roman" w:hAnsi="Times New Roman" w:cs="Times New Roman"/>
          <w:sz w:val="24"/>
          <w:szCs w:val="24"/>
        </w:rPr>
        <w:t>placements</w:t>
      </w:r>
      <w:r w:rsidR="00C50E5D" w:rsidRPr="007457B1">
        <w:rPr>
          <w:rFonts w:ascii="Times New Roman" w:hAnsi="Times New Roman" w:cs="Times New Roman"/>
          <w:sz w:val="24"/>
          <w:szCs w:val="24"/>
        </w:rPr>
        <w:t xml:space="preserve"> and could have contribute</w:t>
      </w:r>
      <w:r w:rsidR="00DB6E41" w:rsidRPr="007457B1">
        <w:rPr>
          <w:rFonts w:ascii="Times New Roman" w:hAnsi="Times New Roman" w:cs="Times New Roman"/>
          <w:sz w:val="24"/>
          <w:szCs w:val="24"/>
        </w:rPr>
        <w:t>d</w:t>
      </w:r>
      <w:r w:rsidR="00C50E5D" w:rsidRPr="007457B1">
        <w:rPr>
          <w:rFonts w:ascii="Times New Roman" w:hAnsi="Times New Roman" w:cs="Times New Roman"/>
          <w:sz w:val="24"/>
          <w:szCs w:val="24"/>
        </w:rPr>
        <w:t xml:space="preserve"> to further instability in the</w:t>
      </w:r>
      <w:r w:rsidRPr="007457B1">
        <w:rPr>
          <w:rFonts w:ascii="Times New Roman" w:hAnsi="Times New Roman" w:cs="Times New Roman"/>
          <w:sz w:val="24"/>
          <w:szCs w:val="24"/>
        </w:rPr>
        <w:t xml:space="preserve"> Department and entities</w:t>
      </w:r>
      <w:r w:rsidR="00C50E5D" w:rsidRPr="007457B1">
        <w:rPr>
          <w:rFonts w:ascii="Times New Roman" w:hAnsi="Times New Roman" w:cs="Times New Roman"/>
          <w:sz w:val="24"/>
          <w:szCs w:val="24"/>
        </w:rPr>
        <w:t>.</w:t>
      </w:r>
      <w:r w:rsidRPr="007457B1">
        <w:rPr>
          <w:rFonts w:ascii="Times New Roman" w:hAnsi="Times New Roman" w:cs="Times New Roman"/>
          <w:sz w:val="24"/>
          <w:szCs w:val="24"/>
        </w:rPr>
        <w:t xml:space="preserve"> This remains a concern to the Committee as these issues have been highlighted over several years by the Committee</w:t>
      </w:r>
      <w:r w:rsidR="00E6562B" w:rsidRPr="007457B1">
        <w:rPr>
          <w:rFonts w:ascii="Times New Roman" w:hAnsi="Times New Roman" w:cs="Times New Roman"/>
          <w:sz w:val="24"/>
          <w:szCs w:val="24"/>
        </w:rPr>
        <w:t>,</w:t>
      </w:r>
      <w:r w:rsidRPr="007457B1">
        <w:rPr>
          <w:rFonts w:ascii="Times New Roman" w:hAnsi="Times New Roman" w:cs="Times New Roman"/>
          <w:sz w:val="24"/>
          <w:szCs w:val="24"/>
        </w:rPr>
        <w:t xml:space="preserve"> as well as the Auditor-General of South Africa (AGSA).  </w:t>
      </w:r>
      <w:r w:rsidR="00C50E5D" w:rsidRPr="007457B1">
        <w:rPr>
          <w:rFonts w:ascii="Times New Roman" w:hAnsi="Times New Roman" w:cs="Times New Roman"/>
          <w:sz w:val="24"/>
          <w:szCs w:val="24"/>
        </w:rPr>
        <w:t xml:space="preserve"> </w:t>
      </w:r>
    </w:p>
    <w:p w14:paraId="6629157D" w14:textId="77777777" w:rsidR="00434A53" w:rsidRPr="007457B1" w:rsidRDefault="00434A53" w:rsidP="00434A53">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In this regard the Committee wanted to highlight that the recommendations made by the AGSA for the Budget Review of 2017/18 as expressed in the Annual Report(s) of 2017/18 indicated that the root causes for entities with negative outcomes were:</w:t>
      </w:r>
    </w:p>
    <w:p w14:paraId="512A54E5" w14:textId="77777777" w:rsidR="00080EC4" w:rsidRDefault="00434A53" w:rsidP="00080EC4">
      <w:pPr>
        <w:pStyle w:val="ListParagraph"/>
        <w:numPr>
          <w:ilvl w:val="0"/>
          <w:numId w:val="35"/>
        </w:numPr>
        <w:spacing w:line="360" w:lineRule="auto"/>
        <w:ind w:left="426"/>
        <w:jc w:val="both"/>
        <w:rPr>
          <w:rFonts w:ascii="Times New Roman" w:hAnsi="Times New Roman"/>
          <w:sz w:val="24"/>
          <w:szCs w:val="24"/>
        </w:rPr>
      </w:pPr>
      <w:r w:rsidRPr="00080EC4">
        <w:rPr>
          <w:rFonts w:ascii="Times New Roman" w:hAnsi="Times New Roman"/>
          <w:sz w:val="24"/>
          <w:szCs w:val="24"/>
        </w:rPr>
        <w:t>Key management posts are vacant or filled with staff in acting positions, which contributes to lack of accountability;</w:t>
      </w:r>
    </w:p>
    <w:p w14:paraId="6007B207" w14:textId="77777777" w:rsidR="00080EC4" w:rsidRDefault="00434A53" w:rsidP="00080EC4">
      <w:pPr>
        <w:pStyle w:val="ListParagraph"/>
        <w:numPr>
          <w:ilvl w:val="0"/>
          <w:numId w:val="35"/>
        </w:numPr>
        <w:spacing w:line="360" w:lineRule="auto"/>
        <w:ind w:left="426"/>
        <w:jc w:val="both"/>
        <w:rPr>
          <w:rFonts w:ascii="Times New Roman" w:hAnsi="Times New Roman"/>
          <w:sz w:val="24"/>
          <w:szCs w:val="24"/>
        </w:rPr>
      </w:pPr>
      <w:r w:rsidRPr="00080EC4">
        <w:rPr>
          <w:rFonts w:ascii="Times New Roman" w:hAnsi="Times New Roman"/>
          <w:sz w:val="24"/>
          <w:szCs w:val="24"/>
        </w:rPr>
        <w:t>The governance structures in some of the entities are not fully constituted which results in ineffective oversight;</w:t>
      </w:r>
    </w:p>
    <w:p w14:paraId="22459268" w14:textId="77777777" w:rsidR="00080EC4" w:rsidRDefault="00434A53" w:rsidP="00080EC4">
      <w:pPr>
        <w:pStyle w:val="ListParagraph"/>
        <w:numPr>
          <w:ilvl w:val="0"/>
          <w:numId w:val="35"/>
        </w:numPr>
        <w:spacing w:line="360" w:lineRule="auto"/>
        <w:ind w:left="426"/>
        <w:jc w:val="both"/>
        <w:rPr>
          <w:rFonts w:ascii="Times New Roman" w:hAnsi="Times New Roman"/>
          <w:sz w:val="24"/>
          <w:szCs w:val="24"/>
        </w:rPr>
      </w:pPr>
      <w:r w:rsidRPr="00080EC4">
        <w:rPr>
          <w:rFonts w:ascii="Times New Roman" w:hAnsi="Times New Roman"/>
          <w:sz w:val="24"/>
          <w:szCs w:val="24"/>
        </w:rPr>
        <w:t>Where an action plan had been put in place, it was not monitored at the appropriate level and the lack of progress was not escalated for further intervention by senior management;</w:t>
      </w:r>
    </w:p>
    <w:p w14:paraId="620E6DC8" w14:textId="77777777" w:rsidR="00080EC4" w:rsidRDefault="00434A53" w:rsidP="00080EC4">
      <w:pPr>
        <w:pStyle w:val="ListParagraph"/>
        <w:numPr>
          <w:ilvl w:val="0"/>
          <w:numId w:val="35"/>
        </w:numPr>
        <w:spacing w:line="360" w:lineRule="auto"/>
        <w:ind w:left="426"/>
        <w:jc w:val="both"/>
        <w:rPr>
          <w:rFonts w:ascii="Times New Roman" w:hAnsi="Times New Roman"/>
          <w:sz w:val="24"/>
          <w:szCs w:val="24"/>
        </w:rPr>
      </w:pPr>
      <w:r w:rsidRPr="00080EC4">
        <w:rPr>
          <w:rFonts w:ascii="Times New Roman" w:hAnsi="Times New Roman"/>
          <w:sz w:val="24"/>
          <w:szCs w:val="24"/>
        </w:rPr>
        <w:t>There is a slow response in addressing ongoing deficiencies with compliance to laws and regulations and lack of consequence management in respect of staff that do not perform their allocated responsibilities; and</w:t>
      </w:r>
    </w:p>
    <w:p w14:paraId="5E966EDE" w14:textId="77777777" w:rsidR="00434A53" w:rsidRPr="00080EC4" w:rsidRDefault="00434A53" w:rsidP="00080EC4">
      <w:pPr>
        <w:pStyle w:val="ListParagraph"/>
        <w:numPr>
          <w:ilvl w:val="0"/>
          <w:numId w:val="35"/>
        </w:numPr>
        <w:spacing w:line="360" w:lineRule="auto"/>
        <w:ind w:left="426"/>
        <w:jc w:val="both"/>
        <w:rPr>
          <w:rFonts w:ascii="Times New Roman" w:hAnsi="Times New Roman"/>
          <w:sz w:val="24"/>
          <w:szCs w:val="24"/>
        </w:rPr>
      </w:pPr>
      <w:r w:rsidRPr="00080EC4">
        <w:rPr>
          <w:rFonts w:ascii="Times New Roman" w:hAnsi="Times New Roman"/>
          <w:sz w:val="24"/>
          <w:szCs w:val="24"/>
        </w:rPr>
        <w:t>Some entities lack the discipline of ensuring that internal controls to ensure that accurate and complete financial reporting and compliance to laws and regulation are adhered to.</w:t>
      </w:r>
    </w:p>
    <w:p w14:paraId="4C2812FD" w14:textId="77777777" w:rsidR="00434A53" w:rsidRPr="007457B1" w:rsidRDefault="00434A53" w:rsidP="00C07A5A">
      <w:pPr>
        <w:spacing w:line="360" w:lineRule="auto"/>
        <w:jc w:val="both"/>
        <w:rPr>
          <w:rFonts w:ascii="Times New Roman" w:hAnsi="Times New Roman" w:cs="Times New Roman"/>
          <w:sz w:val="24"/>
          <w:szCs w:val="24"/>
        </w:rPr>
      </w:pPr>
    </w:p>
    <w:p w14:paraId="386D53AB" w14:textId="77777777" w:rsidR="00C50E5D" w:rsidRPr="007457B1" w:rsidRDefault="00C50E5D"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w:t>
      </w:r>
      <w:r w:rsidR="00852135" w:rsidRPr="007457B1">
        <w:rPr>
          <w:rFonts w:ascii="Times New Roman" w:hAnsi="Times New Roman" w:cs="Times New Roman"/>
          <w:sz w:val="24"/>
          <w:szCs w:val="24"/>
        </w:rPr>
        <w:t>Department</w:t>
      </w:r>
      <w:r w:rsidR="00132106" w:rsidRPr="007457B1">
        <w:rPr>
          <w:rFonts w:ascii="Times New Roman" w:hAnsi="Times New Roman" w:cs="Times New Roman"/>
          <w:sz w:val="24"/>
          <w:szCs w:val="24"/>
        </w:rPr>
        <w:t xml:space="preserve"> reported on progress </w:t>
      </w:r>
      <w:r w:rsidRPr="007457B1">
        <w:rPr>
          <w:rFonts w:ascii="Times New Roman" w:hAnsi="Times New Roman" w:cs="Times New Roman"/>
          <w:sz w:val="24"/>
          <w:szCs w:val="24"/>
        </w:rPr>
        <w:t>in filling board vacancies</w:t>
      </w:r>
      <w:r w:rsidR="00B95D36" w:rsidRPr="007457B1">
        <w:rPr>
          <w:rFonts w:ascii="Times New Roman" w:hAnsi="Times New Roman" w:cs="Times New Roman"/>
          <w:sz w:val="24"/>
          <w:szCs w:val="24"/>
        </w:rPr>
        <w:t>,</w:t>
      </w:r>
      <w:r w:rsidRPr="007457B1">
        <w:rPr>
          <w:rFonts w:ascii="Times New Roman" w:hAnsi="Times New Roman" w:cs="Times New Roman"/>
          <w:sz w:val="24"/>
          <w:szCs w:val="24"/>
        </w:rPr>
        <w:t xml:space="preserve"> as well as senior</w:t>
      </w:r>
      <w:r w:rsidR="00132106" w:rsidRPr="007457B1">
        <w:rPr>
          <w:rFonts w:ascii="Times New Roman" w:hAnsi="Times New Roman" w:cs="Times New Roman"/>
          <w:sz w:val="24"/>
          <w:szCs w:val="24"/>
        </w:rPr>
        <w:t xml:space="preserve"> management </w:t>
      </w:r>
      <w:r w:rsidR="00852135" w:rsidRPr="007457B1">
        <w:rPr>
          <w:rFonts w:ascii="Times New Roman" w:hAnsi="Times New Roman" w:cs="Times New Roman"/>
          <w:sz w:val="24"/>
          <w:szCs w:val="24"/>
        </w:rPr>
        <w:t>vacancies</w:t>
      </w:r>
      <w:r w:rsidR="00132106" w:rsidRPr="007457B1">
        <w:rPr>
          <w:rFonts w:ascii="Times New Roman" w:hAnsi="Times New Roman" w:cs="Times New Roman"/>
          <w:sz w:val="24"/>
          <w:szCs w:val="24"/>
        </w:rPr>
        <w:t xml:space="preserve"> </w:t>
      </w:r>
      <w:r w:rsidR="00852135" w:rsidRPr="007457B1">
        <w:rPr>
          <w:rFonts w:ascii="Times New Roman" w:hAnsi="Times New Roman" w:cs="Times New Roman"/>
          <w:sz w:val="24"/>
          <w:szCs w:val="24"/>
        </w:rPr>
        <w:t>in the Department</w:t>
      </w:r>
      <w:r w:rsidR="00132106" w:rsidRPr="007457B1">
        <w:rPr>
          <w:rFonts w:ascii="Times New Roman" w:hAnsi="Times New Roman" w:cs="Times New Roman"/>
          <w:sz w:val="24"/>
          <w:szCs w:val="24"/>
        </w:rPr>
        <w:t>.</w:t>
      </w:r>
      <w:r w:rsidR="00852135" w:rsidRPr="007457B1">
        <w:rPr>
          <w:rFonts w:ascii="Times New Roman" w:hAnsi="Times New Roman" w:cs="Times New Roman"/>
          <w:sz w:val="24"/>
          <w:szCs w:val="24"/>
        </w:rPr>
        <w:t xml:space="preserve"> The Committee was concerned that the Department could not indicate a timeframe by when these vacancies will be filled.</w:t>
      </w:r>
    </w:p>
    <w:p w14:paraId="552FA634" w14:textId="77777777" w:rsidR="00C50E5D" w:rsidRPr="007457B1" w:rsidRDefault="00C50E5D" w:rsidP="00C07A5A">
      <w:pPr>
        <w:spacing w:line="360" w:lineRule="auto"/>
        <w:jc w:val="both"/>
        <w:rPr>
          <w:rFonts w:ascii="Times New Roman" w:hAnsi="Times New Roman" w:cs="Times New Roman"/>
          <w:sz w:val="24"/>
          <w:szCs w:val="24"/>
        </w:rPr>
      </w:pPr>
    </w:p>
    <w:p w14:paraId="200805FD" w14:textId="77777777" w:rsidR="00C50E5D" w:rsidRPr="007457B1" w:rsidRDefault="00C50E5D"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7.</w:t>
      </w:r>
      <w:r w:rsidR="000249BD" w:rsidRPr="007457B1">
        <w:rPr>
          <w:rFonts w:ascii="Times New Roman" w:hAnsi="Times New Roman" w:cs="Times New Roman"/>
          <w:b/>
          <w:sz w:val="24"/>
          <w:szCs w:val="24"/>
        </w:rPr>
        <w:t>8</w:t>
      </w:r>
      <w:r w:rsidRPr="007457B1">
        <w:rPr>
          <w:rFonts w:ascii="Times New Roman" w:hAnsi="Times New Roman" w:cs="Times New Roman"/>
          <w:b/>
          <w:sz w:val="24"/>
          <w:szCs w:val="24"/>
        </w:rPr>
        <w:tab/>
        <w:t>Scholar Transport</w:t>
      </w:r>
    </w:p>
    <w:p w14:paraId="6EDA805E" w14:textId="77777777" w:rsidR="00EC560D" w:rsidRPr="007457B1" w:rsidRDefault="00EC560D"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Committee noted the </w:t>
      </w:r>
      <w:r w:rsidR="00AA480F" w:rsidRPr="007457B1">
        <w:rPr>
          <w:rFonts w:ascii="Times New Roman" w:hAnsi="Times New Roman" w:cs="Times New Roman"/>
          <w:sz w:val="24"/>
          <w:szCs w:val="24"/>
        </w:rPr>
        <w:t>increase in budget allocation to the Rural and Scholar Transport sub-programme under Programme 7. However, the Committee also noted the emphasis in the Budget Review documents, under the headline of Portfolio Committee on Basic Education, that together with relevant authorities, the department should fast track the implementation of plans to allocate ring-fenced funds for learner transport. The National Treasury is part of the task team on this issue. The ring fencing can only happen once a policy decision is taken on whether the function lies with the Department of Basic Education or the Department of Transport.</w:t>
      </w:r>
    </w:p>
    <w:p w14:paraId="4F7B7E99" w14:textId="77777777" w:rsidR="00AA480F" w:rsidRPr="007457B1" w:rsidRDefault="00AA480F"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Furthermore, under the heading of Scholar Transport, it was indicated that government conducted a study on the delivery of scholar transport services during 2018. A steering committee with members from the Department of Basic Education; the Department of Transport; the Department of Planning, Monitoring and Evaluation; and the National Treasury has been established to take this work forward. The report revealed several data gaps and inconsistencies in the way services are delivered and reported on in different provinces, making it difficult to establish a common national approach to improving the service. Two work streams were indicated to be established during 2019. The first will deal with the data gaps and attempt to determine whether the function should be led by the transport or basic education sector. The second work stream will deal with the costing of the service and will provide input during 2020.</w:t>
      </w:r>
    </w:p>
    <w:p w14:paraId="4FB49583" w14:textId="77777777" w:rsidR="004B12A6" w:rsidRPr="007457B1" w:rsidRDefault="004B12A6"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Committee raised concerns regarding the challenges faced by rural learners in obtaining access to scholar transport. Furthermore, concerns were raised regarding the modes or types of transport provided to learners which are not suitable or safe for the transportation of learners and often leads to overloading and contraventions of road traffic laws.</w:t>
      </w:r>
    </w:p>
    <w:p w14:paraId="5DD8ABF0" w14:textId="77777777" w:rsidR="00C50E5D" w:rsidRPr="007457B1" w:rsidRDefault="00351053"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Concerns were </w:t>
      </w:r>
      <w:r w:rsidR="004B12A6" w:rsidRPr="007457B1">
        <w:rPr>
          <w:rFonts w:ascii="Times New Roman" w:hAnsi="Times New Roman" w:cs="Times New Roman"/>
          <w:sz w:val="24"/>
          <w:szCs w:val="24"/>
        </w:rPr>
        <w:t xml:space="preserve">also </w:t>
      </w:r>
      <w:r w:rsidRPr="007457B1">
        <w:rPr>
          <w:rFonts w:ascii="Times New Roman" w:hAnsi="Times New Roman" w:cs="Times New Roman"/>
          <w:sz w:val="24"/>
          <w:szCs w:val="24"/>
        </w:rPr>
        <w:t xml:space="preserve">raised regarding the </w:t>
      </w:r>
      <w:r w:rsidR="004B12A6" w:rsidRPr="007457B1">
        <w:rPr>
          <w:rFonts w:ascii="Times New Roman" w:hAnsi="Times New Roman" w:cs="Times New Roman"/>
          <w:sz w:val="24"/>
          <w:szCs w:val="24"/>
        </w:rPr>
        <w:t xml:space="preserve">lack of uniformity in scholar transport provision in the various provinces and </w:t>
      </w:r>
      <w:r w:rsidRPr="007457B1">
        <w:rPr>
          <w:rFonts w:ascii="Times New Roman" w:hAnsi="Times New Roman" w:cs="Times New Roman"/>
          <w:sz w:val="24"/>
          <w:szCs w:val="24"/>
        </w:rPr>
        <w:t>challenges faced in the management</w:t>
      </w:r>
      <w:r w:rsidR="000D3492" w:rsidRPr="007457B1">
        <w:rPr>
          <w:rFonts w:ascii="Times New Roman" w:hAnsi="Times New Roman" w:cs="Times New Roman"/>
          <w:sz w:val="24"/>
          <w:szCs w:val="24"/>
        </w:rPr>
        <w:t>, financing, implementation</w:t>
      </w:r>
      <w:r w:rsidRPr="007457B1">
        <w:rPr>
          <w:rFonts w:ascii="Times New Roman" w:hAnsi="Times New Roman" w:cs="Times New Roman"/>
          <w:sz w:val="24"/>
          <w:szCs w:val="24"/>
        </w:rPr>
        <w:t xml:space="preserve"> and oversight over scholar transport</w:t>
      </w:r>
      <w:r w:rsidR="00B95D36" w:rsidRPr="007457B1">
        <w:rPr>
          <w:rFonts w:ascii="Times New Roman" w:hAnsi="Times New Roman" w:cs="Times New Roman"/>
          <w:sz w:val="24"/>
          <w:szCs w:val="24"/>
        </w:rPr>
        <w:t xml:space="preserve">. </w:t>
      </w:r>
    </w:p>
    <w:p w14:paraId="5C48FEDC" w14:textId="77777777" w:rsidR="00351053" w:rsidRPr="007457B1" w:rsidRDefault="00351053" w:rsidP="00C07A5A">
      <w:pPr>
        <w:spacing w:line="360" w:lineRule="auto"/>
        <w:jc w:val="both"/>
        <w:rPr>
          <w:rFonts w:ascii="Times New Roman" w:hAnsi="Times New Roman" w:cs="Times New Roman"/>
          <w:sz w:val="24"/>
          <w:szCs w:val="24"/>
        </w:rPr>
      </w:pPr>
    </w:p>
    <w:p w14:paraId="7766349B" w14:textId="77777777" w:rsidR="00C50E5D" w:rsidRPr="007457B1" w:rsidRDefault="000249BD"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7.9</w:t>
      </w:r>
      <w:r w:rsidR="00C50E5D" w:rsidRPr="007457B1">
        <w:rPr>
          <w:rFonts w:ascii="Times New Roman" w:hAnsi="Times New Roman" w:cs="Times New Roman"/>
          <w:b/>
          <w:sz w:val="24"/>
          <w:szCs w:val="24"/>
        </w:rPr>
        <w:tab/>
      </w:r>
      <w:r w:rsidR="00F0505E" w:rsidRPr="007457B1">
        <w:rPr>
          <w:rFonts w:ascii="Times New Roman" w:hAnsi="Times New Roman" w:cs="Times New Roman"/>
          <w:b/>
          <w:sz w:val="24"/>
          <w:szCs w:val="24"/>
        </w:rPr>
        <w:t>SANRAL funding concerns as well as i</w:t>
      </w:r>
      <w:r w:rsidR="00C50E5D" w:rsidRPr="007457B1">
        <w:rPr>
          <w:rFonts w:ascii="Times New Roman" w:hAnsi="Times New Roman" w:cs="Times New Roman"/>
          <w:b/>
          <w:sz w:val="24"/>
          <w:szCs w:val="24"/>
        </w:rPr>
        <w:t xml:space="preserve">mpact of GFIP </w:t>
      </w:r>
      <w:r w:rsidR="00F0505E" w:rsidRPr="007457B1">
        <w:rPr>
          <w:rFonts w:ascii="Times New Roman" w:hAnsi="Times New Roman" w:cs="Times New Roman"/>
          <w:b/>
          <w:sz w:val="24"/>
          <w:szCs w:val="24"/>
        </w:rPr>
        <w:t>thereon</w:t>
      </w:r>
    </w:p>
    <w:p w14:paraId="26FD13B9" w14:textId="77777777" w:rsidR="00E91EDB" w:rsidRPr="007457B1" w:rsidRDefault="00792975"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Committee </w:t>
      </w:r>
      <w:r w:rsidR="00401CE0" w:rsidRPr="007457B1">
        <w:rPr>
          <w:rFonts w:ascii="Times New Roman" w:hAnsi="Times New Roman" w:cs="Times New Roman"/>
          <w:sz w:val="24"/>
          <w:szCs w:val="24"/>
        </w:rPr>
        <w:t>continues to raise</w:t>
      </w:r>
      <w:r w:rsidRPr="007457B1">
        <w:rPr>
          <w:rFonts w:ascii="Times New Roman" w:hAnsi="Times New Roman" w:cs="Times New Roman"/>
          <w:sz w:val="24"/>
          <w:szCs w:val="24"/>
        </w:rPr>
        <w:t xml:space="preserve"> concerns regarding </w:t>
      </w:r>
      <w:r w:rsidR="00C94D32" w:rsidRPr="007457B1">
        <w:rPr>
          <w:rFonts w:ascii="Times New Roman" w:hAnsi="Times New Roman" w:cs="Times New Roman"/>
          <w:sz w:val="24"/>
          <w:szCs w:val="24"/>
        </w:rPr>
        <w:t>the going</w:t>
      </w:r>
      <w:r w:rsidR="00503726" w:rsidRPr="007457B1">
        <w:rPr>
          <w:rFonts w:ascii="Times New Roman" w:hAnsi="Times New Roman" w:cs="Times New Roman"/>
          <w:sz w:val="24"/>
          <w:szCs w:val="24"/>
        </w:rPr>
        <w:t xml:space="preserve"> </w:t>
      </w:r>
      <w:r w:rsidR="00C94D32" w:rsidRPr="007457B1">
        <w:rPr>
          <w:rFonts w:ascii="Times New Roman" w:hAnsi="Times New Roman" w:cs="Times New Roman"/>
          <w:sz w:val="24"/>
          <w:szCs w:val="24"/>
        </w:rPr>
        <w:t>concern status of SANRAL due to poor collection on GFIP e-toll project</w:t>
      </w:r>
      <w:r w:rsidR="00762DD6" w:rsidRPr="007457B1">
        <w:rPr>
          <w:rFonts w:ascii="Times New Roman" w:hAnsi="Times New Roman" w:cs="Times New Roman"/>
          <w:sz w:val="24"/>
          <w:szCs w:val="24"/>
        </w:rPr>
        <w:t>.</w:t>
      </w:r>
      <w:r w:rsidR="00A45871" w:rsidRPr="007457B1">
        <w:rPr>
          <w:rFonts w:ascii="Times New Roman" w:hAnsi="Times New Roman" w:cs="Times New Roman"/>
          <w:sz w:val="24"/>
          <w:szCs w:val="24"/>
        </w:rPr>
        <w:t xml:space="preserve"> </w:t>
      </w:r>
      <w:r w:rsidR="00052630" w:rsidRPr="007457B1">
        <w:rPr>
          <w:rFonts w:ascii="Times New Roman" w:hAnsi="Times New Roman" w:cs="Times New Roman"/>
          <w:sz w:val="24"/>
          <w:szCs w:val="24"/>
        </w:rPr>
        <w:t xml:space="preserve">The Committee also noted the massive decrease in funding to the SANRAL: GFIP from R6.3 billion in 2018/19 to R550.5 million in 2019/20. </w:t>
      </w:r>
    </w:p>
    <w:p w14:paraId="55EA6BF5" w14:textId="77777777" w:rsidR="00C94D32" w:rsidRPr="007457B1" w:rsidRDefault="00C94D32"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Committee </w:t>
      </w:r>
      <w:r w:rsidR="00401CE0" w:rsidRPr="007457B1">
        <w:rPr>
          <w:rFonts w:ascii="Times New Roman" w:hAnsi="Times New Roman" w:cs="Times New Roman"/>
          <w:sz w:val="24"/>
          <w:szCs w:val="24"/>
        </w:rPr>
        <w:t>was hopeful that</w:t>
      </w:r>
      <w:r w:rsidRPr="007457B1">
        <w:rPr>
          <w:rFonts w:ascii="Times New Roman" w:hAnsi="Times New Roman" w:cs="Times New Roman"/>
          <w:sz w:val="24"/>
          <w:szCs w:val="24"/>
        </w:rPr>
        <w:t xml:space="preserve"> delays </w:t>
      </w:r>
      <w:r w:rsidR="00401CE0" w:rsidRPr="007457B1">
        <w:rPr>
          <w:rFonts w:ascii="Times New Roman" w:hAnsi="Times New Roman" w:cs="Times New Roman"/>
          <w:sz w:val="24"/>
          <w:szCs w:val="24"/>
        </w:rPr>
        <w:t xml:space="preserve">would be minimised </w:t>
      </w:r>
      <w:r w:rsidRPr="007457B1">
        <w:rPr>
          <w:rFonts w:ascii="Times New Roman" w:hAnsi="Times New Roman" w:cs="Times New Roman"/>
          <w:sz w:val="24"/>
          <w:szCs w:val="24"/>
        </w:rPr>
        <w:t xml:space="preserve">in implementation of critical projects which were </w:t>
      </w:r>
      <w:r w:rsidR="00401CE0" w:rsidRPr="007457B1">
        <w:rPr>
          <w:rFonts w:ascii="Times New Roman" w:hAnsi="Times New Roman" w:cs="Times New Roman"/>
          <w:sz w:val="24"/>
          <w:szCs w:val="24"/>
        </w:rPr>
        <w:t>in the past delayed</w:t>
      </w:r>
      <w:r w:rsidRPr="007457B1">
        <w:rPr>
          <w:rFonts w:ascii="Times New Roman" w:hAnsi="Times New Roman" w:cs="Times New Roman"/>
          <w:sz w:val="24"/>
          <w:szCs w:val="24"/>
        </w:rPr>
        <w:t xml:space="preserve"> due to toll resistance</w:t>
      </w:r>
      <w:r w:rsidR="00401CE0" w:rsidRPr="007457B1">
        <w:rPr>
          <w:rFonts w:ascii="Times New Roman" w:hAnsi="Times New Roman" w:cs="Times New Roman"/>
          <w:sz w:val="24"/>
          <w:szCs w:val="24"/>
        </w:rPr>
        <w:t xml:space="preserve">. </w:t>
      </w:r>
      <w:r w:rsidR="00C32A29" w:rsidRPr="007457B1">
        <w:rPr>
          <w:rFonts w:ascii="Times New Roman" w:hAnsi="Times New Roman" w:cs="Times New Roman"/>
          <w:sz w:val="24"/>
          <w:szCs w:val="24"/>
        </w:rPr>
        <w:t>The Committee also noted delays in various SANRAL projects due to contractors withdrawing from some sites because of local community protest regarding these projects</w:t>
      </w:r>
      <w:r w:rsidR="00FE7E16" w:rsidRPr="007457B1">
        <w:rPr>
          <w:rFonts w:ascii="Times New Roman" w:hAnsi="Times New Roman" w:cs="Times New Roman"/>
          <w:sz w:val="24"/>
          <w:szCs w:val="24"/>
        </w:rPr>
        <w:t xml:space="preserve">. The Committee indicated that </w:t>
      </w:r>
      <w:r w:rsidR="00C32A29" w:rsidRPr="007457B1">
        <w:rPr>
          <w:rFonts w:ascii="Times New Roman" w:hAnsi="Times New Roman" w:cs="Times New Roman"/>
          <w:sz w:val="24"/>
          <w:szCs w:val="24"/>
        </w:rPr>
        <w:t xml:space="preserve">the Department </w:t>
      </w:r>
      <w:r w:rsidR="00FE7E16" w:rsidRPr="007457B1">
        <w:rPr>
          <w:rFonts w:ascii="Times New Roman" w:hAnsi="Times New Roman" w:cs="Times New Roman"/>
          <w:sz w:val="24"/>
          <w:szCs w:val="24"/>
        </w:rPr>
        <w:t>should ensure that projects rolled out in communities make use of the skills within that community and that SANRAL and provincial departments responsible for roads and transport matters</w:t>
      </w:r>
      <w:r w:rsidR="00C32A29" w:rsidRPr="007457B1">
        <w:rPr>
          <w:rFonts w:ascii="Times New Roman" w:hAnsi="Times New Roman" w:cs="Times New Roman"/>
          <w:sz w:val="24"/>
          <w:szCs w:val="24"/>
        </w:rPr>
        <w:t xml:space="preserve"> implement an Inter</w:t>
      </w:r>
      <w:r w:rsidR="00503726" w:rsidRPr="007457B1">
        <w:rPr>
          <w:rFonts w:ascii="Times New Roman" w:hAnsi="Times New Roman" w:cs="Times New Roman"/>
          <w:sz w:val="24"/>
          <w:szCs w:val="24"/>
        </w:rPr>
        <w:t>-</w:t>
      </w:r>
      <w:r w:rsidR="00C32A29" w:rsidRPr="007457B1">
        <w:rPr>
          <w:rFonts w:ascii="Times New Roman" w:hAnsi="Times New Roman" w:cs="Times New Roman"/>
          <w:sz w:val="24"/>
          <w:szCs w:val="24"/>
        </w:rPr>
        <w:t xml:space="preserve">Governmental Relations Strategy to assist in resolving these issues. </w:t>
      </w:r>
      <w:r w:rsidR="00401CE0" w:rsidRPr="007457B1">
        <w:rPr>
          <w:rFonts w:ascii="Times New Roman" w:hAnsi="Times New Roman" w:cs="Times New Roman"/>
          <w:sz w:val="24"/>
          <w:szCs w:val="24"/>
        </w:rPr>
        <w:t>The Committee was optimistic about the possible progress in rolling out the possible</w:t>
      </w:r>
      <w:r w:rsidRPr="007457B1">
        <w:rPr>
          <w:rFonts w:ascii="Times New Roman" w:hAnsi="Times New Roman" w:cs="Times New Roman"/>
          <w:sz w:val="24"/>
          <w:szCs w:val="24"/>
        </w:rPr>
        <w:t xml:space="preserve"> R128 billion investment in road infrastructure projects</w:t>
      </w:r>
      <w:r w:rsidR="00401CE0" w:rsidRPr="007457B1">
        <w:rPr>
          <w:rFonts w:ascii="Times New Roman" w:hAnsi="Times New Roman" w:cs="Times New Roman"/>
          <w:sz w:val="24"/>
          <w:szCs w:val="24"/>
        </w:rPr>
        <w:t xml:space="preserve"> </w:t>
      </w:r>
      <w:r w:rsidRPr="007457B1">
        <w:rPr>
          <w:rFonts w:ascii="Times New Roman" w:hAnsi="Times New Roman" w:cs="Times New Roman"/>
          <w:sz w:val="24"/>
          <w:szCs w:val="24"/>
        </w:rPr>
        <w:t>which includes:</w:t>
      </w:r>
    </w:p>
    <w:p w14:paraId="1D3C8859" w14:textId="77777777" w:rsidR="00080EC4" w:rsidRDefault="00EB6974" w:rsidP="00080EC4">
      <w:pPr>
        <w:pStyle w:val="ListParagraph"/>
        <w:numPr>
          <w:ilvl w:val="0"/>
          <w:numId w:val="36"/>
        </w:numPr>
        <w:spacing w:line="360" w:lineRule="auto"/>
        <w:ind w:left="426"/>
        <w:jc w:val="both"/>
        <w:rPr>
          <w:rFonts w:ascii="Times New Roman" w:hAnsi="Times New Roman"/>
          <w:sz w:val="24"/>
          <w:szCs w:val="24"/>
        </w:rPr>
      </w:pPr>
      <w:r w:rsidRPr="00080EC4">
        <w:rPr>
          <w:rFonts w:ascii="Times New Roman" w:hAnsi="Times New Roman"/>
          <w:sz w:val="24"/>
          <w:szCs w:val="24"/>
        </w:rPr>
        <w:t>N1-N2 Winelands Project</w:t>
      </w:r>
    </w:p>
    <w:p w14:paraId="364778DA" w14:textId="77777777" w:rsidR="00080EC4" w:rsidRDefault="00C94D32" w:rsidP="00080EC4">
      <w:pPr>
        <w:pStyle w:val="ListParagraph"/>
        <w:numPr>
          <w:ilvl w:val="0"/>
          <w:numId w:val="36"/>
        </w:numPr>
        <w:spacing w:line="360" w:lineRule="auto"/>
        <w:ind w:left="426"/>
        <w:jc w:val="both"/>
        <w:rPr>
          <w:rFonts w:ascii="Times New Roman" w:hAnsi="Times New Roman"/>
          <w:sz w:val="24"/>
          <w:szCs w:val="24"/>
        </w:rPr>
      </w:pPr>
      <w:r w:rsidRPr="00080EC4">
        <w:rPr>
          <w:rFonts w:ascii="Times New Roman" w:hAnsi="Times New Roman"/>
          <w:sz w:val="24"/>
          <w:szCs w:val="24"/>
        </w:rPr>
        <w:t xml:space="preserve">N2 Wild Coast </w:t>
      </w:r>
      <w:r w:rsidR="00EB6974" w:rsidRPr="00080EC4">
        <w:rPr>
          <w:rFonts w:ascii="Times New Roman" w:hAnsi="Times New Roman"/>
          <w:sz w:val="24"/>
          <w:szCs w:val="24"/>
        </w:rPr>
        <w:t xml:space="preserve">Highway </w:t>
      </w:r>
      <w:r w:rsidRPr="00080EC4">
        <w:rPr>
          <w:rFonts w:ascii="Times New Roman" w:hAnsi="Times New Roman"/>
          <w:sz w:val="24"/>
          <w:szCs w:val="24"/>
        </w:rPr>
        <w:t xml:space="preserve">Project </w:t>
      </w:r>
    </w:p>
    <w:p w14:paraId="6EF417B6" w14:textId="77777777" w:rsidR="00080EC4" w:rsidRDefault="00EB6974" w:rsidP="00080EC4">
      <w:pPr>
        <w:pStyle w:val="ListParagraph"/>
        <w:numPr>
          <w:ilvl w:val="0"/>
          <w:numId w:val="36"/>
        </w:numPr>
        <w:spacing w:line="360" w:lineRule="auto"/>
        <w:ind w:left="426"/>
        <w:jc w:val="both"/>
        <w:rPr>
          <w:rFonts w:ascii="Times New Roman" w:hAnsi="Times New Roman"/>
          <w:sz w:val="24"/>
          <w:szCs w:val="24"/>
        </w:rPr>
      </w:pPr>
      <w:r w:rsidRPr="00080EC4">
        <w:rPr>
          <w:rFonts w:ascii="Times New Roman" w:hAnsi="Times New Roman"/>
          <w:sz w:val="24"/>
          <w:szCs w:val="24"/>
        </w:rPr>
        <w:t>N2 Durban South to North Project</w:t>
      </w:r>
    </w:p>
    <w:p w14:paraId="253E9D20" w14:textId="77777777" w:rsidR="00080EC4" w:rsidRDefault="00C94D32" w:rsidP="00080EC4">
      <w:pPr>
        <w:pStyle w:val="ListParagraph"/>
        <w:numPr>
          <w:ilvl w:val="0"/>
          <w:numId w:val="36"/>
        </w:numPr>
        <w:spacing w:line="360" w:lineRule="auto"/>
        <w:ind w:left="426"/>
        <w:jc w:val="both"/>
        <w:rPr>
          <w:rFonts w:ascii="Times New Roman" w:hAnsi="Times New Roman"/>
          <w:sz w:val="24"/>
          <w:szCs w:val="24"/>
        </w:rPr>
      </w:pPr>
      <w:r w:rsidRPr="00080EC4">
        <w:rPr>
          <w:rFonts w:ascii="Times New Roman" w:hAnsi="Times New Roman"/>
          <w:sz w:val="24"/>
          <w:szCs w:val="24"/>
        </w:rPr>
        <w:t xml:space="preserve">N3 </w:t>
      </w:r>
      <w:r w:rsidR="00EB6974" w:rsidRPr="00080EC4">
        <w:rPr>
          <w:rFonts w:ascii="Times New Roman" w:hAnsi="Times New Roman"/>
          <w:sz w:val="24"/>
          <w:szCs w:val="24"/>
        </w:rPr>
        <w:t>Gauteng Durban Corridor Project/</w:t>
      </w:r>
      <w:r w:rsidRPr="00080EC4">
        <w:rPr>
          <w:rFonts w:ascii="Times New Roman" w:hAnsi="Times New Roman"/>
          <w:sz w:val="24"/>
          <w:szCs w:val="24"/>
        </w:rPr>
        <w:t>Van Reenen Development Project</w:t>
      </w:r>
      <w:r w:rsidR="00EB6974" w:rsidRPr="00080EC4">
        <w:rPr>
          <w:rFonts w:ascii="Times New Roman" w:hAnsi="Times New Roman"/>
          <w:sz w:val="24"/>
          <w:szCs w:val="24"/>
        </w:rPr>
        <w:t xml:space="preserve"> (formerly indicated as the De Beers Pass project)</w:t>
      </w:r>
    </w:p>
    <w:p w14:paraId="6E1E9FC7" w14:textId="77777777" w:rsidR="00C94D32" w:rsidRPr="00080EC4" w:rsidRDefault="00C94D32" w:rsidP="00080EC4">
      <w:pPr>
        <w:pStyle w:val="ListParagraph"/>
        <w:numPr>
          <w:ilvl w:val="0"/>
          <w:numId w:val="36"/>
        </w:numPr>
        <w:spacing w:line="360" w:lineRule="auto"/>
        <w:ind w:left="426"/>
        <w:jc w:val="both"/>
        <w:rPr>
          <w:rFonts w:ascii="Times New Roman" w:hAnsi="Times New Roman"/>
          <w:sz w:val="24"/>
          <w:szCs w:val="24"/>
        </w:rPr>
      </w:pPr>
      <w:r w:rsidRPr="00080EC4">
        <w:rPr>
          <w:rFonts w:ascii="Times New Roman" w:hAnsi="Times New Roman"/>
          <w:sz w:val="24"/>
          <w:szCs w:val="24"/>
        </w:rPr>
        <w:t xml:space="preserve">N3 </w:t>
      </w:r>
      <w:r w:rsidR="00EB6974" w:rsidRPr="00080EC4">
        <w:rPr>
          <w:rFonts w:ascii="Times New Roman" w:hAnsi="Times New Roman"/>
          <w:sz w:val="24"/>
          <w:szCs w:val="24"/>
        </w:rPr>
        <w:t>Pietermaritzburg</w:t>
      </w:r>
      <w:r w:rsidRPr="00080EC4">
        <w:rPr>
          <w:rFonts w:ascii="Times New Roman" w:hAnsi="Times New Roman"/>
          <w:sz w:val="24"/>
          <w:szCs w:val="24"/>
        </w:rPr>
        <w:t xml:space="preserve"> to Durban Project</w:t>
      </w:r>
    </w:p>
    <w:p w14:paraId="27E47641" w14:textId="77777777" w:rsidR="00C32A29" w:rsidRPr="007457B1" w:rsidRDefault="00401CE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Committee was concerned that </w:t>
      </w:r>
      <w:r w:rsidR="00A45871" w:rsidRPr="007457B1">
        <w:rPr>
          <w:rFonts w:ascii="Times New Roman" w:hAnsi="Times New Roman" w:cs="Times New Roman"/>
          <w:sz w:val="24"/>
          <w:szCs w:val="24"/>
        </w:rPr>
        <w:t xml:space="preserve">one of the key focus areas indicated by SANRAL for 2018/19 </w:t>
      </w:r>
      <w:r w:rsidRPr="007457B1">
        <w:rPr>
          <w:rFonts w:ascii="Times New Roman" w:hAnsi="Times New Roman" w:cs="Times New Roman"/>
          <w:sz w:val="24"/>
          <w:szCs w:val="24"/>
        </w:rPr>
        <w:t>wa</w:t>
      </w:r>
      <w:r w:rsidR="00A45871" w:rsidRPr="007457B1">
        <w:rPr>
          <w:rFonts w:ascii="Times New Roman" w:hAnsi="Times New Roman" w:cs="Times New Roman"/>
          <w:sz w:val="24"/>
          <w:szCs w:val="24"/>
        </w:rPr>
        <w:t>s the cooperation with the Department on developing a fresh Toll Roads Policy</w:t>
      </w:r>
      <w:r w:rsidRPr="007457B1">
        <w:rPr>
          <w:rFonts w:ascii="Times New Roman" w:hAnsi="Times New Roman" w:cs="Times New Roman"/>
          <w:sz w:val="24"/>
          <w:szCs w:val="24"/>
        </w:rPr>
        <w:t xml:space="preserve"> and that this has not yet been finalised</w:t>
      </w:r>
      <w:r w:rsidR="00A45871" w:rsidRPr="007457B1">
        <w:rPr>
          <w:rFonts w:ascii="Times New Roman" w:hAnsi="Times New Roman" w:cs="Times New Roman"/>
          <w:sz w:val="24"/>
          <w:szCs w:val="24"/>
        </w:rPr>
        <w:t>.</w:t>
      </w:r>
    </w:p>
    <w:p w14:paraId="029950E4" w14:textId="77777777" w:rsidR="00ED4976" w:rsidRPr="007457B1" w:rsidRDefault="00ED4976" w:rsidP="00C07A5A">
      <w:pPr>
        <w:spacing w:line="360" w:lineRule="auto"/>
        <w:jc w:val="both"/>
        <w:rPr>
          <w:rFonts w:ascii="Times New Roman" w:hAnsi="Times New Roman" w:cs="Times New Roman"/>
          <w:sz w:val="24"/>
          <w:szCs w:val="24"/>
        </w:rPr>
      </w:pPr>
    </w:p>
    <w:p w14:paraId="4EC0F3EC" w14:textId="77777777" w:rsidR="00C50E5D" w:rsidRPr="007457B1" w:rsidRDefault="000249BD"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7.10</w:t>
      </w:r>
      <w:r w:rsidR="00C50E5D" w:rsidRPr="007457B1">
        <w:rPr>
          <w:rFonts w:ascii="Times New Roman" w:hAnsi="Times New Roman" w:cs="Times New Roman"/>
          <w:b/>
          <w:sz w:val="24"/>
          <w:szCs w:val="24"/>
        </w:rPr>
        <w:tab/>
      </w:r>
      <w:r w:rsidR="00762DD6" w:rsidRPr="007457B1">
        <w:rPr>
          <w:rFonts w:ascii="Times New Roman" w:hAnsi="Times New Roman" w:cs="Times New Roman"/>
          <w:b/>
          <w:sz w:val="24"/>
          <w:szCs w:val="24"/>
        </w:rPr>
        <w:t>PRASA Modernisation project</w:t>
      </w:r>
    </w:p>
    <w:p w14:paraId="5B5A8E4F" w14:textId="77777777" w:rsidR="00524B94" w:rsidRPr="007457B1" w:rsidRDefault="00524B94"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Committee noted a significant increase in budget to PRASA Capital from R91.9 million in 2018/19 to R600 million</w:t>
      </w:r>
      <w:r w:rsidR="00D40548" w:rsidRPr="007457B1">
        <w:rPr>
          <w:rFonts w:ascii="Times New Roman" w:hAnsi="Times New Roman" w:cs="Times New Roman"/>
          <w:sz w:val="24"/>
          <w:szCs w:val="24"/>
        </w:rPr>
        <w:t xml:space="preserve"> in 2019/20</w:t>
      </w:r>
      <w:r w:rsidR="00503726" w:rsidRPr="007457B1">
        <w:rPr>
          <w:rFonts w:ascii="Times New Roman" w:hAnsi="Times New Roman" w:cs="Times New Roman"/>
          <w:sz w:val="24"/>
          <w:szCs w:val="24"/>
        </w:rPr>
        <w:t>,</w:t>
      </w:r>
      <w:r w:rsidR="00D40548" w:rsidRPr="007457B1">
        <w:rPr>
          <w:rFonts w:ascii="Times New Roman" w:hAnsi="Times New Roman" w:cs="Times New Roman"/>
          <w:sz w:val="24"/>
          <w:szCs w:val="24"/>
        </w:rPr>
        <w:t xml:space="preserve"> as well as the PRASA: Rolling Stock Fleet Renewal</w:t>
      </w:r>
      <w:r w:rsidR="00E63CF8">
        <w:rPr>
          <w:rFonts w:ascii="Times New Roman" w:hAnsi="Times New Roman" w:cs="Times New Roman"/>
          <w:sz w:val="24"/>
          <w:szCs w:val="24"/>
        </w:rPr>
        <w:t xml:space="preserve"> </w:t>
      </w:r>
      <w:r w:rsidR="00D40548" w:rsidRPr="007457B1">
        <w:rPr>
          <w:rFonts w:ascii="Times New Roman" w:hAnsi="Times New Roman" w:cs="Times New Roman"/>
          <w:sz w:val="24"/>
          <w:szCs w:val="24"/>
        </w:rPr>
        <w:t>budget going from R4.7 billion in 2018/19 to R5.8 billion in 2019/20.</w:t>
      </w:r>
    </w:p>
    <w:p w14:paraId="3C125AEB" w14:textId="77777777" w:rsidR="000F68F8" w:rsidRPr="007457B1" w:rsidRDefault="000F68F8"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Committee expressed the hope that the current </w:t>
      </w:r>
      <w:r w:rsidR="00565E3B" w:rsidRPr="007457B1">
        <w:rPr>
          <w:rFonts w:ascii="Times New Roman" w:hAnsi="Times New Roman" w:cs="Times New Roman"/>
          <w:sz w:val="24"/>
          <w:szCs w:val="24"/>
        </w:rPr>
        <w:t xml:space="preserve">interim </w:t>
      </w:r>
      <w:r w:rsidRPr="007457B1">
        <w:rPr>
          <w:rFonts w:ascii="Times New Roman" w:hAnsi="Times New Roman" w:cs="Times New Roman"/>
          <w:sz w:val="24"/>
          <w:szCs w:val="24"/>
        </w:rPr>
        <w:t>board will not allow the allocated funds to PRASA Capital to l</w:t>
      </w:r>
      <w:r w:rsidR="00503726" w:rsidRPr="007457B1">
        <w:rPr>
          <w:rFonts w:ascii="Times New Roman" w:hAnsi="Times New Roman" w:cs="Times New Roman"/>
          <w:sz w:val="24"/>
          <w:szCs w:val="24"/>
        </w:rPr>
        <w:t>ie</w:t>
      </w:r>
      <w:r w:rsidRPr="007457B1">
        <w:rPr>
          <w:rFonts w:ascii="Times New Roman" w:hAnsi="Times New Roman" w:cs="Times New Roman"/>
          <w:sz w:val="24"/>
          <w:szCs w:val="24"/>
        </w:rPr>
        <w:t xml:space="preserve"> idle again as in previous years but that this will be wisely spent where services are in most dire need.</w:t>
      </w:r>
    </w:p>
    <w:p w14:paraId="2736CAA1" w14:textId="77777777" w:rsidR="00C50E5D" w:rsidRPr="007457B1" w:rsidRDefault="00762DD6"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Committee was of the view that until</w:t>
      </w:r>
      <w:r w:rsidR="00B95D36" w:rsidRPr="007457B1">
        <w:rPr>
          <w:rFonts w:ascii="Times New Roman" w:hAnsi="Times New Roman" w:cs="Times New Roman"/>
          <w:sz w:val="24"/>
          <w:szCs w:val="24"/>
        </w:rPr>
        <w:t xml:space="preserve"> and unless</w:t>
      </w:r>
      <w:r w:rsidRPr="007457B1">
        <w:rPr>
          <w:rFonts w:ascii="Times New Roman" w:hAnsi="Times New Roman" w:cs="Times New Roman"/>
          <w:sz w:val="24"/>
          <w:szCs w:val="24"/>
        </w:rPr>
        <w:t xml:space="preserve"> the current service and safety concerns are adequately addressed</w:t>
      </w:r>
      <w:r w:rsidR="004C7E89" w:rsidRPr="007457B1">
        <w:rPr>
          <w:rFonts w:ascii="Times New Roman" w:hAnsi="Times New Roman" w:cs="Times New Roman"/>
          <w:sz w:val="24"/>
          <w:szCs w:val="24"/>
        </w:rPr>
        <w:t>,</w:t>
      </w:r>
      <w:r w:rsidR="001A7D30" w:rsidRPr="007457B1">
        <w:rPr>
          <w:rFonts w:ascii="Times New Roman" w:hAnsi="Times New Roman" w:cs="Times New Roman"/>
          <w:sz w:val="24"/>
          <w:szCs w:val="24"/>
        </w:rPr>
        <w:t xml:space="preserve"> </w:t>
      </w:r>
      <w:r w:rsidRPr="007457B1">
        <w:rPr>
          <w:rFonts w:ascii="Times New Roman" w:hAnsi="Times New Roman" w:cs="Times New Roman"/>
          <w:sz w:val="24"/>
          <w:szCs w:val="24"/>
        </w:rPr>
        <w:t>the modernisation project will not be able to progress as more budget has to be spent on refurbishment of vandalised and outdated coaches and infrastructure to ensure services are able to run.</w:t>
      </w:r>
      <w:r w:rsidR="001A7D30" w:rsidRPr="007457B1">
        <w:rPr>
          <w:rFonts w:ascii="Times New Roman" w:hAnsi="Times New Roman" w:cs="Times New Roman"/>
          <w:sz w:val="24"/>
          <w:szCs w:val="24"/>
        </w:rPr>
        <w:t xml:space="preserve"> </w:t>
      </w:r>
    </w:p>
    <w:p w14:paraId="7C08537C" w14:textId="77777777" w:rsidR="00C32A29" w:rsidRPr="007457B1" w:rsidRDefault="00C32A29"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Committee noted with concern that the performance in and expenditure of budget of R2.4 billion for the station modernisation programme runs the risk of being delayed due to the cancellation by National Treasury of all station modernisation contract</w:t>
      </w:r>
      <w:r w:rsidR="00B452B9" w:rsidRPr="007457B1">
        <w:rPr>
          <w:rFonts w:ascii="Times New Roman" w:hAnsi="Times New Roman" w:cs="Times New Roman"/>
          <w:sz w:val="24"/>
          <w:szCs w:val="24"/>
        </w:rPr>
        <w:t>s</w:t>
      </w:r>
      <w:r w:rsidRPr="007457B1">
        <w:rPr>
          <w:rFonts w:ascii="Times New Roman" w:hAnsi="Times New Roman" w:cs="Times New Roman"/>
          <w:sz w:val="24"/>
          <w:szCs w:val="24"/>
        </w:rPr>
        <w:t>.</w:t>
      </w:r>
    </w:p>
    <w:p w14:paraId="6677A372" w14:textId="77777777" w:rsidR="00C32A29" w:rsidRPr="007457B1" w:rsidRDefault="00C32A29"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Committee was adamant that the signalling system and telecommunication upgrades projects were of utmost importance to prevent a repeat of the rail collisions experience during the last two years. </w:t>
      </w:r>
    </w:p>
    <w:p w14:paraId="16C63FBB" w14:textId="77777777" w:rsidR="00490066" w:rsidRDefault="00490066">
      <w:pPr>
        <w:rPr>
          <w:rFonts w:ascii="Times New Roman" w:hAnsi="Times New Roman" w:cs="Times New Roman"/>
          <w:b/>
          <w:sz w:val="24"/>
          <w:szCs w:val="24"/>
        </w:rPr>
      </w:pPr>
    </w:p>
    <w:p w14:paraId="4E87B150" w14:textId="77777777" w:rsidR="00C50E5D" w:rsidRPr="007457B1" w:rsidRDefault="000249BD"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7.11</w:t>
      </w:r>
      <w:r w:rsidR="00C50E5D" w:rsidRPr="007457B1">
        <w:rPr>
          <w:rFonts w:ascii="Times New Roman" w:hAnsi="Times New Roman" w:cs="Times New Roman"/>
          <w:b/>
          <w:sz w:val="24"/>
          <w:szCs w:val="24"/>
        </w:rPr>
        <w:tab/>
        <w:t>Taxi Recapitalisation Project</w:t>
      </w:r>
      <w:r w:rsidR="00E63CF8">
        <w:rPr>
          <w:rFonts w:ascii="Times New Roman" w:hAnsi="Times New Roman" w:cs="Times New Roman"/>
          <w:b/>
          <w:sz w:val="24"/>
          <w:szCs w:val="24"/>
        </w:rPr>
        <w:t xml:space="preserve"> (TRP)</w:t>
      </w:r>
    </w:p>
    <w:p w14:paraId="46AA35BC" w14:textId="77777777" w:rsidR="00FE7E16" w:rsidRPr="007457B1" w:rsidRDefault="00DB08CF"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Committee noted the targeted implementation of the recommendations of the </w:t>
      </w:r>
      <w:r w:rsidR="00E63CF8">
        <w:rPr>
          <w:rFonts w:ascii="Times New Roman" w:hAnsi="Times New Roman" w:cs="Times New Roman"/>
          <w:sz w:val="24"/>
          <w:szCs w:val="24"/>
        </w:rPr>
        <w:t>TRP</w:t>
      </w:r>
      <w:r w:rsidRPr="007457B1">
        <w:rPr>
          <w:rFonts w:ascii="Times New Roman" w:hAnsi="Times New Roman" w:cs="Times New Roman"/>
          <w:sz w:val="24"/>
          <w:szCs w:val="24"/>
        </w:rPr>
        <w:t xml:space="preserve"> by March 2020. However, the revised policy has to date not been presented to the Committee. </w:t>
      </w:r>
      <w:r w:rsidR="00762DD6" w:rsidRPr="007457B1">
        <w:rPr>
          <w:rFonts w:ascii="Times New Roman" w:hAnsi="Times New Roman" w:cs="Times New Roman"/>
          <w:sz w:val="24"/>
          <w:szCs w:val="24"/>
        </w:rPr>
        <w:t>The revision</w:t>
      </w:r>
      <w:r w:rsidRPr="007457B1">
        <w:rPr>
          <w:rFonts w:ascii="Times New Roman" w:hAnsi="Times New Roman" w:cs="Times New Roman"/>
          <w:sz w:val="24"/>
          <w:szCs w:val="24"/>
        </w:rPr>
        <w:t xml:space="preserve"> and implementation</w:t>
      </w:r>
      <w:r w:rsidR="00762DD6" w:rsidRPr="007457B1">
        <w:rPr>
          <w:rFonts w:ascii="Times New Roman" w:hAnsi="Times New Roman" w:cs="Times New Roman"/>
          <w:sz w:val="24"/>
          <w:szCs w:val="24"/>
        </w:rPr>
        <w:t xml:space="preserve"> of the policy </w:t>
      </w:r>
      <w:r w:rsidRPr="007457B1">
        <w:rPr>
          <w:rFonts w:ascii="Times New Roman" w:hAnsi="Times New Roman" w:cs="Times New Roman"/>
          <w:sz w:val="24"/>
          <w:szCs w:val="24"/>
        </w:rPr>
        <w:t xml:space="preserve">therefore </w:t>
      </w:r>
      <w:r w:rsidR="00762DD6" w:rsidRPr="007457B1">
        <w:rPr>
          <w:rFonts w:ascii="Times New Roman" w:hAnsi="Times New Roman" w:cs="Times New Roman"/>
          <w:sz w:val="24"/>
          <w:szCs w:val="24"/>
        </w:rPr>
        <w:t xml:space="preserve">appears to be </w:t>
      </w:r>
      <w:r w:rsidR="0025282D" w:rsidRPr="007457B1">
        <w:rPr>
          <w:rFonts w:ascii="Times New Roman" w:hAnsi="Times New Roman" w:cs="Times New Roman"/>
          <w:sz w:val="24"/>
          <w:szCs w:val="24"/>
        </w:rPr>
        <w:t>delayed</w:t>
      </w:r>
      <w:r w:rsidR="00762DD6" w:rsidRPr="007457B1">
        <w:rPr>
          <w:rFonts w:ascii="Times New Roman" w:hAnsi="Times New Roman" w:cs="Times New Roman"/>
          <w:sz w:val="24"/>
          <w:szCs w:val="24"/>
        </w:rPr>
        <w:t xml:space="preserve"> and the targets set for implementation of the project have failed to be accurate in recent years due to a reduced uptake thereof by the industry. </w:t>
      </w:r>
      <w:r w:rsidR="000337A0" w:rsidRPr="007457B1">
        <w:rPr>
          <w:rFonts w:ascii="Times New Roman" w:hAnsi="Times New Roman" w:cs="Times New Roman"/>
          <w:sz w:val="24"/>
          <w:szCs w:val="24"/>
        </w:rPr>
        <w:t xml:space="preserve">The current project has no termination date which creates no urgency for compliance or uptake of the project. </w:t>
      </w:r>
    </w:p>
    <w:p w14:paraId="0ADC47D0" w14:textId="77777777" w:rsidR="00AE3DB7" w:rsidRPr="007457B1" w:rsidRDefault="000337A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Furthermore, the Committee is concerned that the Department may not be utilising the data it has from the operating licence and permit databases to identify and contact owners of vehicles that may be qualifying for scrapping. The Committee indicated that the value allocated for pay</w:t>
      </w:r>
      <w:r w:rsidR="00503726" w:rsidRPr="007457B1">
        <w:rPr>
          <w:rFonts w:ascii="Times New Roman" w:hAnsi="Times New Roman" w:cs="Times New Roman"/>
          <w:sz w:val="24"/>
          <w:szCs w:val="24"/>
        </w:rPr>
        <w:t xml:space="preserve"> </w:t>
      </w:r>
      <w:r w:rsidRPr="007457B1">
        <w:rPr>
          <w:rFonts w:ascii="Times New Roman" w:hAnsi="Times New Roman" w:cs="Times New Roman"/>
          <w:sz w:val="24"/>
          <w:szCs w:val="24"/>
        </w:rPr>
        <w:t>out to the industry in terms of the project is perceived as insufficient by the industry to warrant an uptake in the project</w:t>
      </w:r>
      <w:r w:rsidR="00FE7E16" w:rsidRPr="007457B1">
        <w:rPr>
          <w:rFonts w:ascii="Times New Roman" w:hAnsi="Times New Roman" w:cs="Times New Roman"/>
          <w:sz w:val="24"/>
          <w:szCs w:val="24"/>
        </w:rPr>
        <w:t xml:space="preserve"> and hopes were expressed that the reviewed project will remedy this</w:t>
      </w:r>
      <w:r w:rsidR="00503726" w:rsidRPr="007457B1">
        <w:rPr>
          <w:rFonts w:ascii="Times New Roman" w:hAnsi="Times New Roman" w:cs="Times New Roman"/>
          <w:sz w:val="24"/>
          <w:szCs w:val="24"/>
        </w:rPr>
        <w:t>,</w:t>
      </w:r>
      <w:r w:rsidR="00FE7E16" w:rsidRPr="007457B1">
        <w:rPr>
          <w:rFonts w:ascii="Times New Roman" w:hAnsi="Times New Roman" w:cs="Times New Roman"/>
          <w:sz w:val="24"/>
          <w:szCs w:val="24"/>
        </w:rPr>
        <w:t xml:space="preserve"> as well as the need to ensure a taxi (maintenance) services value chain exists</w:t>
      </w:r>
      <w:r w:rsidRPr="007457B1">
        <w:rPr>
          <w:rFonts w:ascii="Times New Roman" w:hAnsi="Times New Roman" w:cs="Times New Roman"/>
          <w:sz w:val="24"/>
          <w:szCs w:val="24"/>
        </w:rPr>
        <w:t xml:space="preserve">. </w:t>
      </w:r>
    </w:p>
    <w:p w14:paraId="3FBBBA39" w14:textId="77777777" w:rsidR="00AE3DB7" w:rsidRPr="007457B1" w:rsidRDefault="00AE3DB7"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Committee also noted the recent Public Protector Report 37 of 2018/19 on the Illegal Conversion of Toyota Quantum Panel Vans into Mini Bus Taxis and that the findings might impact this programme. (The Committee must still consider this report and table their own report in the House).</w:t>
      </w:r>
    </w:p>
    <w:p w14:paraId="1FE3F75F" w14:textId="77777777" w:rsidR="00762DD6" w:rsidRPr="007457B1" w:rsidRDefault="00762DD6" w:rsidP="00C07A5A">
      <w:pPr>
        <w:spacing w:line="360" w:lineRule="auto"/>
        <w:jc w:val="both"/>
        <w:rPr>
          <w:rFonts w:ascii="Times New Roman" w:hAnsi="Times New Roman" w:cs="Times New Roman"/>
          <w:sz w:val="24"/>
          <w:szCs w:val="24"/>
        </w:rPr>
      </w:pPr>
    </w:p>
    <w:p w14:paraId="0795C91D" w14:textId="77777777" w:rsidR="00C50E5D" w:rsidRPr="007457B1" w:rsidRDefault="000249BD"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7.12</w:t>
      </w:r>
      <w:r w:rsidR="00C50E5D" w:rsidRPr="007457B1">
        <w:rPr>
          <w:rFonts w:ascii="Times New Roman" w:hAnsi="Times New Roman" w:cs="Times New Roman"/>
          <w:b/>
          <w:sz w:val="24"/>
          <w:szCs w:val="24"/>
        </w:rPr>
        <w:tab/>
      </w:r>
      <w:r w:rsidR="00B019FB" w:rsidRPr="007457B1">
        <w:rPr>
          <w:rFonts w:ascii="Times New Roman" w:hAnsi="Times New Roman" w:cs="Times New Roman"/>
          <w:b/>
          <w:sz w:val="24"/>
          <w:szCs w:val="24"/>
        </w:rPr>
        <w:t>Funding Models and Turn-around Strategies o</w:t>
      </w:r>
      <w:r w:rsidR="00E466F0" w:rsidRPr="007457B1">
        <w:rPr>
          <w:rFonts w:ascii="Times New Roman" w:hAnsi="Times New Roman" w:cs="Times New Roman"/>
          <w:b/>
          <w:sz w:val="24"/>
          <w:szCs w:val="24"/>
        </w:rPr>
        <w:t>f</w:t>
      </w:r>
      <w:r w:rsidR="00B019FB" w:rsidRPr="007457B1">
        <w:rPr>
          <w:rFonts w:ascii="Times New Roman" w:hAnsi="Times New Roman" w:cs="Times New Roman"/>
          <w:b/>
          <w:sz w:val="24"/>
          <w:szCs w:val="24"/>
        </w:rPr>
        <w:t xml:space="preserve"> Entities</w:t>
      </w:r>
    </w:p>
    <w:p w14:paraId="18510999" w14:textId="77777777" w:rsidR="00FE4214" w:rsidRPr="007457B1" w:rsidRDefault="00FE4214"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Committee </w:t>
      </w:r>
      <w:r w:rsidR="00B019FB" w:rsidRPr="007457B1">
        <w:rPr>
          <w:rFonts w:ascii="Times New Roman" w:hAnsi="Times New Roman" w:cs="Times New Roman"/>
          <w:sz w:val="24"/>
          <w:szCs w:val="24"/>
        </w:rPr>
        <w:t>is concerned that the funding models and/or turn-around strategies of the entities are not being processed or implemented as a matter of urgency</w:t>
      </w:r>
      <w:r w:rsidR="00FE7E16" w:rsidRPr="007457B1">
        <w:rPr>
          <w:rFonts w:ascii="Times New Roman" w:hAnsi="Times New Roman" w:cs="Times New Roman"/>
          <w:sz w:val="24"/>
          <w:szCs w:val="24"/>
        </w:rPr>
        <w:t xml:space="preserve"> (or that there appears to be new strategies submitted every six months)</w:t>
      </w:r>
      <w:r w:rsidR="00B019FB" w:rsidRPr="007457B1">
        <w:rPr>
          <w:rFonts w:ascii="Times New Roman" w:hAnsi="Times New Roman" w:cs="Times New Roman"/>
          <w:sz w:val="24"/>
          <w:szCs w:val="24"/>
        </w:rPr>
        <w:t>, which</w:t>
      </w:r>
      <w:r w:rsidR="00FE7E16" w:rsidRPr="007457B1">
        <w:rPr>
          <w:rFonts w:ascii="Times New Roman" w:hAnsi="Times New Roman" w:cs="Times New Roman"/>
          <w:sz w:val="24"/>
          <w:szCs w:val="24"/>
        </w:rPr>
        <w:t>,</w:t>
      </w:r>
      <w:r w:rsidR="00B019FB" w:rsidRPr="007457B1">
        <w:rPr>
          <w:rFonts w:ascii="Times New Roman" w:hAnsi="Times New Roman" w:cs="Times New Roman"/>
          <w:sz w:val="24"/>
          <w:szCs w:val="24"/>
        </w:rPr>
        <w:t xml:space="preserve"> if left to continue as is</w:t>
      </w:r>
      <w:r w:rsidR="00FE7E16" w:rsidRPr="007457B1">
        <w:rPr>
          <w:rFonts w:ascii="Times New Roman" w:hAnsi="Times New Roman" w:cs="Times New Roman"/>
          <w:sz w:val="24"/>
          <w:szCs w:val="24"/>
        </w:rPr>
        <w:t>,</w:t>
      </w:r>
      <w:r w:rsidR="00B019FB" w:rsidRPr="007457B1">
        <w:rPr>
          <w:rFonts w:ascii="Times New Roman" w:hAnsi="Times New Roman" w:cs="Times New Roman"/>
          <w:sz w:val="24"/>
          <w:szCs w:val="24"/>
        </w:rPr>
        <w:t xml:space="preserve"> will lead to financial ruin of these entities and a lack of service delivery to citizens.</w:t>
      </w:r>
    </w:p>
    <w:p w14:paraId="77E9DE90" w14:textId="77777777" w:rsidR="00B019FB" w:rsidRPr="007457B1" w:rsidRDefault="00B019FB" w:rsidP="00C07A5A">
      <w:pPr>
        <w:spacing w:line="360" w:lineRule="auto"/>
        <w:jc w:val="both"/>
        <w:rPr>
          <w:rFonts w:ascii="Times New Roman" w:hAnsi="Times New Roman" w:cs="Times New Roman"/>
          <w:sz w:val="24"/>
          <w:szCs w:val="24"/>
        </w:rPr>
      </w:pPr>
    </w:p>
    <w:p w14:paraId="620C2C0D" w14:textId="77777777" w:rsidR="00FE4214" w:rsidRPr="007457B1" w:rsidRDefault="000249BD"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7.13</w:t>
      </w:r>
      <w:r w:rsidR="00FE4214" w:rsidRPr="007457B1">
        <w:rPr>
          <w:rFonts w:ascii="Times New Roman" w:hAnsi="Times New Roman" w:cs="Times New Roman"/>
          <w:b/>
          <w:sz w:val="24"/>
          <w:szCs w:val="24"/>
        </w:rPr>
        <w:tab/>
        <w:t>Legislative Programme impact on Entities</w:t>
      </w:r>
    </w:p>
    <w:p w14:paraId="0802E4BD" w14:textId="77777777" w:rsidR="00FE7E16" w:rsidRPr="007457B1" w:rsidRDefault="00DB08CF"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Committee noted that a review was planned of the founding legislation of road entities by March 2020. </w:t>
      </w:r>
      <w:r w:rsidR="00E40E0A" w:rsidRPr="007457B1">
        <w:rPr>
          <w:rFonts w:ascii="Times New Roman" w:hAnsi="Times New Roman" w:cs="Times New Roman"/>
          <w:sz w:val="24"/>
          <w:szCs w:val="24"/>
        </w:rPr>
        <w:t>It further noted that the Civil Aviation Amendment Bill that was tabled in November 2018 may need to be revived by the 6</w:t>
      </w:r>
      <w:r w:rsidR="00503726" w:rsidRPr="007457B1">
        <w:rPr>
          <w:rFonts w:ascii="Times New Roman" w:hAnsi="Times New Roman" w:cs="Times New Roman"/>
          <w:sz w:val="24"/>
          <w:szCs w:val="24"/>
          <w:vertAlign w:val="superscript"/>
        </w:rPr>
        <w:t>th</w:t>
      </w:r>
      <w:r w:rsidR="00503726" w:rsidRPr="007457B1">
        <w:rPr>
          <w:rFonts w:ascii="Times New Roman" w:hAnsi="Times New Roman" w:cs="Times New Roman"/>
          <w:sz w:val="24"/>
          <w:szCs w:val="24"/>
        </w:rPr>
        <w:t xml:space="preserve"> </w:t>
      </w:r>
      <w:r w:rsidR="00E40E0A" w:rsidRPr="007457B1">
        <w:rPr>
          <w:rFonts w:ascii="Times New Roman" w:hAnsi="Times New Roman" w:cs="Times New Roman"/>
          <w:sz w:val="24"/>
          <w:szCs w:val="24"/>
        </w:rPr>
        <w:t xml:space="preserve"> Parliament</w:t>
      </w:r>
      <w:r w:rsidR="00503726" w:rsidRPr="007457B1">
        <w:rPr>
          <w:rFonts w:ascii="Times New Roman" w:hAnsi="Times New Roman" w:cs="Times New Roman"/>
          <w:sz w:val="24"/>
          <w:szCs w:val="24"/>
        </w:rPr>
        <w:t>,</w:t>
      </w:r>
      <w:r w:rsidR="00E40E0A" w:rsidRPr="007457B1">
        <w:rPr>
          <w:rFonts w:ascii="Times New Roman" w:hAnsi="Times New Roman" w:cs="Times New Roman"/>
          <w:sz w:val="24"/>
          <w:szCs w:val="24"/>
        </w:rPr>
        <w:t xml:space="preserve"> as well as the </w:t>
      </w:r>
      <w:r w:rsidR="00B9334C" w:rsidRPr="007457B1">
        <w:rPr>
          <w:rFonts w:ascii="Times New Roman" w:hAnsi="Times New Roman" w:cs="Times New Roman"/>
          <w:sz w:val="24"/>
          <w:szCs w:val="24"/>
        </w:rPr>
        <w:t>Road Accident Benefit Scheme (</w:t>
      </w:r>
      <w:r w:rsidR="00E40E0A" w:rsidRPr="007457B1">
        <w:rPr>
          <w:rFonts w:ascii="Times New Roman" w:hAnsi="Times New Roman" w:cs="Times New Roman"/>
          <w:sz w:val="24"/>
          <w:szCs w:val="24"/>
        </w:rPr>
        <w:t>RABS</w:t>
      </w:r>
      <w:r w:rsidR="00B9334C" w:rsidRPr="007457B1">
        <w:rPr>
          <w:rFonts w:ascii="Times New Roman" w:hAnsi="Times New Roman" w:cs="Times New Roman"/>
          <w:sz w:val="24"/>
          <w:szCs w:val="24"/>
        </w:rPr>
        <w:t>) Bill</w:t>
      </w:r>
      <w:r w:rsidR="00E40E0A" w:rsidRPr="007457B1">
        <w:rPr>
          <w:rFonts w:ascii="Times New Roman" w:hAnsi="Times New Roman" w:cs="Times New Roman"/>
          <w:sz w:val="24"/>
          <w:szCs w:val="24"/>
        </w:rPr>
        <w:t xml:space="preserve"> and </w:t>
      </w:r>
      <w:r w:rsidR="00B9334C" w:rsidRPr="007457B1">
        <w:rPr>
          <w:rFonts w:ascii="Times New Roman" w:hAnsi="Times New Roman" w:cs="Times New Roman"/>
          <w:sz w:val="24"/>
          <w:szCs w:val="24"/>
        </w:rPr>
        <w:t>National Land Transport</w:t>
      </w:r>
      <w:r w:rsidR="0087111C" w:rsidRPr="007457B1">
        <w:rPr>
          <w:rFonts w:ascii="Times New Roman" w:hAnsi="Times New Roman" w:cs="Times New Roman"/>
          <w:sz w:val="24"/>
          <w:szCs w:val="24"/>
        </w:rPr>
        <w:t xml:space="preserve"> Act (</w:t>
      </w:r>
      <w:r w:rsidR="00E40E0A" w:rsidRPr="007457B1">
        <w:rPr>
          <w:rFonts w:ascii="Times New Roman" w:hAnsi="Times New Roman" w:cs="Times New Roman"/>
          <w:sz w:val="24"/>
          <w:szCs w:val="24"/>
        </w:rPr>
        <w:t>NLTA</w:t>
      </w:r>
      <w:r w:rsidR="0087111C" w:rsidRPr="007457B1">
        <w:rPr>
          <w:rFonts w:ascii="Times New Roman" w:hAnsi="Times New Roman" w:cs="Times New Roman"/>
          <w:sz w:val="24"/>
          <w:szCs w:val="24"/>
        </w:rPr>
        <w:t>)</w:t>
      </w:r>
      <w:r w:rsidR="00E40E0A" w:rsidRPr="007457B1">
        <w:rPr>
          <w:rFonts w:ascii="Times New Roman" w:hAnsi="Times New Roman" w:cs="Times New Roman"/>
          <w:sz w:val="24"/>
          <w:szCs w:val="24"/>
        </w:rPr>
        <w:t xml:space="preserve"> Amendment Bill that were not finalised during the tenure of the 5</w:t>
      </w:r>
      <w:r w:rsidR="00E40E0A" w:rsidRPr="007457B1">
        <w:rPr>
          <w:rFonts w:ascii="Times New Roman" w:hAnsi="Times New Roman" w:cs="Times New Roman"/>
          <w:sz w:val="24"/>
          <w:szCs w:val="24"/>
          <w:vertAlign w:val="superscript"/>
        </w:rPr>
        <w:t>th</w:t>
      </w:r>
      <w:r w:rsidR="00E40E0A" w:rsidRPr="007457B1">
        <w:rPr>
          <w:rFonts w:ascii="Times New Roman" w:hAnsi="Times New Roman" w:cs="Times New Roman"/>
          <w:sz w:val="24"/>
          <w:szCs w:val="24"/>
        </w:rPr>
        <w:t xml:space="preserve"> Parliament. </w:t>
      </w:r>
    </w:p>
    <w:p w14:paraId="720DDD5B" w14:textId="77777777" w:rsidR="00DB08CF" w:rsidRPr="007457B1" w:rsidRDefault="00E40E0A"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Committee also indicated its anticipation for the tabling of the long-awaited Single Transport</w:t>
      </w:r>
      <w:r w:rsidR="00FE7E16" w:rsidRPr="007457B1">
        <w:rPr>
          <w:rFonts w:ascii="Times New Roman" w:hAnsi="Times New Roman" w:cs="Times New Roman"/>
          <w:sz w:val="24"/>
          <w:szCs w:val="24"/>
        </w:rPr>
        <w:t xml:space="preserve"> Economic Regulator (STER) Bill and noted the progress reported by the Department on this.</w:t>
      </w:r>
    </w:p>
    <w:p w14:paraId="18F1DCD4" w14:textId="77777777" w:rsidR="00434A53" w:rsidRPr="007457B1" w:rsidRDefault="00434A53" w:rsidP="00E40E0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Committee noted that there is a need to receive a full and comprehensive list of legislation that is proposed which would include the current status of progress on these matters.</w:t>
      </w:r>
    </w:p>
    <w:p w14:paraId="11B172BB" w14:textId="77777777" w:rsidR="00E40E0A" w:rsidRPr="007457B1" w:rsidRDefault="00E40E0A" w:rsidP="00E40E0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From the Department’s </w:t>
      </w:r>
      <w:r w:rsidR="00FE7E16" w:rsidRPr="007457B1">
        <w:rPr>
          <w:rFonts w:ascii="Times New Roman" w:hAnsi="Times New Roman" w:cs="Times New Roman"/>
          <w:sz w:val="24"/>
          <w:szCs w:val="24"/>
        </w:rPr>
        <w:t>amended</w:t>
      </w:r>
      <w:r w:rsidRPr="007457B1">
        <w:rPr>
          <w:rFonts w:ascii="Times New Roman" w:hAnsi="Times New Roman" w:cs="Times New Roman"/>
          <w:sz w:val="24"/>
          <w:szCs w:val="24"/>
        </w:rPr>
        <w:t xml:space="preserve"> </w:t>
      </w:r>
      <w:r w:rsidR="00FE7E16" w:rsidRPr="007457B1">
        <w:rPr>
          <w:rFonts w:ascii="Times New Roman" w:hAnsi="Times New Roman" w:cs="Times New Roman"/>
          <w:sz w:val="24"/>
          <w:szCs w:val="24"/>
        </w:rPr>
        <w:t>Strategic P</w:t>
      </w:r>
      <w:r w:rsidRPr="007457B1">
        <w:rPr>
          <w:rFonts w:ascii="Times New Roman" w:hAnsi="Times New Roman" w:cs="Times New Roman"/>
          <w:sz w:val="24"/>
          <w:szCs w:val="24"/>
        </w:rPr>
        <w:t>lan</w:t>
      </w:r>
      <w:r w:rsidR="00FE7E16" w:rsidRPr="007457B1">
        <w:rPr>
          <w:rFonts w:ascii="Times New Roman" w:hAnsi="Times New Roman" w:cs="Times New Roman"/>
          <w:sz w:val="24"/>
          <w:szCs w:val="24"/>
        </w:rPr>
        <w:t xml:space="preserve"> (presented in 2018/19)</w:t>
      </w:r>
      <w:r w:rsidR="00503726" w:rsidRPr="007457B1">
        <w:rPr>
          <w:rFonts w:ascii="Times New Roman" w:hAnsi="Times New Roman" w:cs="Times New Roman"/>
          <w:sz w:val="24"/>
          <w:szCs w:val="24"/>
        </w:rPr>
        <w:t>,</w:t>
      </w:r>
      <w:r w:rsidRPr="007457B1">
        <w:rPr>
          <w:rFonts w:ascii="Times New Roman" w:hAnsi="Times New Roman" w:cs="Times New Roman"/>
          <w:sz w:val="24"/>
          <w:szCs w:val="24"/>
        </w:rPr>
        <w:t xml:space="preserve"> the Committee also noted that in the current 2019/20 financial year, the Department intended to bring the Merchant Shipping Bill to Parliament, as well as the Transport Appeal Tribunal (TAT) Amendment Bill. The Committee also noted that during the next financial year the Department </w:t>
      </w:r>
      <w:r w:rsidR="00FE7E16" w:rsidRPr="007457B1">
        <w:rPr>
          <w:rFonts w:ascii="Times New Roman" w:hAnsi="Times New Roman" w:cs="Times New Roman"/>
          <w:sz w:val="24"/>
          <w:szCs w:val="24"/>
        </w:rPr>
        <w:t>intended</w:t>
      </w:r>
      <w:r w:rsidRPr="007457B1">
        <w:rPr>
          <w:rFonts w:ascii="Times New Roman" w:hAnsi="Times New Roman" w:cs="Times New Roman"/>
          <w:sz w:val="24"/>
          <w:szCs w:val="24"/>
        </w:rPr>
        <w:t xml:space="preserve"> to meet the following targets:</w:t>
      </w:r>
    </w:p>
    <w:p w14:paraId="5F8B2EDF" w14:textId="77777777" w:rsidR="00B9334C" w:rsidRPr="007457B1" w:rsidRDefault="00B9334C" w:rsidP="00080EC4">
      <w:pPr>
        <w:pStyle w:val="ListParagraph"/>
        <w:numPr>
          <w:ilvl w:val="0"/>
          <w:numId w:val="31"/>
        </w:numPr>
        <w:spacing w:line="360" w:lineRule="auto"/>
        <w:ind w:left="426"/>
        <w:jc w:val="both"/>
        <w:rPr>
          <w:rFonts w:ascii="Times New Roman" w:hAnsi="Times New Roman"/>
          <w:sz w:val="24"/>
          <w:szCs w:val="24"/>
        </w:rPr>
      </w:pPr>
      <w:r w:rsidRPr="007457B1">
        <w:rPr>
          <w:rFonts w:ascii="Times New Roman" w:hAnsi="Times New Roman"/>
          <w:sz w:val="24"/>
          <w:szCs w:val="24"/>
        </w:rPr>
        <w:t>Submitting the draft Maritime Transport Sector Development Council Bill to Cabinet by March 2020;</w:t>
      </w:r>
    </w:p>
    <w:p w14:paraId="79921107" w14:textId="77777777" w:rsidR="00B9334C" w:rsidRPr="007457B1" w:rsidRDefault="00B9334C" w:rsidP="00080EC4">
      <w:pPr>
        <w:pStyle w:val="ListParagraph"/>
        <w:numPr>
          <w:ilvl w:val="0"/>
          <w:numId w:val="31"/>
        </w:numPr>
        <w:spacing w:line="360" w:lineRule="auto"/>
        <w:ind w:left="426"/>
        <w:jc w:val="both"/>
        <w:rPr>
          <w:rFonts w:ascii="Times New Roman" w:hAnsi="Times New Roman"/>
          <w:sz w:val="24"/>
          <w:szCs w:val="24"/>
        </w:rPr>
      </w:pPr>
      <w:r w:rsidRPr="007457B1">
        <w:rPr>
          <w:rFonts w:ascii="Times New Roman" w:hAnsi="Times New Roman"/>
          <w:sz w:val="24"/>
          <w:szCs w:val="24"/>
        </w:rPr>
        <w:t>Developing the Railway Safety Bill for submission to Cabinet by March 2020;</w:t>
      </w:r>
    </w:p>
    <w:p w14:paraId="73A42895" w14:textId="77777777" w:rsidR="00B9334C" w:rsidRPr="007457B1" w:rsidRDefault="00B9334C" w:rsidP="00080EC4">
      <w:pPr>
        <w:pStyle w:val="ListParagraph"/>
        <w:numPr>
          <w:ilvl w:val="0"/>
          <w:numId w:val="31"/>
        </w:numPr>
        <w:spacing w:line="360" w:lineRule="auto"/>
        <w:ind w:left="426"/>
        <w:jc w:val="both"/>
        <w:rPr>
          <w:rFonts w:ascii="Times New Roman" w:hAnsi="Times New Roman"/>
          <w:sz w:val="24"/>
          <w:szCs w:val="24"/>
        </w:rPr>
      </w:pPr>
      <w:r w:rsidRPr="007457B1">
        <w:rPr>
          <w:rFonts w:ascii="Times New Roman" w:hAnsi="Times New Roman"/>
          <w:sz w:val="24"/>
          <w:szCs w:val="24"/>
        </w:rPr>
        <w:t>Submitting the draft National Road Traffic Amendment Bill to Cabinet by March 2020;</w:t>
      </w:r>
    </w:p>
    <w:p w14:paraId="7BB5E3D2" w14:textId="77777777" w:rsidR="009250FB" w:rsidRPr="007457B1" w:rsidRDefault="009250FB" w:rsidP="00080EC4">
      <w:pPr>
        <w:pStyle w:val="ListParagraph"/>
        <w:numPr>
          <w:ilvl w:val="0"/>
          <w:numId w:val="31"/>
        </w:numPr>
        <w:spacing w:line="360" w:lineRule="auto"/>
        <w:ind w:left="426"/>
        <w:jc w:val="both"/>
        <w:rPr>
          <w:rFonts w:ascii="Times New Roman" w:hAnsi="Times New Roman"/>
          <w:sz w:val="24"/>
          <w:szCs w:val="24"/>
        </w:rPr>
      </w:pPr>
      <w:r w:rsidRPr="007457B1">
        <w:rPr>
          <w:rFonts w:ascii="Times New Roman" w:hAnsi="Times New Roman"/>
          <w:sz w:val="24"/>
          <w:szCs w:val="24"/>
        </w:rPr>
        <w:t>Submission of the Transport Appeal Tribunal Amendment Bill to Cabinet by March 2020;</w:t>
      </w:r>
    </w:p>
    <w:p w14:paraId="0BF1EDB2" w14:textId="77777777" w:rsidR="00B9334C" w:rsidRPr="007457B1" w:rsidRDefault="00B9334C" w:rsidP="00080EC4">
      <w:pPr>
        <w:pStyle w:val="ListParagraph"/>
        <w:numPr>
          <w:ilvl w:val="0"/>
          <w:numId w:val="31"/>
        </w:numPr>
        <w:spacing w:line="360" w:lineRule="auto"/>
        <w:ind w:left="426"/>
        <w:jc w:val="both"/>
        <w:rPr>
          <w:rFonts w:ascii="Times New Roman" w:hAnsi="Times New Roman"/>
          <w:sz w:val="24"/>
          <w:szCs w:val="24"/>
        </w:rPr>
      </w:pPr>
      <w:r w:rsidRPr="007457B1">
        <w:rPr>
          <w:rFonts w:ascii="Times New Roman" w:hAnsi="Times New Roman"/>
          <w:sz w:val="24"/>
          <w:szCs w:val="24"/>
        </w:rPr>
        <w:t>Submitting the Single Transport Economic Regulator (STER) Bill to Parliament by March 2020;</w:t>
      </w:r>
    </w:p>
    <w:p w14:paraId="5B38899F" w14:textId="77777777" w:rsidR="002A6D75" w:rsidRPr="007457B1" w:rsidRDefault="002A6D75" w:rsidP="00080EC4">
      <w:pPr>
        <w:pStyle w:val="ListParagraph"/>
        <w:numPr>
          <w:ilvl w:val="0"/>
          <w:numId w:val="31"/>
        </w:numPr>
        <w:spacing w:line="360" w:lineRule="auto"/>
        <w:ind w:left="426"/>
        <w:jc w:val="both"/>
        <w:rPr>
          <w:rFonts w:ascii="Times New Roman" w:hAnsi="Times New Roman"/>
          <w:sz w:val="24"/>
          <w:szCs w:val="24"/>
        </w:rPr>
      </w:pPr>
      <w:r w:rsidRPr="007457B1">
        <w:rPr>
          <w:rFonts w:ascii="Times New Roman" w:hAnsi="Times New Roman"/>
          <w:sz w:val="24"/>
          <w:szCs w:val="24"/>
        </w:rPr>
        <w:t>Submitting the Air Services Licencing Amendment Bill and International Air Services Amendment Bill to Cabinet by March 2021;</w:t>
      </w:r>
    </w:p>
    <w:p w14:paraId="23048F4D" w14:textId="77777777" w:rsidR="002A6D75" w:rsidRPr="007457B1" w:rsidRDefault="00E40E0A" w:rsidP="00080EC4">
      <w:pPr>
        <w:pStyle w:val="ListParagraph"/>
        <w:numPr>
          <w:ilvl w:val="0"/>
          <w:numId w:val="31"/>
        </w:numPr>
        <w:spacing w:line="360" w:lineRule="auto"/>
        <w:ind w:left="426"/>
        <w:jc w:val="both"/>
        <w:rPr>
          <w:rFonts w:ascii="Times New Roman" w:hAnsi="Times New Roman"/>
          <w:sz w:val="24"/>
          <w:szCs w:val="24"/>
        </w:rPr>
      </w:pPr>
      <w:r w:rsidRPr="007457B1">
        <w:rPr>
          <w:rFonts w:ascii="Times New Roman" w:hAnsi="Times New Roman"/>
          <w:sz w:val="24"/>
          <w:szCs w:val="24"/>
        </w:rPr>
        <w:t>Implementation of the National Rail Act by 2020/21;</w:t>
      </w:r>
    </w:p>
    <w:p w14:paraId="00FA3E17" w14:textId="77777777" w:rsidR="002A6D75" w:rsidRPr="007457B1" w:rsidRDefault="00E40E0A" w:rsidP="00080EC4">
      <w:pPr>
        <w:pStyle w:val="ListParagraph"/>
        <w:numPr>
          <w:ilvl w:val="0"/>
          <w:numId w:val="31"/>
        </w:numPr>
        <w:spacing w:line="360" w:lineRule="auto"/>
        <w:ind w:left="426"/>
        <w:jc w:val="both"/>
        <w:rPr>
          <w:rFonts w:ascii="Times New Roman" w:hAnsi="Times New Roman"/>
          <w:sz w:val="24"/>
          <w:szCs w:val="24"/>
        </w:rPr>
      </w:pPr>
      <w:r w:rsidRPr="007457B1">
        <w:rPr>
          <w:rFonts w:ascii="Times New Roman" w:hAnsi="Times New Roman"/>
          <w:sz w:val="24"/>
          <w:szCs w:val="24"/>
        </w:rPr>
        <w:t>Implementation of the Railway Sa</w:t>
      </w:r>
      <w:r w:rsidR="002A6D75" w:rsidRPr="007457B1">
        <w:rPr>
          <w:rFonts w:ascii="Times New Roman" w:hAnsi="Times New Roman"/>
          <w:sz w:val="24"/>
          <w:szCs w:val="24"/>
        </w:rPr>
        <w:t xml:space="preserve">fety Act by 2020/21; </w:t>
      </w:r>
    </w:p>
    <w:p w14:paraId="1B2CA5EA" w14:textId="77777777" w:rsidR="00E40E0A" w:rsidRPr="007457B1" w:rsidRDefault="00E40E0A" w:rsidP="00080EC4">
      <w:pPr>
        <w:pStyle w:val="ListParagraph"/>
        <w:numPr>
          <w:ilvl w:val="0"/>
          <w:numId w:val="31"/>
        </w:numPr>
        <w:spacing w:line="360" w:lineRule="auto"/>
        <w:ind w:left="426"/>
        <w:jc w:val="both"/>
        <w:rPr>
          <w:rFonts w:ascii="Times New Roman" w:hAnsi="Times New Roman"/>
          <w:sz w:val="24"/>
          <w:szCs w:val="24"/>
        </w:rPr>
      </w:pPr>
      <w:r w:rsidRPr="007457B1">
        <w:rPr>
          <w:rFonts w:ascii="Times New Roman" w:hAnsi="Times New Roman"/>
          <w:sz w:val="24"/>
          <w:szCs w:val="24"/>
        </w:rPr>
        <w:t>Draft Bill for Founding Legislations of Road En</w:t>
      </w:r>
      <w:r w:rsidR="002A6D75" w:rsidRPr="007457B1">
        <w:rPr>
          <w:rFonts w:ascii="Times New Roman" w:hAnsi="Times New Roman"/>
          <w:sz w:val="24"/>
          <w:szCs w:val="24"/>
        </w:rPr>
        <w:t>tities to Parliament by 2020/21;</w:t>
      </w:r>
      <w:r w:rsidR="009250FB" w:rsidRPr="007457B1">
        <w:rPr>
          <w:rFonts w:ascii="Times New Roman" w:hAnsi="Times New Roman"/>
          <w:sz w:val="24"/>
          <w:szCs w:val="24"/>
        </w:rPr>
        <w:t xml:space="preserve"> and</w:t>
      </w:r>
    </w:p>
    <w:p w14:paraId="1AE5C645" w14:textId="77777777" w:rsidR="002A6D75" w:rsidRPr="007457B1" w:rsidRDefault="002A6D75" w:rsidP="00080EC4">
      <w:pPr>
        <w:pStyle w:val="ListParagraph"/>
        <w:numPr>
          <w:ilvl w:val="0"/>
          <w:numId w:val="31"/>
        </w:numPr>
        <w:spacing w:line="360" w:lineRule="auto"/>
        <w:ind w:left="426"/>
        <w:jc w:val="both"/>
        <w:rPr>
          <w:rFonts w:ascii="Times New Roman" w:hAnsi="Times New Roman"/>
          <w:sz w:val="24"/>
          <w:szCs w:val="24"/>
        </w:rPr>
      </w:pPr>
      <w:r w:rsidRPr="007457B1">
        <w:rPr>
          <w:rFonts w:ascii="Times New Roman" w:hAnsi="Times New Roman"/>
          <w:sz w:val="24"/>
          <w:szCs w:val="24"/>
        </w:rPr>
        <w:t>Developing the South African Maritime and Aeronautical Search and Rescue Amendment Bill for submission to Cabinet by March 2021.</w:t>
      </w:r>
    </w:p>
    <w:p w14:paraId="7BF4163F" w14:textId="77777777" w:rsidR="00E40E0A" w:rsidRPr="007457B1" w:rsidRDefault="00E40E0A" w:rsidP="00C07A5A">
      <w:pPr>
        <w:spacing w:line="360" w:lineRule="auto"/>
        <w:jc w:val="both"/>
        <w:rPr>
          <w:rFonts w:ascii="Times New Roman" w:hAnsi="Times New Roman" w:cs="Times New Roman"/>
          <w:sz w:val="24"/>
          <w:szCs w:val="24"/>
        </w:rPr>
      </w:pPr>
    </w:p>
    <w:p w14:paraId="5E067AE4" w14:textId="77777777" w:rsidR="00FE4214" w:rsidRPr="007457B1" w:rsidRDefault="00FE4214"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Committee </w:t>
      </w:r>
      <w:r w:rsidR="00E40E0A" w:rsidRPr="007457B1">
        <w:rPr>
          <w:rFonts w:ascii="Times New Roman" w:hAnsi="Times New Roman" w:cs="Times New Roman"/>
          <w:sz w:val="24"/>
          <w:szCs w:val="24"/>
        </w:rPr>
        <w:t xml:space="preserve">continues to urge the Department to </w:t>
      </w:r>
      <w:r w:rsidR="0066549F" w:rsidRPr="007457B1">
        <w:rPr>
          <w:rFonts w:ascii="Times New Roman" w:hAnsi="Times New Roman" w:cs="Times New Roman"/>
          <w:sz w:val="24"/>
          <w:szCs w:val="24"/>
        </w:rPr>
        <w:t xml:space="preserve">plan for the tabling of </w:t>
      </w:r>
      <w:r w:rsidR="00352992" w:rsidRPr="007457B1">
        <w:rPr>
          <w:rFonts w:ascii="Times New Roman" w:hAnsi="Times New Roman" w:cs="Times New Roman"/>
          <w:sz w:val="24"/>
          <w:szCs w:val="24"/>
        </w:rPr>
        <w:t>legislation</w:t>
      </w:r>
      <w:r w:rsidR="0066549F" w:rsidRPr="007457B1">
        <w:rPr>
          <w:rFonts w:ascii="Times New Roman" w:hAnsi="Times New Roman" w:cs="Times New Roman"/>
          <w:sz w:val="24"/>
          <w:szCs w:val="24"/>
        </w:rPr>
        <w:t xml:space="preserve"> to Parliament early enough in the five</w:t>
      </w:r>
      <w:r w:rsidR="00503726" w:rsidRPr="007457B1">
        <w:rPr>
          <w:rFonts w:ascii="Times New Roman" w:hAnsi="Times New Roman" w:cs="Times New Roman"/>
          <w:sz w:val="24"/>
          <w:szCs w:val="24"/>
        </w:rPr>
        <w:t>-</w:t>
      </w:r>
      <w:r w:rsidR="0066549F" w:rsidRPr="007457B1">
        <w:rPr>
          <w:rFonts w:ascii="Times New Roman" w:hAnsi="Times New Roman" w:cs="Times New Roman"/>
          <w:sz w:val="24"/>
          <w:szCs w:val="24"/>
        </w:rPr>
        <w:t>year planning cycle to prevent the lapsing of bills and the rush to process these in the outer years of the Parliament cycle</w:t>
      </w:r>
      <w:r w:rsidRPr="007457B1">
        <w:rPr>
          <w:rFonts w:ascii="Times New Roman" w:hAnsi="Times New Roman" w:cs="Times New Roman"/>
          <w:sz w:val="24"/>
          <w:szCs w:val="24"/>
        </w:rPr>
        <w:t xml:space="preserve">. </w:t>
      </w:r>
    </w:p>
    <w:p w14:paraId="39A552C6" w14:textId="77777777" w:rsidR="00FE4214" w:rsidRPr="007457B1" w:rsidRDefault="00FE4214" w:rsidP="00C07A5A">
      <w:pPr>
        <w:spacing w:line="360" w:lineRule="auto"/>
        <w:jc w:val="both"/>
        <w:rPr>
          <w:rFonts w:ascii="Times New Roman" w:hAnsi="Times New Roman" w:cs="Times New Roman"/>
          <w:sz w:val="24"/>
          <w:szCs w:val="24"/>
        </w:rPr>
      </w:pPr>
    </w:p>
    <w:p w14:paraId="16653685" w14:textId="77777777" w:rsidR="00B019FB" w:rsidRPr="007457B1" w:rsidRDefault="00B019FB"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7.1</w:t>
      </w:r>
      <w:r w:rsidR="000249BD" w:rsidRPr="007457B1">
        <w:rPr>
          <w:rFonts w:ascii="Times New Roman" w:hAnsi="Times New Roman" w:cs="Times New Roman"/>
          <w:b/>
          <w:sz w:val="24"/>
          <w:szCs w:val="24"/>
        </w:rPr>
        <w:t>4</w:t>
      </w:r>
      <w:r w:rsidRPr="007457B1">
        <w:rPr>
          <w:rFonts w:ascii="Times New Roman" w:hAnsi="Times New Roman" w:cs="Times New Roman"/>
          <w:b/>
          <w:sz w:val="24"/>
          <w:szCs w:val="24"/>
        </w:rPr>
        <w:tab/>
      </w:r>
      <w:r w:rsidR="00382C32" w:rsidRPr="007457B1">
        <w:rPr>
          <w:rFonts w:ascii="Times New Roman" w:hAnsi="Times New Roman" w:cs="Times New Roman"/>
          <w:b/>
          <w:sz w:val="24"/>
          <w:szCs w:val="24"/>
        </w:rPr>
        <w:t>Optimal use of revenue generating streams of entities</w:t>
      </w:r>
    </w:p>
    <w:p w14:paraId="43E955D2" w14:textId="77777777" w:rsidR="00B019FB" w:rsidRPr="007457B1" w:rsidRDefault="00382C32"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Committee noted that some entities, such as ACSA and PRASA, that have access to property do not make optimal use of possible advertising revenue or retail revenue generating streams.</w:t>
      </w:r>
    </w:p>
    <w:p w14:paraId="698E3A65" w14:textId="77777777" w:rsidR="00C8593C" w:rsidRPr="007457B1" w:rsidRDefault="00C8593C" w:rsidP="00C07A5A">
      <w:pPr>
        <w:spacing w:line="360" w:lineRule="auto"/>
        <w:jc w:val="both"/>
        <w:rPr>
          <w:rFonts w:ascii="Times New Roman" w:hAnsi="Times New Roman" w:cs="Times New Roman"/>
          <w:sz w:val="24"/>
          <w:szCs w:val="24"/>
        </w:rPr>
      </w:pPr>
    </w:p>
    <w:p w14:paraId="10631E1E" w14:textId="77777777" w:rsidR="00080EC4" w:rsidRDefault="00080EC4">
      <w:pPr>
        <w:rPr>
          <w:rFonts w:ascii="Times New Roman" w:hAnsi="Times New Roman" w:cs="Times New Roman"/>
          <w:b/>
          <w:sz w:val="24"/>
          <w:szCs w:val="24"/>
        </w:rPr>
      </w:pPr>
      <w:r>
        <w:rPr>
          <w:rFonts w:ascii="Times New Roman" w:hAnsi="Times New Roman" w:cs="Times New Roman"/>
          <w:b/>
          <w:sz w:val="24"/>
          <w:szCs w:val="24"/>
        </w:rPr>
        <w:br w:type="page"/>
      </w:r>
    </w:p>
    <w:p w14:paraId="45872E2E" w14:textId="77777777" w:rsidR="00C8593C" w:rsidRPr="007457B1" w:rsidRDefault="00C8593C"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7.1</w:t>
      </w:r>
      <w:r w:rsidR="000249BD" w:rsidRPr="007457B1">
        <w:rPr>
          <w:rFonts w:ascii="Times New Roman" w:hAnsi="Times New Roman" w:cs="Times New Roman"/>
          <w:b/>
          <w:sz w:val="24"/>
          <w:szCs w:val="24"/>
        </w:rPr>
        <w:t>5</w:t>
      </w:r>
      <w:r w:rsidRPr="007457B1">
        <w:rPr>
          <w:rFonts w:ascii="Times New Roman" w:hAnsi="Times New Roman" w:cs="Times New Roman"/>
          <w:b/>
          <w:sz w:val="24"/>
          <w:szCs w:val="24"/>
        </w:rPr>
        <w:tab/>
        <w:t>Road Safety Programmes</w:t>
      </w:r>
    </w:p>
    <w:p w14:paraId="6E0366E9" w14:textId="77777777" w:rsidR="00C8593C" w:rsidRPr="007457B1" w:rsidRDefault="00C8593C"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Committee </w:t>
      </w:r>
      <w:r w:rsidR="00B452B9" w:rsidRPr="007457B1">
        <w:rPr>
          <w:rFonts w:ascii="Times New Roman" w:hAnsi="Times New Roman" w:cs="Times New Roman"/>
          <w:sz w:val="24"/>
          <w:szCs w:val="24"/>
        </w:rPr>
        <w:t>noted</w:t>
      </w:r>
      <w:r w:rsidR="006C77D6" w:rsidRPr="007457B1">
        <w:rPr>
          <w:rFonts w:ascii="Times New Roman" w:hAnsi="Times New Roman" w:cs="Times New Roman"/>
          <w:sz w:val="24"/>
          <w:szCs w:val="24"/>
        </w:rPr>
        <w:t xml:space="preserve"> the reported decrease in </w:t>
      </w:r>
      <w:r w:rsidR="007017FE" w:rsidRPr="007457B1">
        <w:rPr>
          <w:rFonts w:ascii="Times New Roman" w:hAnsi="Times New Roman" w:cs="Times New Roman"/>
          <w:sz w:val="24"/>
          <w:szCs w:val="24"/>
        </w:rPr>
        <w:t xml:space="preserve">the 2019 </w:t>
      </w:r>
      <w:r w:rsidR="006C77D6" w:rsidRPr="007457B1">
        <w:rPr>
          <w:rFonts w:ascii="Times New Roman" w:hAnsi="Times New Roman" w:cs="Times New Roman"/>
          <w:sz w:val="24"/>
          <w:szCs w:val="24"/>
        </w:rPr>
        <w:t xml:space="preserve">Easter Holiday Road Death statistics, even though this year the holiday fell outside of the school holiday time period and that may have affected the statistics. The Committee </w:t>
      </w:r>
      <w:r w:rsidRPr="007457B1">
        <w:rPr>
          <w:rFonts w:ascii="Times New Roman" w:hAnsi="Times New Roman" w:cs="Times New Roman"/>
          <w:sz w:val="24"/>
          <w:szCs w:val="24"/>
        </w:rPr>
        <w:t xml:space="preserve">noted the implementation of road safety programmes by various road transport entities. </w:t>
      </w:r>
    </w:p>
    <w:p w14:paraId="138FEE6F" w14:textId="77777777" w:rsidR="00E56924" w:rsidRPr="007457B1" w:rsidRDefault="00E56924" w:rsidP="00C07A5A">
      <w:pPr>
        <w:spacing w:line="360" w:lineRule="auto"/>
        <w:jc w:val="both"/>
        <w:rPr>
          <w:rFonts w:ascii="Times New Roman" w:hAnsi="Times New Roman" w:cs="Times New Roman"/>
          <w:sz w:val="24"/>
          <w:szCs w:val="24"/>
        </w:rPr>
      </w:pPr>
    </w:p>
    <w:p w14:paraId="13BAE07C" w14:textId="77777777" w:rsidR="00E56924" w:rsidRPr="007457B1" w:rsidRDefault="001E76FA"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7.1</w:t>
      </w:r>
      <w:r w:rsidR="000249BD" w:rsidRPr="007457B1">
        <w:rPr>
          <w:rFonts w:ascii="Times New Roman" w:hAnsi="Times New Roman" w:cs="Times New Roman"/>
          <w:b/>
          <w:sz w:val="24"/>
          <w:szCs w:val="24"/>
        </w:rPr>
        <w:t>6</w:t>
      </w:r>
      <w:r w:rsidR="00E56924" w:rsidRPr="007457B1">
        <w:rPr>
          <w:rFonts w:ascii="Times New Roman" w:hAnsi="Times New Roman" w:cs="Times New Roman"/>
          <w:b/>
          <w:sz w:val="24"/>
          <w:szCs w:val="24"/>
        </w:rPr>
        <w:tab/>
      </w:r>
      <w:r w:rsidR="00484F3E" w:rsidRPr="007457B1">
        <w:rPr>
          <w:rFonts w:ascii="Times New Roman" w:hAnsi="Times New Roman" w:cs="Times New Roman"/>
          <w:b/>
          <w:sz w:val="24"/>
          <w:szCs w:val="24"/>
        </w:rPr>
        <w:t>Increased Promotion Required of Universal Access</w:t>
      </w:r>
    </w:p>
    <w:p w14:paraId="0342A574" w14:textId="77777777" w:rsidR="00E21EC6" w:rsidRPr="007457B1" w:rsidRDefault="00012092"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w:t>
      </w:r>
      <w:r w:rsidR="00E21EC6" w:rsidRPr="007457B1">
        <w:rPr>
          <w:rFonts w:ascii="Times New Roman" w:hAnsi="Times New Roman" w:cs="Times New Roman"/>
          <w:sz w:val="24"/>
          <w:szCs w:val="24"/>
        </w:rPr>
        <w:t>he Committee noted the Department’s commitment in the medium term, to continu</w:t>
      </w:r>
      <w:r w:rsidR="00503726" w:rsidRPr="007457B1">
        <w:rPr>
          <w:rFonts w:ascii="Times New Roman" w:hAnsi="Times New Roman" w:cs="Times New Roman"/>
          <w:sz w:val="24"/>
          <w:szCs w:val="24"/>
        </w:rPr>
        <w:t>ing</w:t>
      </w:r>
      <w:r w:rsidR="00E21EC6" w:rsidRPr="007457B1">
        <w:rPr>
          <w:rFonts w:ascii="Times New Roman" w:hAnsi="Times New Roman" w:cs="Times New Roman"/>
          <w:sz w:val="24"/>
          <w:szCs w:val="24"/>
        </w:rPr>
        <w:t xml:space="preserve"> with the planning and construction of universally accessible </w:t>
      </w:r>
      <w:r w:rsidR="00FE7E16" w:rsidRPr="007457B1">
        <w:rPr>
          <w:rFonts w:ascii="Times New Roman" w:hAnsi="Times New Roman" w:cs="Times New Roman"/>
          <w:sz w:val="24"/>
          <w:szCs w:val="24"/>
        </w:rPr>
        <w:t xml:space="preserve">IPTNs and </w:t>
      </w:r>
      <w:r w:rsidR="00E21EC6" w:rsidRPr="007457B1">
        <w:rPr>
          <w:rFonts w:ascii="Times New Roman" w:hAnsi="Times New Roman" w:cs="Times New Roman"/>
          <w:sz w:val="24"/>
          <w:szCs w:val="24"/>
        </w:rPr>
        <w:t>Bus Rapid Transit (BRT) systems in identified local and metropolitan municipalities.</w:t>
      </w:r>
    </w:p>
    <w:p w14:paraId="2ED213A8" w14:textId="77777777" w:rsidR="00027F5F" w:rsidRPr="007457B1" w:rsidRDefault="00027F5F"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However, </w:t>
      </w:r>
      <w:r w:rsidR="002E26C4" w:rsidRPr="007457B1">
        <w:rPr>
          <w:rFonts w:ascii="Times New Roman" w:hAnsi="Times New Roman" w:cs="Times New Roman"/>
          <w:sz w:val="24"/>
          <w:szCs w:val="24"/>
        </w:rPr>
        <w:t>u</w:t>
      </w:r>
      <w:r w:rsidRPr="007457B1">
        <w:rPr>
          <w:rFonts w:ascii="Times New Roman" w:hAnsi="Times New Roman" w:cs="Times New Roman"/>
          <w:sz w:val="24"/>
          <w:szCs w:val="24"/>
        </w:rPr>
        <w:t>niversal access is the goal of enabling all citizens to reach every destination served by their public street and pathway system</w:t>
      </w:r>
      <w:r w:rsidR="002E26C4" w:rsidRPr="007457B1">
        <w:rPr>
          <w:rFonts w:ascii="Times New Roman" w:hAnsi="Times New Roman" w:cs="Times New Roman"/>
          <w:sz w:val="24"/>
          <w:szCs w:val="24"/>
        </w:rPr>
        <w:t xml:space="preserve"> and</w:t>
      </w:r>
      <w:r w:rsidRPr="007457B1">
        <w:rPr>
          <w:rFonts w:ascii="Times New Roman" w:hAnsi="Times New Roman" w:cs="Times New Roman"/>
          <w:sz w:val="24"/>
          <w:szCs w:val="24"/>
        </w:rPr>
        <w:t xml:space="preserve"> is not limited to access by persons using automobiles. Travel by bicycle, walking, or wheelchair to every destination is accommodated in order to achieve transportation equity, maximize independence, and improve community liveability. Wherever possible, the Committee </w:t>
      </w:r>
      <w:r w:rsidR="00012092" w:rsidRPr="007457B1">
        <w:rPr>
          <w:rFonts w:ascii="Times New Roman" w:hAnsi="Times New Roman" w:cs="Times New Roman"/>
          <w:sz w:val="24"/>
          <w:szCs w:val="24"/>
        </w:rPr>
        <w:t xml:space="preserve">continues to </w:t>
      </w:r>
      <w:r w:rsidRPr="007457B1">
        <w:rPr>
          <w:rFonts w:ascii="Times New Roman" w:hAnsi="Times New Roman" w:cs="Times New Roman"/>
          <w:sz w:val="24"/>
          <w:szCs w:val="24"/>
        </w:rPr>
        <w:t>urge that the Department ensures the promotion of the need to have road and transport facilities designed to allow safe travel by young, old, and disabled persons who may have diminished perceptual or ambulatory abilities. By using design to maximize the percentage of the population who can travel independently, it becomes much more affordable for society to provide paratransit services to the remainder with special needs.</w:t>
      </w:r>
    </w:p>
    <w:p w14:paraId="4C48D692" w14:textId="77777777" w:rsidR="00CC7C81" w:rsidRPr="007457B1" w:rsidRDefault="00484F3E"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Committee</w:t>
      </w:r>
      <w:r w:rsidR="00027F5F" w:rsidRPr="007457B1">
        <w:rPr>
          <w:rFonts w:ascii="Times New Roman" w:hAnsi="Times New Roman" w:cs="Times New Roman"/>
          <w:sz w:val="24"/>
          <w:szCs w:val="24"/>
        </w:rPr>
        <w:t>, therefor</w:t>
      </w:r>
      <w:r w:rsidR="007D04DE" w:rsidRPr="007457B1">
        <w:rPr>
          <w:rFonts w:ascii="Times New Roman" w:hAnsi="Times New Roman" w:cs="Times New Roman"/>
          <w:sz w:val="24"/>
          <w:szCs w:val="24"/>
        </w:rPr>
        <w:t>e</w:t>
      </w:r>
      <w:r w:rsidR="00027F5F" w:rsidRPr="007457B1">
        <w:rPr>
          <w:rFonts w:ascii="Times New Roman" w:hAnsi="Times New Roman" w:cs="Times New Roman"/>
          <w:sz w:val="24"/>
          <w:szCs w:val="24"/>
        </w:rPr>
        <w:t>,</w:t>
      </w:r>
      <w:r w:rsidR="00CE2E27" w:rsidRPr="007457B1">
        <w:rPr>
          <w:rFonts w:ascii="Times New Roman" w:hAnsi="Times New Roman" w:cs="Times New Roman"/>
          <w:sz w:val="24"/>
          <w:szCs w:val="24"/>
        </w:rPr>
        <w:t xml:space="preserve"> </w:t>
      </w:r>
      <w:r w:rsidRPr="007457B1">
        <w:rPr>
          <w:rFonts w:ascii="Times New Roman" w:hAnsi="Times New Roman" w:cs="Times New Roman"/>
          <w:sz w:val="24"/>
          <w:szCs w:val="24"/>
        </w:rPr>
        <w:t>was of the view that the Public Transport</w:t>
      </w:r>
      <w:r w:rsidR="00027F5F" w:rsidRPr="007457B1">
        <w:rPr>
          <w:rFonts w:ascii="Times New Roman" w:hAnsi="Times New Roman" w:cs="Times New Roman"/>
          <w:sz w:val="24"/>
          <w:szCs w:val="24"/>
        </w:rPr>
        <w:t>, Road</w:t>
      </w:r>
      <w:r w:rsidRPr="007457B1">
        <w:rPr>
          <w:rFonts w:ascii="Times New Roman" w:hAnsi="Times New Roman" w:cs="Times New Roman"/>
          <w:sz w:val="24"/>
          <w:szCs w:val="24"/>
        </w:rPr>
        <w:t xml:space="preserve"> </w:t>
      </w:r>
      <w:r w:rsidR="00CE2E27" w:rsidRPr="007457B1">
        <w:rPr>
          <w:rFonts w:ascii="Times New Roman" w:hAnsi="Times New Roman" w:cs="Times New Roman"/>
          <w:sz w:val="24"/>
          <w:szCs w:val="24"/>
        </w:rPr>
        <w:t xml:space="preserve">and Rail </w:t>
      </w:r>
      <w:r w:rsidRPr="007457B1">
        <w:rPr>
          <w:rFonts w:ascii="Times New Roman" w:hAnsi="Times New Roman" w:cs="Times New Roman"/>
          <w:sz w:val="24"/>
          <w:szCs w:val="24"/>
        </w:rPr>
        <w:t>Programme</w:t>
      </w:r>
      <w:r w:rsidR="00CE2E27" w:rsidRPr="007457B1">
        <w:rPr>
          <w:rFonts w:ascii="Times New Roman" w:hAnsi="Times New Roman" w:cs="Times New Roman"/>
          <w:sz w:val="24"/>
          <w:szCs w:val="24"/>
        </w:rPr>
        <w:t>s</w:t>
      </w:r>
      <w:r w:rsidRPr="007457B1">
        <w:rPr>
          <w:rFonts w:ascii="Times New Roman" w:hAnsi="Times New Roman" w:cs="Times New Roman"/>
          <w:sz w:val="24"/>
          <w:szCs w:val="24"/>
        </w:rPr>
        <w:t xml:space="preserve"> do not make sufficient </w:t>
      </w:r>
      <w:r w:rsidR="002E26C4" w:rsidRPr="007457B1">
        <w:rPr>
          <w:rFonts w:ascii="Times New Roman" w:hAnsi="Times New Roman" w:cs="Times New Roman"/>
          <w:sz w:val="24"/>
          <w:szCs w:val="24"/>
        </w:rPr>
        <w:t>provision for the promotion of u</w:t>
      </w:r>
      <w:r w:rsidRPr="007457B1">
        <w:rPr>
          <w:rFonts w:ascii="Times New Roman" w:hAnsi="Times New Roman" w:cs="Times New Roman"/>
          <w:sz w:val="24"/>
          <w:szCs w:val="24"/>
        </w:rPr>
        <w:t xml:space="preserve">niversal </w:t>
      </w:r>
      <w:r w:rsidR="002E26C4" w:rsidRPr="007457B1">
        <w:rPr>
          <w:rFonts w:ascii="Times New Roman" w:hAnsi="Times New Roman" w:cs="Times New Roman"/>
          <w:sz w:val="24"/>
          <w:szCs w:val="24"/>
        </w:rPr>
        <w:t>a</w:t>
      </w:r>
      <w:r w:rsidRPr="007457B1">
        <w:rPr>
          <w:rFonts w:ascii="Times New Roman" w:hAnsi="Times New Roman" w:cs="Times New Roman"/>
          <w:sz w:val="24"/>
          <w:szCs w:val="24"/>
        </w:rPr>
        <w:t>ccess</w:t>
      </w:r>
      <w:r w:rsidR="00CE2E27" w:rsidRPr="007457B1">
        <w:rPr>
          <w:rFonts w:ascii="Times New Roman" w:hAnsi="Times New Roman" w:cs="Times New Roman"/>
          <w:sz w:val="24"/>
          <w:szCs w:val="24"/>
        </w:rPr>
        <w:t xml:space="preserve"> as the </w:t>
      </w:r>
      <w:r w:rsidR="00012092" w:rsidRPr="007457B1">
        <w:rPr>
          <w:rFonts w:ascii="Times New Roman" w:hAnsi="Times New Roman" w:cs="Times New Roman"/>
          <w:sz w:val="24"/>
          <w:szCs w:val="24"/>
        </w:rPr>
        <w:t xml:space="preserve">2018/19 </w:t>
      </w:r>
      <w:r w:rsidR="00CE2E27" w:rsidRPr="007457B1">
        <w:rPr>
          <w:rFonts w:ascii="Times New Roman" w:hAnsi="Times New Roman" w:cs="Times New Roman"/>
          <w:sz w:val="24"/>
          <w:szCs w:val="24"/>
        </w:rPr>
        <w:t xml:space="preserve">APP </w:t>
      </w:r>
      <w:r w:rsidR="00012092" w:rsidRPr="007457B1">
        <w:rPr>
          <w:rFonts w:ascii="Times New Roman" w:hAnsi="Times New Roman" w:cs="Times New Roman"/>
          <w:sz w:val="24"/>
          <w:szCs w:val="24"/>
        </w:rPr>
        <w:t>appeared</w:t>
      </w:r>
      <w:r w:rsidR="00CE2E27" w:rsidRPr="007457B1">
        <w:rPr>
          <w:rFonts w:ascii="Times New Roman" w:hAnsi="Times New Roman" w:cs="Times New Roman"/>
          <w:sz w:val="24"/>
          <w:szCs w:val="24"/>
        </w:rPr>
        <w:t xml:space="preserve"> to only focus on the </w:t>
      </w:r>
      <w:r w:rsidR="002E26C4" w:rsidRPr="007457B1">
        <w:rPr>
          <w:rFonts w:ascii="Times New Roman" w:hAnsi="Times New Roman" w:cs="Times New Roman"/>
          <w:sz w:val="24"/>
          <w:szCs w:val="24"/>
        </w:rPr>
        <w:t>IPTN</w:t>
      </w:r>
      <w:r w:rsidR="00CE2E27" w:rsidRPr="007457B1">
        <w:rPr>
          <w:rFonts w:ascii="Times New Roman" w:hAnsi="Times New Roman" w:cs="Times New Roman"/>
          <w:sz w:val="24"/>
          <w:szCs w:val="24"/>
        </w:rPr>
        <w:t xml:space="preserve"> rollout with such service considerations</w:t>
      </w:r>
      <w:r w:rsidR="002E26C4" w:rsidRPr="007457B1">
        <w:rPr>
          <w:rFonts w:ascii="Times New Roman" w:hAnsi="Times New Roman" w:cs="Times New Roman"/>
          <w:sz w:val="24"/>
          <w:szCs w:val="24"/>
        </w:rPr>
        <w:t xml:space="preserve"> and that this type of access may be further constrained with scaling down of IPTN infrastructure with regard to stations or stops as well as the suspension of some rail station modernisation contracts</w:t>
      </w:r>
      <w:r w:rsidRPr="007457B1">
        <w:rPr>
          <w:rFonts w:ascii="Times New Roman" w:hAnsi="Times New Roman" w:cs="Times New Roman"/>
          <w:sz w:val="24"/>
          <w:szCs w:val="24"/>
        </w:rPr>
        <w:t>.</w:t>
      </w:r>
      <w:r w:rsidR="00CE2E27" w:rsidRPr="007457B1">
        <w:rPr>
          <w:rFonts w:ascii="Times New Roman" w:hAnsi="Times New Roman" w:cs="Times New Roman"/>
          <w:sz w:val="24"/>
          <w:szCs w:val="24"/>
        </w:rPr>
        <w:t xml:space="preserve"> </w:t>
      </w:r>
    </w:p>
    <w:p w14:paraId="215C74E9" w14:textId="77777777" w:rsidR="00484F3E" w:rsidRPr="007457B1" w:rsidRDefault="00484F3E" w:rsidP="00C07A5A">
      <w:pPr>
        <w:spacing w:line="360" w:lineRule="auto"/>
        <w:jc w:val="both"/>
        <w:rPr>
          <w:rFonts w:ascii="Times New Roman" w:hAnsi="Times New Roman" w:cs="Times New Roman"/>
          <w:sz w:val="24"/>
          <w:szCs w:val="24"/>
        </w:rPr>
      </w:pPr>
    </w:p>
    <w:p w14:paraId="72FDC843" w14:textId="77777777" w:rsidR="00080EC4" w:rsidRDefault="00080EC4">
      <w:pPr>
        <w:rPr>
          <w:rFonts w:ascii="Times New Roman" w:hAnsi="Times New Roman" w:cs="Times New Roman"/>
          <w:b/>
          <w:sz w:val="28"/>
          <w:szCs w:val="28"/>
        </w:rPr>
      </w:pPr>
      <w:r>
        <w:rPr>
          <w:rFonts w:ascii="Times New Roman" w:hAnsi="Times New Roman" w:cs="Times New Roman"/>
          <w:b/>
          <w:sz w:val="28"/>
          <w:szCs w:val="28"/>
        </w:rPr>
        <w:br w:type="page"/>
      </w:r>
    </w:p>
    <w:p w14:paraId="0CF8A655" w14:textId="77777777" w:rsidR="00926667" w:rsidRPr="00E63CF8" w:rsidRDefault="00926667" w:rsidP="00C07A5A">
      <w:pPr>
        <w:spacing w:line="360" w:lineRule="auto"/>
        <w:jc w:val="both"/>
        <w:rPr>
          <w:rFonts w:ascii="Times New Roman" w:hAnsi="Times New Roman" w:cs="Times New Roman"/>
          <w:b/>
          <w:sz w:val="28"/>
          <w:szCs w:val="28"/>
        </w:rPr>
      </w:pPr>
      <w:r w:rsidRPr="00E63CF8">
        <w:rPr>
          <w:rFonts w:ascii="Times New Roman" w:hAnsi="Times New Roman" w:cs="Times New Roman"/>
          <w:b/>
          <w:sz w:val="28"/>
          <w:szCs w:val="28"/>
        </w:rPr>
        <w:t>8.</w:t>
      </w:r>
      <w:r w:rsidRPr="00E63CF8">
        <w:rPr>
          <w:rFonts w:ascii="Times New Roman" w:hAnsi="Times New Roman" w:cs="Times New Roman"/>
          <w:sz w:val="28"/>
          <w:szCs w:val="28"/>
        </w:rPr>
        <w:t xml:space="preserve"> </w:t>
      </w:r>
      <w:r w:rsidRPr="00E63CF8">
        <w:rPr>
          <w:rFonts w:ascii="Times New Roman" w:hAnsi="Times New Roman" w:cs="Times New Roman"/>
          <w:b/>
          <w:sz w:val="28"/>
          <w:szCs w:val="28"/>
        </w:rPr>
        <w:tab/>
      </w:r>
      <w:r w:rsidR="00D452DC" w:rsidRPr="00E63CF8">
        <w:rPr>
          <w:rFonts w:ascii="Times New Roman" w:hAnsi="Times New Roman" w:cs="Times New Roman"/>
          <w:b/>
          <w:sz w:val="28"/>
          <w:szCs w:val="28"/>
        </w:rPr>
        <w:t>COMMITTEE RECOMMENDATIONS</w:t>
      </w:r>
    </w:p>
    <w:p w14:paraId="3A11C540" w14:textId="77777777" w:rsidR="00926667" w:rsidRDefault="00926667"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Committee recommends that the Minister of Transport ensure that: </w:t>
      </w:r>
    </w:p>
    <w:p w14:paraId="56C8EED5" w14:textId="77777777" w:rsidR="00E63CF8" w:rsidRPr="007457B1" w:rsidRDefault="00E63CF8" w:rsidP="00C07A5A">
      <w:pPr>
        <w:spacing w:line="360" w:lineRule="auto"/>
        <w:jc w:val="both"/>
        <w:rPr>
          <w:rFonts w:ascii="Times New Roman" w:hAnsi="Times New Roman" w:cs="Times New Roman"/>
          <w:b/>
          <w:sz w:val="24"/>
          <w:szCs w:val="24"/>
        </w:rPr>
      </w:pPr>
    </w:p>
    <w:p w14:paraId="757F3F43" w14:textId="77777777" w:rsidR="003F6685" w:rsidRPr="007457B1" w:rsidRDefault="00926667"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 xml:space="preserve">8.1        </w:t>
      </w:r>
      <w:r w:rsidR="003F6685" w:rsidRPr="007457B1">
        <w:rPr>
          <w:rFonts w:ascii="Times New Roman" w:hAnsi="Times New Roman" w:cs="Times New Roman"/>
          <w:b/>
          <w:sz w:val="24"/>
          <w:szCs w:val="24"/>
        </w:rPr>
        <w:t>General</w:t>
      </w:r>
    </w:p>
    <w:p w14:paraId="2DAADE09" w14:textId="77777777" w:rsidR="003F6685" w:rsidRPr="007457B1" w:rsidRDefault="003F6685"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Department correct all errors and inconsistencies or contradictions pointed out in their tabled APP for 2019/20.</w:t>
      </w:r>
    </w:p>
    <w:p w14:paraId="0F14B9F1" w14:textId="77777777" w:rsidR="003F6685" w:rsidRPr="007457B1" w:rsidRDefault="003F6685" w:rsidP="00C07A5A">
      <w:pPr>
        <w:spacing w:line="360" w:lineRule="auto"/>
        <w:jc w:val="both"/>
        <w:rPr>
          <w:rFonts w:ascii="Times New Roman" w:hAnsi="Times New Roman" w:cs="Times New Roman"/>
          <w:sz w:val="24"/>
          <w:szCs w:val="24"/>
        </w:rPr>
      </w:pPr>
    </w:p>
    <w:p w14:paraId="292E0EA5" w14:textId="77777777" w:rsidR="00926667" w:rsidRPr="007457B1" w:rsidRDefault="003F6685"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8.2</w:t>
      </w:r>
      <w:r w:rsidRPr="007457B1">
        <w:rPr>
          <w:rFonts w:ascii="Times New Roman" w:hAnsi="Times New Roman" w:cs="Times New Roman"/>
          <w:b/>
          <w:sz w:val="24"/>
          <w:szCs w:val="24"/>
        </w:rPr>
        <w:tab/>
      </w:r>
      <w:r w:rsidR="00926667" w:rsidRPr="007457B1">
        <w:rPr>
          <w:rFonts w:ascii="Times New Roman" w:hAnsi="Times New Roman" w:cs="Times New Roman"/>
          <w:b/>
          <w:sz w:val="24"/>
          <w:szCs w:val="24"/>
        </w:rPr>
        <w:t>Use of consultants</w:t>
      </w:r>
    </w:p>
    <w:p w14:paraId="66F49D57" w14:textId="77777777" w:rsidR="00926667" w:rsidRPr="007457B1" w:rsidRDefault="00926667"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use of consultants is monitored by the Department, and that the Department ascertains whether the services rendered provided good value for money. In addition, the Department should indicate whether the consultants transfer relevant skills to the employees of the Department. </w:t>
      </w:r>
      <w:r w:rsidR="00ED4976" w:rsidRPr="007457B1">
        <w:rPr>
          <w:rFonts w:ascii="Times New Roman" w:hAnsi="Times New Roman" w:cs="Times New Roman"/>
          <w:sz w:val="24"/>
          <w:szCs w:val="24"/>
        </w:rPr>
        <w:t xml:space="preserve">The Department must furthermore brief the Committee on all consultants used with reference to their scope of work and the expenditure linked to these appointments within 30 days </w:t>
      </w:r>
      <w:r w:rsidR="001F0CAB" w:rsidRPr="007457B1">
        <w:rPr>
          <w:rFonts w:ascii="Times New Roman" w:hAnsi="Times New Roman" w:cs="Times New Roman"/>
          <w:sz w:val="24"/>
          <w:szCs w:val="24"/>
        </w:rPr>
        <w:t>of the adoption of this report by the House.</w:t>
      </w:r>
    </w:p>
    <w:p w14:paraId="514504CC" w14:textId="77777777" w:rsidR="00926667" w:rsidRPr="007457B1" w:rsidRDefault="00926667"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 xml:space="preserve"> </w:t>
      </w:r>
    </w:p>
    <w:p w14:paraId="5FD5D90E" w14:textId="77777777" w:rsidR="00926667" w:rsidRPr="007457B1" w:rsidRDefault="003F6685"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8.3</w:t>
      </w:r>
      <w:r w:rsidR="00926667" w:rsidRPr="007457B1">
        <w:rPr>
          <w:rFonts w:ascii="Times New Roman" w:hAnsi="Times New Roman" w:cs="Times New Roman"/>
          <w:b/>
          <w:sz w:val="24"/>
          <w:szCs w:val="24"/>
        </w:rPr>
        <w:tab/>
      </w:r>
      <w:r w:rsidR="001E7F2C" w:rsidRPr="007457B1">
        <w:rPr>
          <w:rFonts w:ascii="Times New Roman" w:hAnsi="Times New Roman" w:cs="Times New Roman"/>
          <w:b/>
          <w:sz w:val="24"/>
          <w:szCs w:val="24"/>
        </w:rPr>
        <w:t xml:space="preserve">Public Transport Network Grant </w:t>
      </w:r>
      <w:r w:rsidR="00ED4976" w:rsidRPr="007457B1">
        <w:rPr>
          <w:rFonts w:ascii="Times New Roman" w:hAnsi="Times New Roman" w:cs="Times New Roman"/>
          <w:b/>
          <w:sz w:val="24"/>
          <w:szCs w:val="24"/>
        </w:rPr>
        <w:t>(PTNG)</w:t>
      </w:r>
    </w:p>
    <w:p w14:paraId="29F4CAD9" w14:textId="77777777" w:rsidR="00926667" w:rsidRPr="007457B1" w:rsidRDefault="00926667"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Department monitor</w:t>
      </w:r>
      <w:r w:rsidR="005A4630" w:rsidRPr="007457B1">
        <w:rPr>
          <w:rFonts w:ascii="Times New Roman" w:hAnsi="Times New Roman" w:cs="Times New Roman"/>
          <w:sz w:val="24"/>
          <w:szCs w:val="24"/>
        </w:rPr>
        <w:t>s</w:t>
      </w:r>
      <w:r w:rsidRPr="007457B1">
        <w:rPr>
          <w:rFonts w:ascii="Times New Roman" w:hAnsi="Times New Roman" w:cs="Times New Roman"/>
          <w:sz w:val="24"/>
          <w:szCs w:val="24"/>
        </w:rPr>
        <w:t xml:space="preserve"> the spending of the funds by the 13 </w:t>
      </w:r>
      <w:r w:rsidR="00351053" w:rsidRPr="007457B1">
        <w:rPr>
          <w:rFonts w:ascii="Times New Roman" w:hAnsi="Times New Roman" w:cs="Times New Roman"/>
          <w:sz w:val="24"/>
          <w:szCs w:val="24"/>
        </w:rPr>
        <w:t>IPTN/</w:t>
      </w:r>
      <w:r w:rsidR="001E7F2C" w:rsidRPr="007457B1">
        <w:rPr>
          <w:rFonts w:ascii="Times New Roman" w:hAnsi="Times New Roman" w:cs="Times New Roman"/>
          <w:sz w:val="24"/>
          <w:szCs w:val="24"/>
        </w:rPr>
        <w:t xml:space="preserve">BRT implementing </w:t>
      </w:r>
      <w:r w:rsidRPr="007457B1">
        <w:rPr>
          <w:rFonts w:ascii="Times New Roman" w:hAnsi="Times New Roman" w:cs="Times New Roman"/>
          <w:sz w:val="24"/>
          <w:szCs w:val="24"/>
        </w:rPr>
        <w:t xml:space="preserve">cities and </w:t>
      </w:r>
      <w:r w:rsidR="001E7F2C" w:rsidRPr="007457B1">
        <w:rPr>
          <w:rFonts w:ascii="Times New Roman" w:hAnsi="Times New Roman" w:cs="Times New Roman"/>
          <w:sz w:val="24"/>
          <w:szCs w:val="24"/>
        </w:rPr>
        <w:t xml:space="preserve">ensures </w:t>
      </w:r>
      <w:r w:rsidRPr="007457B1">
        <w:rPr>
          <w:rFonts w:ascii="Times New Roman" w:hAnsi="Times New Roman" w:cs="Times New Roman"/>
          <w:sz w:val="24"/>
          <w:szCs w:val="24"/>
        </w:rPr>
        <w:t>that the funds are spent as per the Division of Revue Act</w:t>
      </w:r>
      <w:r w:rsidR="00351053" w:rsidRPr="007457B1">
        <w:rPr>
          <w:rFonts w:ascii="Times New Roman" w:hAnsi="Times New Roman" w:cs="Times New Roman"/>
          <w:sz w:val="24"/>
          <w:szCs w:val="24"/>
        </w:rPr>
        <w:t xml:space="preserve"> to </w:t>
      </w:r>
      <w:r w:rsidR="00ED4976" w:rsidRPr="007457B1">
        <w:rPr>
          <w:rFonts w:ascii="Times New Roman" w:hAnsi="Times New Roman" w:cs="Times New Roman"/>
          <w:sz w:val="24"/>
          <w:szCs w:val="24"/>
        </w:rPr>
        <w:t>warrant</w:t>
      </w:r>
      <w:r w:rsidR="00351053" w:rsidRPr="007457B1">
        <w:rPr>
          <w:rFonts w:ascii="Times New Roman" w:hAnsi="Times New Roman" w:cs="Times New Roman"/>
          <w:sz w:val="24"/>
          <w:szCs w:val="24"/>
        </w:rPr>
        <w:t xml:space="preserve"> that value for money is achieved and services are delivered to the citizens. Quarterly reports on progress should be delivered to the Committee</w:t>
      </w:r>
      <w:r w:rsidR="00B87A4F" w:rsidRPr="007457B1">
        <w:rPr>
          <w:rFonts w:ascii="Times New Roman" w:hAnsi="Times New Roman" w:cs="Times New Roman"/>
          <w:sz w:val="24"/>
          <w:szCs w:val="24"/>
        </w:rPr>
        <w:t>,</w:t>
      </w:r>
      <w:r w:rsidR="00351053" w:rsidRPr="007457B1">
        <w:rPr>
          <w:rFonts w:ascii="Times New Roman" w:hAnsi="Times New Roman" w:cs="Times New Roman"/>
          <w:sz w:val="24"/>
          <w:szCs w:val="24"/>
        </w:rPr>
        <w:t xml:space="preserve"> as well as indications on whether or not any of the cities stand a real chance of having their funding allocation stopped due to a lack of progress.</w:t>
      </w:r>
    </w:p>
    <w:p w14:paraId="2F16BBBA" w14:textId="77777777" w:rsidR="00490066" w:rsidRDefault="00490066">
      <w:pPr>
        <w:rPr>
          <w:rFonts w:ascii="Times New Roman" w:hAnsi="Times New Roman" w:cs="Times New Roman"/>
          <w:b/>
          <w:sz w:val="24"/>
          <w:szCs w:val="24"/>
        </w:rPr>
      </w:pPr>
    </w:p>
    <w:p w14:paraId="162CA0B2" w14:textId="77777777" w:rsidR="00926667" w:rsidRPr="007457B1" w:rsidRDefault="003F6685"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8.4</w:t>
      </w:r>
      <w:r w:rsidR="00926667" w:rsidRPr="007457B1">
        <w:rPr>
          <w:rFonts w:ascii="Times New Roman" w:hAnsi="Times New Roman" w:cs="Times New Roman"/>
          <w:b/>
          <w:sz w:val="24"/>
          <w:szCs w:val="24"/>
        </w:rPr>
        <w:tab/>
      </w:r>
      <w:r w:rsidR="002A2B02" w:rsidRPr="007457B1">
        <w:rPr>
          <w:rFonts w:ascii="Times New Roman" w:hAnsi="Times New Roman" w:cs="Times New Roman"/>
          <w:b/>
          <w:sz w:val="24"/>
          <w:szCs w:val="24"/>
        </w:rPr>
        <w:t>Provincial Roads Maintenance Grant</w:t>
      </w:r>
      <w:r w:rsidR="00ED4976" w:rsidRPr="007457B1">
        <w:rPr>
          <w:rFonts w:ascii="Times New Roman" w:hAnsi="Times New Roman" w:cs="Times New Roman"/>
          <w:b/>
          <w:sz w:val="24"/>
          <w:szCs w:val="24"/>
        </w:rPr>
        <w:t xml:space="preserve"> (PRMG)</w:t>
      </w:r>
      <w:r w:rsidR="002A2B02" w:rsidRPr="007457B1">
        <w:rPr>
          <w:rFonts w:ascii="Times New Roman" w:hAnsi="Times New Roman" w:cs="Times New Roman"/>
          <w:b/>
          <w:sz w:val="24"/>
          <w:szCs w:val="24"/>
        </w:rPr>
        <w:t xml:space="preserve">:  </w:t>
      </w:r>
      <w:r w:rsidR="00926667" w:rsidRPr="007457B1">
        <w:rPr>
          <w:rFonts w:ascii="Times New Roman" w:hAnsi="Times New Roman" w:cs="Times New Roman"/>
          <w:b/>
          <w:sz w:val="24"/>
          <w:szCs w:val="24"/>
        </w:rPr>
        <w:t xml:space="preserve">Road maintenance </w:t>
      </w:r>
      <w:r w:rsidR="00ED4976" w:rsidRPr="007457B1">
        <w:rPr>
          <w:rFonts w:ascii="Times New Roman" w:hAnsi="Times New Roman" w:cs="Times New Roman"/>
          <w:b/>
          <w:sz w:val="24"/>
          <w:szCs w:val="24"/>
        </w:rPr>
        <w:t>component</w:t>
      </w:r>
    </w:p>
    <w:p w14:paraId="491D8323" w14:textId="77777777" w:rsidR="00926667" w:rsidRPr="007457B1" w:rsidRDefault="002A2B02"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Department </w:t>
      </w:r>
      <w:r w:rsidR="00926667" w:rsidRPr="007457B1">
        <w:rPr>
          <w:rFonts w:ascii="Times New Roman" w:hAnsi="Times New Roman" w:cs="Times New Roman"/>
          <w:sz w:val="24"/>
          <w:szCs w:val="24"/>
        </w:rPr>
        <w:t xml:space="preserve">monitor the expenditure of the </w:t>
      </w:r>
      <w:r w:rsidRPr="007457B1">
        <w:rPr>
          <w:rFonts w:ascii="Times New Roman" w:hAnsi="Times New Roman" w:cs="Times New Roman"/>
          <w:sz w:val="24"/>
          <w:szCs w:val="24"/>
        </w:rPr>
        <w:t xml:space="preserve">Roads maintenance component of the PRMG and briefs </w:t>
      </w:r>
      <w:r w:rsidR="00926667" w:rsidRPr="007457B1">
        <w:rPr>
          <w:rFonts w:ascii="Times New Roman" w:hAnsi="Times New Roman" w:cs="Times New Roman"/>
          <w:sz w:val="24"/>
          <w:szCs w:val="24"/>
        </w:rPr>
        <w:t xml:space="preserve">Parliament </w:t>
      </w:r>
      <w:r w:rsidR="00ED4976" w:rsidRPr="007457B1">
        <w:rPr>
          <w:rFonts w:ascii="Times New Roman" w:hAnsi="Times New Roman" w:cs="Times New Roman"/>
          <w:sz w:val="24"/>
          <w:szCs w:val="24"/>
        </w:rPr>
        <w:t xml:space="preserve">quarterly </w:t>
      </w:r>
      <w:r w:rsidR="00926667" w:rsidRPr="007457B1">
        <w:rPr>
          <w:rFonts w:ascii="Times New Roman" w:hAnsi="Times New Roman" w:cs="Times New Roman"/>
          <w:sz w:val="24"/>
          <w:szCs w:val="24"/>
        </w:rPr>
        <w:t xml:space="preserve">on </w:t>
      </w:r>
      <w:r w:rsidR="00ED4976" w:rsidRPr="007457B1">
        <w:rPr>
          <w:rFonts w:ascii="Times New Roman" w:hAnsi="Times New Roman" w:cs="Times New Roman"/>
          <w:sz w:val="24"/>
          <w:szCs w:val="24"/>
        </w:rPr>
        <w:t>progress</w:t>
      </w:r>
      <w:r w:rsidR="00B87A4F" w:rsidRPr="007457B1">
        <w:rPr>
          <w:rFonts w:ascii="Times New Roman" w:hAnsi="Times New Roman" w:cs="Times New Roman"/>
          <w:sz w:val="24"/>
          <w:szCs w:val="24"/>
        </w:rPr>
        <w:t>,</w:t>
      </w:r>
      <w:r w:rsidR="00ED4976" w:rsidRPr="007457B1">
        <w:rPr>
          <w:rFonts w:ascii="Times New Roman" w:hAnsi="Times New Roman" w:cs="Times New Roman"/>
          <w:sz w:val="24"/>
          <w:szCs w:val="24"/>
        </w:rPr>
        <w:t xml:space="preserve"> as well as </w:t>
      </w:r>
      <w:r w:rsidR="00926667" w:rsidRPr="007457B1">
        <w:rPr>
          <w:rFonts w:ascii="Times New Roman" w:hAnsi="Times New Roman" w:cs="Times New Roman"/>
          <w:sz w:val="24"/>
          <w:szCs w:val="24"/>
        </w:rPr>
        <w:t xml:space="preserve">the breakdown of the </w:t>
      </w:r>
      <w:r w:rsidRPr="007457B1">
        <w:rPr>
          <w:rFonts w:ascii="Times New Roman" w:hAnsi="Times New Roman" w:cs="Times New Roman"/>
          <w:sz w:val="24"/>
          <w:szCs w:val="24"/>
        </w:rPr>
        <w:t>201</w:t>
      </w:r>
      <w:r w:rsidR="00777318" w:rsidRPr="007457B1">
        <w:rPr>
          <w:rFonts w:ascii="Times New Roman" w:hAnsi="Times New Roman" w:cs="Times New Roman"/>
          <w:sz w:val="24"/>
          <w:szCs w:val="24"/>
        </w:rPr>
        <w:t>9</w:t>
      </w:r>
      <w:r w:rsidRPr="007457B1">
        <w:rPr>
          <w:rFonts w:ascii="Times New Roman" w:hAnsi="Times New Roman" w:cs="Times New Roman"/>
          <w:sz w:val="24"/>
          <w:szCs w:val="24"/>
        </w:rPr>
        <w:t>/</w:t>
      </w:r>
      <w:r w:rsidR="00777318" w:rsidRPr="007457B1">
        <w:rPr>
          <w:rFonts w:ascii="Times New Roman" w:hAnsi="Times New Roman" w:cs="Times New Roman"/>
          <w:sz w:val="24"/>
          <w:szCs w:val="24"/>
        </w:rPr>
        <w:t>20</w:t>
      </w:r>
      <w:r w:rsidRPr="007457B1">
        <w:rPr>
          <w:rFonts w:ascii="Times New Roman" w:hAnsi="Times New Roman" w:cs="Times New Roman"/>
          <w:sz w:val="24"/>
          <w:szCs w:val="24"/>
        </w:rPr>
        <w:t xml:space="preserve"> </w:t>
      </w:r>
      <w:r w:rsidR="00926667" w:rsidRPr="007457B1">
        <w:rPr>
          <w:rFonts w:ascii="Times New Roman" w:hAnsi="Times New Roman" w:cs="Times New Roman"/>
          <w:sz w:val="24"/>
          <w:szCs w:val="24"/>
        </w:rPr>
        <w:t>budget allocation per province.</w:t>
      </w:r>
    </w:p>
    <w:p w14:paraId="0C3CB195" w14:textId="77777777" w:rsidR="00926667" w:rsidRPr="007457B1" w:rsidRDefault="00926667" w:rsidP="00C07A5A">
      <w:pPr>
        <w:spacing w:line="360" w:lineRule="auto"/>
        <w:jc w:val="both"/>
        <w:rPr>
          <w:rFonts w:ascii="Times New Roman" w:hAnsi="Times New Roman" w:cs="Times New Roman"/>
          <w:b/>
          <w:sz w:val="24"/>
          <w:szCs w:val="24"/>
        </w:rPr>
      </w:pPr>
    </w:p>
    <w:p w14:paraId="0F7548C5" w14:textId="77777777" w:rsidR="00080EC4" w:rsidRDefault="00080EC4">
      <w:pPr>
        <w:rPr>
          <w:rFonts w:ascii="Times New Roman" w:hAnsi="Times New Roman" w:cs="Times New Roman"/>
          <w:b/>
          <w:sz w:val="24"/>
          <w:szCs w:val="24"/>
        </w:rPr>
      </w:pPr>
      <w:r>
        <w:rPr>
          <w:rFonts w:ascii="Times New Roman" w:hAnsi="Times New Roman" w:cs="Times New Roman"/>
          <w:b/>
          <w:sz w:val="24"/>
          <w:szCs w:val="24"/>
        </w:rPr>
        <w:br w:type="page"/>
      </w:r>
    </w:p>
    <w:p w14:paraId="2175646B" w14:textId="77777777" w:rsidR="00926667" w:rsidRPr="007457B1" w:rsidRDefault="0092139B"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8.</w:t>
      </w:r>
      <w:r w:rsidR="003F6685" w:rsidRPr="007457B1">
        <w:rPr>
          <w:rFonts w:ascii="Times New Roman" w:hAnsi="Times New Roman" w:cs="Times New Roman"/>
          <w:b/>
          <w:sz w:val="24"/>
          <w:szCs w:val="24"/>
        </w:rPr>
        <w:t>5</w:t>
      </w:r>
      <w:r w:rsidR="00926667" w:rsidRPr="007457B1">
        <w:rPr>
          <w:rFonts w:ascii="Times New Roman" w:hAnsi="Times New Roman" w:cs="Times New Roman"/>
          <w:b/>
          <w:sz w:val="24"/>
          <w:szCs w:val="24"/>
        </w:rPr>
        <w:tab/>
        <w:t>Moloto Road upgrade</w:t>
      </w:r>
      <w:r w:rsidR="0019420A" w:rsidRPr="007457B1">
        <w:rPr>
          <w:rFonts w:ascii="Times New Roman" w:hAnsi="Times New Roman" w:cs="Times New Roman"/>
          <w:b/>
          <w:sz w:val="24"/>
          <w:szCs w:val="24"/>
        </w:rPr>
        <w:t xml:space="preserve"> and Development Corridor</w:t>
      </w:r>
    </w:p>
    <w:p w14:paraId="2F9A0ED9" w14:textId="77777777" w:rsidR="00926667" w:rsidRPr="007457B1" w:rsidRDefault="00CD49E0"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Department </w:t>
      </w:r>
      <w:r w:rsidR="00C50E5D" w:rsidRPr="007457B1">
        <w:rPr>
          <w:rFonts w:ascii="Times New Roman" w:hAnsi="Times New Roman" w:cs="Times New Roman"/>
          <w:sz w:val="24"/>
          <w:szCs w:val="24"/>
        </w:rPr>
        <w:t xml:space="preserve">deliver </w:t>
      </w:r>
      <w:r w:rsidRPr="007457B1">
        <w:rPr>
          <w:rFonts w:ascii="Times New Roman" w:hAnsi="Times New Roman" w:cs="Times New Roman"/>
          <w:sz w:val="24"/>
          <w:szCs w:val="24"/>
        </w:rPr>
        <w:t xml:space="preserve">quarterly updates </w:t>
      </w:r>
      <w:r w:rsidR="00C50E5D" w:rsidRPr="007457B1">
        <w:rPr>
          <w:rFonts w:ascii="Times New Roman" w:hAnsi="Times New Roman" w:cs="Times New Roman"/>
          <w:sz w:val="24"/>
          <w:szCs w:val="24"/>
        </w:rPr>
        <w:t xml:space="preserve">to </w:t>
      </w:r>
      <w:r w:rsidRPr="007457B1">
        <w:rPr>
          <w:rFonts w:ascii="Times New Roman" w:hAnsi="Times New Roman" w:cs="Times New Roman"/>
          <w:sz w:val="24"/>
          <w:szCs w:val="24"/>
        </w:rPr>
        <w:t xml:space="preserve">the </w:t>
      </w:r>
      <w:r w:rsidR="00926667" w:rsidRPr="007457B1">
        <w:rPr>
          <w:rFonts w:ascii="Times New Roman" w:hAnsi="Times New Roman" w:cs="Times New Roman"/>
          <w:sz w:val="24"/>
          <w:szCs w:val="24"/>
        </w:rPr>
        <w:t xml:space="preserve">Committee on the progress made regarding the Moloto Road upgrade </w:t>
      </w:r>
      <w:r w:rsidR="0019420A" w:rsidRPr="007457B1">
        <w:rPr>
          <w:rFonts w:ascii="Times New Roman" w:hAnsi="Times New Roman" w:cs="Times New Roman"/>
          <w:sz w:val="24"/>
          <w:szCs w:val="24"/>
        </w:rPr>
        <w:t xml:space="preserve">and Moloto Development Corridor (Rail) </w:t>
      </w:r>
      <w:r w:rsidR="00926667" w:rsidRPr="007457B1">
        <w:rPr>
          <w:rFonts w:ascii="Times New Roman" w:hAnsi="Times New Roman" w:cs="Times New Roman"/>
          <w:sz w:val="24"/>
          <w:szCs w:val="24"/>
        </w:rPr>
        <w:t>programme.</w:t>
      </w:r>
    </w:p>
    <w:p w14:paraId="44387A97" w14:textId="77777777" w:rsidR="00926667" w:rsidRPr="007457B1" w:rsidRDefault="00926667" w:rsidP="00C07A5A">
      <w:pPr>
        <w:spacing w:line="360" w:lineRule="auto"/>
        <w:jc w:val="both"/>
        <w:rPr>
          <w:rFonts w:ascii="Times New Roman" w:hAnsi="Times New Roman" w:cs="Times New Roman"/>
          <w:b/>
          <w:sz w:val="24"/>
          <w:szCs w:val="24"/>
        </w:rPr>
      </w:pPr>
    </w:p>
    <w:p w14:paraId="45C3D1F0" w14:textId="77777777" w:rsidR="00926667" w:rsidRPr="007457B1" w:rsidRDefault="003F6685"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8.6</w:t>
      </w:r>
      <w:r w:rsidR="00926667" w:rsidRPr="007457B1">
        <w:rPr>
          <w:rFonts w:ascii="Times New Roman" w:hAnsi="Times New Roman" w:cs="Times New Roman"/>
          <w:b/>
          <w:sz w:val="24"/>
          <w:szCs w:val="24"/>
        </w:rPr>
        <w:tab/>
        <w:t xml:space="preserve">  Non-toll road network</w:t>
      </w:r>
    </w:p>
    <w:p w14:paraId="0459D149" w14:textId="77777777" w:rsidR="00926667" w:rsidRPr="007457B1" w:rsidRDefault="00926667"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The Department ensure that the budget allocation for </w:t>
      </w:r>
      <w:r w:rsidR="001C5D84" w:rsidRPr="007457B1">
        <w:rPr>
          <w:rFonts w:ascii="Times New Roman" w:hAnsi="Times New Roman" w:cs="Times New Roman"/>
          <w:sz w:val="24"/>
          <w:szCs w:val="24"/>
        </w:rPr>
        <w:t xml:space="preserve">the </w:t>
      </w:r>
      <w:r w:rsidRPr="007457B1">
        <w:rPr>
          <w:rFonts w:ascii="Times New Roman" w:hAnsi="Times New Roman" w:cs="Times New Roman"/>
          <w:sz w:val="24"/>
          <w:szCs w:val="24"/>
        </w:rPr>
        <w:t>SANRAL roa</w:t>
      </w:r>
      <w:r w:rsidR="001C5D84" w:rsidRPr="007457B1">
        <w:rPr>
          <w:rFonts w:ascii="Times New Roman" w:hAnsi="Times New Roman" w:cs="Times New Roman"/>
          <w:sz w:val="24"/>
          <w:szCs w:val="24"/>
        </w:rPr>
        <w:t>d maintenance programme respond</w:t>
      </w:r>
      <w:r w:rsidRPr="007457B1">
        <w:rPr>
          <w:rFonts w:ascii="Times New Roman" w:hAnsi="Times New Roman" w:cs="Times New Roman"/>
          <w:sz w:val="24"/>
          <w:szCs w:val="24"/>
        </w:rPr>
        <w:t xml:space="preserve"> to the challenge</w:t>
      </w:r>
      <w:r w:rsidR="001C5D84" w:rsidRPr="007457B1">
        <w:rPr>
          <w:rFonts w:ascii="Times New Roman" w:hAnsi="Times New Roman" w:cs="Times New Roman"/>
          <w:sz w:val="24"/>
          <w:szCs w:val="24"/>
        </w:rPr>
        <w:t>s</w:t>
      </w:r>
      <w:r w:rsidRPr="007457B1">
        <w:rPr>
          <w:rFonts w:ascii="Times New Roman" w:hAnsi="Times New Roman" w:cs="Times New Roman"/>
          <w:sz w:val="24"/>
          <w:szCs w:val="24"/>
        </w:rPr>
        <w:t xml:space="preserve"> of unemployment, poverty alleviation and inequality.</w:t>
      </w:r>
    </w:p>
    <w:p w14:paraId="04BEA2FB" w14:textId="77777777" w:rsidR="00926667" w:rsidRPr="007457B1" w:rsidRDefault="00926667" w:rsidP="00C07A5A">
      <w:pPr>
        <w:spacing w:line="360" w:lineRule="auto"/>
        <w:jc w:val="both"/>
        <w:rPr>
          <w:rFonts w:ascii="Times New Roman" w:hAnsi="Times New Roman" w:cs="Times New Roman"/>
          <w:b/>
          <w:sz w:val="24"/>
          <w:szCs w:val="24"/>
        </w:rPr>
      </w:pPr>
    </w:p>
    <w:p w14:paraId="207F3946" w14:textId="77777777" w:rsidR="00C50E5D" w:rsidRPr="007457B1" w:rsidRDefault="003F6685"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8.7</w:t>
      </w:r>
      <w:r w:rsidR="00C50E5D" w:rsidRPr="007457B1">
        <w:rPr>
          <w:rFonts w:ascii="Times New Roman" w:hAnsi="Times New Roman" w:cs="Times New Roman"/>
          <w:b/>
          <w:sz w:val="24"/>
          <w:szCs w:val="24"/>
        </w:rPr>
        <w:tab/>
        <w:t>Vacancies and Acting Positions</w:t>
      </w:r>
    </w:p>
    <w:p w14:paraId="4BC4EDD9" w14:textId="77777777" w:rsidR="00434A53" w:rsidRPr="007457B1" w:rsidRDefault="00434A53"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That the appointments are made with due consideration of gender parity principals for all critical vacancies that need to be filled in Senior Management as well as throughout all levels of the Department, executive of the entities as well as board vacancies.</w:t>
      </w:r>
    </w:p>
    <w:p w14:paraId="5CE5793E" w14:textId="77777777" w:rsidR="00C50E5D" w:rsidRPr="007457B1" w:rsidRDefault="00B91E53"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That Board members of entities are appointed without delay so that the entities are able to discharge their legislative mandates optimally. The Minister is also requested to report to the Committee on this matter</w:t>
      </w:r>
      <w:r w:rsidR="00B87A4F" w:rsidRPr="007457B1">
        <w:rPr>
          <w:rFonts w:ascii="Times New Roman" w:hAnsi="Times New Roman" w:cs="Times New Roman"/>
          <w:sz w:val="24"/>
          <w:szCs w:val="24"/>
        </w:rPr>
        <w:t>,</w:t>
      </w:r>
      <w:r w:rsidRPr="007457B1">
        <w:rPr>
          <w:rFonts w:ascii="Times New Roman" w:hAnsi="Times New Roman" w:cs="Times New Roman"/>
          <w:sz w:val="24"/>
          <w:szCs w:val="24"/>
        </w:rPr>
        <w:t xml:space="preserve"> as well as the Department</w:t>
      </w:r>
      <w:r w:rsidR="001548BB" w:rsidRPr="007457B1">
        <w:rPr>
          <w:rFonts w:ascii="Times New Roman" w:hAnsi="Times New Roman" w:cs="Times New Roman"/>
          <w:sz w:val="24"/>
          <w:szCs w:val="24"/>
        </w:rPr>
        <w:t>’s</w:t>
      </w:r>
      <w:r w:rsidRPr="007457B1">
        <w:rPr>
          <w:rFonts w:ascii="Times New Roman" w:hAnsi="Times New Roman" w:cs="Times New Roman"/>
          <w:sz w:val="24"/>
          <w:szCs w:val="24"/>
        </w:rPr>
        <w:t xml:space="preserve"> plan for ensuring future Board member vacancies are filled timeously within 30 days </w:t>
      </w:r>
      <w:r w:rsidR="00B87A4F" w:rsidRPr="007457B1">
        <w:rPr>
          <w:rFonts w:ascii="Times New Roman" w:hAnsi="Times New Roman" w:cs="Times New Roman"/>
          <w:sz w:val="24"/>
          <w:szCs w:val="24"/>
        </w:rPr>
        <w:t>of the</w:t>
      </w:r>
      <w:r w:rsidRPr="007457B1">
        <w:rPr>
          <w:rFonts w:ascii="Times New Roman" w:hAnsi="Times New Roman" w:cs="Times New Roman"/>
          <w:sz w:val="24"/>
          <w:szCs w:val="24"/>
        </w:rPr>
        <w:t xml:space="preserve"> </w:t>
      </w:r>
      <w:r w:rsidR="00167790" w:rsidRPr="007457B1">
        <w:rPr>
          <w:rFonts w:ascii="Times New Roman" w:hAnsi="Times New Roman" w:cs="Times New Roman"/>
          <w:sz w:val="24"/>
          <w:szCs w:val="24"/>
        </w:rPr>
        <w:t>adoption</w:t>
      </w:r>
      <w:r w:rsidRPr="007457B1">
        <w:rPr>
          <w:rFonts w:ascii="Times New Roman" w:hAnsi="Times New Roman" w:cs="Times New Roman"/>
          <w:sz w:val="24"/>
          <w:szCs w:val="24"/>
        </w:rPr>
        <w:t xml:space="preserve"> of this report</w:t>
      </w:r>
      <w:r w:rsidR="00167790" w:rsidRPr="007457B1">
        <w:rPr>
          <w:rFonts w:ascii="Times New Roman" w:hAnsi="Times New Roman" w:cs="Times New Roman"/>
          <w:sz w:val="24"/>
          <w:szCs w:val="24"/>
        </w:rPr>
        <w:t xml:space="preserve"> by the House</w:t>
      </w:r>
      <w:r w:rsidRPr="007457B1">
        <w:rPr>
          <w:rFonts w:ascii="Times New Roman" w:hAnsi="Times New Roman" w:cs="Times New Roman"/>
          <w:sz w:val="24"/>
          <w:szCs w:val="24"/>
        </w:rPr>
        <w:t>.</w:t>
      </w:r>
      <w:r w:rsidR="00C50E5D" w:rsidRPr="007457B1">
        <w:rPr>
          <w:rFonts w:ascii="Times New Roman" w:hAnsi="Times New Roman" w:cs="Times New Roman"/>
          <w:sz w:val="24"/>
          <w:szCs w:val="24"/>
        </w:rPr>
        <w:t xml:space="preserve"> Furthermore, that the Minister ensure that all other vacancies in senior management in the Department and the executive in the entities are filled</w:t>
      </w:r>
      <w:r w:rsidRPr="007457B1">
        <w:rPr>
          <w:rFonts w:ascii="Times New Roman" w:hAnsi="Times New Roman" w:cs="Times New Roman"/>
          <w:sz w:val="24"/>
          <w:szCs w:val="24"/>
        </w:rPr>
        <w:t xml:space="preserve"> and reported on to the Committee within 60 days </w:t>
      </w:r>
      <w:r w:rsidR="00B87A4F" w:rsidRPr="007457B1">
        <w:rPr>
          <w:rFonts w:ascii="Times New Roman" w:hAnsi="Times New Roman" w:cs="Times New Roman"/>
          <w:sz w:val="24"/>
          <w:szCs w:val="24"/>
        </w:rPr>
        <w:t>of the</w:t>
      </w:r>
      <w:r w:rsidRPr="007457B1">
        <w:rPr>
          <w:rFonts w:ascii="Times New Roman" w:hAnsi="Times New Roman" w:cs="Times New Roman"/>
          <w:sz w:val="24"/>
          <w:szCs w:val="24"/>
        </w:rPr>
        <w:t xml:space="preserve"> </w:t>
      </w:r>
      <w:r w:rsidR="00167790" w:rsidRPr="007457B1">
        <w:rPr>
          <w:rFonts w:ascii="Times New Roman" w:hAnsi="Times New Roman" w:cs="Times New Roman"/>
          <w:sz w:val="24"/>
          <w:szCs w:val="24"/>
        </w:rPr>
        <w:t xml:space="preserve">adoption </w:t>
      </w:r>
      <w:r w:rsidRPr="007457B1">
        <w:rPr>
          <w:rFonts w:ascii="Times New Roman" w:hAnsi="Times New Roman" w:cs="Times New Roman"/>
          <w:sz w:val="24"/>
          <w:szCs w:val="24"/>
        </w:rPr>
        <w:t>of this report</w:t>
      </w:r>
      <w:r w:rsidR="00167790" w:rsidRPr="007457B1">
        <w:rPr>
          <w:rFonts w:ascii="Times New Roman" w:hAnsi="Times New Roman" w:cs="Times New Roman"/>
          <w:sz w:val="24"/>
          <w:szCs w:val="24"/>
        </w:rPr>
        <w:t xml:space="preserve"> by the House</w:t>
      </w:r>
      <w:r w:rsidR="00C50E5D" w:rsidRPr="007457B1">
        <w:rPr>
          <w:rFonts w:ascii="Times New Roman" w:hAnsi="Times New Roman" w:cs="Times New Roman"/>
          <w:sz w:val="24"/>
          <w:szCs w:val="24"/>
        </w:rPr>
        <w:t>.</w:t>
      </w:r>
    </w:p>
    <w:p w14:paraId="6A693070" w14:textId="77777777" w:rsidR="00490066" w:rsidRDefault="00490066">
      <w:pPr>
        <w:rPr>
          <w:rFonts w:ascii="Times New Roman" w:hAnsi="Times New Roman" w:cs="Times New Roman"/>
          <w:b/>
          <w:sz w:val="24"/>
          <w:szCs w:val="24"/>
        </w:rPr>
      </w:pPr>
    </w:p>
    <w:p w14:paraId="60742E9F" w14:textId="77777777" w:rsidR="00C50E5D" w:rsidRPr="007457B1" w:rsidRDefault="003F6685"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8.8</w:t>
      </w:r>
      <w:r w:rsidR="00C50E5D" w:rsidRPr="007457B1">
        <w:rPr>
          <w:rFonts w:ascii="Times New Roman" w:hAnsi="Times New Roman" w:cs="Times New Roman"/>
          <w:b/>
          <w:sz w:val="24"/>
          <w:szCs w:val="24"/>
        </w:rPr>
        <w:tab/>
        <w:t>Scholar Transport</w:t>
      </w:r>
    </w:p>
    <w:p w14:paraId="642D8637" w14:textId="77777777" w:rsidR="00D17F5D" w:rsidRDefault="00AB615C"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Once the work-streams have determined the best suited Department for the project, t</w:t>
      </w:r>
      <w:r w:rsidR="00351053" w:rsidRPr="007457B1">
        <w:rPr>
          <w:rFonts w:ascii="Times New Roman" w:hAnsi="Times New Roman" w:cs="Times New Roman"/>
          <w:sz w:val="24"/>
          <w:szCs w:val="24"/>
        </w:rPr>
        <w:t>hat the Scholar Transport Policy</w:t>
      </w:r>
      <w:r w:rsidR="00A7726B" w:rsidRPr="007457B1">
        <w:rPr>
          <w:rFonts w:ascii="Times New Roman" w:hAnsi="Times New Roman" w:cs="Times New Roman"/>
          <w:sz w:val="24"/>
          <w:szCs w:val="24"/>
        </w:rPr>
        <w:t xml:space="preserve"> and regulation thereof</w:t>
      </w:r>
      <w:r w:rsidR="00351053" w:rsidRPr="007457B1">
        <w:rPr>
          <w:rFonts w:ascii="Times New Roman" w:hAnsi="Times New Roman" w:cs="Times New Roman"/>
          <w:sz w:val="24"/>
          <w:szCs w:val="24"/>
        </w:rPr>
        <w:t xml:space="preserve"> is rolled out uniformly</w:t>
      </w:r>
      <w:r w:rsidR="00A7726B" w:rsidRPr="007457B1">
        <w:rPr>
          <w:rFonts w:ascii="Times New Roman" w:hAnsi="Times New Roman" w:cs="Times New Roman"/>
          <w:sz w:val="24"/>
          <w:szCs w:val="24"/>
        </w:rPr>
        <w:t xml:space="preserve"> and monitored by the </w:t>
      </w:r>
      <w:r w:rsidR="00D17F5D">
        <w:rPr>
          <w:rFonts w:ascii="Times New Roman" w:hAnsi="Times New Roman" w:cs="Times New Roman"/>
          <w:sz w:val="24"/>
          <w:szCs w:val="24"/>
        </w:rPr>
        <w:t xml:space="preserve">relevant </w:t>
      </w:r>
      <w:r w:rsidR="00A7726B" w:rsidRPr="007457B1">
        <w:rPr>
          <w:rFonts w:ascii="Times New Roman" w:hAnsi="Times New Roman" w:cs="Times New Roman"/>
          <w:sz w:val="24"/>
          <w:szCs w:val="24"/>
        </w:rPr>
        <w:t xml:space="preserve">Department. </w:t>
      </w:r>
    </w:p>
    <w:p w14:paraId="4182E0DE" w14:textId="77777777" w:rsidR="00C50E5D" w:rsidRPr="007457B1" w:rsidRDefault="00D17F5D" w:rsidP="00C07A5A">
      <w:pPr>
        <w:spacing w:line="360" w:lineRule="auto"/>
        <w:jc w:val="both"/>
        <w:rPr>
          <w:rFonts w:ascii="Times New Roman" w:hAnsi="Times New Roman" w:cs="Times New Roman"/>
          <w:sz w:val="24"/>
          <w:szCs w:val="24"/>
        </w:rPr>
      </w:pPr>
      <w:r>
        <w:rPr>
          <w:rFonts w:ascii="Times New Roman" w:hAnsi="Times New Roman" w:cs="Times New Roman"/>
          <w:sz w:val="24"/>
          <w:szCs w:val="24"/>
        </w:rPr>
        <w:t>Until such determination is finalised, t</w:t>
      </w:r>
      <w:r w:rsidR="00A7726B" w:rsidRPr="007457B1">
        <w:rPr>
          <w:rFonts w:ascii="Times New Roman" w:hAnsi="Times New Roman" w:cs="Times New Roman"/>
          <w:sz w:val="24"/>
          <w:szCs w:val="24"/>
        </w:rPr>
        <w:t xml:space="preserve">he Department must ensure that one set of regulations </w:t>
      </w:r>
      <w:r w:rsidR="00B87A4F" w:rsidRPr="007457B1">
        <w:rPr>
          <w:rFonts w:ascii="Times New Roman" w:hAnsi="Times New Roman" w:cs="Times New Roman"/>
          <w:sz w:val="24"/>
          <w:szCs w:val="24"/>
        </w:rPr>
        <w:t>is</w:t>
      </w:r>
      <w:r w:rsidR="00A7726B" w:rsidRPr="007457B1">
        <w:rPr>
          <w:rFonts w:ascii="Times New Roman" w:hAnsi="Times New Roman" w:cs="Times New Roman"/>
          <w:sz w:val="24"/>
          <w:szCs w:val="24"/>
        </w:rPr>
        <w:t xml:space="preserve"> set out and implemented nationally on scholar transport norms and standards, which must be done through regular meetings with and cooperation with the Department of Basic Education.</w:t>
      </w:r>
      <w:r w:rsidR="00351053" w:rsidRPr="007457B1">
        <w:rPr>
          <w:rFonts w:ascii="Times New Roman" w:hAnsi="Times New Roman" w:cs="Times New Roman"/>
          <w:sz w:val="24"/>
          <w:szCs w:val="24"/>
        </w:rPr>
        <w:t xml:space="preserve"> </w:t>
      </w:r>
      <w:r w:rsidR="00A7726B" w:rsidRPr="007457B1">
        <w:rPr>
          <w:rFonts w:ascii="Times New Roman" w:hAnsi="Times New Roman" w:cs="Times New Roman"/>
          <w:sz w:val="24"/>
          <w:szCs w:val="24"/>
        </w:rPr>
        <w:t>The Department should also</w:t>
      </w:r>
      <w:r w:rsidR="00351053" w:rsidRPr="007457B1">
        <w:rPr>
          <w:rFonts w:ascii="Times New Roman" w:hAnsi="Times New Roman" w:cs="Times New Roman"/>
          <w:sz w:val="24"/>
          <w:szCs w:val="24"/>
        </w:rPr>
        <w:t xml:space="preserve"> hold regular engagements with Provincial Departments </w:t>
      </w:r>
      <w:r w:rsidR="00B87A4F" w:rsidRPr="007457B1">
        <w:rPr>
          <w:rFonts w:ascii="Times New Roman" w:hAnsi="Times New Roman" w:cs="Times New Roman"/>
          <w:sz w:val="24"/>
          <w:szCs w:val="24"/>
        </w:rPr>
        <w:t>with</w:t>
      </w:r>
      <w:r w:rsidR="00351053" w:rsidRPr="007457B1">
        <w:rPr>
          <w:rFonts w:ascii="Times New Roman" w:hAnsi="Times New Roman" w:cs="Times New Roman"/>
          <w:sz w:val="24"/>
          <w:szCs w:val="24"/>
        </w:rPr>
        <w:t xml:space="preserve"> which the function resides to</w:t>
      </w:r>
      <w:r w:rsidR="00A7726B" w:rsidRPr="007457B1">
        <w:rPr>
          <w:rFonts w:ascii="Times New Roman" w:hAnsi="Times New Roman" w:cs="Times New Roman"/>
          <w:sz w:val="24"/>
          <w:szCs w:val="24"/>
        </w:rPr>
        <w:t xml:space="preserve"> assist in improving scholar transport</w:t>
      </w:r>
      <w:r w:rsidR="00B87A4F" w:rsidRPr="007457B1">
        <w:rPr>
          <w:rFonts w:ascii="Times New Roman" w:hAnsi="Times New Roman" w:cs="Times New Roman"/>
          <w:sz w:val="24"/>
          <w:szCs w:val="24"/>
        </w:rPr>
        <w:t>,</w:t>
      </w:r>
      <w:r w:rsidR="00A7726B" w:rsidRPr="007457B1">
        <w:rPr>
          <w:rFonts w:ascii="Times New Roman" w:hAnsi="Times New Roman" w:cs="Times New Roman"/>
          <w:sz w:val="24"/>
          <w:szCs w:val="24"/>
        </w:rPr>
        <w:t xml:space="preserve"> as well as report back to the Committee on progress on a quarterly basis.</w:t>
      </w:r>
    </w:p>
    <w:p w14:paraId="54F98C46" w14:textId="77777777" w:rsidR="00351053" w:rsidRPr="007457B1" w:rsidRDefault="00351053" w:rsidP="00C07A5A">
      <w:pPr>
        <w:spacing w:line="360" w:lineRule="auto"/>
        <w:jc w:val="both"/>
        <w:rPr>
          <w:rFonts w:ascii="Times New Roman" w:hAnsi="Times New Roman" w:cs="Times New Roman"/>
          <w:sz w:val="24"/>
          <w:szCs w:val="24"/>
        </w:rPr>
      </w:pPr>
    </w:p>
    <w:p w14:paraId="04873B4A" w14:textId="77777777" w:rsidR="00C50E5D" w:rsidRPr="007457B1" w:rsidRDefault="003F6685"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8.9</w:t>
      </w:r>
      <w:r w:rsidR="00C50E5D" w:rsidRPr="007457B1">
        <w:rPr>
          <w:rFonts w:ascii="Times New Roman" w:hAnsi="Times New Roman" w:cs="Times New Roman"/>
          <w:b/>
          <w:sz w:val="24"/>
          <w:szCs w:val="24"/>
        </w:rPr>
        <w:tab/>
      </w:r>
      <w:r w:rsidR="00FF052B" w:rsidRPr="007457B1">
        <w:rPr>
          <w:rFonts w:ascii="Times New Roman" w:hAnsi="Times New Roman" w:cs="Times New Roman"/>
          <w:b/>
          <w:sz w:val="24"/>
          <w:szCs w:val="24"/>
        </w:rPr>
        <w:t>SANRAL funding concerns</w:t>
      </w:r>
      <w:r w:rsidR="00B87A4F" w:rsidRPr="007457B1">
        <w:rPr>
          <w:rFonts w:ascii="Times New Roman" w:hAnsi="Times New Roman" w:cs="Times New Roman"/>
          <w:b/>
          <w:sz w:val="24"/>
          <w:szCs w:val="24"/>
        </w:rPr>
        <w:t>,</w:t>
      </w:r>
      <w:r w:rsidR="00FF052B" w:rsidRPr="007457B1">
        <w:rPr>
          <w:rFonts w:ascii="Times New Roman" w:hAnsi="Times New Roman" w:cs="Times New Roman"/>
          <w:b/>
          <w:sz w:val="24"/>
          <w:szCs w:val="24"/>
        </w:rPr>
        <w:t xml:space="preserve"> as well as impact of GFIP thereon</w:t>
      </w:r>
    </w:p>
    <w:p w14:paraId="52FA41E6" w14:textId="77777777" w:rsidR="00E03536" w:rsidRPr="007457B1" w:rsidRDefault="00762DD6"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That SANRAL is assisted with formulating a suitable funding model that could </w:t>
      </w:r>
      <w:r w:rsidR="0011796D" w:rsidRPr="007457B1">
        <w:rPr>
          <w:rFonts w:ascii="Times New Roman" w:hAnsi="Times New Roman" w:cs="Times New Roman"/>
          <w:sz w:val="24"/>
          <w:szCs w:val="24"/>
        </w:rPr>
        <w:t>aid</w:t>
      </w:r>
      <w:r w:rsidRPr="007457B1">
        <w:rPr>
          <w:rFonts w:ascii="Times New Roman" w:hAnsi="Times New Roman" w:cs="Times New Roman"/>
          <w:sz w:val="24"/>
          <w:szCs w:val="24"/>
        </w:rPr>
        <w:t xml:space="preserve"> in resolving the impact on its finances from t</w:t>
      </w:r>
      <w:r w:rsidR="00253014" w:rsidRPr="007457B1">
        <w:rPr>
          <w:rFonts w:ascii="Times New Roman" w:hAnsi="Times New Roman" w:cs="Times New Roman"/>
          <w:sz w:val="24"/>
          <w:szCs w:val="24"/>
        </w:rPr>
        <w:t>he rollout of the GFIP project</w:t>
      </w:r>
      <w:r w:rsidR="00B87A4F" w:rsidRPr="007457B1">
        <w:rPr>
          <w:rFonts w:ascii="Times New Roman" w:hAnsi="Times New Roman" w:cs="Times New Roman"/>
          <w:sz w:val="24"/>
          <w:szCs w:val="24"/>
        </w:rPr>
        <w:t>,</w:t>
      </w:r>
      <w:r w:rsidR="00253014" w:rsidRPr="007457B1">
        <w:rPr>
          <w:rFonts w:ascii="Times New Roman" w:hAnsi="Times New Roman" w:cs="Times New Roman"/>
          <w:sz w:val="24"/>
          <w:szCs w:val="24"/>
        </w:rPr>
        <w:t xml:space="preserve"> as well as manage current project stoppages related to the general objections on all toll projects by finalising the development of a fresh Toll Roads Policy. </w:t>
      </w:r>
      <w:r w:rsidR="00E03536" w:rsidRPr="007457B1">
        <w:rPr>
          <w:rFonts w:ascii="Times New Roman" w:hAnsi="Times New Roman" w:cs="Times New Roman"/>
          <w:sz w:val="24"/>
          <w:szCs w:val="24"/>
        </w:rPr>
        <w:t>The Minister also needs to address the going concern issues raised for SANRAL by arranging meetings between the entity, the Department</w:t>
      </w:r>
      <w:r w:rsidR="00B87A4F" w:rsidRPr="007457B1">
        <w:rPr>
          <w:rFonts w:ascii="Times New Roman" w:hAnsi="Times New Roman" w:cs="Times New Roman"/>
          <w:sz w:val="24"/>
          <w:szCs w:val="24"/>
        </w:rPr>
        <w:t>,</w:t>
      </w:r>
      <w:r w:rsidR="00E03536" w:rsidRPr="007457B1">
        <w:rPr>
          <w:rFonts w:ascii="Times New Roman" w:hAnsi="Times New Roman" w:cs="Times New Roman"/>
          <w:sz w:val="24"/>
          <w:szCs w:val="24"/>
        </w:rPr>
        <w:t xml:space="preserve"> as well as the National Treasury. </w:t>
      </w:r>
    </w:p>
    <w:p w14:paraId="65BF0159" w14:textId="77777777" w:rsidR="00C50E5D" w:rsidRPr="007457B1" w:rsidRDefault="00253014"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SANRAL should also be assisted with support towards the achievement of its Strategic Objective to foster cooperative working relationships with all spheres of Government and the </w:t>
      </w:r>
      <w:r w:rsidR="0011796D" w:rsidRPr="007457B1">
        <w:rPr>
          <w:rFonts w:ascii="Times New Roman" w:hAnsi="Times New Roman" w:cs="Times New Roman"/>
          <w:sz w:val="24"/>
          <w:szCs w:val="24"/>
        </w:rPr>
        <w:t>Southern African Development Community (</w:t>
      </w:r>
      <w:r w:rsidRPr="007457B1">
        <w:rPr>
          <w:rFonts w:ascii="Times New Roman" w:hAnsi="Times New Roman" w:cs="Times New Roman"/>
          <w:sz w:val="24"/>
          <w:szCs w:val="24"/>
        </w:rPr>
        <w:t>SADC</w:t>
      </w:r>
      <w:r w:rsidR="0011796D" w:rsidRPr="007457B1">
        <w:rPr>
          <w:rFonts w:ascii="Times New Roman" w:hAnsi="Times New Roman" w:cs="Times New Roman"/>
          <w:sz w:val="24"/>
          <w:szCs w:val="24"/>
        </w:rPr>
        <w:t>)</w:t>
      </w:r>
      <w:r w:rsidRPr="007457B1">
        <w:rPr>
          <w:rFonts w:ascii="Times New Roman" w:hAnsi="Times New Roman" w:cs="Times New Roman"/>
          <w:sz w:val="24"/>
          <w:szCs w:val="24"/>
        </w:rPr>
        <w:t xml:space="preserve"> member countries</w:t>
      </w:r>
      <w:r w:rsidR="00E215EE" w:rsidRPr="007457B1">
        <w:rPr>
          <w:rFonts w:ascii="Times New Roman" w:hAnsi="Times New Roman" w:cs="Times New Roman"/>
          <w:sz w:val="24"/>
          <w:szCs w:val="24"/>
        </w:rPr>
        <w:t xml:space="preserve"> </w:t>
      </w:r>
      <w:r w:rsidR="0011796D" w:rsidRPr="007457B1">
        <w:rPr>
          <w:rFonts w:ascii="Times New Roman" w:hAnsi="Times New Roman" w:cs="Times New Roman"/>
          <w:sz w:val="24"/>
          <w:szCs w:val="24"/>
        </w:rPr>
        <w:t>through the possible</w:t>
      </w:r>
      <w:r w:rsidR="00E215EE" w:rsidRPr="007457B1">
        <w:rPr>
          <w:rFonts w:ascii="Times New Roman" w:hAnsi="Times New Roman" w:cs="Times New Roman"/>
          <w:sz w:val="24"/>
          <w:szCs w:val="24"/>
        </w:rPr>
        <w:t xml:space="preserve"> expanding of its scope </w:t>
      </w:r>
      <w:r w:rsidR="0011796D" w:rsidRPr="007457B1">
        <w:rPr>
          <w:rFonts w:ascii="Times New Roman" w:hAnsi="Times New Roman" w:cs="Times New Roman"/>
          <w:sz w:val="24"/>
          <w:szCs w:val="24"/>
        </w:rPr>
        <w:t>towards becoming a road agency for the SADC as this could help support the development of infrastructure in the region</w:t>
      </w:r>
      <w:r w:rsidR="00B87A4F" w:rsidRPr="007457B1">
        <w:rPr>
          <w:rFonts w:ascii="Times New Roman" w:hAnsi="Times New Roman" w:cs="Times New Roman"/>
          <w:sz w:val="24"/>
          <w:szCs w:val="24"/>
        </w:rPr>
        <w:t>,</w:t>
      </w:r>
      <w:r w:rsidR="0011796D" w:rsidRPr="007457B1">
        <w:rPr>
          <w:rFonts w:ascii="Times New Roman" w:hAnsi="Times New Roman" w:cs="Times New Roman"/>
          <w:sz w:val="24"/>
          <w:szCs w:val="24"/>
        </w:rPr>
        <w:t xml:space="preserve"> as well as economic integration.</w:t>
      </w:r>
    </w:p>
    <w:p w14:paraId="6BA3A9A4" w14:textId="77777777" w:rsidR="00E03536" w:rsidRPr="007457B1" w:rsidRDefault="00E03536"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Department is to report to the Committee on a quarterly basis regarding the above recommendations.</w:t>
      </w:r>
    </w:p>
    <w:p w14:paraId="00AFF184" w14:textId="77777777" w:rsidR="00762DD6" w:rsidRPr="007457B1" w:rsidRDefault="00762DD6" w:rsidP="00C07A5A">
      <w:pPr>
        <w:spacing w:line="360" w:lineRule="auto"/>
        <w:jc w:val="both"/>
        <w:rPr>
          <w:rFonts w:ascii="Times New Roman" w:hAnsi="Times New Roman" w:cs="Times New Roman"/>
          <w:sz w:val="24"/>
          <w:szCs w:val="24"/>
        </w:rPr>
      </w:pPr>
    </w:p>
    <w:p w14:paraId="78D10F05" w14:textId="77777777" w:rsidR="00C50E5D" w:rsidRPr="007457B1" w:rsidRDefault="003F6685"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8.10</w:t>
      </w:r>
      <w:r w:rsidR="00C50E5D" w:rsidRPr="007457B1">
        <w:rPr>
          <w:rFonts w:ascii="Times New Roman" w:hAnsi="Times New Roman" w:cs="Times New Roman"/>
          <w:b/>
          <w:sz w:val="24"/>
          <w:szCs w:val="24"/>
        </w:rPr>
        <w:tab/>
      </w:r>
      <w:r w:rsidR="00762DD6" w:rsidRPr="007457B1">
        <w:rPr>
          <w:rFonts w:ascii="Times New Roman" w:hAnsi="Times New Roman" w:cs="Times New Roman"/>
          <w:b/>
          <w:sz w:val="24"/>
          <w:szCs w:val="24"/>
        </w:rPr>
        <w:t>PRASA Modernisation project</w:t>
      </w:r>
    </w:p>
    <w:p w14:paraId="073A2A42" w14:textId="77777777" w:rsidR="00C50E5D" w:rsidRPr="007457B1" w:rsidRDefault="00762DD6"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That PRASA improves their current services and safety</w:t>
      </w:r>
      <w:r w:rsidR="00FE4214" w:rsidRPr="007457B1">
        <w:rPr>
          <w:rFonts w:ascii="Times New Roman" w:hAnsi="Times New Roman" w:cs="Times New Roman"/>
          <w:sz w:val="24"/>
          <w:szCs w:val="24"/>
        </w:rPr>
        <w:t xml:space="preserve"> through the rollout of the turnaround strategy in a manner that would allow for the entity to focus further on the modernisation project.</w:t>
      </w:r>
      <w:r w:rsidR="0025282D" w:rsidRPr="007457B1">
        <w:rPr>
          <w:rFonts w:ascii="Times New Roman" w:hAnsi="Times New Roman" w:cs="Times New Roman"/>
          <w:sz w:val="24"/>
          <w:szCs w:val="24"/>
        </w:rPr>
        <w:t xml:space="preserve"> The entity should also indicate progress towards the devolution of authority to regions for effective management and rail operations through quarterly reports on the above to the Committee.</w:t>
      </w:r>
      <w:r w:rsidR="00EB6D70" w:rsidRPr="007457B1">
        <w:rPr>
          <w:rFonts w:ascii="Times New Roman" w:hAnsi="Times New Roman" w:cs="Times New Roman"/>
          <w:sz w:val="24"/>
          <w:szCs w:val="24"/>
        </w:rPr>
        <w:t xml:space="preserve"> PRASA should ensure that quarterly briefings are presented to the Committee regarding updates and progress on its rolling stock fleet renewal programme, the refurbishment of coaches, as well as the upgrading of signalling systems.</w:t>
      </w:r>
    </w:p>
    <w:p w14:paraId="5D73D328" w14:textId="77777777" w:rsidR="00FE4214" w:rsidRPr="007457B1" w:rsidRDefault="00FE4214" w:rsidP="00C07A5A">
      <w:pPr>
        <w:spacing w:line="360" w:lineRule="auto"/>
        <w:jc w:val="both"/>
        <w:rPr>
          <w:rFonts w:ascii="Times New Roman" w:hAnsi="Times New Roman" w:cs="Times New Roman"/>
          <w:sz w:val="24"/>
          <w:szCs w:val="24"/>
        </w:rPr>
      </w:pPr>
    </w:p>
    <w:p w14:paraId="3F7893AD" w14:textId="77777777" w:rsidR="00080EC4" w:rsidRDefault="00080EC4">
      <w:pPr>
        <w:rPr>
          <w:rFonts w:ascii="Times New Roman" w:hAnsi="Times New Roman" w:cs="Times New Roman"/>
          <w:b/>
          <w:sz w:val="24"/>
          <w:szCs w:val="24"/>
        </w:rPr>
      </w:pPr>
      <w:r>
        <w:rPr>
          <w:rFonts w:ascii="Times New Roman" w:hAnsi="Times New Roman" w:cs="Times New Roman"/>
          <w:b/>
          <w:sz w:val="24"/>
          <w:szCs w:val="24"/>
        </w:rPr>
        <w:br w:type="page"/>
      </w:r>
    </w:p>
    <w:p w14:paraId="0FC62E24" w14:textId="77777777" w:rsidR="00C50E5D" w:rsidRPr="007457B1" w:rsidRDefault="00C50E5D"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8.1</w:t>
      </w:r>
      <w:r w:rsidR="003F6685" w:rsidRPr="007457B1">
        <w:rPr>
          <w:rFonts w:ascii="Times New Roman" w:hAnsi="Times New Roman" w:cs="Times New Roman"/>
          <w:b/>
          <w:sz w:val="24"/>
          <w:szCs w:val="24"/>
        </w:rPr>
        <w:t>1</w:t>
      </w:r>
      <w:r w:rsidRPr="007457B1">
        <w:rPr>
          <w:rFonts w:ascii="Times New Roman" w:hAnsi="Times New Roman" w:cs="Times New Roman"/>
          <w:b/>
          <w:sz w:val="24"/>
          <w:szCs w:val="24"/>
        </w:rPr>
        <w:tab/>
        <w:t>Taxi Recapitalisation Project</w:t>
      </w:r>
    </w:p>
    <w:p w14:paraId="40E4C9D5" w14:textId="77777777" w:rsidR="00C50E5D" w:rsidRPr="007457B1" w:rsidRDefault="00762DD6"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That the revision of the policy is finalised as soon as possible and ensure that value chain aspects are covered in the revised project model</w:t>
      </w:r>
      <w:r w:rsidR="000337A0" w:rsidRPr="007457B1">
        <w:rPr>
          <w:rFonts w:ascii="Times New Roman" w:hAnsi="Times New Roman" w:cs="Times New Roman"/>
          <w:sz w:val="24"/>
          <w:szCs w:val="24"/>
        </w:rPr>
        <w:t>. T</w:t>
      </w:r>
      <w:r w:rsidRPr="007457B1">
        <w:rPr>
          <w:rFonts w:ascii="Times New Roman" w:hAnsi="Times New Roman" w:cs="Times New Roman"/>
          <w:sz w:val="24"/>
          <w:szCs w:val="24"/>
        </w:rPr>
        <w:t xml:space="preserve">hat targets for the project </w:t>
      </w:r>
      <w:r w:rsidR="00167790" w:rsidRPr="007457B1">
        <w:rPr>
          <w:rFonts w:ascii="Times New Roman" w:hAnsi="Times New Roman" w:cs="Times New Roman"/>
          <w:sz w:val="24"/>
          <w:szCs w:val="24"/>
        </w:rPr>
        <w:t>are</w:t>
      </w:r>
      <w:r w:rsidRPr="007457B1">
        <w:rPr>
          <w:rFonts w:ascii="Times New Roman" w:hAnsi="Times New Roman" w:cs="Times New Roman"/>
          <w:sz w:val="24"/>
          <w:szCs w:val="24"/>
        </w:rPr>
        <w:t xml:space="preserve"> set more accurately in order to reduce the over</w:t>
      </w:r>
      <w:r w:rsidR="00963E0F" w:rsidRPr="007457B1">
        <w:rPr>
          <w:rFonts w:ascii="Times New Roman" w:hAnsi="Times New Roman" w:cs="Times New Roman"/>
          <w:sz w:val="24"/>
          <w:szCs w:val="24"/>
        </w:rPr>
        <w:t>-</w:t>
      </w:r>
      <w:r w:rsidRPr="007457B1">
        <w:rPr>
          <w:rFonts w:ascii="Times New Roman" w:hAnsi="Times New Roman" w:cs="Times New Roman"/>
          <w:sz w:val="24"/>
          <w:szCs w:val="24"/>
        </w:rPr>
        <w:t>reliance on underspent funds from this project to cover over expenditure in others.</w:t>
      </w:r>
      <w:r w:rsidR="000337A0" w:rsidRPr="007457B1">
        <w:rPr>
          <w:rFonts w:ascii="Times New Roman" w:hAnsi="Times New Roman" w:cs="Times New Roman"/>
          <w:sz w:val="24"/>
          <w:szCs w:val="24"/>
        </w:rPr>
        <w:t xml:space="preserve"> The Department must present the reviewed policy to the Committee within 90 days of </w:t>
      </w:r>
      <w:r w:rsidR="00963E0F" w:rsidRPr="007457B1">
        <w:rPr>
          <w:rFonts w:ascii="Times New Roman" w:hAnsi="Times New Roman" w:cs="Times New Roman"/>
          <w:sz w:val="24"/>
          <w:szCs w:val="24"/>
        </w:rPr>
        <w:t xml:space="preserve">the </w:t>
      </w:r>
      <w:r w:rsidR="00167790" w:rsidRPr="007457B1">
        <w:rPr>
          <w:rFonts w:ascii="Times New Roman" w:hAnsi="Times New Roman" w:cs="Times New Roman"/>
          <w:sz w:val="24"/>
          <w:szCs w:val="24"/>
        </w:rPr>
        <w:t>adoption</w:t>
      </w:r>
      <w:r w:rsidR="000337A0" w:rsidRPr="007457B1">
        <w:rPr>
          <w:rFonts w:ascii="Times New Roman" w:hAnsi="Times New Roman" w:cs="Times New Roman"/>
          <w:sz w:val="24"/>
          <w:szCs w:val="24"/>
        </w:rPr>
        <w:t xml:space="preserve"> of this report</w:t>
      </w:r>
      <w:r w:rsidR="00167790" w:rsidRPr="007457B1">
        <w:rPr>
          <w:rFonts w:ascii="Times New Roman" w:hAnsi="Times New Roman" w:cs="Times New Roman"/>
          <w:sz w:val="24"/>
          <w:szCs w:val="24"/>
        </w:rPr>
        <w:t xml:space="preserve"> by the House</w:t>
      </w:r>
      <w:r w:rsidR="000337A0" w:rsidRPr="007457B1">
        <w:rPr>
          <w:rFonts w:ascii="Times New Roman" w:hAnsi="Times New Roman" w:cs="Times New Roman"/>
          <w:sz w:val="24"/>
          <w:szCs w:val="24"/>
        </w:rPr>
        <w:t>.</w:t>
      </w:r>
    </w:p>
    <w:p w14:paraId="241FD768" w14:textId="77777777" w:rsidR="00762DD6" w:rsidRPr="007457B1" w:rsidRDefault="00762DD6" w:rsidP="00C07A5A">
      <w:pPr>
        <w:spacing w:line="360" w:lineRule="auto"/>
        <w:jc w:val="both"/>
        <w:rPr>
          <w:rFonts w:ascii="Times New Roman" w:hAnsi="Times New Roman" w:cs="Times New Roman"/>
          <w:b/>
          <w:sz w:val="24"/>
          <w:szCs w:val="24"/>
        </w:rPr>
      </w:pPr>
    </w:p>
    <w:p w14:paraId="74978140" w14:textId="77777777" w:rsidR="00FE4214" w:rsidRPr="007457B1" w:rsidRDefault="003F6685"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8.12</w:t>
      </w:r>
      <w:r w:rsidR="00C50E5D" w:rsidRPr="007457B1">
        <w:rPr>
          <w:rFonts w:ascii="Times New Roman" w:hAnsi="Times New Roman" w:cs="Times New Roman"/>
          <w:b/>
          <w:sz w:val="24"/>
          <w:szCs w:val="24"/>
        </w:rPr>
        <w:tab/>
      </w:r>
      <w:r w:rsidR="00B019FB" w:rsidRPr="007457B1">
        <w:rPr>
          <w:rFonts w:ascii="Times New Roman" w:hAnsi="Times New Roman" w:cs="Times New Roman"/>
          <w:b/>
          <w:sz w:val="24"/>
          <w:szCs w:val="24"/>
        </w:rPr>
        <w:t>Funding Models and Turn-around Strategies o</w:t>
      </w:r>
      <w:r w:rsidR="00E466F0" w:rsidRPr="007457B1">
        <w:rPr>
          <w:rFonts w:ascii="Times New Roman" w:hAnsi="Times New Roman" w:cs="Times New Roman"/>
          <w:b/>
          <w:sz w:val="24"/>
          <w:szCs w:val="24"/>
        </w:rPr>
        <w:t>f</w:t>
      </w:r>
      <w:r w:rsidR="00B019FB" w:rsidRPr="007457B1">
        <w:rPr>
          <w:rFonts w:ascii="Times New Roman" w:hAnsi="Times New Roman" w:cs="Times New Roman"/>
          <w:b/>
          <w:sz w:val="24"/>
          <w:szCs w:val="24"/>
        </w:rPr>
        <w:t xml:space="preserve"> Entities</w:t>
      </w:r>
    </w:p>
    <w:p w14:paraId="73467799" w14:textId="77777777" w:rsidR="00FE4214" w:rsidRPr="007457B1" w:rsidRDefault="00B019FB"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That all entities with turn-around strategies and new funding models are given the required assistance, guidance and oversight required in order to implement these strategies and models that would allow them to be self</w:t>
      </w:r>
      <w:r w:rsidR="00E466F0" w:rsidRPr="007457B1">
        <w:rPr>
          <w:rFonts w:ascii="Times New Roman" w:hAnsi="Times New Roman" w:cs="Times New Roman"/>
          <w:sz w:val="24"/>
          <w:szCs w:val="24"/>
        </w:rPr>
        <w:t>-</w:t>
      </w:r>
      <w:r w:rsidRPr="007457B1">
        <w:rPr>
          <w:rFonts w:ascii="Times New Roman" w:hAnsi="Times New Roman" w:cs="Times New Roman"/>
          <w:sz w:val="24"/>
          <w:szCs w:val="24"/>
        </w:rPr>
        <w:t>funding and reduce the increasing reliance on the national fiscus in the pursuit of service delivery.</w:t>
      </w:r>
      <w:r w:rsidR="00E03536" w:rsidRPr="007457B1">
        <w:rPr>
          <w:rFonts w:ascii="Times New Roman" w:hAnsi="Times New Roman" w:cs="Times New Roman"/>
          <w:sz w:val="24"/>
          <w:szCs w:val="24"/>
        </w:rPr>
        <w:t xml:space="preserve"> The Minister also needs to address the going concern issues raised for entities by arran</w:t>
      </w:r>
      <w:r w:rsidR="00470C9B" w:rsidRPr="007457B1">
        <w:rPr>
          <w:rFonts w:ascii="Times New Roman" w:hAnsi="Times New Roman" w:cs="Times New Roman"/>
          <w:sz w:val="24"/>
          <w:szCs w:val="24"/>
        </w:rPr>
        <w:t>ging meetings between the entities</w:t>
      </w:r>
      <w:r w:rsidR="00E03536" w:rsidRPr="007457B1">
        <w:rPr>
          <w:rFonts w:ascii="Times New Roman" w:hAnsi="Times New Roman" w:cs="Times New Roman"/>
          <w:sz w:val="24"/>
          <w:szCs w:val="24"/>
        </w:rPr>
        <w:t>, the Department</w:t>
      </w:r>
      <w:r w:rsidR="00963E0F" w:rsidRPr="007457B1">
        <w:rPr>
          <w:rFonts w:ascii="Times New Roman" w:hAnsi="Times New Roman" w:cs="Times New Roman"/>
          <w:sz w:val="24"/>
          <w:szCs w:val="24"/>
        </w:rPr>
        <w:t>,</w:t>
      </w:r>
      <w:r w:rsidR="00E03536" w:rsidRPr="007457B1">
        <w:rPr>
          <w:rFonts w:ascii="Times New Roman" w:hAnsi="Times New Roman" w:cs="Times New Roman"/>
          <w:sz w:val="24"/>
          <w:szCs w:val="24"/>
        </w:rPr>
        <w:t xml:space="preserve"> as well as the National Treasury.</w:t>
      </w:r>
    </w:p>
    <w:p w14:paraId="71671274" w14:textId="77777777" w:rsidR="00470C9B" w:rsidRPr="007457B1" w:rsidRDefault="00470C9B"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Department is to report to the Committee on a quarterly basis regarding the above recommendations.</w:t>
      </w:r>
    </w:p>
    <w:p w14:paraId="1A3BDF4F" w14:textId="77777777" w:rsidR="00B019FB" w:rsidRPr="007457B1" w:rsidRDefault="00B019FB" w:rsidP="00C07A5A">
      <w:pPr>
        <w:spacing w:line="360" w:lineRule="auto"/>
        <w:jc w:val="both"/>
        <w:rPr>
          <w:rFonts w:ascii="Times New Roman" w:hAnsi="Times New Roman" w:cs="Times New Roman"/>
          <w:sz w:val="24"/>
          <w:szCs w:val="24"/>
        </w:rPr>
      </w:pPr>
    </w:p>
    <w:p w14:paraId="05F29439" w14:textId="77777777" w:rsidR="00FE4214" w:rsidRPr="007457B1" w:rsidRDefault="003F6685"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8.13</w:t>
      </w:r>
      <w:r w:rsidR="00FE4214" w:rsidRPr="007457B1">
        <w:rPr>
          <w:rFonts w:ascii="Times New Roman" w:hAnsi="Times New Roman" w:cs="Times New Roman"/>
          <w:b/>
          <w:sz w:val="24"/>
          <w:szCs w:val="24"/>
        </w:rPr>
        <w:tab/>
        <w:t>Legislative Programme impact on Entities</w:t>
      </w:r>
    </w:p>
    <w:p w14:paraId="462CFCDD" w14:textId="77777777" w:rsidR="00FE4214" w:rsidRPr="007457B1" w:rsidRDefault="00FE4214"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That the Department and its entities ensure that their planning for legislation to be submitted to Parliament for processing is done in such a manner that would allow for the thorough processing thereof during the Parliament Cycle and not to rush submissions in the outer years of the MTSF.</w:t>
      </w:r>
    </w:p>
    <w:p w14:paraId="46ED7FEE" w14:textId="77777777" w:rsidR="00434A53" w:rsidRPr="007457B1" w:rsidRDefault="00434A53"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The Department is requested to submit a full and comprehensive list of legislation that is proposed which would include the current status of progress on these matters</w:t>
      </w:r>
      <w:r w:rsidR="00D22741" w:rsidRPr="007457B1">
        <w:rPr>
          <w:rFonts w:ascii="Times New Roman" w:hAnsi="Times New Roman" w:cs="Times New Roman"/>
          <w:sz w:val="24"/>
          <w:szCs w:val="24"/>
        </w:rPr>
        <w:t xml:space="preserve"> within 60 days from the adoption of the report by the House</w:t>
      </w:r>
      <w:r w:rsidRPr="007457B1">
        <w:rPr>
          <w:rFonts w:ascii="Times New Roman" w:hAnsi="Times New Roman" w:cs="Times New Roman"/>
          <w:sz w:val="24"/>
          <w:szCs w:val="24"/>
        </w:rPr>
        <w:t>.</w:t>
      </w:r>
    </w:p>
    <w:p w14:paraId="2051988B" w14:textId="77777777" w:rsidR="00FE4214" w:rsidRPr="007457B1" w:rsidRDefault="00FE4214" w:rsidP="00C07A5A">
      <w:pPr>
        <w:spacing w:line="360" w:lineRule="auto"/>
        <w:jc w:val="both"/>
        <w:rPr>
          <w:rFonts w:ascii="Times New Roman" w:hAnsi="Times New Roman" w:cs="Times New Roman"/>
          <w:sz w:val="24"/>
          <w:szCs w:val="24"/>
        </w:rPr>
      </w:pPr>
    </w:p>
    <w:p w14:paraId="7555C01E" w14:textId="77777777" w:rsidR="00080EC4" w:rsidRDefault="00080EC4">
      <w:pPr>
        <w:rPr>
          <w:rFonts w:ascii="Times New Roman" w:hAnsi="Times New Roman" w:cs="Times New Roman"/>
          <w:b/>
          <w:sz w:val="24"/>
          <w:szCs w:val="24"/>
        </w:rPr>
      </w:pPr>
      <w:r>
        <w:rPr>
          <w:rFonts w:ascii="Times New Roman" w:hAnsi="Times New Roman" w:cs="Times New Roman"/>
          <w:b/>
          <w:sz w:val="24"/>
          <w:szCs w:val="24"/>
        </w:rPr>
        <w:br w:type="page"/>
      </w:r>
    </w:p>
    <w:p w14:paraId="75B844DE" w14:textId="77777777" w:rsidR="00382C32" w:rsidRPr="007457B1" w:rsidRDefault="00934A23"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8.1</w:t>
      </w:r>
      <w:r w:rsidR="003F6685" w:rsidRPr="007457B1">
        <w:rPr>
          <w:rFonts w:ascii="Times New Roman" w:hAnsi="Times New Roman" w:cs="Times New Roman"/>
          <w:b/>
          <w:sz w:val="24"/>
          <w:szCs w:val="24"/>
        </w:rPr>
        <w:t>4</w:t>
      </w:r>
      <w:r w:rsidR="00382C32" w:rsidRPr="007457B1">
        <w:rPr>
          <w:rFonts w:ascii="Times New Roman" w:hAnsi="Times New Roman" w:cs="Times New Roman"/>
          <w:b/>
          <w:sz w:val="24"/>
          <w:szCs w:val="24"/>
        </w:rPr>
        <w:tab/>
        <w:t>Optimal use of revenue generating streams of entities</w:t>
      </w:r>
      <w:r w:rsidR="00382C32" w:rsidRPr="007457B1" w:rsidDel="00C50E5D">
        <w:rPr>
          <w:rFonts w:ascii="Times New Roman" w:hAnsi="Times New Roman" w:cs="Times New Roman"/>
          <w:b/>
          <w:sz w:val="24"/>
          <w:szCs w:val="24"/>
        </w:rPr>
        <w:t xml:space="preserve"> </w:t>
      </w:r>
    </w:p>
    <w:p w14:paraId="3936F029" w14:textId="77777777" w:rsidR="00382C32" w:rsidRPr="007457B1" w:rsidRDefault="00382C32"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That entities with ownership of property which could serve as a source of additional revenue through advertising or retail rentals, ensure that all spaces are used optimally in order to increase revenue generated by the entities towards self-reliance.</w:t>
      </w:r>
    </w:p>
    <w:p w14:paraId="0BA823F3" w14:textId="77777777" w:rsidR="004824B6" w:rsidRPr="007457B1" w:rsidRDefault="004824B6" w:rsidP="00C07A5A">
      <w:pPr>
        <w:spacing w:line="360" w:lineRule="auto"/>
        <w:jc w:val="both"/>
        <w:rPr>
          <w:rFonts w:ascii="Times New Roman" w:hAnsi="Times New Roman" w:cs="Times New Roman"/>
          <w:b/>
          <w:sz w:val="24"/>
          <w:szCs w:val="24"/>
        </w:rPr>
      </w:pPr>
    </w:p>
    <w:p w14:paraId="4C77C697" w14:textId="77777777" w:rsidR="004824B6" w:rsidRPr="007457B1" w:rsidRDefault="003F6685"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8.15</w:t>
      </w:r>
      <w:r w:rsidR="004824B6" w:rsidRPr="007457B1">
        <w:rPr>
          <w:rFonts w:ascii="Times New Roman" w:hAnsi="Times New Roman" w:cs="Times New Roman"/>
          <w:b/>
          <w:sz w:val="24"/>
          <w:szCs w:val="24"/>
        </w:rPr>
        <w:tab/>
        <w:t>Road Safety Programmes</w:t>
      </w:r>
    </w:p>
    <w:p w14:paraId="2A0A7A3B" w14:textId="77777777" w:rsidR="004824B6" w:rsidRPr="007457B1" w:rsidRDefault="00CC7C81"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That the Department ensure that there is synergy pertaining to the implementation of the road safety programmes by the various entities so that the program</w:t>
      </w:r>
      <w:r w:rsidR="00963E0F" w:rsidRPr="007457B1">
        <w:rPr>
          <w:rFonts w:ascii="Times New Roman" w:hAnsi="Times New Roman" w:cs="Times New Roman"/>
          <w:sz w:val="24"/>
          <w:szCs w:val="24"/>
        </w:rPr>
        <w:t>me</w:t>
      </w:r>
      <w:r w:rsidRPr="007457B1">
        <w:rPr>
          <w:rFonts w:ascii="Times New Roman" w:hAnsi="Times New Roman" w:cs="Times New Roman"/>
          <w:sz w:val="24"/>
          <w:szCs w:val="24"/>
        </w:rPr>
        <w:t>s can compl</w:t>
      </w:r>
      <w:r w:rsidR="00963E0F" w:rsidRPr="007457B1">
        <w:rPr>
          <w:rFonts w:ascii="Times New Roman" w:hAnsi="Times New Roman" w:cs="Times New Roman"/>
          <w:sz w:val="24"/>
          <w:szCs w:val="24"/>
        </w:rPr>
        <w:t>e</w:t>
      </w:r>
      <w:r w:rsidRPr="007457B1">
        <w:rPr>
          <w:rFonts w:ascii="Times New Roman" w:hAnsi="Times New Roman" w:cs="Times New Roman"/>
          <w:sz w:val="24"/>
          <w:szCs w:val="24"/>
        </w:rPr>
        <w:t>ment each other in achieving a reduction in the carnage on the roads</w:t>
      </w:r>
      <w:r w:rsidR="00963E0F" w:rsidRPr="007457B1">
        <w:rPr>
          <w:rFonts w:ascii="Times New Roman" w:hAnsi="Times New Roman" w:cs="Times New Roman"/>
          <w:sz w:val="24"/>
          <w:szCs w:val="24"/>
        </w:rPr>
        <w:t>,</w:t>
      </w:r>
      <w:r w:rsidRPr="007457B1">
        <w:rPr>
          <w:rFonts w:ascii="Times New Roman" w:hAnsi="Times New Roman" w:cs="Times New Roman"/>
          <w:sz w:val="24"/>
          <w:szCs w:val="24"/>
        </w:rPr>
        <w:t xml:space="preserve"> as well as ensuring that budgets for these programs are optimally allocated and not duplicated.</w:t>
      </w:r>
    </w:p>
    <w:p w14:paraId="6EFFE812" w14:textId="77777777" w:rsidR="00CC7C81" w:rsidRPr="007457B1" w:rsidRDefault="00CC7C81" w:rsidP="00C07A5A">
      <w:pPr>
        <w:spacing w:line="360" w:lineRule="auto"/>
        <w:jc w:val="both"/>
        <w:rPr>
          <w:rFonts w:ascii="Times New Roman" w:hAnsi="Times New Roman" w:cs="Times New Roman"/>
          <w:b/>
          <w:sz w:val="24"/>
          <w:szCs w:val="24"/>
        </w:rPr>
      </w:pPr>
    </w:p>
    <w:p w14:paraId="6A76F50B" w14:textId="77777777" w:rsidR="00484F3E" w:rsidRPr="007457B1" w:rsidRDefault="00484F3E"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8</w:t>
      </w:r>
      <w:r w:rsidR="00934A23" w:rsidRPr="007457B1">
        <w:rPr>
          <w:rFonts w:ascii="Times New Roman" w:hAnsi="Times New Roman" w:cs="Times New Roman"/>
          <w:b/>
          <w:sz w:val="24"/>
          <w:szCs w:val="24"/>
        </w:rPr>
        <w:t>.1</w:t>
      </w:r>
      <w:r w:rsidR="003F6685" w:rsidRPr="007457B1">
        <w:rPr>
          <w:rFonts w:ascii="Times New Roman" w:hAnsi="Times New Roman" w:cs="Times New Roman"/>
          <w:b/>
          <w:sz w:val="24"/>
          <w:szCs w:val="24"/>
        </w:rPr>
        <w:t>6</w:t>
      </w:r>
      <w:r w:rsidRPr="007457B1">
        <w:rPr>
          <w:rFonts w:ascii="Times New Roman" w:hAnsi="Times New Roman" w:cs="Times New Roman"/>
          <w:b/>
          <w:sz w:val="24"/>
          <w:szCs w:val="24"/>
        </w:rPr>
        <w:tab/>
        <w:t>Increased Promotion Required of Universal Access</w:t>
      </w:r>
    </w:p>
    <w:p w14:paraId="70A3A699" w14:textId="77777777" w:rsidR="00484F3E" w:rsidRPr="007457B1" w:rsidRDefault="00484F3E" w:rsidP="00C07A5A">
      <w:pPr>
        <w:spacing w:line="360" w:lineRule="auto"/>
        <w:jc w:val="both"/>
        <w:rPr>
          <w:rFonts w:ascii="Times New Roman" w:hAnsi="Times New Roman" w:cs="Times New Roman"/>
          <w:sz w:val="24"/>
          <w:szCs w:val="24"/>
        </w:rPr>
      </w:pPr>
      <w:r w:rsidRPr="007457B1">
        <w:rPr>
          <w:rFonts w:ascii="Times New Roman" w:hAnsi="Times New Roman" w:cs="Times New Roman"/>
          <w:sz w:val="24"/>
          <w:szCs w:val="24"/>
        </w:rPr>
        <w:t xml:space="preserve">That the Department </w:t>
      </w:r>
      <w:r w:rsidR="005F5709" w:rsidRPr="007457B1">
        <w:rPr>
          <w:rFonts w:ascii="Times New Roman" w:hAnsi="Times New Roman" w:cs="Times New Roman"/>
          <w:sz w:val="24"/>
          <w:szCs w:val="24"/>
        </w:rPr>
        <w:t>and its entities increase the implementation of</w:t>
      </w:r>
      <w:r w:rsidRPr="007457B1">
        <w:rPr>
          <w:rFonts w:ascii="Times New Roman" w:hAnsi="Times New Roman" w:cs="Times New Roman"/>
          <w:sz w:val="24"/>
          <w:szCs w:val="24"/>
        </w:rPr>
        <w:t xml:space="preserve"> projects and/or programmes aimed at increasing Universal Access t</w:t>
      </w:r>
      <w:r w:rsidR="005F5709" w:rsidRPr="007457B1">
        <w:rPr>
          <w:rFonts w:ascii="Times New Roman" w:hAnsi="Times New Roman" w:cs="Times New Roman"/>
          <w:sz w:val="24"/>
          <w:szCs w:val="24"/>
        </w:rPr>
        <w:t>o all modes of public transport and for all transport and road infrastructure.</w:t>
      </w:r>
    </w:p>
    <w:p w14:paraId="513B223C" w14:textId="77777777" w:rsidR="004B6263" w:rsidRPr="007457B1" w:rsidRDefault="004B6263" w:rsidP="00C07A5A">
      <w:pPr>
        <w:spacing w:line="360" w:lineRule="auto"/>
        <w:jc w:val="both"/>
        <w:rPr>
          <w:rFonts w:ascii="Times New Roman" w:hAnsi="Times New Roman" w:cs="Times New Roman"/>
          <w:b/>
          <w:sz w:val="24"/>
          <w:szCs w:val="24"/>
        </w:rPr>
      </w:pPr>
    </w:p>
    <w:p w14:paraId="649D2BF0" w14:textId="77777777" w:rsidR="00BE7E47" w:rsidRPr="007457B1" w:rsidRDefault="00BE7E47" w:rsidP="00C07A5A">
      <w:pPr>
        <w:spacing w:line="360" w:lineRule="auto"/>
        <w:jc w:val="both"/>
        <w:rPr>
          <w:rFonts w:ascii="Times New Roman" w:hAnsi="Times New Roman" w:cs="Times New Roman"/>
          <w:b/>
          <w:sz w:val="24"/>
          <w:szCs w:val="24"/>
        </w:rPr>
      </w:pPr>
      <w:r w:rsidRPr="007457B1">
        <w:rPr>
          <w:rFonts w:ascii="Times New Roman" w:hAnsi="Times New Roman" w:cs="Times New Roman"/>
          <w:b/>
          <w:sz w:val="24"/>
          <w:szCs w:val="24"/>
        </w:rPr>
        <w:t>Report to be considered.</w:t>
      </w:r>
    </w:p>
    <w:p w14:paraId="7CAB95B6" w14:textId="77777777" w:rsidR="004B6263" w:rsidRPr="007457B1" w:rsidRDefault="004B6263" w:rsidP="00C07A5A">
      <w:pPr>
        <w:spacing w:line="360" w:lineRule="auto"/>
        <w:jc w:val="both"/>
        <w:rPr>
          <w:rFonts w:ascii="Times New Roman" w:hAnsi="Times New Roman" w:cs="Times New Roman"/>
          <w:b/>
          <w:sz w:val="24"/>
          <w:szCs w:val="24"/>
        </w:rPr>
      </w:pPr>
    </w:p>
    <w:p w14:paraId="5D9B6D2A" w14:textId="77777777" w:rsidR="00C762FA" w:rsidRDefault="00C762FA" w:rsidP="009110F1">
      <w:pPr>
        <w:spacing w:after="60" w:line="360" w:lineRule="auto"/>
        <w:ind w:left="-284" w:firstLine="142"/>
        <w:jc w:val="both"/>
        <w:rPr>
          <w:rFonts w:ascii="Times New Roman" w:eastAsia="Times New Roman" w:hAnsi="Times New Roman" w:cs="Times New Roman"/>
          <w:b/>
          <w:sz w:val="24"/>
          <w:szCs w:val="24"/>
          <w:lang w:val="en-GB" w:eastAsia="en-ZA"/>
        </w:rPr>
      </w:pPr>
    </w:p>
    <w:p w14:paraId="2EB7BC73" w14:textId="77777777" w:rsidR="00C762FA" w:rsidRDefault="00C762FA" w:rsidP="009110F1">
      <w:pPr>
        <w:spacing w:after="60" w:line="360" w:lineRule="auto"/>
        <w:ind w:left="-284" w:firstLine="142"/>
        <w:jc w:val="both"/>
        <w:rPr>
          <w:rFonts w:ascii="Times New Roman" w:eastAsia="Times New Roman" w:hAnsi="Times New Roman" w:cs="Times New Roman"/>
          <w:b/>
          <w:sz w:val="24"/>
          <w:szCs w:val="24"/>
          <w:lang w:val="en-GB" w:eastAsia="en-ZA"/>
        </w:rPr>
      </w:pPr>
    </w:p>
    <w:p w14:paraId="59C55999" w14:textId="77777777" w:rsidR="00C762FA" w:rsidRDefault="00C762FA" w:rsidP="009110F1">
      <w:pPr>
        <w:spacing w:after="60" w:line="360" w:lineRule="auto"/>
        <w:ind w:left="-284" w:firstLine="142"/>
        <w:jc w:val="both"/>
        <w:rPr>
          <w:rFonts w:ascii="Times New Roman" w:eastAsia="Times New Roman" w:hAnsi="Times New Roman" w:cs="Times New Roman"/>
          <w:b/>
          <w:sz w:val="24"/>
          <w:szCs w:val="24"/>
          <w:lang w:val="en-GB" w:eastAsia="en-ZA"/>
        </w:rPr>
      </w:pPr>
    </w:p>
    <w:p w14:paraId="030B29EA" w14:textId="77777777" w:rsidR="00C762FA" w:rsidRDefault="00C762FA" w:rsidP="009110F1">
      <w:pPr>
        <w:spacing w:after="60" w:line="360" w:lineRule="auto"/>
        <w:ind w:left="-284" w:firstLine="142"/>
        <w:jc w:val="both"/>
        <w:rPr>
          <w:rFonts w:ascii="Times New Roman" w:eastAsia="Times New Roman" w:hAnsi="Times New Roman" w:cs="Times New Roman"/>
          <w:b/>
          <w:sz w:val="24"/>
          <w:szCs w:val="24"/>
          <w:lang w:val="en-GB" w:eastAsia="en-ZA"/>
        </w:rPr>
      </w:pPr>
    </w:p>
    <w:p w14:paraId="5E5395A0" w14:textId="77777777" w:rsidR="00C762FA" w:rsidRDefault="00C762FA" w:rsidP="009110F1">
      <w:pPr>
        <w:spacing w:after="60" w:line="360" w:lineRule="auto"/>
        <w:ind w:left="-284" w:firstLine="142"/>
        <w:jc w:val="both"/>
        <w:rPr>
          <w:rFonts w:ascii="Times New Roman" w:eastAsia="Times New Roman" w:hAnsi="Times New Roman" w:cs="Times New Roman"/>
          <w:b/>
          <w:sz w:val="24"/>
          <w:szCs w:val="24"/>
          <w:lang w:val="en-GB" w:eastAsia="en-ZA"/>
        </w:rPr>
      </w:pPr>
    </w:p>
    <w:p w14:paraId="47A00DFE" w14:textId="77777777" w:rsidR="00C762FA" w:rsidRDefault="00C762FA" w:rsidP="009110F1">
      <w:pPr>
        <w:spacing w:after="60" w:line="360" w:lineRule="auto"/>
        <w:ind w:left="-284" w:firstLine="142"/>
        <w:jc w:val="both"/>
        <w:rPr>
          <w:rFonts w:ascii="Times New Roman" w:eastAsia="Times New Roman" w:hAnsi="Times New Roman" w:cs="Times New Roman"/>
          <w:b/>
          <w:sz w:val="24"/>
          <w:szCs w:val="24"/>
          <w:lang w:val="en-GB" w:eastAsia="en-ZA"/>
        </w:rPr>
      </w:pPr>
    </w:p>
    <w:p w14:paraId="6245A535" w14:textId="77777777" w:rsidR="00C762FA" w:rsidRDefault="00C762FA" w:rsidP="009110F1">
      <w:pPr>
        <w:spacing w:after="60" w:line="360" w:lineRule="auto"/>
        <w:ind w:left="-284" w:firstLine="142"/>
        <w:jc w:val="both"/>
        <w:rPr>
          <w:rFonts w:ascii="Times New Roman" w:eastAsia="Times New Roman" w:hAnsi="Times New Roman" w:cs="Times New Roman"/>
          <w:b/>
          <w:sz w:val="24"/>
          <w:szCs w:val="24"/>
          <w:lang w:val="en-GB" w:eastAsia="en-ZA"/>
        </w:rPr>
      </w:pPr>
    </w:p>
    <w:p w14:paraId="24DFDD96" w14:textId="77777777" w:rsidR="00C762FA" w:rsidRDefault="00C762FA" w:rsidP="009110F1">
      <w:pPr>
        <w:spacing w:after="60" w:line="360" w:lineRule="auto"/>
        <w:ind w:left="-284" w:firstLine="142"/>
        <w:jc w:val="both"/>
        <w:rPr>
          <w:rFonts w:ascii="Times New Roman" w:eastAsia="Times New Roman" w:hAnsi="Times New Roman" w:cs="Times New Roman"/>
          <w:b/>
          <w:sz w:val="24"/>
          <w:szCs w:val="24"/>
          <w:lang w:val="en-GB" w:eastAsia="en-ZA"/>
        </w:rPr>
      </w:pPr>
    </w:p>
    <w:p w14:paraId="3B449C95" w14:textId="77777777" w:rsidR="00C762FA" w:rsidRDefault="00C762FA" w:rsidP="009110F1">
      <w:pPr>
        <w:spacing w:after="60" w:line="360" w:lineRule="auto"/>
        <w:ind w:left="-284" w:firstLine="142"/>
        <w:jc w:val="both"/>
        <w:rPr>
          <w:rFonts w:ascii="Times New Roman" w:eastAsia="Times New Roman" w:hAnsi="Times New Roman" w:cs="Times New Roman"/>
          <w:b/>
          <w:sz w:val="24"/>
          <w:szCs w:val="24"/>
          <w:lang w:val="en-GB" w:eastAsia="en-ZA"/>
        </w:rPr>
      </w:pPr>
    </w:p>
    <w:p w14:paraId="5237D8D8" w14:textId="77777777" w:rsidR="00C762FA" w:rsidRDefault="00C762FA" w:rsidP="009110F1">
      <w:pPr>
        <w:spacing w:after="60" w:line="360" w:lineRule="auto"/>
        <w:ind w:left="-284" w:firstLine="142"/>
        <w:jc w:val="both"/>
        <w:rPr>
          <w:rFonts w:ascii="Times New Roman" w:eastAsia="Times New Roman" w:hAnsi="Times New Roman" w:cs="Times New Roman"/>
          <w:b/>
          <w:sz w:val="24"/>
          <w:szCs w:val="24"/>
          <w:lang w:val="en-GB" w:eastAsia="en-ZA"/>
        </w:rPr>
      </w:pPr>
    </w:p>
    <w:p w14:paraId="4386B2B5" w14:textId="77777777" w:rsidR="009110F1" w:rsidRPr="009110F1" w:rsidRDefault="009110F1" w:rsidP="009110F1">
      <w:pPr>
        <w:spacing w:after="60" w:line="360" w:lineRule="auto"/>
        <w:ind w:left="-284" w:firstLine="142"/>
        <w:jc w:val="both"/>
        <w:rPr>
          <w:rFonts w:ascii="Times New Roman" w:eastAsia="Times New Roman" w:hAnsi="Times New Roman" w:cs="Times New Roman"/>
          <w:b/>
          <w:sz w:val="24"/>
          <w:szCs w:val="24"/>
          <w:lang w:val="en-GB" w:eastAsia="en-ZA"/>
        </w:rPr>
      </w:pPr>
      <w:r w:rsidRPr="009110F1">
        <w:rPr>
          <w:rFonts w:ascii="Times New Roman" w:eastAsia="Times New Roman" w:hAnsi="Times New Roman" w:cs="Times New Roman"/>
          <w:b/>
          <w:sz w:val="24"/>
          <w:szCs w:val="24"/>
          <w:lang w:val="en-GB" w:eastAsia="en-ZA"/>
        </w:rPr>
        <w:t>ANNEXURE A: LIST OF ABBREVIATIONS/ACRONYMS</w:t>
      </w:r>
    </w:p>
    <w:tbl>
      <w:tblPr>
        <w:tblStyle w:val="TableGrid2"/>
        <w:tblpPr w:leftFromText="180" w:rightFromText="180" w:vertAnchor="text" w:tblpY="1"/>
        <w:tblOverlap w:val="never"/>
        <w:tblW w:w="0" w:type="auto"/>
        <w:tblLook w:val="04A0" w:firstRow="1" w:lastRow="0" w:firstColumn="1" w:lastColumn="0" w:noHBand="0" w:noVBand="1"/>
      </w:tblPr>
      <w:tblGrid>
        <w:gridCol w:w="2603"/>
        <w:gridCol w:w="6413"/>
      </w:tblGrid>
      <w:tr w:rsidR="009110F1" w:rsidRPr="009110F1" w14:paraId="50336BA2" w14:textId="77777777" w:rsidTr="00AB710E">
        <w:tc>
          <w:tcPr>
            <w:tcW w:w="2603" w:type="dxa"/>
          </w:tcPr>
          <w:p w14:paraId="2182943C" w14:textId="77777777" w:rsidR="009110F1" w:rsidRPr="009110F1" w:rsidRDefault="009110F1" w:rsidP="009110F1">
            <w:pPr>
              <w:spacing w:after="60" w:line="360" w:lineRule="auto"/>
              <w:jc w:val="both"/>
              <w:rPr>
                <w:rFonts w:ascii="Times New Roman" w:hAnsi="Times New Roman" w:cs="Times New Roman"/>
                <w:b/>
                <w:sz w:val="24"/>
                <w:lang w:val="en-GB"/>
              </w:rPr>
            </w:pPr>
            <w:r w:rsidRPr="009110F1">
              <w:rPr>
                <w:rFonts w:ascii="Times New Roman" w:hAnsi="Times New Roman" w:cs="Times New Roman"/>
                <w:b/>
                <w:sz w:val="24"/>
                <w:lang w:val="en-GB"/>
              </w:rPr>
              <w:t>Abbreviation/Acronym</w:t>
            </w:r>
          </w:p>
        </w:tc>
        <w:tc>
          <w:tcPr>
            <w:tcW w:w="6413" w:type="dxa"/>
          </w:tcPr>
          <w:p w14:paraId="297D8A67" w14:textId="77777777" w:rsidR="009110F1" w:rsidRPr="009110F1" w:rsidRDefault="009110F1" w:rsidP="009110F1">
            <w:pPr>
              <w:spacing w:after="60" w:line="360" w:lineRule="auto"/>
              <w:jc w:val="both"/>
              <w:rPr>
                <w:rFonts w:ascii="Times New Roman" w:hAnsi="Times New Roman" w:cs="Times New Roman"/>
                <w:b/>
                <w:sz w:val="24"/>
                <w:lang w:val="en-GB"/>
              </w:rPr>
            </w:pPr>
            <w:r w:rsidRPr="009110F1">
              <w:rPr>
                <w:rFonts w:ascii="Times New Roman" w:hAnsi="Times New Roman" w:cs="Times New Roman"/>
                <w:b/>
                <w:sz w:val="24"/>
                <w:lang w:val="en-GB"/>
              </w:rPr>
              <w:t>Meaning</w:t>
            </w:r>
          </w:p>
        </w:tc>
      </w:tr>
      <w:tr w:rsidR="009110F1" w:rsidRPr="009110F1" w14:paraId="22DD74E8" w14:textId="77777777" w:rsidTr="00AB710E">
        <w:tc>
          <w:tcPr>
            <w:tcW w:w="2603" w:type="dxa"/>
          </w:tcPr>
          <w:p w14:paraId="5FB4F400"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ACSA</w:t>
            </w:r>
          </w:p>
        </w:tc>
        <w:tc>
          <w:tcPr>
            <w:tcW w:w="6413" w:type="dxa"/>
          </w:tcPr>
          <w:p w14:paraId="3C018F26"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 xml:space="preserve">Airports Company South Africa </w:t>
            </w:r>
          </w:p>
        </w:tc>
      </w:tr>
      <w:tr w:rsidR="009110F1" w:rsidRPr="009110F1" w14:paraId="00AFE278" w14:textId="77777777" w:rsidTr="00AB710E">
        <w:tc>
          <w:tcPr>
            <w:tcW w:w="2603" w:type="dxa"/>
          </w:tcPr>
          <w:p w14:paraId="24DAA26D"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AGSA</w:t>
            </w:r>
          </w:p>
        </w:tc>
        <w:tc>
          <w:tcPr>
            <w:tcW w:w="6413" w:type="dxa"/>
          </w:tcPr>
          <w:p w14:paraId="729607A3"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Auditor-General of South Africa</w:t>
            </w:r>
          </w:p>
        </w:tc>
      </w:tr>
      <w:tr w:rsidR="009110F1" w:rsidRPr="009110F1" w14:paraId="2E16C19A" w14:textId="77777777" w:rsidTr="00AB710E">
        <w:tc>
          <w:tcPr>
            <w:tcW w:w="2603" w:type="dxa"/>
          </w:tcPr>
          <w:p w14:paraId="768FB895" w14:textId="77777777" w:rsidR="009110F1" w:rsidRPr="009110F1" w:rsidRDefault="009110F1" w:rsidP="009110F1">
            <w:pPr>
              <w:spacing w:after="60" w:line="360" w:lineRule="auto"/>
              <w:jc w:val="both"/>
              <w:rPr>
                <w:rFonts w:ascii="Times New Roman" w:hAnsi="Times New Roman" w:cs="Times New Roman"/>
                <w:b/>
                <w:sz w:val="24"/>
                <w:lang w:val="en-GB"/>
              </w:rPr>
            </w:pPr>
            <w:r w:rsidRPr="009110F1">
              <w:rPr>
                <w:rFonts w:ascii="Times New Roman" w:hAnsi="Times New Roman" w:cs="Times New Roman"/>
                <w:sz w:val="24"/>
                <w:lang w:val="en-GB"/>
              </w:rPr>
              <w:t>APP</w:t>
            </w:r>
          </w:p>
        </w:tc>
        <w:tc>
          <w:tcPr>
            <w:tcW w:w="6413" w:type="dxa"/>
          </w:tcPr>
          <w:p w14:paraId="02A925AB" w14:textId="77777777" w:rsidR="009110F1" w:rsidRPr="009110F1" w:rsidRDefault="009110F1" w:rsidP="009110F1">
            <w:pPr>
              <w:spacing w:after="60" w:line="360" w:lineRule="auto"/>
              <w:jc w:val="both"/>
              <w:rPr>
                <w:rFonts w:ascii="Times New Roman" w:hAnsi="Times New Roman" w:cs="Times New Roman"/>
                <w:b/>
                <w:sz w:val="24"/>
                <w:lang w:val="en-GB"/>
              </w:rPr>
            </w:pPr>
            <w:r w:rsidRPr="009110F1">
              <w:rPr>
                <w:rFonts w:ascii="Times New Roman" w:hAnsi="Times New Roman" w:cs="Times New Roman"/>
                <w:sz w:val="24"/>
                <w:lang w:val="en-GB"/>
              </w:rPr>
              <w:t>Annual Performance Plan</w:t>
            </w:r>
          </w:p>
        </w:tc>
      </w:tr>
      <w:tr w:rsidR="009110F1" w:rsidRPr="009110F1" w14:paraId="3BD78AC6" w14:textId="77777777" w:rsidTr="00AB710E">
        <w:tc>
          <w:tcPr>
            <w:tcW w:w="2603" w:type="dxa"/>
          </w:tcPr>
          <w:p w14:paraId="3A0DF86E"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ATNS</w:t>
            </w:r>
          </w:p>
        </w:tc>
        <w:tc>
          <w:tcPr>
            <w:tcW w:w="6413" w:type="dxa"/>
          </w:tcPr>
          <w:p w14:paraId="45006961"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Air Traffic Navigation Services</w:t>
            </w:r>
          </w:p>
        </w:tc>
      </w:tr>
      <w:tr w:rsidR="009110F1" w:rsidRPr="009110F1" w14:paraId="72E9CB4A" w14:textId="77777777" w:rsidTr="00AB710E">
        <w:tc>
          <w:tcPr>
            <w:tcW w:w="2603" w:type="dxa"/>
          </w:tcPr>
          <w:p w14:paraId="56F3B448"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AU</w:t>
            </w:r>
          </w:p>
        </w:tc>
        <w:tc>
          <w:tcPr>
            <w:tcW w:w="6413" w:type="dxa"/>
          </w:tcPr>
          <w:p w14:paraId="5E580CA4"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 xml:space="preserve">African Union </w:t>
            </w:r>
          </w:p>
        </w:tc>
      </w:tr>
      <w:tr w:rsidR="009110F1" w:rsidRPr="009110F1" w14:paraId="13C177A2" w14:textId="77777777" w:rsidTr="00AB710E">
        <w:tc>
          <w:tcPr>
            <w:tcW w:w="2603" w:type="dxa"/>
          </w:tcPr>
          <w:p w14:paraId="0E28BC50"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BRT</w:t>
            </w:r>
          </w:p>
        </w:tc>
        <w:tc>
          <w:tcPr>
            <w:tcW w:w="6413" w:type="dxa"/>
          </w:tcPr>
          <w:p w14:paraId="4BCD083A"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Bus Rapid Transport</w:t>
            </w:r>
          </w:p>
        </w:tc>
      </w:tr>
      <w:tr w:rsidR="009110F1" w:rsidRPr="009110F1" w14:paraId="4C8D3EED" w14:textId="77777777" w:rsidTr="00AB710E">
        <w:tc>
          <w:tcPr>
            <w:tcW w:w="2603" w:type="dxa"/>
          </w:tcPr>
          <w:p w14:paraId="00173E2C"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C-BRTA</w:t>
            </w:r>
          </w:p>
        </w:tc>
        <w:tc>
          <w:tcPr>
            <w:tcW w:w="6413" w:type="dxa"/>
          </w:tcPr>
          <w:p w14:paraId="16B8D9EE"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Cross-Border Road Transport Agency</w:t>
            </w:r>
          </w:p>
        </w:tc>
      </w:tr>
      <w:tr w:rsidR="009110F1" w:rsidRPr="009110F1" w14:paraId="71DD0555" w14:textId="77777777" w:rsidTr="00AB710E">
        <w:tc>
          <w:tcPr>
            <w:tcW w:w="2603" w:type="dxa"/>
          </w:tcPr>
          <w:p w14:paraId="61B3EBD2"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GFIP</w:t>
            </w:r>
          </w:p>
        </w:tc>
        <w:tc>
          <w:tcPr>
            <w:tcW w:w="6413" w:type="dxa"/>
          </w:tcPr>
          <w:p w14:paraId="4E6ACA3A"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Gauteng Freeway Improvement Project</w:t>
            </w:r>
          </w:p>
        </w:tc>
      </w:tr>
      <w:tr w:rsidR="009110F1" w:rsidRPr="009110F1" w14:paraId="0BCD0642" w14:textId="77777777" w:rsidTr="00AB710E">
        <w:tc>
          <w:tcPr>
            <w:tcW w:w="2603" w:type="dxa"/>
          </w:tcPr>
          <w:p w14:paraId="47228E28"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ICT</w:t>
            </w:r>
          </w:p>
        </w:tc>
        <w:tc>
          <w:tcPr>
            <w:tcW w:w="6413" w:type="dxa"/>
          </w:tcPr>
          <w:p w14:paraId="13B46D2D"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Information and Communications Technology</w:t>
            </w:r>
          </w:p>
        </w:tc>
      </w:tr>
      <w:tr w:rsidR="009110F1" w:rsidRPr="009110F1" w14:paraId="485D2D5A" w14:textId="77777777" w:rsidTr="00AB710E">
        <w:tc>
          <w:tcPr>
            <w:tcW w:w="2603" w:type="dxa"/>
          </w:tcPr>
          <w:p w14:paraId="5375BA36"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IPTNs</w:t>
            </w:r>
          </w:p>
        </w:tc>
        <w:tc>
          <w:tcPr>
            <w:tcW w:w="6413" w:type="dxa"/>
          </w:tcPr>
          <w:p w14:paraId="66759836"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 xml:space="preserve">Integrated Public Transport Networks </w:t>
            </w:r>
          </w:p>
        </w:tc>
      </w:tr>
      <w:tr w:rsidR="009110F1" w:rsidRPr="009110F1" w14:paraId="5B51BD6E" w14:textId="77777777" w:rsidTr="00AB710E">
        <w:tc>
          <w:tcPr>
            <w:tcW w:w="2603" w:type="dxa"/>
          </w:tcPr>
          <w:p w14:paraId="39A1B874"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IT</w:t>
            </w:r>
          </w:p>
        </w:tc>
        <w:tc>
          <w:tcPr>
            <w:tcW w:w="6413" w:type="dxa"/>
          </w:tcPr>
          <w:p w14:paraId="0C2DFD0E"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Information Technology</w:t>
            </w:r>
          </w:p>
        </w:tc>
      </w:tr>
      <w:tr w:rsidR="009110F1" w:rsidRPr="009110F1" w14:paraId="349B2CB4" w14:textId="77777777" w:rsidTr="00AB710E">
        <w:tc>
          <w:tcPr>
            <w:tcW w:w="2603" w:type="dxa"/>
          </w:tcPr>
          <w:p w14:paraId="69DCF967"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MTEF</w:t>
            </w:r>
          </w:p>
        </w:tc>
        <w:tc>
          <w:tcPr>
            <w:tcW w:w="6413" w:type="dxa"/>
          </w:tcPr>
          <w:p w14:paraId="5D58D974"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Medium-Term Expenditure Framework</w:t>
            </w:r>
          </w:p>
        </w:tc>
      </w:tr>
      <w:tr w:rsidR="009110F1" w:rsidRPr="009110F1" w14:paraId="09A59388" w14:textId="77777777" w:rsidTr="00AB710E">
        <w:tc>
          <w:tcPr>
            <w:tcW w:w="2603" w:type="dxa"/>
          </w:tcPr>
          <w:p w14:paraId="400ECF01"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MTSF</w:t>
            </w:r>
          </w:p>
        </w:tc>
        <w:tc>
          <w:tcPr>
            <w:tcW w:w="6413" w:type="dxa"/>
          </w:tcPr>
          <w:p w14:paraId="13283C7F"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Medium-Term Strategic Framework (2014-19)</w:t>
            </w:r>
          </w:p>
        </w:tc>
      </w:tr>
      <w:tr w:rsidR="009110F1" w:rsidRPr="009110F1" w14:paraId="072859E9" w14:textId="77777777" w:rsidTr="00AB710E">
        <w:tc>
          <w:tcPr>
            <w:tcW w:w="2603" w:type="dxa"/>
          </w:tcPr>
          <w:p w14:paraId="30196F25"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NDP</w:t>
            </w:r>
          </w:p>
        </w:tc>
        <w:tc>
          <w:tcPr>
            <w:tcW w:w="6413" w:type="dxa"/>
          </w:tcPr>
          <w:p w14:paraId="5AC9B4C2"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National Development Plan</w:t>
            </w:r>
          </w:p>
        </w:tc>
      </w:tr>
      <w:tr w:rsidR="009110F1" w:rsidRPr="009110F1" w14:paraId="1DA12F24" w14:textId="77777777" w:rsidTr="00AB710E">
        <w:tc>
          <w:tcPr>
            <w:tcW w:w="2603" w:type="dxa"/>
          </w:tcPr>
          <w:p w14:paraId="320DF48C"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NLTA</w:t>
            </w:r>
          </w:p>
        </w:tc>
        <w:tc>
          <w:tcPr>
            <w:tcW w:w="6413" w:type="dxa"/>
          </w:tcPr>
          <w:p w14:paraId="5C6B5B7A"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National Land Transport Act</w:t>
            </w:r>
          </w:p>
        </w:tc>
      </w:tr>
      <w:tr w:rsidR="009110F1" w:rsidRPr="009110F1" w14:paraId="7079C3EC" w14:textId="77777777" w:rsidTr="00AB710E">
        <w:tc>
          <w:tcPr>
            <w:tcW w:w="2603" w:type="dxa"/>
          </w:tcPr>
          <w:p w14:paraId="4B9A270F"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PABX</w:t>
            </w:r>
          </w:p>
        </w:tc>
        <w:tc>
          <w:tcPr>
            <w:tcW w:w="6413" w:type="dxa"/>
          </w:tcPr>
          <w:p w14:paraId="73D94004"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Private Automated Business Exchange</w:t>
            </w:r>
          </w:p>
        </w:tc>
      </w:tr>
      <w:tr w:rsidR="009110F1" w:rsidRPr="009110F1" w14:paraId="31E82AD7" w14:textId="77777777" w:rsidTr="00AB710E">
        <w:tc>
          <w:tcPr>
            <w:tcW w:w="2603" w:type="dxa"/>
          </w:tcPr>
          <w:p w14:paraId="0A5E3949"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PICC</w:t>
            </w:r>
          </w:p>
        </w:tc>
        <w:tc>
          <w:tcPr>
            <w:tcW w:w="6413" w:type="dxa"/>
          </w:tcPr>
          <w:p w14:paraId="5BC8656F"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Presidential Infrastructure Coordinating Commission</w:t>
            </w:r>
          </w:p>
        </w:tc>
      </w:tr>
      <w:tr w:rsidR="009110F1" w:rsidRPr="009110F1" w14:paraId="7E5F3722" w14:textId="77777777" w:rsidTr="00AB710E">
        <w:tc>
          <w:tcPr>
            <w:tcW w:w="2603" w:type="dxa"/>
          </w:tcPr>
          <w:p w14:paraId="32C059F1"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PPP</w:t>
            </w:r>
          </w:p>
        </w:tc>
        <w:tc>
          <w:tcPr>
            <w:tcW w:w="6413" w:type="dxa"/>
          </w:tcPr>
          <w:p w14:paraId="1847323E"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Public-Private Partnership</w:t>
            </w:r>
          </w:p>
        </w:tc>
      </w:tr>
      <w:tr w:rsidR="009110F1" w:rsidRPr="009110F1" w14:paraId="37804C8F" w14:textId="77777777" w:rsidTr="00AB710E">
        <w:tc>
          <w:tcPr>
            <w:tcW w:w="2603" w:type="dxa"/>
          </w:tcPr>
          <w:p w14:paraId="25D2FF8D"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PRASA</w:t>
            </w:r>
          </w:p>
        </w:tc>
        <w:tc>
          <w:tcPr>
            <w:tcW w:w="6413" w:type="dxa"/>
          </w:tcPr>
          <w:p w14:paraId="2AA282CA"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 xml:space="preserve">Passenger Rail Agency of South Africa </w:t>
            </w:r>
          </w:p>
        </w:tc>
      </w:tr>
      <w:tr w:rsidR="009110F1" w:rsidRPr="009110F1" w14:paraId="39FD8F72" w14:textId="77777777" w:rsidTr="00AB710E">
        <w:tc>
          <w:tcPr>
            <w:tcW w:w="2603" w:type="dxa"/>
          </w:tcPr>
          <w:p w14:paraId="5005E73C"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PRSA</w:t>
            </w:r>
          </w:p>
        </w:tc>
        <w:tc>
          <w:tcPr>
            <w:tcW w:w="6413" w:type="dxa"/>
          </w:tcPr>
          <w:p w14:paraId="0D84C81C"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Ports Regulator of South Africa</w:t>
            </w:r>
          </w:p>
        </w:tc>
      </w:tr>
      <w:tr w:rsidR="009110F1" w:rsidRPr="009110F1" w14:paraId="65C434B5" w14:textId="77777777" w:rsidTr="00AB710E">
        <w:tc>
          <w:tcPr>
            <w:tcW w:w="2603" w:type="dxa"/>
          </w:tcPr>
          <w:p w14:paraId="4F74E7DF"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PRMG</w:t>
            </w:r>
          </w:p>
        </w:tc>
        <w:tc>
          <w:tcPr>
            <w:tcW w:w="6413" w:type="dxa"/>
          </w:tcPr>
          <w:p w14:paraId="52F03F96"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Provincial Roads Maintenance Grant</w:t>
            </w:r>
          </w:p>
        </w:tc>
      </w:tr>
      <w:tr w:rsidR="009110F1" w:rsidRPr="009110F1" w14:paraId="41DCC12A" w14:textId="77777777" w:rsidTr="00AB710E">
        <w:tc>
          <w:tcPr>
            <w:tcW w:w="2603" w:type="dxa"/>
          </w:tcPr>
          <w:p w14:paraId="3326EE14"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PTNG</w:t>
            </w:r>
          </w:p>
        </w:tc>
        <w:tc>
          <w:tcPr>
            <w:tcW w:w="6413" w:type="dxa"/>
          </w:tcPr>
          <w:p w14:paraId="77884570"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Public Transport Network Grant</w:t>
            </w:r>
          </w:p>
        </w:tc>
      </w:tr>
      <w:tr w:rsidR="009110F1" w:rsidRPr="009110F1" w14:paraId="1E8AA409" w14:textId="77777777" w:rsidTr="00AB710E">
        <w:tc>
          <w:tcPr>
            <w:tcW w:w="2603" w:type="dxa"/>
          </w:tcPr>
          <w:p w14:paraId="4CEB3C41"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PTOG</w:t>
            </w:r>
          </w:p>
        </w:tc>
        <w:tc>
          <w:tcPr>
            <w:tcW w:w="6413" w:type="dxa"/>
          </w:tcPr>
          <w:p w14:paraId="777354D7"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Public Transport Operations Grant</w:t>
            </w:r>
          </w:p>
        </w:tc>
      </w:tr>
      <w:tr w:rsidR="009110F1" w:rsidRPr="009110F1" w14:paraId="7CCE8956" w14:textId="77777777" w:rsidTr="00AB710E">
        <w:tc>
          <w:tcPr>
            <w:tcW w:w="2603" w:type="dxa"/>
          </w:tcPr>
          <w:p w14:paraId="47C39E59"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RABS</w:t>
            </w:r>
          </w:p>
        </w:tc>
        <w:tc>
          <w:tcPr>
            <w:tcW w:w="6413" w:type="dxa"/>
          </w:tcPr>
          <w:p w14:paraId="369E9533"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Road Accident Benefit Scheme</w:t>
            </w:r>
          </w:p>
        </w:tc>
      </w:tr>
      <w:tr w:rsidR="009110F1" w:rsidRPr="009110F1" w14:paraId="2B8DACD3" w14:textId="77777777" w:rsidTr="00AB710E">
        <w:tc>
          <w:tcPr>
            <w:tcW w:w="2603" w:type="dxa"/>
          </w:tcPr>
          <w:p w14:paraId="1A7790D8"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RAF</w:t>
            </w:r>
          </w:p>
        </w:tc>
        <w:tc>
          <w:tcPr>
            <w:tcW w:w="6413" w:type="dxa"/>
          </w:tcPr>
          <w:p w14:paraId="77FC77D2"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 xml:space="preserve">Road Accident Fund </w:t>
            </w:r>
          </w:p>
        </w:tc>
      </w:tr>
      <w:tr w:rsidR="009110F1" w:rsidRPr="009110F1" w14:paraId="740B1EF1" w14:textId="77777777" w:rsidTr="00AB710E">
        <w:tc>
          <w:tcPr>
            <w:tcW w:w="2603" w:type="dxa"/>
          </w:tcPr>
          <w:p w14:paraId="752BE61A"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SADC-RIDMP</w:t>
            </w:r>
          </w:p>
        </w:tc>
        <w:tc>
          <w:tcPr>
            <w:tcW w:w="6413" w:type="dxa"/>
          </w:tcPr>
          <w:p w14:paraId="30277047"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Southern African Development Community Regional Infrastructure Development Master Plan</w:t>
            </w:r>
          </w:p>
        </w:tc>
      </w:tr>
      <w:tr w:rsidR="009110F1" w:rsidRPr="009110F1" w14:paraId="042A07C4" w14:textId="77777777" w:rsidTr="00AB710E">
        <w:tc>
          <w:tcPr>
            <w:tcW w:w="2603" w:type="dxa"/>
          </w:tcPr>
          <w:p w14:paraId="69AF0ADE"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RRAMS</w:t>
            </w:r>
          </w:p>
        </w:tc>
        <w:tc>
          <w:tcPr>
            <w:tcW w:w="6413" w:type="dxa"/>
          </w:tcPr>
          <w:p w14:paraId="7B40E8A5"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Rural Roads Asset Management Systems</w:t>
            </w:r>
          </w:p>
        </w:tc>
      </w:tr>
      <w:tr w:rsidR="009110F1" w:rsidRPr="009110F1" w14:paraId="11138151" w14:textId="77777777" w:rsidTr="00AB710E">
        <w:tc>
          <w:tcPr>
            <w:tcW w:w="2603" w:type="dxa"/>
          </w:tcPr>
          <w:p w14:paraId="5B78AD90"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RSR</w:t>
            </w:r>
          </w:p>
        </w:tc>
        <w:tc>
          <w:tcPr>
            <w:tcW w:w="6413" w:type="dxa"/>
          </w:tcPr>
          <w:p w14:paraId="3FA75277"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 xml:space="preserve">Railway Safety Regulator </w:t>
            </w:r>
          </w:p>
        </w:tc>
      </w:tr>
      <w:tr w:rsidR="009110F1" w:rsidRPr="009110F1" w14:paraId="6EC51F41" w14:textId="77777777" w:rsidTr="00AB710E">
        <w:tc>
          <w:tcPr>
            <w:tcW w:w="2603" w:type="dxa"/>
          </w:tcPr>
          <w:p w14:paraId="3454AAFC"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RTIA</w:t>
            </w:r>
          </w:p>
        </w:tc>
        <w:tc>
          <w:tcPr>
            <w:tcW w:w="6413" w:type="dxa"/>
          </w:tcPr>
          <w:p w14:paraId="2F3065FB"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Road Traffic Infringements Agency</w:t>
            </w:r>
          </w:p>
        </w:tc>
      </w:tr>
      <w:tr w:rsidR="009110F1" w:rsidRPr="009110F1" w14:paraId="4A5FEBDD" w14:textId="77777777" w:rsidTr="00AB710E">
        <w:tc>
          <w:tcPr>
            <w:tcW w:w="2603" w:type="dxa"/>
          </w:tcPr>
          <w:p w14:paraId="1B4CEEFC"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RTMC</w:t>
            </w:r>
          </w:p>
        </w:tc>
        <w:tc>
          <w:tcPr>
            <w:tcW w:w="6413" w:type="dxa"/>
          </w:tcPr>
          <w:p w14:paraId="71790273"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Road Traffic Management Corporation</w:t>
            </w:r>
          </w:p>
        </w:tc>
      </w:tr>
      <w:tr w:rsidR="009110F1" w:rsidRPr="009110F1" w14:paraId="06DBD622" w14:textId="77777777" w:rsidTr="00AB710E">
        <w:tc>
          <w:tcPr>
            <w:tcW w:w="2603" w:type="dxa"/>
          </w:tcPr>
          <w:p w14:paraId="5CE86150"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SACAA</w:t>
            </w:r>
          </w:p>
        </w:tc>
        <w:tc>
          <w:tcPr>
            <w:tcW w:w="6413" w:type="dxa"/>
          </w:tcPr>
          <w:p w14:paraId="59EA26B5"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 xml:space="preserve">South Africa Civil Aviation Authority </w:t>
            </w:r>
          </w:p>
        </w:tc>
      </w:tr>
      <w:tr w:rsidR="009110F1" w:rsidRPr="009110F1" w14:paraId="4E83A8E8" w14:textId="77777777" w:rsidTr="00AB710E">
        <w:tc>
          <w:tcPr>
            <w:tcW w:w="2603" w:type="dxa"/>
          </w:tcPr>
          <w:p w14:paraId="3AB28ACD"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SADC</w:t>
            </w:r>
          </w:p>
        </w:tc>
        <w:tc>
          <w:tcPr>
            <w:tcW w:w="6413" w:type="dxa"/>
          </w:tcPr>
          <w:p w14:paraId="6E83BA01"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Southern African Development Community</w:t>
            </w:r>
          </w:p>
        </w:tc>
      </w:tr>
      <w:tr w:rsidR="009110F1" w:rsidRPr="009110F1" w14:paraId="5DB377D5" w14:textId="77777777" w:rsidTr="00AB710E">
        <w:tc>
          <w:tcPr>
            <w:tcW w:w="2603" w:type="dxa"/>
          </w:tcPr>
          <w:p w14:paraId="2BF39F87"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SAMSA</w:t>
            </w:r>
          </w:p>
        </w:tc>
        <w:tc>
          <w:tcPr>
            <w:tcW w:w="6413" w:type="dxa"/>
          </w:tcPr>
          <w:p w14:paraId="3C3BD051"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 xml:space="preserve">South African Maritime Safety Authority </w:t>
            </w:r>
          </w:p>
        </w:tc>
      </w:tr>
      <w:tr w:rsidR="009110F1" w:rsidRPr="009110F1" w14:paraId="60D683EF" w14:textId="77777777" w:rsidTr="00AB710E">
        <w:tc>
          <w:tcPr>
            <w:tcW w:w="2603" w:type="dxa"/>
          </w:tcPr>
          <w:p w14:paraId="4909205D"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SANRAL</w:t>
            </w:r>
          </w:p>
        </w:tc>
        <w:tc>
          <w:tcPr>
            <w:tcW w:w="6413" w:type="dxa"/>
          </w:tcPr>
          <w:p w14:paraId="7E2B5E88"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 xml:space="preserve">South African National Roads Agency Limited </w:t>
            </w:r>
          </w:p>
        </w:tc>
      </w:tr>
      <w:tr w:rsidR="009110F1" w:rsidRPr="009110F1" w14:paraId="24D53B7F" w14:textId="77777777" w:rsidTr="00AB710E">
        <w:tc>
          <w:tcPr>
            <w:tcW w:w="2603" w:type="dxa"/>
          </w:tcPr>
          <w:p w14:paraId="209063D5"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SANTACO</w:t>
            </w:r>
          </w:p>
        </w:tc>
        <w:tc>
          <w:tcPr>
            <w:tcW w:w="6413" w:type="dxa"/>
          </w:tcPr>
          <w:p w14:paraId="5E52AD75"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South African National Taxi Council</w:t>
            </w:r>
          </w:p>
        </w:tc>
      </w:tr>
      <w:tr w:rsidR="009110F1" w:rsidRPr="009110F1" w14:paraId="34D4C4BA" w14:textId="77777777" w:rsidTr="00AB710E">
        <w:tc>
          <w:tcPr>
            <w:tcW w:w="2603" w:type="dxa"/>
          </w:tcPr>
          <w:p w14:paraId="23583062"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SDGS</w:t>
            </w:r>
          </w:p>
        </w:tc>
        <w:tc>
          <w:tcPr>
            <w:tcW w:w="6413" w:type="dxa"/>
          </w:tcPr>
          <w:p w14:paraId="0944F0C1"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Sustainable Development Goals</w:t>
            </w:r>
          </w:p>
        </w:tc>
      </w:tr>
      <w:tr w:rsidR="009110F1" w:rsidRPr="009110F1" w14:paraId="6FBED425" w14:textId="77777777" w:rsidTr="00AB710E">
        <w:tc>
          <w:tcPr>
            <w:tcW w:w="2603" w:type="dxa"/>
          </w:tcPr>
          <w:p w14:paraId="618BD847"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SONA</w:t>
            </w:r>
          </w:p>
        </w:tc>
        <w:tc>
          <w:tcPr>
            <w:tcW w:w="6413" w:type="dxa"/>
          </w:tcPr>
          <w:p w14:paraId="4CF50B49"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State of the Nation Address</w:t>
            </w:r>
          </w:p>
        </w:tc>
      </w:tr>
      <w:tr w:rsidR="009110F1" w:rsidRPr="009110F1" w14:paraId="33FDE756" w14:textId="77777777" w:rsidTr="00AB710E">
        <w:tc>
          <w:tcPr>
            <w:tcW w:w="2603" w:type="dxa"/>
          </w:tcPr>
          <w:p w14:paraId="06DD8D7A"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STER</w:t>
            </w:r>
          </w:p>
        </w:tc>
        <w:tc>
          <w:tcPr>
            <w:tcW w:w="6413" w:type="dxa"/>
          </w:tcPr>
          <w:p w14:paraId="7C892283"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Single Transport Economic Regulator</w:t>
            </w:r>
          </w:p>
        </w:tc>
      </w:tr>
      <w:tr w:rsidR="009110F1" w:rsidRPr="009110F1" w14:paraId="2B560AFE" w14:textId="77777777" w:rsidTr="00AB710E">
        <w:tc>
          <w:tcPr>
            <w:tcW w:w="2603" w:type="dxa"/>
          </w:tcPr>
          <w:p w14:paraId="2EA0AFE0"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TAT</w:t>
            </w:r>
          </w:p>
        </w:tc>
        <w:tc>
          <w:tcPr>
            <w:tcW w:w="6413" w:type="dxa"/>
          </w:tcPr>
          <w:p w14:paraId="6587F1D9"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Transport Appeal Tribunal</w:t>
            </w:r>
          </w:p>
        </w:tc>
      </w:tr>
      <w:tr w:rsidR="009110F1" w:rsidRPr="009110F1" w14:paraId="00582AB8" w14:textId="77777777" w:rsidTr="00AB710E">
        <w:tc>
          <w:tcPr>
            <w:tcW w:w="2603" w:type="dxa"/>
          </w:tcPr>
          <w:p w14:paraId="1EF0811A"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TRP</w:t>
            </w:r>
          </w:p>
        </w:tc>
        <w:tc>
          <w:tcPr>
            <w:tcW w:w="6413" w:type="dxa"/>
          </w:tcPr>
          <w:p w14:paraId="0B957939" w14:textId="77777777" w:rsidR="009110F1" w:rsidRPr="009110F1" w:rsidRDefault="009110F1" w:rsidP="009110F1">
            <w:pPr>
              <w:spacing w:after="60" w:line="360" w:lineRule="auto"/>
              <w:jc w:val="both"/>
              <w:rPr>
                <w:rFonts w:ascii="Times New Roman" w:hAnsi="Times New Roman" w:cs="Times New Roman"/>
                <w:sz w:val="24"/>
                <w:lang w:val="en-GB"/>
              </w:rPr>
            </w:pPr>
            <w:r w:rsidRPr="009110F1">
              <w:rPr>
                <w:rFonts w:ascii="Times New Roman" w:hAnsi="Times New Roman" w:cs="Times New Roman"/>
                <w:sz w:val="24"/>
                <w:lang w:val="en-GB"/>
              </w:rPr>
              <w:t>Taxi Recapitalisation Programme</w:t>
            </w:r>
          </w:p>
        </w:tc>
      </w:tr>
    </w:tbl>
    <w:p w14:paraId="516B925C" w14:textId="77777777" w:rsidR="009110F1" w:rsidRPr="009110F1" w:rsidRDefault="009110F1" w:rsidP="009110F1">
      <w:pPr>
        <w:spacing w:after="60" w:line="240" w:lineRule="auto"/>
        <w:rPr>
          <w:rFonts w:ascii="Times New Roman" w:eastAsia="Times New Roman" w:hAnsi="Times New Roman" w:cs="Times New Roman"/>
          <w:sz w:val="24"/>
          <w:szCs w:val="24"/>
          <w:lang w:val="en-GB" w:eastAsia="en-ZA"/>
        </w:rPr>
      </w:pPr>
    </w:p>
    <w:p w14:paraId="26DAB222" w14:textId="77777777" w:rsidR="00C20C77" w:rsidRPr="007457B1" w:rsidRDefault="00C20C77" w:rsidP="00C07A5A">
      <w:pPr>
        <w:spacing w:line="360" w:lineRule="auto"/>
        <w:jc w:val="both"/>
        <w:rPr>
          <w:rFonts w:ascii="Times New Roman" w:hAnsi="Times New Roman" w:cs="Times New Roman"/>
          <w:b/>
          <w:sz w:val="24"/>
          <w:szCs w:val="24"/>
        </w:rPr>
      </w:pPr>
    </w:p>
    <w:sectPr w:rsidR="00C20C77" w:rsidRPr="007457B1" w:rsidSect="009103B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79F16" w14:textId="77777777" w:rsidR="00A8641C" w:rsidRDefault="00A8641C" w:rsidP="00BB5DA5">
      <w:pPr>
        <w:spacing w:after="0" w:line="240" w:lineRule="auto"/>
      </w:pPr>
      <w:r>
        <w:separator/>
      </w:r>
    </w:p>
  </w:endnote>
  <w:endnote w:type="continuationSeparator" w:id="0">
    <w:p w14:paraId="05C16485" w14:textId="77777777" w:rsidR="00A8641C" w:rsidRDefault="00A8641C" w:rsidP="00BB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057099"/>
      <w:docPartObj>
        <w:docPartGallery w:val="Page Numbers (Bottom of Page)"/>
        <w:docPartUnique/>
      </w:docPartObj>
    </w:sdtPr>
    <w:sdtEndPr>
      <w:rPr>
        <w:noProof/>
      </w:rPr>
    </w:sdtEndPr>
    <w:sdtContent>
      <w:p w14:paraId="37D064D0" w14:textId="77777777" w:rsidR="00AB710E" w:rsidRDefault="00AB710E">
        <w:pPr>
          <w:pStyle w:val="Footer"/>
          <w:jc w:val="right"/>
        </w:pPr>
        <w:r>
          <w:fldChar w:fldCharType="begin"/>
        </w:r>
        <w:r>
          <w:instrText xml:space="preserve"> PAGE   \* MERGEFORMAT </w:instrText>
        </w:r>
        <w:r>
          <w:fldChar w:fldCharType="separate"/>
        </w:r>
        <w:r w:rsidR="007A59B3">
          <w:rPr>
            <w:noProof/>
          </w:rPr>
          <w:t>1</w:t>
        </w:r>
        <w:r>
          <w:rPr>
            <w:noProof/>
          </w:rPr>
          <w:fldChar w:fldCharType="end"/>
        </w:r>
      </w:p>
    </w:sdtContent>
  </w:sdt>
  <w:p w14:paraId="50B84E9C" w14:textId="77777777" w:rsidR="00AB710E" w:rsidRDefault="00AB7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5246B" w14:textId="77777777" w:rsidR="00A8641C" w:rsidRDefault="00A8641C" w:rsidP="00BB5DA5">
      <w:pPr>
        <w:spacing w:after="0" w:line="240" w:lineRule="auto"/>
      </w:pPr>
      <w:r>
        <w:separator/>
      </w:r>
    </w:p>
  </w:footnote>
  <w:footnote w:type="continuationSeparator" w:id="0">
    <w:p w14:paraId="67FCC794" w14:textId="77777777" w:rsidR="00A8641C" w:rsidRDefault="00A8641C" w:rsidP="00BB5DA5">
      <w:pPr>
        <w:spacing w:after="0" w:line="240" w:lineRule="auto"/>
      </w:pPr>
      <w:r>
        <w:continuationSeparator/>
      </w:r>
    </w:p>
  </w:footnote>
  <w:footnote w:id="1">
    <w:p w14:paraId="1897556B" w14:textId="77777777" w:rsidR="00AB710E" w:rsidRPr="00ED306F" w:rsidRDefault="00AB710E" w:rsidP="00BB5DA5">
      <w:pPr>
        <w:pStyle w:val="FootnoteText"/>
        <w:spacing w:line="280" w:lineRule="exact"/>
        <w:jc w:val="both"/>
        <w:rPr>
          <w:rFonts w:ascii="Times New Roman" w:hAnsi="Times New Roman" w:cs="Times New Roman"/>
        </w:rPr>
      </w:pPr>
      <w:r w:rsidRPr="00ED306F">
        <w:rPr>
          <w:rStyle w:val="FootnoteReference"/>
          <w:rFonts w:ascii="Times New Roman" w:hAnsi="Times New Roman" w:cs="Times New Roman"/>
        </w:rPr>
        <w:footnoteRef/>
      </w:r>
      <w:r w:rsidRPr="00ED306F">
        <w:rPr>
          <w:rFonts w:ascii="Times New Roman" w:hAnsi="Times New Roman" w:cs="Times New Roman"/>
        </w:rPr>
        <w:t xml:space="preserve"> It should be underscored that this section covers only the first Three Quarters of 2018/19 as the Fourth Quarter was not yet available at the time of analysis.</w:t>
      </w:r>
    </w:p>
  </w:footnote>
  <w:footnote w:id="2">
    <w:p w14:paraId="00B497A8" w14:textId="77777777" w:rsidR="00AB710E" w:rsidRPr="00ED306F" w:rsidRDefault="00AB710E" w:rsidP="007B7954">
      <w:pPr>
        <w:pStyle w:val="FootnoteText"/>
        <w:spacing w:line="280" w:lineRule="exact"/>
        <w:jc w:val="both"/>
        <w:rPr>
          <w:rFonts w:ascii="Times New Roman" w:hAnsi="Times New Roman" w:cs="Times New Roman"/>
        </w:rPr>
      </w:pPr>
      <w:r w:rsidRPr="00ED306F">
        <w:rPr>
          <w:rStyle w:val="FootnoteReference"/>
          <w:rFonts w:ascii="Times New Roman" w:hAnsi="Times New Roman" w:cs="Times New Roman"/>
        </w:rPr>
        <w:footnoteRef/>
      </w:r>
      <w:r w:rsidRPr="00ED306F">
        <w:rPr>
          <w:rFonts w:ascii="Times New Roman" w:hAnsi="Times New Roman" w:cs="Times New Roman"/>
        </w:rPr>
        <w:t xml:space="preserve"> National Treasury (2018a).</w:t>
      </w:r>
    </w:p>
  </w:footnote>
  <w:footnote w:id="3">
    <w:p w14:paraId="2B2ABAD6" w14:textId="77777777" w:rsidR="00AB710E" w:rsidRPr="00ED306F" w:rsidRDefault="00AB710E" w:rsidP="007B7954">
      <w:pPr>
        <w:pStyle w:val="FootnoteText"/>
        <w:spacing w:line="280" w:lineRule="exact"/>
        <w:jc w:val="both"/>
        <w:rPr>
          <w:rFonts w:ascii="Times New Roman" w:hAnsi="Times New Roman" w:cs="Times New Roman"/>
        </w:rPr>
      </w:pPr>
      <w:r w:rsidRPr="00ED306F">
        <w:rPr>
          <w:rStyle w:val="FootnoteReference"/>
          <w:rFonts w:ascii="Times New Roman" w:hAnsi="Times New Roman" w:cs="Times New Roman"/>
        </w:rPr>
        <w:footnoteRef/>
      </w:r>
      <w:r w:rsidRPr="00ED306F">
        <w:rPr>
          <w:rFonts w:ascii="Times New Roman" w:hAnsi="Times New Roman" w:cs="Times New Roman"/>
        </w:rPr>
        <w:t xml:space="preserve"> </w:t>
      </w:r>
      <w:r w:rsidRPr="00ED306F">
        <w:rPr>
          <w:rFonts w:ascii="Times New Roman" w:hAnsi="Times New Roman" w:cs="Times New Roman"/>
          <w:i/>
        </w:rPr>
        <w:t>Ibid</w:t>
      </w:r>
      <w:r w:rsidRPr="00ED306F">
        <w:rPr>
          <w:rFonts w:ascii="Times New Roman" w:hAnsi="Times New Roman" w:cs="Times New Roman"/>
        </w:rPr>
        <w:t>.</w:t>
      </w:r>
    </w:p>
  </w:footnote>
  <w:footnote w:id="4">
    <w:p w14:paraId="214E5D11" w14:textId="77777777" w:rsidR="00AB710E" w:rsidRPr="00ED306F" w:rsidRDefault="00AB710E" w:rsidP="007B7954">
      <w:pPr>
        <w:pStyle w:val="FootnoteText"/>
        <w:spacing w:line="280" w:lineRule="exact"/>
        <w:jc w:val="both"/>
        <w:rPr>
          <w:rFonts w:ascii="Times New Roman" w:hAnsi="Times New Roman" w:cs="Times New Roman"/>
        </w:rPr>
      </w:pPr>
      <w:r w:rsidRPr="00ED306F">
        <w:rPr>
          <w:rStyle w:val="FootnoteReference"/>
          <w:rFonts w:ascii="Times New Roman" w:hAnsi="Times New Roman" w:cs="Times New Roman"/>
        </w:rPr>
        <w:footnoteRef/>
      </w:r>
      <w:r w:rsidRPr="00ED306F">
        <w:rPr>
          <w:rFonts w:ascii="Times New Roman" w:hAnsi="Times New Roman" w:cs="Times New Roman"/>
        </w:rPr>
        <w:t xml:space="preserve"> National Treasury (2018b).</w:t>
      </w:r>
    </w:p>
  </w:footnote>
  <w:footnote w:id="5">
    <w:p w14:paraId="5655126E" w14:textId="77777777" w:rsidR="00AB710E" w:rsidRPr="00ED306F" w:rsidRDefault="00AB710E" w:rsidP="007B7954">
      <w:pPr>
        <w:pStyle w:val="FootnoteText"/>
        <w:spacing w:line="280" w:lineRule="exact"/>
        <w:jc w:val="both"/>
        <w:rPr>
          <w:rFonts w:ascii="Times New Roman" w:hAnsi="Times New Roman" w:cs="Times New Roman"/>
        </w:rPr>
      </w:pPr>
      <w:r w:rsidRPr="00ED306F">
        <w:rPr>
          <w:rStyle w:val="FootnoteReference"/>
          <w:rFonts w:ascii="Times New Roman" w:hAnsi="Times New Roman" w:cs="Times New Roman"/>
        </w:rPr>
        <w:footnoteRef/>
      </w:r>
      <w:r w:rsidRPr="00ED306F">
        <w:rPr>
          <w:rFonts w:ascii="Times New Roman" w:hAnsi="Times New Roman" w:cs="Times New Roman"/>
        </w:rPr>
        <w:t xml:space="preserve"> National Treasury (2018b).</w:t>
      </w:r>
    </w:p>
  </w:footnote>
  <w:footnote w:id="6">
    <w:p w14:paraId="18B0DF77" w14:textId="77777777" w:rsidR="00AB710E" w:rsidRPr="00ED306F" w:rsidRDefault="00AB710E" w:rsidP="007B7954">
      <w:pPr>
        <w:pStyle w:val="FootnoteText"/>
        <w:spacing w:line="280" w:lineRule="exact"/>
        <w:jc w:val="both"/>
        <w:rPr>
          <w:rFonts w:ascii="Times New Roman" w:hAnsi="Times New Roman" w:cs="Times New Roman"/>
        </w:rPr>
      </w:pPr>
      <w:r w:rsidRPr="00ED306F">
        <w:rPr>
          <w:rStyle w:val="FootnoteReference"/>
          <w:rFonts w:ascii="Times New Roman" w:hAnsi="Times New Roman" w:cs="Times New Roman"/>
        </w:rPr>
        <w:footnoteRef/>
      </w:r>
      <w:r w:rsidRPr="00ED306F">
        <w:rPr>
          <w:rFonts w:ascii="Times New Roman" w:hAnsi="Times New Roman" w:cs="Times New Roman"/>
        </w:rPr>
        <w:t xml:space="preserve"> National Treasury (2018c).</w:t>
      </w:r>
    </w:p>
  </w:footnote>
  <w:footnote w:id="7">
    <w:p w14:paraId="54799DC3" w14:textId="77777777" w:rsidR="00AB710E" w:rsidRPr="00ED306F" w:rsidRDefault="00AB710E" w:rsidP="007B7954">
      <w:pPr>
        <w:pStyle w:val="FootnoteText"/>
        <w:spacing w:line="280" w:lineRule="exact"/>
        <w:jc w:val="both"/>
        <w:rPr>
          <w:rFonts w:ascii="Times New Roman" w:hAnsi="Times New Roman" w:cs="Times New Roman"/>
        </w:rPr>
      </w:pPr>
      <w:r w:rsidRPr="00ED306F">
        <w:rPr>
          <w:rStyle w:val="FootnoteReference"/>
          <w:rFonts w:ascii="Times New Roman" w:hAnsi="Times New Roman" w:cs="Times New Roman"/>
        </w:rPr>
        <w:footnoteRef/>
      </w:r>
      <w:r w:rsidRPr="00ED306F">
        <w:rPr>
          <w:rFonts w:ascii="Times New Roman" w:hAnsi="Times New Roman" w:cs="Times New Roman"/>
        </w:rPr>
        <w:t xml:space="preserve"> </w:t>
      </w:r>
      <w:r w:rsidRPr="00ED306F">
        <w:rPr>
          <w:rFonts w:ascii="Times New Roman" w:hAnsi="Times New Roman" w:cs="Times New Roman"/>
          <w:i/>
        </w:rPr>
        <w:t>Ibid</w:t>
      </w:r>
      <w:r w:rsidRPr="00ED306F">
        <w:rPr>
          <w:rFonts w:ascii="Times New Roman" w:hAnsi="Times New Roman" w:cs="Times New Roman"/>
        </w:rPr>
        <w:t>.</w:t>
      </w:r>
    </w:p>
  </w:footnote>
  <w:footnote w:id="8">
    <w:p w14:paraId="58A63142" w14:textId="77777777" w:rsidR="00AB710E" w:rsidRPr="00ED306F" w:rsidRDefault="00AB710E" w:rsidP="006C2EC0">
      <w:pPr>
        <w:pStyle w:val="FootnoteText"/>
        <w:spacing w:line="280" w:lineRule="exact"/>
        <w:jc w:val="both"/>
        <w:rPr>
          <w:rFonts w:ascii="Times New Roman" w:hAnsi="Times New Roman" w:cs="Times New Roman"/>
        </w:rPr>
      </w:pPr>
      <w:r w:rsidRPr="00ED306F">
        <w:rPr>
          <w:rStyle w:val="FootnoteReference"/>
          <w:rFonts w:ascii="Times New Roman" w:hAnsi="Times New Roman" w:cs="Times New Roman"/>
        </w:rPr>
        <w:footnoteRef/>
      </w:r>
      <w:r w:rsidRPr="00ED306F">
        <w:rPr>
          <w:rFonts w:ascii="Times New Roman" w:hAnsi="Times New Roman" w:cs="Times New Roman"/>
        </w:rPr>
        <w:t xml:space="preserve"> Department of Transport (2018).</w:t>
      </w:r>
    </w:p>
  </w:footnote>
  <w:footnote w:id="9">
    <w:p w14:paraId="7ABC8EA2" w14:textId="77777777" w:rsidR="00AB710E" w:rsidRPr="00ED306F" w:rsidRDefault="00AB710E" w:rsidP="006C2EC0">
      <w:pPr>
        <w:pStyle w:val="FootnoteText"/>
        <w:spacing w:line="280" w:lineRule="exact"/>
        <w:jc w:val="both"/>
        <w:rPr>
          <w:rFonts w:ascii="Times New Roman" w:hAnsi="Times New Roman" w:cs="Times New Roman"/>
        </w:rPr>
      </w:pPr>
      <w:r w:rsidRPr="00ED306F">
        <w:rPr>
          <w:rStyle w:val="FootnoteReference"/>
          <w:rFonts w:ascii="Times New Roman" w:hAnsi="Times New Roman" w:cs="Times New Roman"/>
        </w:rPr>
        <w:footnoteRef/>
      </w:r>
      <w:r w:rsidRPr="00ED306F">
        <w:rPr>
          <w:rFonts w:ascii="Times New Roman" w:hAnsi="Times New Roman" w:cs="Times New Roman"/>
        </w:rPr>
        <w:t xml:space="preserve"> National Treasury (2019).</w:t>
      </w:r>
    </w:p>
  </w:footnote>
  <w:footnote w:id="10">
    <w:p w14:paraId="2EB8DF01" w14:textId="77777777" w:rsidR="00AB710E" w:rsidRPr="00ED306F" w:rsidRDefault="00AB710E" w:rsidP="006C2EC0">
      <w:pPr>
        <w:pStyle w:val="FootnoteText"/>
        <w:spacing w:line="280" w:lineRule="exact"/>
        <w:jc w:val="both"/>
        <w:rPr>
          <w:rFonts w:ascii="Times New Roman" w:hAnsi="Times New Roman" w:cs="Times New Roman"/>
        </w:rPr>
      </w:pPr>
      <w:r w:rsidRPr="00ED306F">
        <w:rPr>
          <w:rStyle w:val="FootnoteReference"/>
          <w:rFonts w:ascii="Times New Roman" w:hAnsi="Times New Roman" w:cs="Times New Roman"/>
        </w:rPr>
        <w:footnoteRef/>
      </w:r>
      <w:r w:rsidRPr="00ED306F">
        <w:rPr>
          <w:rFonts w:ascii="Times New Roman" w:hAnsi="Times New Roman" w:cs="Times New Roman"/>
        </w:rPr>
        <w:t xml:space="preserve"> Passenger Rail Agency of South Africa (2018).</w:t>
      </w:r>
    </w:p>
  </w:footnote>
  <w:footnote w:id="11">
    <w:p w14:paraId="054FF079" w14:textId="77777777" w:rsidR="00AB710E" w:rsidRPr="00ED306F" w:rsidRDefault="00AB710E" w:rsidP="006C2EC0">
      <w:pPr>
        <w:pStyle w:val="FootnoteText"/>
        <w:spacing w:line="280" w:lineRule="exact"/>
        <w:rPr>
          <w:rFonts w:ascii="Times New Roman" w:hAnsi="Times New Roman" w:cs="Times New Roman"/>
        </w:rPr>
      </w:pPr>
      <w:r w:rsidRPr="00ED306F">
        <w:rPr>
          <w:rStyle w:val="FootnoteReference"/>
          <w:rFonts w:ascii="Times New Roman" w:hAnsi="Times New Roman" w:cs="Times New Roman"/>
        </w:rPr>
        <w:footnoteRef/>
      </w:r>
      <w:r w:rsidRPr="00ED306F">
        <w:rPr>
          <w:rFonts w:ascii="Times New Roman" w:hAnsi="Times New Roman" w:cs="Times New Roman"/>
        </w:rPr>
        <w:t xml:space="preserve"> Department of Transport (2016). It is important to note that at the time of considering the Budget Vote, there was reference by the President to 7 priorities as listed in the 20 June 2019 SONA: </w:t>
      </w:r>
    </w:p>
    <w:p w14:paraId="66C913E4" w14:textId="77777777" w:rsidR="00AB710E" w:rsidRPr="00ED306F" w:rsidRDefault="00AB710E" w:rsidP="006C2EC0">
      <w:pPr>
        <w:pStyle w:val="FootnoteText"/>
        <w:spacing w:line="280" w:lineRule="exact"/>
        <w:rPr>
          <w:rFonts w:ascii="Times New Roman" w:hAnsi="Times New Roman" w:cs="Times New Roman"/>
        </w:rPr>
      </w:pPr>
      <w:r w:rsidRPr="00ED306F">
        <w:rPr>
          <w:rFonts w:ascii="Times New Roman" w:hAnsi="Times New Roman" w:cs="Times New Roman"/>
        </w:rPr>
        <w:t xml:space="preserve">- Economic transformation and job creation </w:t>
      </w:r>
    </w:p>
    <w:p w14:paraId="4B0D0C09" w14:textId="77777777" w:rsidR="00AB710E" w:rsidRPr="00ED306F" w:rsidRDefault="00AB710E" w:rsidP="006C2EC0">
      <w:pPr>
        <w:pStyle w:val="FootnoteText"/>
        <w:spacing w:line="280" w:lineRule="exact"/>
        <w:rPr>
          <w:rFonts w:ascii="Times New Roman" w:hAnsi="Times New Roman" w:cs="Times New Roman"/>
        </w:rPr>
      </w:pPr>
      <w:r w:rsidRPr="00ED306F">
        <w:rPr>
          <w:rFonts w:ascii="Times New Roman" w:hAnsi="Times New Roman" w:cs="Times New Roman"/>
        </w:rPr>
        <w:t xml:space="preserve">- Education, skills and health </w:t>
      </w:r>
    </w:p>
    <w:p w14:paraId="4E9398EC" w14:textId="77777777" w:rsidR="00AB710E" w:rsidRPr="00ED306F" w:rsidRDefault="00AB710E" w:rsidP="006C2EC0">
      <w:pPr>
        <w:pStyle w:val="FootnoteText"/>
        <w:spacing w:line="280" w:lineRule="exact"/>
        <w:rPr>
          <w:rFonts w:ascii="Times New Roman" w:hAnsi="Times New Roman" w:cs="Times New Roman"/>
        </w:rPr>
      </w:pPr>
      <w:r w:rsidRPr="00ED306F">
        <w:rPr>
          <w:rFonts w:ascii="Times New Roman" w:hAnsi="Times New Roman" w:cs="Times New Roman"/>
        </w:rPr>
        <w:t xml:space="preserve">- Consolidating the social wage through reliable and quality basic services </w:t>
      </w:r>
    </w:p>
    <w:p w14:paraId="0F5E85E8" w14:textId="77777777" w:rsidR="00AB710E" w:rsidRPr="00ED306F" w:rsidRDefault="00AB710E" w:rsidP="006C2EC0">
      <w:pPr>
        <w:pStyle w:val="FootnoteText"/>
        <w:spacing w:line="280" w:lineRule="exact"/>
        <w:rPr>
          <w:rFonts w:ascii="Times New Roman" w:hAnsi="Times New Roman" w:cs="Times New Roman"/>
        </w:rPr>
      </w:pPr>
      <w:r w:rsidRPr="00ED306F">
        <w:rPr>
          <w:rFonts w:ascii="Times New Roman" w:hAnsi="Times New Roman" w:cs="Times New Roman"/>
        </w:rPr>
        <w:t xml:space="preserve">- Spatial integration, human settlements and local government </w:t>
      </w:r>
    </w:p>
    <w:p w14:paraId="3843C589" w14:textId="77777777" w:rsidR="00AB710E" w:rsidRPr="00ED306F" w:rsidRDefault="00AB710E" w:rsidP="006C2EC0">
      <w:pPr>
        <w:pStyle w:val="FootnoteText"/>
        <w:spacing w:line="280" w:lineRule="exact"/>
        <w:rPr>
          <w:rFonts w:ascii="Times New Roman" w:hAnsi="Times New Roman" w:cs="Times New Roman"/>
        </w:rPr>
      </w:pPr>
      <w:r w:rsidRPr="00ED306F">
        <w:rPr>
          <w:rFonts w:ascii="Times New Roman" w:hAnsi="Times New Roman" w:cs="Times New Roman"/>
        </w:rPr>
        <w:t xml:space="preserve">- Social cohesion and safe communities </w:t>
      </w:r>
    </w:p>
    <w:p w14:paraId="1AFDF1B6" w14:textId="77777777" w:rsidR="00AB710E" w:rsidRPr="00ED306F" w:rsidRDefault="00AB710E" w:rsidP="006C2EC0">
      <w:pPr>
        <w:pStyle w:val="FootnoteText"/>
        <w:spacing w:line="280" w:lineRule="exact"/>
        <w:rPr>
          <w:rFonts w:ascii="Times New Roman" w:hAnsi="Times New Roman" w:cs="Times New Roman"/>
        </w:rPr>
      </w:pPr>
      <w:r w:rsidRPr="00ED306F">
        <w:rPr>
          <w:rFonts w:ascii="Times New Roman" w:hAnsi="Times New Roman" w:cs="Times New Roman"/>
        </w:rPr>
        <w:t>- A capable, ethical and developmental state</w:t>
      </w:r>
    </w:p>
    <w:p w14:paraId="1B2E9DE6" w14:textId="77777777" w:rsidR="00AB710E" w:rsidRPr="00ED306F" w:rsidRDefault="00AB710E" w:rsidP="006C2EC0">
      <w:pPr>
        <w:pStyle w:val="FootnoteText"/>
        <w:spacing w:line="280" w:lineRule="exact"/>
        <w:rPr>
          <w:rFonts w:ascii="Times New Roman" w:hAnsi="Times New Roman" w:cs="Times New Roman"/>
        </w:rPr>
      </w:pPr>
      <w:r w:rsidRPr="00ED306F">
        <w:rPr>
          <w:rFonts w:ascii="Times New Roman" w:hAnsi="Times New Roman" w:cs="Times New Roman"/>
        </w:rPr>
        <w:t>- A better Africa and World</w:t>
      </w:r>
    </w:p>
  </w:footnote>
  <w:footnote w:id="12">
    <w:p w14:paraId="666C3EAB" w14:textId="77777777" w:rsidR="00AB710E" w:rsidRPr="00ED306F" w:rsidRDefault="00AB710E" w:rsidP="006C2EC0">
      <w:pPr>
        <w:pStyle w:val="FootnoteText"/>
        <w:spacing w:line="280" w:lineRule="exact"/>
        <w:jc w:val="both"/>
        <w:rPr>
          <w:rFonts w:ascii="Times New Roman" w:hAnsi="Times New Roman" w:cs="Times New Roman"/>
        </w:rPr>
      </w:pPr>
      <w:r w:rsidRPr="00ED306F">
        <w:rPr>
          <w:rStyle w:val="FootnoteReference"/>
          <w:rFonts w:ascii="Times New Roman" w:hAnsi="Times New Roman" w:cs="Times New Roman"/>
        </w:rPr>
        <w:footnoteRef/>
      </w:r>
      <w:r w:rsidRPr="00ED306F">
        <w:rPr>
          <w:rFonts w:ascii="Times New Roman" w:hAnsi="Times New Roman" w:cs="Times New Roman"/>
        </w:rPr>
        <w:t xml:space="preserve"> President Ramaphosa (2018).</w:t>
      </w:r>
    </w:p>
  </w:footnote>
  <w:footnote w:id="13">
    <w:p w14:paraId="61AD1636" w14:textId="77777777" w:rsidR="00AB710E" w:rsidRPr="00ED306F" w:rsidRDefault="00AB710E" w:rsidP="006C2EC0">
      <w:pPr>
        <w:pStyle w:val="FootnoteText"/>
        <w:spacing w:line="280" w:lineRule="exact"/>
        <w:jc w:val="both"/>
        <w:rPr>
          <w:rFonts w:ascii="Times New Roman" w:hAnsi="Times New Roman" w:cs="Times New Roman"/>
        </w:rPr>
      </w:pPr>
      <w:r w:rsidRPr="00ED306F">
        <w:rPr>
          <w:rStyle w:val="FootnoteReference"/>
          <w:rFonts w:ascii="Times New Roman" w:hAnsi="Times New Roman" w:cs="Times New Roman"/>
        </w:rPr>
        <w:footnoteRef/>
      </w:r>
      <w:r w:rsidRPr="00ED306F">
        <w:rPr>
          <w:rFonts w:ascii="Times New Roman" w:hAnsi="Times New Roman" w:cs="Times New Roman"/>
        </w:rPr>
        <w:t xml:space="preserve"> Department of Transport (2015).</w:t>
      </w:r>
    </w:p>
  </w:footnote>
  <w:footnote w:id="14">
    <w:p w14:paraId="483A0BA1" w14:textId="77777777" w:rsidR="00AB710E" w:rsidRPr="00ED306F" w:rsidRDefault="00AB710E" w:rsidP="006C2EC0">
      <w:pPr>
        <w:pStyle w:val="FootnoteText"/>
        <w:spacing w:line="280" w:lineRule="exact"/>
        <w:jc w:val="both"/>
        <w:rPr>
          <w:rFonts w:ascii="Times New Roman" w:hAnsi="Times New Roman" w:cs="Times New Roman"/>
        </w:rPr>
      </w:pPr>
      <w:r w:rsidRPr="00ED306F">
        <w:rPr>
          <w:rStyle w:val="FootnoteReference"/>
          <w:rFonts w:ascii="Times New Roman" w:hAnsi="Times New Roman" w:cs="Times New Roman"/>
        </w:rPr>
        <w:footnoteRef/>
      </w:r>
      <w:r w:rsidRPr="00ED306F">
        <w:rPr>
          <w:rFonts w:ascii="Times New Roman" w:hAnsi="Times New Roman" w:cs="Times New Roman"/>
        </w:rPr>
        <w:t xml:space="preserve"> President Ramaphosa (2019).</w:t>
      </w:r>
    </w:p>
  </w:footnote>
  <w:footnote w:id="15">
    <w:p w14:paraId="75DCFC8C" w14:textId="77777777" w:rsidR="00AB710E" w:rsidRPr="00ED306F" w:rsidRDefault="00AB710E" w:rsidP="006C2EC0">
      <w:pPr>
        <w:pStyle w:val="FootnoteText"/>
        <w:spacing w:line="280" w:lineRule="exact"/>
        <w:jc w:val="both"/>
        <w:rPr>
          <w:rFonts w:ascii="Times New Roman" w:hAnsi="Times New Roman" w:cs="Times New Roman"/>
        </w:rPr>
      </w:pPr>
      <w:r w:rsidRPr="00ED306F">
        <w:rPr>
          <w:rStyle w:val="FootnoteReference"/>
          <w:rFonts w:ascii="Times New Roman" w:hAnsi="Times New Roman" w:cs="Times New Roman"/>
        </w:rPr>
        <w:footnoteRef/>
      </w:r>
      <w:r w:rsidRPr="00ED306F">
        <w:rPr>
          <w:rFonts w:ascii="Times New Roman" w:hAnsi="Times New Roman" w:cs="Times New Roman"/>
        </w:rPr>
        <w:t xml:space="preserve"> National Treasury (2019).</w:t>
      </w:r>
    </w:p>
  </w:footnote>
  <w:footnote w:id="16">
    <w:p w14:paraId="39D177A1" w14:textId="77777777" w:rsidR="00AB710E" w:rsidRPr="00ED306F" w:rsidRDefault="00AB710E" w:rsidP="006C2EC0">
      <w:pPr>
        <w:pStyle w:val="FootnoteText"/>
        <w:spacing w:line="280" w:lineRule="exact"/>
        <w:jc w:val="both"/>
        <w:rPr>
          <w:rFonts w:ascii="Times New Roman" w:hAnsi="Times New Roman" w:cs="Times New Roman"/>
        </w:rPr>
      </w:pPr>
      <w:r w:rsidRPr="00ED306F">
        <w:rPr>
          <w:rStyle w:val="FootnoteReference"/>
          <w:rFonts w:ascii="Times New Roman" w:hAnsi="Times New Roman" w:cs="Times New Roman"/>
        </w:rPr>
        <w:footnoteRef/>
      </w:r>
      <w:r w:rsidRPr="00ED306F">
        <w:rPr>
          <w:rFonts w:ascii="Times New Roman" w:hAnsi="Times New Roman" w:cs="Times New Roman"/>
        </w:rPr>
        <w:t xml:space="preserve"> </w:t>
      </w:r>
      <w:r w:rsidRPr="00ED306F">
        <w:rPr>
          <w:rFonts w:ascii="Times New Roman" w:hAnsi="Times New Roman" w:cs="Times New Roman"/>
          <w:i/>
        </w:rPr>
        <w:t>Ibid</w:t>
      </w:r>
      <w:r w:rsidRPr="00ED306F">
        <w:rPr>
          <w:rFonts w:ascii="Times New Roman" w:hAnsi="Times New Roman" w:cs="Times New Roman"/>
        </w:rPr>
        <w:t>.</w:t>
      </w:r>
    </w:p>
  </w:footnote>
  <w:footnote w:id="17">
    <w:p w14:paraId="33E71D34" w14:textId="77777777" w:rsidR="00AB710E" w:rsidRPr="00ED306F" w:rsidRDefault="00AB710E" w:rsidP="006C2EC0">
      <w:pPr>
        <w:pStyle w:val="FootnoteText"/>
        <w:spacing w:line="280" w:lineRule="exact"/>
        <w:jc w:val="both"/>
        <w:rPr>
          <w:rFonts w:ascii="Times New Roman" w:hAnsi="Times New Roman" w:cs="Times New Roman"/>
        </w:rPr>
      </w:pPr>
      <w:r w:rsidRPr="00ED306F">
        <w:rPr>
          <w:rStyle w:val="FootnoteReference"/>
          <w:rFonts w:ascii="Times New Roman" w:hAnsi="Times New Roman" w:cs="Times New Roman"/>
        </w:rPr>
        <w:footnoteRef/>
      </w:r>
      <w:r w:rsidRPr="00ED306F">
        <w:rPr>
          <w:rFonts w:ascii="Times New Roman" w:hAnsi="Times New Roman" w:cs="Times New Roman"/>
        </w:rPr>
        <w:t xml:space="preserve"> National Treasury (2019).</w:t>
      </w:r>
    </w:p>
  </w:footnote>
  <w:footnote w:id="18">
    <w:p w14:paraId="445812D5" w14:textId="77777777" w:rsidR="00AB710E" w:rsidRPr="00ED306F" w:rsidRDefault="00AB710E" w:rsidP="006C2EC0">
      <w:pPr>
        <w:pStyle w:val="FootnoteText"/>
        <w:spacing w:line="280" w:lineRule="exact"/>
        <w:jc w:val="both"/>
        <w:rPr>
          <w:rFonts w:ascii="Times New Roman" w:hAnsi="Times New Roman" w:cs="Times New Roman"/>
        </w:rPr>
      </w:pPr>
      <w:r w:rsidRPr="00ED306F">
        <w:rPr>
          <w:rStyle w:val="FootnoteReference"/>
          <w:rFonts w:ascii="Times New Roman" w:hAnsi="Times New Roman" w:cs="Times New Roman"/>
        </w:rPr>
        <w:footnoteRef/>
      </w:r>
      <w:r w:rsidRPr="00ED306F">
        <w:rPr>
          <w:rFonts w:ascii="Times New Roman" w:hAnsi="Times New Roman" w:cs="Times New Roman"/>
        </w:rPr>
        <w:t xml:space="preserve"> National Treasury (2019).</w:t>
      </w:r>
    </w:p>
  </w:footnote>
  <w:footnote w:id="19">
    <w:p w14:paraId="01D73F0A" w14:textId="77777777" w:rsidR="00AB710E" w:rsidRPr="00ED306F" w:rsidRDefault="00AB710E" w:rsidP="006C2EC0">
      <w:pPr>
        <w:pStyle w:val="FootnoteText"/>
        <w:spacing w:line="280" w:lineRule="exact"/>
        <w:jc w:val="both"/>
        <w:rPr>
          <w:rFonts w:ascii="Times New Roman" w:hAnsi="Times New Roman" w:cs="Times New Roman"/>
        </w:rPr>
      </w:pPr>
      <w:r w:rsidRPr="00ED306F">
        <w:rPr>
          <w:rStyle w:val="FootnoteReference"/>
          <w:rFonts w:ascii="Times New Roman" w:hAnsi="Times New Roman" w:cs="Times New Roman"/>
        </w:rPr>
        <w:footnoteRef/>
      </w:r>
      <w:r w:rsidRPr="00ED306F">
        <w:rPr>
          <w:rFonts w:ascii="Times New Roman" w:hAnsi="Times New Roman" w:cs="Times New Roman"/>
        </w:rPr>
        <w:t xml:space="preserve"> National Treasury (2019).</w:t>
      </w:r>
    </w:p>
  </w:footnote>
  <w:footnote w:id="20">
    <w:p w14:paraId="399A04F3" w14:textId="77777777" w:rsidR="00AB710E" w:rsidRPr="00ED306F" w:rsidRDefault="00AB710E">
      <w:pPr>
        <w:pStyle w:val="FootnoteText"/>
        <w:rPr>
          <w:rFonts w:ascii="Times New Roman" w:hAnsi="Times New Roman" w:cs="Times New Roman"/>
        </w:rPr>
      </w:pPr>
      <w:r w:rsidRPr="00ED306F">
        <w:rPr>
          <w:rStyle w:val="FootnoteReference"/>
          <w:rFonts w:ascii="Times New Roman" w:hAnsi="Times New Roman" w:cs="Times New Roman"/>
        </w:rPr>
        <w:footnoteRef/>
      </w:r>
      <w:r w:rsidRPr="00ED306F">
        <w:rPr>
          <w:rFonts w:ascii="Times New Roman" w:hAnsi="Times New Roman" w:cs="Times New Roman"/>
        </w:rPr>
        <w:t xml:space="preserve"> The APPs or Corporate Plans of the entities and Department were only tabled and referred to the Committee for consideration on 2 July 2019.</w:t>
      </w:r>
    </w:p>
  </w:footnote>
  <w:footnote w:id="21">
    <w:p w14:paraId="64BCBF76" w14:textId="77777777" w:rsidR="00AB710E" w:rsidRPr="00ED306F" w:rsidRDefault="00AB710E" w:rsidP="007911A5">
      <w:pPr>
        <w:pStyle w:val="FootnoteText"/>
        <w:rPr>
          <w:rFonts w:ascii="Times New Roman" w:hAnsi="Times New Roman" w:cs="Times New Roman"/>
        </w:rPr>
      </w:pPr>
      <w:r w:rsidRPr="00ED306F">
        <w:rPr>
          <w:rStyle w:val="FootnoteReference"/>
          <w:rFonts w:ascii="Times New Roman" w:hAnsi="Times New Roman" w:cs="Times New Roman"/>
        </w:rPr>
        <w:footnoteRef/>
      </w:r>
      <w:r w:rsidRPr="00ED306F">
        <w:rPr>
          <w:rFonts w:ascii="Times New Roman" w:hAnsi="Times New Roman" w:cs="Times New Roman"/>
        </w:rPr>
        <w:t xml:space="preserve"> Estimates of National Expenditure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775"/>
    <w:multiLevelType w:val="hybridMultilevel"/>
    <w:tmpl w:val="9C504D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F932528"/>
    <w:multiLevelType w:val="hybridMultilevel"/>
    <w:tmpl w:val="1CA2C0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61A1C46"/>
    <w:multiLevelType w:val="hybridMultilevel"/>
    <w:tmpl w:val="A65A69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8E07586"/>
    <w:multiLevelType w:val="multilevel"/>
    <w:tmpl w:val="2A906584"/>
    <w:lvl w:ilvl="0">
      <w:start w:val="1"/>
      <w:numFmt w:val="decimal"/>
      <w:lvlText w:val="%1."/>
      <w:lvlJc w:val="left"/>
      <w:pPr>
        <w:ind w:left="1211" w:hanging="360"/>
      </w:pPr>
      <w:rPr>
        <w:rFonts w:hint="default"/>
        <w:color w:val="525252" w:themeColor="accent3" w:themeShade="80"/>
      </w:rPr>
    </w:lvl>
    <w:lvl w:ilvl="1">
      <w:start w:val="9"/>
      <w:numFmt w:val="decimal"/>
      <w:isLgl/>
      <w:lvlText w:val="%1.%2"/>
      <w:lvlJc w:val="left"/>
      <w:pPr>
        <w:ind w:left="372" w:hanging="372"/>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94E6BE1"/>
    <w:multiLevelType w:val="multilevel"/>
    <w:tmpl w:val="EBA4B2AC"/>
    <w:lvl w:ilvl="0">
      <w:start w:val="4"/>
      <w:numFmt w:val="decimal"/>
      <w:lvlText w:val="%1"/>
      <w:lvlJc w:val="left"/>
      <w:pPr>
        <w:ind w:left="492" w:hanging="492"/>
      </w:pPr>
      <w:rPr>
        <w:rFonts w:hint="default"/>
      </w:rPr>
    </w:lvl>
    <w:lvl w:ilvl="1">
      <w:start w:val="1"/>
      <w:numFmt w:val="decimal"/>
      <w:lvlText w:val="%1.%2"/>
      <w:lvlJc w:val="left"/>
      <w:pPr>
        <w:ind w:left="852" w:hanging="49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C0F1888"/>
    <w:multiLevelType w:val="hybridMultilevel"/>
    <w:tmpl w:val="CAB4D3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C261522"/>
    <w:multiLevelType w:val="multilevel"/>
    <w:tmpl w:val="B330A53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1E3B752E"/>
    <w:multiLevelType w:val="hybridMultilevel"/>
    <w:tmpl w:val="5B3804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771D95"/>
    <w:multiLevelType w:val="hybridMultilevel"/>
    <w:tmpl w:val="115A14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4674D2D"/>
    <w:multiLevelType w:val="multilevel"/>
    <w:tmpl w:val="4EEE5F3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8353638"/>
    <w:multiLevelType w:val="hybridMultilevel"/>
    <w:tmpl w:val="9E12BB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B476EEF"/>
    <w:multiLevelType w:val="hybridMultilevel"/>
    <w:tmpl w:val="22EC17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D55538B"/>
    <w:multiLevelType w:val="hybridMultilevel"/>
    <w:tmpl w:val="7618F3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25D6413"/>
    <w:multiLevelType w:val="hybridMultilevel"/>
    <w:tmpl w:val="BC7C6430"/>
    <w:lvl w:ilvl="0" w:tplc="21C4A886">
      <w:numFmt w:val="bullet"/>
      <w:lvlText w:val="•"/>
      <w:lvlJc w:val="left"/>
      <w:pPr>
        <w:ind w:left="1080" w:hanging="72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2C44AF4"/>
    <w:multiLevelType w:val="hybridMultilevel"/>
    <w:tmpl w:val="25CC7C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66E6076"/>
    <w:multiLevelType w:val="hybridMultilevel"/>
    <w:tmpl w:val="FB1046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67A18F2"/>
    <w:multiLevelType w:val="hybridMultilevel"/>
    <w:tmpl w:val="84C638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35842FF"/>
    <w:multiLevelType w:val="hybridMultilevel"/>
    <w:tmpl w:val="C8168D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B2C2E3F"/>
    <w:multiLevelType w:val="hybridMultilevel"/>
    <w:tmpl w:val="C6F686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4B6517F3"/>
    <w:multiLevelType w:val="hybridMultilevel"/>
    <w:tmpl w:val="74BA72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E055F28"/>
    <w:multiLevelType w:val="hybridMultilevel"/>
    <w:tmpl w:val="B100C6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EC76A9F"/>
    <w:multiLevelType w:val="hybridMultilevel"/>
    <w:tmpl w:val="6C0C80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2014A04"/>
    <w:multiLevelType w:val="hybridMultilevel"/>
    <w:tmpl w:val="8DD251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2927E2D"/>
    <w:multiLevelType w:val="multilevel"/>
    <w:tmpl w:val="A936F6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E92E45"/>
    <w:multiLevelType w:val="hybridMultilevel"/>
    <w:tmpl w:val="544C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161344"/>
    <w:multiLevelType w:val="hybridMultilevel"/>
    <w:tmpl w:val="75D262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0F5519F"/>
    <w:multiLevelType w:val="multilevel"/>
    <w:tmpl w:val="B942A27C"/>
    <w:lvl w:ilvl="0">
      <w:start w:val="1"/>
      <w:numFmt w:val="decimal"/>
      <w:lvlText w:val="%1."/>
      <w:lvlJc w:val="left"/>
      <w:pPr>
        <w:ind w:left="360" w:hanging="360"/>
      </w:pPr>
      <w:rPr>
        <w:rFonts w:ascii="Arial" w:hAnsi="Arial" w:cs="Arial" w:hint="default"/>
        <w:b/>
        <w:color w:val="525252" w:themeColor="accent3" w:themeShade="80"/>
        <w:sz w:val="24"/>
        <w:szCs w:val="24"/>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13C783D"/>
    <w:multiLevelType w:val="multilevel"/>
    <w:tmpl w:val="7136935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4D047E4"/>
    <w:multiLevelType w:val="hybridMultilevel"/>
    <w:tmpl w:val="2F702D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65EA15B4"/>
    <w:multiLevelType w:val="hybridMultilevel"/>
    <w:tmpl w:val="B4FCA3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C3875FE"/>
    <w:multiLevelType w:val="multilevel"/>
    <w:tmpl w:val="1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F777E47"/>
    <w:multiLevelType w:val="hybridMultilevel"/>
    <w:tmpl w:val="3D0416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752E2E76"/>
    <w:multiLevelType w:val="hybridMultilevel"/>
    <w:tmpl w:val="E624A3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799654AB"/>
    <w:multiLevelType w:val="hybridMultilevel"/>
    <w:tmpl w:val="21B0E6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A1D6E67"/>
    <w:multiLevelType w:val="multilevel"/>
    <w:tmpl w:val="6FA8086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347E95"/>
    <w:multiLevelType w:val="hybridMultilevel"/>
    <w:tmpl w:val="AED481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7D865398"/>
    <w:multiLevelType w:val="multilevel"/>
    <w:tmpl w:val="588EB05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0"/>
  </w:num>
  <w:num w:numId="3">
    <w:abstractNumId w:val="12"/>
  </w:num>
  <w:num w:numId="4">
    <w:abstractNumId w:val="22"/>
  </w:num>
  <w:num w:numId="5">
    <w:abstractNumId w:val="20"/>
  </w:num>
  <w:num w:numId="6">
    <w:abstractNumId w:val="1"/>
  </w:num>
  <w:num w:numId="7">
    <w:abstractNumId w:val="28"/>
  </w:num>
  <w:num w:numId="8">
    <w:abstractNumId w:val="4"/>
  </w:num>
  <w:num w:numId="9">
    <w:abstractNumId w:val="7"/>
  </w:num>
  <w:num w:numId="10">
    <w:abstractNumId w:val="32"/>
  </w:num>
  <w:num w:numId="11">
    <w:abstractNumId w:val="30"/>
  </w:num>
  <w:num w:numId="12">
    <w:abstractNumId w:val="15"/>
  </w:num>
  <w:num w:numId="13">
    <w:abstractNumId w:val="11"/>
  </w:num>
  <w:num w:numId="14">
    <w:abstractNumId w:val="9"/>
  </w:num>
  <w:num w:numId="15">
    <w:abstractNumId w:val="33"/>
  </w:num>
  <w:num w:numId="16">
    <w:abstractNumId w:val="23"/>
  </w:num>
  <w:num w:numId="17">
    <w:abstractNumId w:val="27"/>
  </w:num>
  <w:num w:numId="18">
    <w:abstractNumId w:val="6"/>
  </w:num>
  <w:num w:numId="19">
    <w:abstractNumId w:val="34"/>
  </w:num>
  <w:num w:numId="20">
    <w:abstractNumId w:val="36"/>
  </w:num>
  <w:num w:numId="21">
    <w:abstractNumId w:val="26"/>
  </w:num>
  <w:num w:numId="22">
    <w:abstractNumId w:val="31"/>
  </w:num>
  <w:num w:numId="23">
    <w:abstractNumId w:val="25"/>
  </w:num>
  <w:num w:numId="24">
    <w:abstractNumId w:val="5"/>
  </w:num>
  <w:num w:numId="25">
    <w:abstractNumId w:val="14"/>
  </w:num>
  <w:num w:numId="26">
    <w:abstractNumId w:val="19"/>
  </w:num>
  <w:num w:numId="27">
    <w:abstractNumId w:val="18"/>
  </w:num>
  <w:num w:numId="28">
    <w:abstractNumId w:val="16"/>
  </w:num>
  <w:num w:numId="29">
    <w:abstractNumId w:val="35"/>
  </w:num>
  <w:num w:numId="30">
    <w:abstractNumId w:val="0"/>
  </w:num>
  <w:num w:numId="31">
    <w:abstractNumId w:val="29"/>
  </w:num>
  <w:num w:numId="32">
    <w:abstractNumId w:val="2"/>
  </w:num>
  <w:num w:numId="33">
    <w:abstractNumId w:val="13"/>
  </w:num>
  <w:num w:numId="34">
    <w:abstractNumId w:val="8"/>
  </w:num>
  <w:num w:numId="35">
    <w:abstractNumId w:val="17"/>
  </w:num>
  <w:num w:numId="36">
    <w:abstractNumId w:val="2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A5"/>
    <w:rsid w:val="0000100F"/>
    <w:rsid w:val="000031FB"/>
    <w:rsid w:val="00012092"/>
    <w:rsid w:val="0001293B"/>
    <w:rsid w:val="00020221"/>
    <w:rsid w:val="000249BD"/>
    <w:rsid w:val="00027F5F"/>
    <w:rsid w:val="000337A0"/>
    <w:rsid w:val="00034C9A"/>
    <w:rsid w:val="000461B7"/>
    <w:rsid w:val="00046D69"/>
    <w:rsid w:val="00052630"/>
    <w:rsid w:val="00065B32"/>
    <w:rsid w:val="00080EC4"/>
    <w:rsid w:val="00082613"/>
    <w:rsid w:val="00093F99"/>
    <w:rsid w:val="000A0020"/>
    <w:rsid w:val="000C7E42"/>
    <w:rsid w:val="000D3492"/>
    <w:rsid w:val="000F68F8"/>
    <w:rsid w:val="0011796D"/>
    <w:rsid w:val="001202F3"/>
    <w:rsid w:val="001242EA"/>
    <w:rsid w:val="00124FFB"/>
    <w:rsid w:val="001314CE"/>
    <w:rsid w:val="00132106"/>
    <w:rsid w:val="00153B15"/>
    <w:rsid w:val="001548BB"/>
    <w:rsid w:val="00167790"/>
    <w:rsid w:val="001713D5"/>
    <w:rsid w:val="00187CE6"/>
    <w:rsid w:val="00193E48"/>
    <w:rsid w:val="0019420A"/>
    <w:rsid w:val="001A7D30"/>
    <w:rsid w:val="001A7F0F"/>
    <w:rsid w:val="001B376F"/>
    <w:rsid w:val="001C5D84"/>
    <w:rsid w:val="001C71DF"/>
    <w:rsid w:val="001E2018"/>
    <w:rsid w:val="001E369C"/>
    <w:rsid w:val="001E6AB6"/>
    <w:rsid w:val="001E76FA"/>
    <w:rsid w:val="001E7885"/>
    <w:rsid w:val="001E7F2C"/>
    <w:rsid w:val="001F0CAB"/>
    <w:rsid w:val="001F5992"/>
    <w:rsid w:val="001F6EF3"/>
    <w:rsid w:val="00206913"/>
    <w:rsid w:val="00214354"/>
    <w:rsid w:val="00220263"/>
    <w:rsid w:val="00225209"/>
    <w:rsid w:val="0023340C"/>
    <w:rsid w:val="00233640"/>
    <w:rsid w:val="0025282D"/>
    <w:rsid w:val="00253014"/>
    <w:rsid w:val="00261463"/>
    <w:rsid w:val="00275963"/>
    <w:rsid w:val="0028317D"/>
    <w:rsid w:val="002A2B02"/>
    <w:rsid w:val="002A6D75"/>
    <w:rsid w:val="002B09F2"/>
    <w:rsid w:val="002B2B61"/>
    <w:rsid w:val="002C02BC"/>
    <w:rsid w:val="002C76DA"/>
    <w:rsid w:val="002C7F1E"/>
    <w:rsid w:val="002D6C58"/>
    <w:rsid w:val="002E26C4"/>
    <w:rsid w:val="002F05BD"/>
    <w:rsid w:val="002F0EDB"/>
    <w:rsid w:val="003056F0"/>
    <w:rsid w:val="003162F7"/>
    <w:rsid w:val="00322411"/>
    <w:rsid w:val="00327E22"/>
    <w:rsid w:val="00351053"/>
    <w:rsid w:val="00352992"/>
    <w:rsid w:val="00371B5E"/>
    <w:rsid w:val="00382C32"/>
    <w:rsid w:val="0038759E"/>
    <w:rsid w:val="00391457"/>
    <w:rsid w:val="003E2322"/>
    <w:rsid w:val="003E2783"/>
    <w:rsid w:val="003E35CD"/>
    <w:rsid w:val="003E694A"/>
    <w:rsid w:val="003F5457"/>
    <w:rsid w:val="003F6685"/>
    <w:rsid w:val="00401CE0"/>
    <w:rsid w:val="00401FCD"/>
    <w:rsid w:val="00434A53"/>
    <w:rsid w:val="00441A51"/>
    <w:rsid w:val="00443520"/>
    <w:rsid w:val="00451D91"/>
    <w:rsid w:val="004607B9"/>
    <w:rsid w:val="0046376F"/>
    <w:rsid w:val="004705F3"/>
    <w:rsid w:val="00470C9B"/>
    <w:rsid w:val="00472255"/>
    <w:rsid w:val="004824B6"/>
    <w:rsid w:val="00484F3E"/>
    <w:rsid w:val="00490066"/>
    <w:rsid w:val="004A2D12"/>
    <w:rsid w:val="004A7799"/>
    <w:rsid w:val="004B12A6"/>
    <w:rsid w:val="004B6263"/>
    <w:rsid w:val="004C1E87"/>
    <w:rsid w:val="004C4177"/>
    <w:rsid w:val="004C7E89"/>
    <w:rsid w:val="004D06D9"/>
    <w:rsid w:val="004D6CED"/>
    <w:rsid w:val="004E0CEF"/>
    <w:rsid w:val="004E25CB"/>
    <w:rsid w:val="004F63C1"/>
    <w:rsid w:val="0050096A"/>
    <w:rsid w:val="00503726"/>
    <w:rsid w:val="00503B3B"/>
    <w:rsid w:val="00512AB9"/>
    <w:rsid w:val="00521533"/>
    <w:rsid w:val="00521FCC"/>
    <w:rsid w:val="00521FED"/>
    <w:rsid w:val="00523F81"/>
    <w:rsid w:val="00524B94"/>
    <w:rsid w:val="00546786"/>
    <w:rsid w:val="00550391"/>
    <w:rsid w:val="005511B6"/>
    <w:rsid w:val="00554D7E"/>
    <w:rsid w:val="00560DFB"/>
    <w:rsid w:val="00565E3B"/>
    <w:rsid w:val="00583CC9"/>
    <w:rsid w:val="00596A0F"/>
    <w:rsid w:val="005A4630"/>
    <w:rsid w:val="005B0E29"/>
    <w:rsid w:val="005B4621"/>
    <w:rsid w:val="005D4F5C"/>
    <w:rsid w:val="005D6CDC"/>
    <w:rsid w:val="005F194B"/>
    <w:rsid w:val="005F4FE6"/>
    <w:rsid w:val="005F5709"/>
    <w:rsid w:val="005F732A"/>
    <w:rsid w:val="006461C3"/>
    <w:rsid w:val="006613B9"/>
    <w:rsid w:val="0066549F"/>
    <w:rsid w:val="00671773"/>
    <w:rsid w:val="00675EFD"/>
    <w:rsid w:val="006862FB"/>
    <w:rsid w:val="006A2FD1"/>
    <w:rsid w:val="006B6D37"/>
    <w:rsid w:val="006C2EC0"/>
    <w:rsid w:val="006C77D6"/>
    <w:rsid w:val="006E1762"/>
    <w:rsid w:val="006E22D0"/>
    <w:rsid w:val="006F0639"/>
    <w:rsid w:val="006F4EDF"/>
    <w:rsid w:val="006F75F5"/>
    <w:rsid w:val="007017FE"/>
    <w:rsid w:val="00703761"/>
    <w:rsid w:val="007073F6"/>
    <w:rsid w:val="00713690"/>
    <w:rsid w:val="00713D91"/>
    <w:rsid w:val="007239B0"/>
    <w:rsid w:val="00740876"/>
    <w:rsid w:val="007457B1"/>
    <w:rsid w:val="00747C47"/>
    <w:rsid w:val="007607D4"/>
    <w:rsid w:val="00762DD6"/>
    <w:rsid w:val="0076782E"/>
    <w:rsid w:val="007719A8"/>
    <w:rsid w:val="007750A7"/>
    <w:rsid w:val="00776424"/>
    <w:rsid w:val="00777318"/>
    <w:rsid w:val="007911A5"/>
    <w:rsid w:val="00792975"/>
    <w:rsid w:val="0079301F"/>
    <w:rsid w:val="007A39CB"/>
    <w:rsid w:val="007A59B3"/>
    <w:rsid w:val="007A63C0"/>
    <w:rsid w:val="007A7378"/>
    <w:rsid w:val="007B4233"/>
    <w:rsid w:val="007B5832"/>
    <w:rsid w:val="007B7954"/>
    <w:rsid w:val="007D04DE"/>
    <w:rsid w:val="007D6111"/>
    <w:rsid w:val="007E2972"/>
    <w:rsid w:val="007F407E"/>
    <w:rsid w:val="007F43F3"/>
    <w:rsid w:val="00812314"/>
    <w:rsid w:val="0081411D"/>
    <w:rsid w:val="00816521"/>
    <w:rsid w:val="00820842"/>
    <w:rsid w:val="008316B8"/>
    <w:rsid w:val="00831E8D"/>
    <w:rsid w:val="00843A34"/>
    <w:rsid w:val="008511CB"/>
    <w:rsid w:val="00852135"/>
    <w:rsid w:val="00853926"/>
    <w:rsid w:val="00853C1B"/>
    <w:rsid w:val="00862262"/>
    <w:rsid w:val="0086541F"/>
    <w:rsid w:val="0087000D"/>
    <w:rsid w:val="0087111C"/>
    <w:rsid w:val="0087140E"/>
    <w:rsid w:val="00873614"/>
    <w:rsid w:val="00881C54"/>
    <w:rsid w:val="008922AF"/>
    <w:rsid w:val="00894F72"/>
    <w:rsid w:val="008A7554"/>
    <w:rsid w:val="008B6428"/>
    <w:rsid w:val="008D47DB"/>
    <w:rsid w:val="008D5F01"/>
    <w:rsid w:val="008D62C5"/>
    <w:rsid w:val="008F75B0"/>
    <w:rsid w:val="009008E4"/>
    <w:rsid w:val="00901538"/>
    <w:rsid w:val="00906FB3"/>
    <w:rsid w:val="009103BD"/>
    <w:rsid w:val="009110F1"/>
    <w:rsid w:val="0092139B"/>
    <w:rsid w:val="0092350D"/>
    <w:rsid w:val="00923E90"/>
    <w:rsid w:val="009250FB"/>
    <w:rsid w:val="00926667"/>
    <w:rsid w:val="00931669"/>
    <w:rsid w:val="009345A9"/>
    <w:rsid w:val="00934A23"/>
    <w:rsid w:val="00963B4F"/>
    <w:rsid w:val="00963E0F"/>
    <w:rsid w:val="00973467"/>
    <w:rsid w:val="0097552C"/>
    <w:rsid w:val="00986EA0"/>
    <w:rsid w:val="0098798E"/>
    <w:rsid w:val="009A14AC"/>
    <w:rsid w:val="009B6105"/>
    <w:rsid w:val="009D723F"/>
    <w:rsid w:val="009D73BC"/>
    <w:rsid w:val="009E35DF"/>
    <w:rsid w:val="00A10009"/>
    <w:rsid w:val="00A10AF0"/>
    <w:rsid w:val="00A352D1"/>
    <w:rsid w:val="00A45871"/>
    <w:rsid w:val="00A708EE"/>
    <w:rsid w:val="00A7583D"/>
    <w:rsid w:val="00A7726B"/>
    <w:rsid w:val="00A8641C"/>
    <w:rsid w:val="00A9322A"/>
    <w:rsid w:val="00AA480F"/>
    <w:rsid w:val="00AA4BFB"/>
    <w:rsid w:val="00AB615C"/>
    <w:rsid w:val="00AB710E"/>
    <w:rsid w:val="00AC33C0"/>
    <w:rsid w:val="00AC59F3"/>
    <w:rsid w:val="00AD0F18"/>
    <w:rsid w:val="00AD3899"/>
    <w:rsid w:val="00AD404B"/>
    <w:rsid w:val="00AD78CB"/>
    <w:rsid w:val="00AE3648"/>
    <w:rsid w:val="00AE3DB7"/>
    <w:rsid w:val="00AE77C6"/>
    <w:rsid w:val="00AF19A8"/>
    <w:rsid w:val="00B019FB"/>
    <w:rsid w:val="00B2345B"/>
    <w:rsid w:val="00B32317"/>
    <w:rsid w:val="00B372EB"/>
    <w:rsid w:val="00B37CD4"/>
    <w:rsid w:val="00B40C77"/>
    <w:rsid w:val="00B452B9"/>
    <w:rsid w:val="00B4669E"/>
    <w:rsid w:val="00B47F86"/>
    <w:rsid w:val="00B74E04"/>
    <w:rsid w:val="00B82809"/>
    <w:rsid w:val="00B86CBC"/>
    <w:rsid w:val="00B87A4F"/>
    <w:rsid w:val="00B91E53"/>
    <w:rsid w:val="00B9334C"/>
    <w:rsid w:val="00B95D36"/>
    <w:rsid w:val="00B97181"/>
    <w:rsid w:val="00B97F7A"/>
    <w:rsid w:val="00BB5679"/>
    <w:rsid w:val="00BB5DA5"/>
    <w:rsid w:val="00BE7E47"/>
    <w:rsid w:val="00C07A5A"/>
    <w:rsid w:val="00C16C63"/>
    <w:rsid w:val="00C20C77"/>
    <w:rsid w:val="00C276AE"/>
    <w:rsid w:val="00C3034E"/>
    <w:rsid w:val="00C32A29"/>
    <w:rsid w:val="00C35549"/>
    <w:rsid w:val="00C35EBB"/>
    <w:rsid w:val="00C36515"/>
    <w:rsid w:val="00C36BE5"/>
    <w:rsid w:val="00C47073"/>
    <w:rsid w:val="00C50424"/>
    <w:rsid w:val="00C50E5D"/>
    <w:rsid w:val="00C55C08"/>
    <w:rsid w:val="00C627C2"/>
    <w:rsid w:val="00C710F9"/>
    <w:rsid w:val="00C7112D"/>
    <w:rsid w:val="00C762FA"/>
    <w:rsid w:val="00C8593C"/>
    <w:rsid w:val="00C924E4"/>
    <w:rsid w:val="00C94D32"/>
    <w:rsid w:val="00C96B77"/>
    <w:rsid w:val="00C97997"/>
    <w:rsid w:val="00CA10D7"/>
    <w:rsid w:val="00CA6D0E"/>
    <w:rsid w:val="00CC34EF"/>
    <w:rsid w:val="00CC4E79"/>
    <w:rsid w:val="00CC7C81"/>
    <w:rsid w:val="00CD49E0"/>
    <w:rsid w:val="00CE1B3A"/>
    <w:rsid w:val="00CE2E27"/>
    <w:rsid w:val="00CE3BEC"/>
    <w:rsid w:val="00CE3D2C"/>
    <w:rsid w:val="00CF2912"/>
    <w:rsid w:val="00D00A7E"/>
    <w:rsid w:val="00D123F4"/>
    <w:rsid w:val="00D17F5D"/>
    <w:rsid w:val="00D21850"/>
    <w:rsid w:val="00D22741"/>
    <w:rsid w:val="00D40548"/>
    <w:rsid w:val="00D452DC"/>
    <w:rsid w:val="00D47475"/>
    <w:rsid w:val="00D529F4"/>
    <w:rsid w:val="00D55C13"/>
    <w:rsid w:val="00D5796D"/>
    <w:rsid w:val="00D67263"/>
    <w:rsid w:val="00D70D83"/>
    <w:rsid w:val="00D859B1"/>
    <w:rsid w:val="00D8650C"/>
    <w:rsid w:val="00D86BCB"/>
    <w:rsid w:val="00DB08CF"/>
    <w:rsid w:val="00DB6144"/>
    <w:rsid w:val="00DB6E41"/>
    <w:rsid w:val="00DE1EA2"/>
    <w:rsid w:val="00DE3D05"/>
    <w:rsid w:val="00DE4014"/>
    <w:rsid w:val="00E0104D"/>
    <w:rsid w:val="00E03536"/>
    <w:rsid w:val="00E150AD"/>
    <w:rsid w:val="00E2146F"/>
    <w:rsid w:val="00E215EE"/>
    <w:rsid w:val="00E21EC6"/>
    <w:rsid w:val="00E40E0A"/>
    <w:rsid w:val="00E466F0"/>
    <w:rsid w:val="00E47125"/>
    <w:rsid w:val="00E56924"/>
    <w:rsid w:val="00E6255B"/>
    <w:rsid w:val="00E63CF8"/>
    <w:rsid w:val="00E640E7"/>
    <w:rsid w:val="00E64A5B"/>
    <w:rsid w:val="00E6562B"/>
    <w:rsid w:val="00E906AA"/>
    <w:rsid w:val="00E91EDB"/>
    <w:rsid w:val="00EB6974"/>
    <w:rsid w:val="00EB6D70"/>
    <w:rsid w:val="00EC560D"/>
    <w:rsid w:val="00ED306F"/>
    <w:rsid w:val="00ED4976"/>
    <w:rsid w:val="00ED69FE"/>
    <w:rsid w:val="00ED73A6"/>
    <w:rsid w:val="00ED76CE"/>
    <w:rsid w:val="00EE34BC"/>
    <w:rsid w:val="00F04BC6"/>
    <w:rsid w:val="00F0505E"/>
    <w:rsid w:val="00F11470"/>
    <w:rsid w:val="00F14E6B"/>
    <w:rsid w:val="00F200B9"/>
    <w:rsid w:val="00F474E2"/>
    <w:rsid w:val="00F5282A"/>
    <w:rsid w:val="00F54327"/>
    <w:rsid w:val="00F61C8F"/>
    <w:rsid w:val="00F63B1A"/>
    <w:rsid w:val="00F707EA"/>
    <w:rsid w:val="00F84167"/>
    <w:rsid w:val="00FA1751"/>
    <w:rsid w:val="00FC3E49"/>
    <w:rsid w:val="00FE4214"/>
    <w:rsid w:val="00FE6D45"/>
    <w:rsid w:val="00FE7E16"/>
    <w:rsid w:val="00FF052B"/>
    <w:rsid w:val="00FF38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1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3E"/>
  </w:style>
  <w:style w:type="paragraph" w:styleId="Heading1">
    <w:name w:val="heading 1"/>
    <w:basedOn w:val="Normal"/>
    <w:next w:val="Normal"/>
    <w:link w:val="Heading1Char"/>
    <w:qFormat/>
    <w:rsid w:val="00BB5DA5"/>
    <w:pPr>
      <w:keepNext/>
      <w:keepLines/>
      <w:spacing w:before="240" w:after="0"/>
      <w:outlineLvl w:val="0"/>
    </w:pPr>
    <w:rPr>
      <w:rFonts w:ascii="Cambria" w:eastAsia="Times New Roman" w:hAnsi="Cambria" w:cs="Times New Roman"/>
      <w:color w:val="365F91"/>
      <w:sz w:val="32"/>
      <w:szCs w:val="32"/>
      <w:lang w:val="en-GB" w:eastAsia="en-GB"/>
    </w:rPr>
  </w:style>
  <w:style w:type="paragraph" w:styleId="Heading2">
    <w:name w:val="heading 2"/>
    <w:basedOn w:val="Normal"/>
    <w:next w:val="Normal"/>
    <w:link w:val="Heading2Char"/>
    <w:semiHidden/>
    <w:unhideWhenUsed/>
    <w:qFormat/>
    <w:rsid w:val="00BB5DA5"/>
    <w:pPr>
      <w:keepNext/>
      <w:keepLines/>
      <w:spacing w:before="40" w:after="0"/>
      <w:outlineLvl w:val="1"/>
    </w:pPr>
    <w:rPr>
      <w:rFonts w:ascii="Cambria" w:eastAsia="Times New Roman" w:hAnsi="Cambria" w:cs="Times New Roman"/>
      <w:color w:val="365F91"/>
      <w:sz w:val="26"/>
      <w:szCs w:val="26"/>
      <w:lang w:val="en-GB" w:eastAsia="en-GB"/>
    </w:rPr>
  </w:style>
  <w:style w:type="paragraph" w:styleId="Heading3">
    <w:name w:val="heading 3"/>
    <w:basedOn w:val="Normal"/>
    <w:next w:val="Normal"/>
    <w:link w:val="Heading3Char"/>
    <w:semiHidden/>
    <w:unhideWhenUsed/>
    <w:qFormat/>
    <w:rsid w:val="00BB5DA5"/>
    <w:pPr>
      <w:keepNext/>
      <w:keepLines/>
      <w:spacing w:before="40" w:after="0"/>
      <w:outlineLvl w:val="2"/>
    </w:pPr>
    <w:rPr>
      <w:rFonts w:ascii="Cambria" w:eastAsia="Times New Roman" w:hAnsi="Cambria" w:cs="Times New Roman"/>
      <w:color w:val="243F6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fn Char"/>
    <w:basedOn w:val="Normal"/>
    <w:link w:val="FootnoteTextChar"/>
    <w:unhideWhenUsed/>
    <w:rsid w:val="00BB5DA5"/>
    <w:pPr>
      <w:spacing w:after="0" w:line="240" w:lineRule="auto"/>
    </w:pPr>
    <w:rPr>
      <w:sz w:val="20"/>
      <w:szCs w:val="20"/>
    </w:rPr>
  </w:style>
  <w:style w:type="character" w:customStyle="1" w:styleId="FootnoteTextChar">
    <w:name w:val="Footnote Text Char"/>
    <w:aliases w:val="Footnote Text Char Char Char,Footnote Text Char1 Char,fn Char Char"/>
    <w:basedOn w:val="DefaultParagraphFont"/>
    <w:link w:val="FootnoteText"/>
    <w:rsid w:val="00BB5DA5"/>
    <w:rPr>
      <w:sz w:val="20"/>
      <w:szCs w:val="20"/>
    </w:rPr>
  </w:style>
  <w:style w:type="character" w:styleId="FootnoteReference">
    <w:name w:val="footnote reference"/>
    <w:basedOn w:val="DefaultParagraphFont"/>
    <w:rsid w:val="00BB5DA5"/>
    <w:rPr>
      <w:vertAlign w:val="superscript"/>
    </w:rPr>
  </w:style>
  <w:style w:type="table" w:customStyle="1" w:styleId="GridTable1Light1">
    <w:name w:val="Grid Table 1 Light1"/>
    <w:basedOn w:val="TableNormal"/>
    <w:next w:val="GridTable1Light"/>
    <w:uiPriority w:val="46"/>
    <w:rsid w:val="00BB5DA5"/>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BB5D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11">
    <w:name w:val="Heading 11"/>
    <w:basedOn w:val="Normal"/>
    <w:next w:val="Normal"/>
    <w:qFormat/>
    <w:rsid w:val="00BB5DA5"/>
    <w:pPr>
      <w:keepNext/>
      <w:keepLines/>
      <w:spacing w:before="240" w:after="0" w:line="240" w:lineRule="auto"/>
      <w:outlineLvl w:val="0"/>
    </w:pPr>
    <w:rPr>
      <w:rFonts w:ascii="Cambria" w:eastAsia="Times New Roman" w:hAnsi="Cambria" w:cs="Times New Roman"/>
      <w:color w:val="365F91"/>
      <w:sz w:val="32"/>
      <w:szCs w:val="32"/>
      <w:lang w:val="en-GB" w:eastAsia="en-GB"/>
    </w:rPr>
  </w:style>
  <w:style w:type="paragraph" w:customStyle="1" w:styleId="Heading21">
    <w:name w:val="Heading 21"/>
    <w:basedOn w:val="Normal"/>
    <w:next w:val="Normal"/>
    <w:semiHidden/>
    <w:unhideWhenUsed/>
    <w:qFormat/>
    <w:rsid w:val="00BB5DA5"/>
    <w:pPr>
      <w:keepNext/>
      <w:keepLines/>
      <w:spacing w:before="40" w:after="0" w:line="240" w:lineRule="auto"/>
      <w:outlineLvl w:val="1"/>
    </w:pPr>
    <w:rPr>
      <w:rFonts w:ascii="Cambria" w:eastAsia="Times New Roman" w:hAnsi="Cambria" w:cs="Times New Roman"/>
      <w:color w:val="365F91"/>
      <w:sz w:val="26"/>
      <w:szCs w:val="26"/>
      <w:lang w:val="en-GB" w:eastAsia="en-GB"/>
    </w:rPr>
  </w:style>
  <w:style w:type="paragraph" w:customStyle="1" w:styleId="Heading31">
    <w:name w:val="Heading 31"/>
    <w:basedOn w:val="Normal"/>
    <w:next w:val="Normal"/>
    <w:semiHidden/>
    <w:unhideWhenUsed/>
    <w:qFormat/>
    <w:rsid w:val="00BB5DA5"/>
    <w:pPr>
      <w:keepNext/>
      <w:keepLines/>
      <w:spacing w:before="40" w:after="0" w:line="240" w:lineRule="auto"/>
      <w:outlineLvl w:val="2"/>
    </w:pPr>
    <w:rPr>
      <w:rFonts w:ascii="Cambria" w:eastAsia="Times New Roman" w:hAnsi="Cambria" w:cs="Times New Roman"/>
      <w:color w:val="243F60"/>
      <w:sz w:val="24"/>
      <w:szCs w:val="24"/>
      <w:lang w:val="en-GB" w:eastAsia="en-GB"/>
    </w:rPr>
  </w:style>
  <w:style w:type="numbering" w:customStyle="1" w:styleId="NoList1">
    <w:name w:val="No List1"/>
    <w:next w:val="NoList"/>
    <w:uiPriority w:val="99"/>
    <w:semiHidden/>
    <w:unhideWhenUsed/>
    <w:rsid w:val="00BB5DA5"/>
  </w:style>
  <w:style w:type="paragraph" w:customStyle="1" w:styleId="Normalbold">
    <w:name w:val="Normal bold"/>
    <w:basedOn w:val="Normal"/>
    <w:rsid w:val="00BB5DA5"/>
    <w:pPr>
      <w:spacing w:after="60" w:line="240" w:lineRule="auto"/>
    </w:pPr>
    <w:rPr>
      <w:rFonts w:ascii="Arial" w:eastAsia="Times New Roman" w:hAnsi="Arial" w:cs="Times New Roman"/>
      <w:b/>
      <w:color w:val="000000"/>
      <w:sz w:val="18"/>
      <w:szCs w:val="18"/>
      <w:lang w:val="en-GB" w:eastAsia="en-GB"/>
    </w:rPr>
  </w:style>
  <w:style w:type="paragraph" w:styleId="Footer">
    <w:name w:val="footer"/>
    <w:basedOn w:val="Normal"/>
    <w:link w:val="FooterChar"/>
    <w:uiPriority w:val="99"/>
    <w:rsid w:val="00BB5DA5"/>
    <w:pPr>
      <w:spacing w:after="60" w:line="240" w:lineRule="auto"/>
    </w:pPr>
    <w:rPr>
      <w:rFonts w:ascii="Arial" w:eastAsia="Times New Roman" w:hAnsi="Arial" w:cs="Times New Roman"/>
      <w:sz w:val="14"/>
      <w:szCs w:val="14"/>
      <w:lang w:val="en-GB" w:eastAsia="en-GB"/>
    </w:rPr>
  </w:style>
  <w:style w:type="character" w:customStyle="1" w:styleId="FooterChar">
    <w:name w:val="Footer Char"/>
    <w:basedOn w:val="DefaultParagraphFont"/>
    <w:link w:val="Footer"/>
    <w:uiPriority w:val="99"/>
    <w:rsid w:val="00BB5DA5"/>
    <w:rPr>
      <w:rFonts w:ascii="Arial" w:eastAsia="Times New Roman" w:hAnsi="Arial" w:cs="Times New Roman"/>
      <w:sz w:val="14"/>
      <w:szCs w:val="14"/>
      <w:lang w:val="en-GB" w:eastAsia="en-GB"/>
    </w:rPr>
  </w:style>
  <w:style w:type="paragraph" w:styleId="Header">
    <w:name w:val="header"/>
    <w:basedOn w:val="Normal"/>
    <w:link w:val="HeaderChar"/>
    <w:rsid w:val="00BB5DA5"/>
    <w:pPr>
      <w:tabs>
        <w:tab w:val="center" w:pos="4153"/>
        <w:tab w:val="right" w:pos="8306"/>
      </w:tabs>
      <w:spacing w:after="60" w:line="240" w:lineRule="auto"/>
    </w:pPr>
    <w:rPr>
      <w:rFonts w:ascii="Arial" w:eastAsia="Times New Roman" w:hAnsi="Arial" w:cs="Times New Roman"/>
      <w:color w:val="000000"/>
      <w:sz w:val="18"/>
      <w:szCs w:val="18"/>
      <w:lang w:val="en-GB" w:eastAsia="en-GB"/>
    </w:rPr>
  </w:style>
  <w:style w:type="character" w:customStyle="1" w:styleId="HeaderChar">
    <w:name w:val="Header Char"/>
    <w:basedOn w:val="DefaultParagraphFont"/>
    <w:link w:val="Header"/>
    <w:rsid w:val="00BB5DA5"/>
    <w:rPr>
      <w:rFonts w:ascii="Arial" w:eastAsia="Times New Roman" w:hAnsi="Arial" w:cs="Times New Roman"/>
      <w:color w:val="000000"/>
      <w:sz w:val="18"/>
      <w:szCs w:val="18"/>
      <w:lang w:val="en-GB" w:eastAsia="en-GB"/>
    </w:rPr>
  </w:style>
  <w:style w:type="character" w:customStyle="1" w:styleId="FooterboldChar">
    <w:name w:val="Footer bold Char"/>
    <w:link w:val="Footerbold"/>
    <w:rsid w:val="00BB5DA5"/>
    <w:rPr>
      <w:rFonts w:ascii="Arial" w:hAnsi="Arial"/>
      <w:b/>
      <w:sz w:val="14"/>
      <w:szCs w:val="14"/>
      <w:lang w:val="en-GB" w:eastAsia="en-GB"/>
    </w:rPr>
  </w:style>
  <w:style w:type="character" w:styleId="PageNumber">
    <w:name w:val="page number"/>
    <w:basedOn w:val="DefaultParagraphFont"/>
    <w:rsid w:val="00BB5DA5"/>
  </w:style>
  <w:style w:type="paragraph" w:styleId="BodyText">
    <w:name w:val="Body Text"/>
    <w:basedOn w:val="Normal"/>
    <w:link w:val="BodyTextChar"/>
    <w:rsid w:val="00BB5DA5"/>
    <w:pPr>
      <w:spacing w:after="0" w:line="240" w:lineRule="auto"/>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BB5DA5"/>
    <w:rPr>
      <w:rFonts w:ascii="Arial" w:eastAsia="Times New Roman" w:hAnsi="Arial" w:cs="Times New Roman"/>
      <w:sz w:val="24"/>
      <w:szCs w:val="24"/>
      <w:lang w:val="en-US"/>
    </w:rPr>
  </w:style>
  <w:style w:type="paragraph" w:styleId="BalloonText">
    <w:name w:val="Balloon Text"/>
    <w:basedOn w:val="Normal"/>
    <w:link w:val="BalloonTextChar"/>
    <w:rsid w:val="00BB5DA5"/>
    <w:pPr>
      <w:spacing w:after="0" w:line="240" w:lineRule="auto"/>
    </w:pPr>
    <w:rPr>
      <w:rFonts w:ascii="Tahoma" w:eastAsia="Times New Roman" w:hAnsi="Tahoma" w:cs="Times New Roman"/>
      <w:color w:val="000000"/>
      <w:sz w:val="16"/>
      <w:szCs w:val="16"/>
      <w:lang w:val="en-GB" w:eastAsia="en-GB"/>
    </w:rPr>
  </w:style>
  <w:style w:type="character" w:customStyle="1" w:styleId="BalloonTextChar">
    <w:name w:val="Balloon Text Char"/>
    <w:basedOn w:val="DefaultParagraphFont"/>
    <w:link w:val="BalloonText"/>
    <w:rsid w:val="00BB5DA5"/>
    <w:rPr>
      <w:rFonts w:ascii="Tahoma" w:eastAsia="Times New Roman" w:hAnsi="Tahoma" w:cs="Times New Roman"/>
      <w:color w:val="000000"/>
      <w:sz w:val="16"/>
      <w:szCs w:val="16"/>
      <w:lang w:val="en-GB" w:eastAsia="en-GB"/>
    </w:rPr>
  </w:style>
  <w:style w:type="paragraph" w:styleId="ListParagraph">
    <w:name w:val="List Paragraph"/>
    <w:basedOn w:val="Normal"/>
    <w:uiPriority w:val="34"/>
    <w:qFormat/>
    <w:rsid w:val="00BB5DA5"/>
    <w:pPr>
      <w:spacing w:after="200" w:line="276" w:lineRule="auto"/>
      <w:ind w:left="720"/>
      <w:contextualSpacing/>
    </w:pPr>
    <w:rPr>
      <w:rFonts w:ascii="Calibri" w:eastAsia="Calibri" w:hAnsi="Calibri" w:cs="Times New Roman"/>
    </w:rPr>
  </w:style>
  <w:style w:type="character" w:styleId="Hyperlink">
    <w:name w:val="Hyperlink"/>
    <w:basedOn w:val="DefaultParagraphFont"/>
    <w:rsid w:val="00BB5DA5"/>
    <w:rPr>
      <w:color w:val="0000FF"/>
      <w:u w:val="single"/>
    </w:rPr>
  </w:style>
  <w:style w:type="character" w:styleId="Strong">
    <w:name w:val="Strong"/>
    <w:basedOn w:val="DefaultParagraphFont"/>
    <w:qFormat/>
    <w:rsid w:val="00BB5DA5"/>
    <w:rPr>
      <w:b/>
      <w:bCs/>
    </w:rPr>
  </w:style>
  <w:style w:type="character" w:styleId="Emphasis">
    <w:name w:val="Emphasis"/>
    <w:basedOn w:val="DefaultParagraphFont"/>
    <w:qFormat/>
    <w:rsid w:val="00BB5DA5"/>
    <w:rPr>
      <w:i/>
      <w:iCs/>
    </w:rPr>
  </w:style>
  <w:style w:type="paragraph" w:styleId="NormalWeb">
    <w:name w:val="Normal (Web)"/>
    <w:basedOn w:val="Normal"/>
    <w:uiPriority w:val="99"/>
    <w:unhideWhenUsed/>
    <w:rsid w:val="00BB5DA5"/>
    <w:pPr>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character" w:styleId="FollowedHyperlink">
    <w:name w:val="FollowedHyperlink"/>
    <w:basedOn w:val="DefaultParagraphFont"/>
    <w:rsid w:val="00BB5DA5"/>
    <w:rPr>
      <w:color w:val="800080"/>
      <w:u w:val="single"/>
    </w:rPr>
  </w:style>
  <w:style w:type="character" w:customStyle="1" w:styleId="inlineglossaryterm">
    <w:name w:val="inlineglossaryterm"/>
    <w:basedOn w:val="DefaultParagraphFont"/>
    <w:rsid w:val="00BB5DA5"/>
  </w:style>
  <w:style w:type="character" w:customStyle="1" w:styleId="A2">
    <w:name w:val="A2"/>
    <w:uiPriority w:val="99"/>
    <w:rsid w:val="00BB5DA5"/>
    <w:rPr>
      <w:rFonts w:cs="Palatino Linotype"/>
      <w:color w:val="000000"/>
      <w:sz w:val="18"/>
      <w:szCs w:val="18"/>
    </w:rPr>
  </w:style>
  <w:style w:type="paragraph" w:customStyle="1" w:styleId="Pa7">
    <w:name w:val="Pa7"/>
    <w:basedOn w:val="Normal"/>
    <w:next w:val="Normal"/>
    <w:uiPriority w:val="99"/>
    <w:rsid w:val="00BB5DA5"/>
    <w:pPr>
      <w:autoSpaceDE w:val="0"/>
      <w:autoSpaceDN w:val="0"/>
      <w:adjustRightInd w:val="0"/>
      <w:spacing w:after="0" w:line="201" w:lineRule="atLeast"/>
    </w:pPr>
    <w:rPr>
      <w:rFonts w:ascii="Myriad Pro" w:eastAsia="Calibri" w:hAnsi="Myriad Pro" w:cs="Times New Roman"/>
      <w:sz w:val="24"/>
      <w:szCs w:val="24"/>
    </w:rPr>
  </w:style>
  <w:style w:type="paragraph" w:customStyle="1" w:styleId="Footerbold">
    <w:name w:val="Footer bold"/>
    <w:basedOn w:val="Footer"/>
    <w:link w:val="FooterboldChar"/>
    <w:rsid w:val="00BB5DA5"/>
    <w:pPr>
      <w:spacing w:after="0" w:line="280" w:lineRule="exact"/>
    </w:pPr>
    <w:rPr>
      <w:rFonts w:eastAsiaTheme="minorHAnsi" w:cstheme="minorBidi"/>
      <w:b/>
    </w:rPr>
  </w:style>
  <w:style w:type="paragraph" w:customStyle="1" w:styleId="bold">
    <w:name w:val="bold"/>
    <w:basedOn w:val="Normal"/>
    <w:rsid w:val="00BB5D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semiHidden/>
    <w:unhideWhenUsed/>
    <w:rsid w:val="00BB5DA5"/>
    <w:rPr>
      <w:sz w:val="16"/>
      <w:szCs w:val="16"/>
    </w:rPr>
  </w:style>
  <w:style w:type="paragraph" w:styleId="CommentText">
    <w:name w:val="annotation text"/>
    <w:basedOn w:val="Normal"/>
    <w:link w:val="CommentTextChar"/>
    <w:semiHidden/>
    <w:unhideWhenUsed/>
    <w:rsid w:val="00BB5DA5"/>
    <w:pPr>
      <w:spacing w:after="60" w:line="240" w:lineRule="auto"/>
    </w:pPr>
    <w:rPr>
      <w:rFonts w:ascii="Arial" w:eastAsia="Times New Roman" w:hAnsi="Arial" w:cs="Times New Roman"/>
      <w:color w:val="000000"/>
      <w:sz w:val="20"/>
      <w:szCs w:val="20"/>
      <w:lang w:val="en-GB" w:eastAsia="en-GB"/>
    </w:rPr>
  </w:style>
  <w:style w:type="character" w:customStyle="1" w:styleId="CommentTextChar">
    <w:name w:val="Comment Text Char"/>
    <w:basedOn w:val="DefaultParagraphFont"/>
    <w:link w:val="CommentText"/>
    <w:semiHidden/>
    <w:rsid w:val="00BB5DA5"/>
    <w:rPr>
      <w:rFonts w:ascii="Arial" w:eastAsia="Times New Roman" w:hAnsi="Arial" w:cs="Times New Roman"/>
      <w:color w:val="000000"/>
      <w:sz w:val="20"/>
      <w:szCs w:val="20"/>
      <w:lang w:val="en-GB" w:eastAsia="en-GB"/>
    </w:rPr>
  </w:style>
  <w:style w:type="paragraph" w:styleId="CommentSubject">
    <w:name w:val="annotation subject"/>
    <w:basedOn w:val="CommentText"/>
    <w:next w:val="CommentText"/>
    <w:link w:val="CommentSubjectChar"/>
    <w:semiHidden/>
    <w:unhideWhenUsed/>
    <w:rsid w:val="00BB5DA5"/>
    <w:rPr>
      <w:b/>
      <w:bCs/>
    </w:rPr>
  </w:style>
  <w:style w:type="character" w:customStyle="1" w:styleId="CommentSubjectChar">
    <w:name w:val="Comment Subject Char"/>
    <w:basedOn w:val="CommentTextChar"/>
    <w:link w:val="CommentSubject"/>
    <w:semiHidden/>
    <w:rsid w:val="00BB5DA5"/>
    <w:rPr>
      <w:rFonts w:ascii="Arial" w:eastAsia="Times New Roman" w:hAnsi="Arial" w:cs="Times New Roman"/>
      <w:b/>
      <w:bCs/>
      <w:color w:val="000000"/>
      <w:sz w:val="20"/>
      <w:szCs w:val="20"/>
      <w:lang w:val="en-GB" w:eastAsia="en-GB"/>
    </w:rPr>
  </w:style>
  <w:style w:type="paragraph" w:styleId="Revision">
    <w:name w:val="Revision"/>
    <w:hidden/>
    <w:uiPriority w:val="99"/>
    <w:semiHidden/>
    <w:rsid w:val="00BB5DA5"/>
    <w:pPr>
      <w:spacing w:after="0" w:line="240" w:lineRule="auto"/>
    </w:pPr>
    <w:rPr>
      <w:rFonts w:ascii="Arial" w:eastAsia="Times New Roman" w:hAnsi="Arial" w:cs="Times New Roman"/>
      <w:color w:val="000000"/>
      <w:sz w:val="18"/>
      <w:szCs w:val="18"/>
      <w:lang w:val="en-GB" w:eastAsia="en-GB"/>
    </w:rPr>
  </w:style>
  <w:style w:type="character" w:customStyle="1" w:styleId="Heading2Char">
    <w:name w:val="Heading 2 Char"/>
    <w:basedOn w:val="DefaultParagraphFont"/>
    <w:link w:val="Heading2"/>
    <w:semiHidden/>
    <w:rsid w:val="00BB5DA5"/>
    <w:rPr>
      <w:rFonts w:ascii="Cambria" w:eastAsia="Times New Roman" w:hAnsi="Cambria" w:cs="Times New Roman"/>
      <w:color w:val="365F91"/>
      <w:sz w:val="26"/>
      <w:szCs w:val="26"/>
      <w:lang w:val="en-GB" w:eastAsia="en-GB"/>
    </w:rPr>
  </w:style>
  <w:style w:type="character" w:customStyle="1" w:styleId="Heading1Char">
    <w:name w:val="Heading 1 Char"/>
    <w:basedOn w:val="DefaultParagraphFont"/>
    <w:link w:val="Heading1"/>
    <w:rsid w:val="00BB5DA5"/>
    <w:rPr>
      <w:rFonts w:ascii="Cambria" w:eastAsia="Times New Roman" w:hAnsi="Cambria" w:cs="Times New Roman"/>
      <w:color w:val="365F91"/>
      <w:sz w:val="32"/>
      <w:szCs w:val="32"/>
      <w:lang w:val="en-GB" w:eastAsia="en-GB"/>
    </w:rPr>
  </w:style>
  <w:style w:type="paragraph" w:customStyle="1" w:styleId="ResearchTitle">
    <w:name w:val="Research Title"/>
    <w:basedOn w:val="Normal"/>
    <w:link w:val="ResearchTitleChar"/>
    <w:rsid w:val="00BB5DA5"/>
    <w:pPr>
      <w:spacing w:after="0" w:line="280" w:lineRule="exact"/>
      <w:jc w:val="both"/>
    </w:pPr>
    <w:rPr>
      <w:rFonts w:ascii="Arial" w:hAnsi="Arial"/>
      <w:b/>
      <w:caps/>
      <w:color w:val="E36C0A"/>
      <w:sz w:val="24"/>
      <w:lang w:val="en-GB"/>
    </w:rPr>
  </w:style>
  <w:style w:type="paragraph" w:customStyle="1" w:styleId="ReseachMainHeading">
    <w:name w:val="Reseach Main Heading"/>
    <w:basedOn w:val="ResearchTitle"/>
    <w:link w:val="ReseachMainHeadingChar"/>
    <w:rsid w:val="00BB5DA5"/>
  </w:style>
  <w:style w:type="character" w:customStyle="1" w:styleId="ResearchTitleChar">
    <w:name w:val="Research Title Char"/>
    <w:basedOn w:val="DefaultParagraphFont"/>
    <w:link w:val="ResearchTitle"/>
    <w:rsid w:val="00BB5DA5"/>
    <w:rPr>
      <w:rFonts w:ascii="Arial" w:hAnsi="Arial"/>
      <w:b/>
      <w:caps/>
      <w:color w:val="E36C0A"/>
      <w:sz w:val="24"/>
      <w:lang w:val="en-GB"/>
    </w:rPr>
  </w:style>
  <w:style w:type="character" w:customStyle="1" w:styleId="ReseachMainHeadingChar">
    <w:name w:val="Reseach Main Heading Char"/>
    <w:basedOn w:val="ResearchTitleChar"/>
    <w:link w:val="ReseachMainHeading"/>
    <w:rsid w:val="00BB5DA5"/>
    <w:rPr>
      <w:rFonts w:ascii="Arial" w:hAnsi="Arial"/>
      <w:b/>
      <w:caps/>
      <w:color w:val="E36C0A"/>
      <w:sz w:val="24"/>
      <w:lang w:val="en-GB"/>
    </w:rPr>
  </w:style>
  <w:style w:type="paragraph" w:customStyle="1" w:styleId="TOC11">
    <w:name w:val="TOC 11"/>
    <w:basedOn w:val="Normal"/>
    <w:next w:val="Normal"/>
    <w:autoRedefine/>
    <w:uiPriority w:val="39"/>
    <w:unhideWhenUsed/>
    <w:qFormat/>
    <w:rsid w:val="00BB5DA5"/>
    <w:pPr>
      <w:spacing w:after="100" w:line="280" w:lineRule="exact"/>
      <w:jc w:val="both"/>
    </w:pPr>
    <w:rPr>
      <w:rFonts w:ascii="Arial" w:hAnsi="Arial"/>
      <w:b/>
      <w:caps/>
      <w:color w:val="000000"/>
      <w:sz w:val="24"/>
      <w:lang w:val="en-GB"/>
    </w:rPr>
  </w:style>
  <w:style w:type="paragraph" w:customStyle="1" w:styleId="TOC21">
    <w:name w:val="TOC 21"/>
    <w:basedOn w:val="Normal"/>
    <w:next w:val="Normal"/>
    <w:autoRedefine/>
    <w:uiPriority w:val="39"/>
    <w:unhideWhenUsed/>
    <w:rsid w:val="00BB5DA5"/>
    <w:pPr>
      <w:spacing w:after="100" w:line="280" w:lineRule="exact"/>
      <w:ind w:left="220"/>
      <w:jc w:val="both"/>
    </w:pPr>
    <w:rPr>
      <w:rFonts w:ascii="Arial" w:hAnsi="Arial"/>
      <w:lang w:val="en-GB"/>
    </w:rPr>
  </w:style>
  <w:style w:type="paragraph" w:customStyle="1" w:styleId="TOC31">
    <w:name w:val="TOC 31"/>
    <w:basedOn w:val="Normal"/>
    <w:next w:val="Normal"/>
    <w:autoRedefine/>
    <w:uiPriority w:val="39"/>
    <w:unhideWhenUsed/>
    <w:rsid w:val="00BB5DA5"/>
    <w:pPr>
      <w:spacing w:after="100" w:line="240" w:lineRule="exact"/>
      <w:ind w:left="442"/>
      <w:jc w:val="both"/>
    </w:pPr>
    <w:rPr>
      <w:rFonts w:ascii="Arial" w:eastAsia="Times New Roman" w:hAnsi="Arial" w:cs="Times New Roman"/>
      <w:lang w:val="en-US"/>
    </w:rPr>
  </w:style>
  <w:style w:type="paragraph" w:customStyle="1" w:styleId="Title1">
    <w:name w:val="Title1"/>
    <w:basedOn w:val="Normal"/>
    <w:next w:val="Normal"/>
    <w:uiPriority w:val="10"/>
    <w:qFormat/>
    <w:rsid w:val="00BB5DA5"/>
    <w:pPr>
      <w:spacing w:after="0" w:line="240" w:lineRule="auto"/>
      <w:contextualSpacing/>
      <w:jc w:val="both"/>
    </w:pPr>
    <w:rPr>
      <w:rFonts w:ascii="Arial" w:eastAsia="Times New Roman" w:hAnsi="Arial" w:cs="Times New Roman"/>
      <w:b/>
      <w:caps/>
      <w:color w:val="E36C0A"/>
      <w:spacing w:val="-10"/>
      <w:kern w:val="28"/>
      <w:sz w:val="28"/>
      <w:szCs w:val="56"/>
      <w:lang w:val="en-GB"/>
    </w:rPr>
  </w:style>
  <w:style w:type="character" w:customStyle="1" w:styleId="TitleChar">
    <w:name w:val="Title Char"/>
    <w:basedOn w:val="DefaultParagraphFont"/>
    <w:link w:val="Title"/>
    <w:uiPriority w:val="10"/>
    <w:rsid w:val="00BB5DA5"/>
    <w:rPr>
      <w:rFonts w:ascii="Arial" w:eastAsia="Times New Roman" w:hAnsi="Arial" w:cs="Times New Roman"/>
      <w:b/>
      <w:caps/>
      <w:color w:val="E36C0A"/>
      <w:spacing w:val="-10"/>
      <w:kern w:val="28"/>
      <w:sz w:val="28"/>
      <w:szCs w:val="56"/>
      <w:lang w:val="en-GB" w:eastAsia="en-US"/>
    </w:rPr>
  </w:style>
  <w:style w:type="table" w:customStyle="1" w:styleId="TableGrid1">
    <w:name w:val="Table Grid1"/>
    <w:basedOn w:val="TableNormal"/>
    <w:next w:val="TableGrid"/>
    <w:uiPriority w:val="39"/>
    <w:rsid w:val="00BB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B5DA5"/>
    <w:rPr>
      <w:rFonts w:ascii="Cambria" w:eastAsia="Times New Roman" w:hAnsi="Cambria" w:cs="Times New Roman"/>
      <w:color w:val="243F60"/>
      <w:sz w:val="24"/>
      <w:szCs w:val="24"/>
      <w:lang w:val="en-GB" w:eastAsia="en-GB"/>
    </w:rPr>
  </w:style>
  <w:style w:type="table" w:customStyle="1" w:styleId="GridTable1Light2">
    <w:name w:val="Grid Table 1 Light2"/>
    <w:basedOn w:val="TableNormal"/>
    <w:next w:val="GridTable1Light"/>
    <w:uiPriority w:val="46"/>
    <w:rsid w:val="00BB5DA5"/>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2Char1">
    <w:name w:val="Heading 2 Char1"/>
    <w:basedOn w:val="DefaultParagraphFont"/>
    <w:uiPriority w:val="9"/>
    <w:semiHidden/>
    <w:rsid w:val="00BB5DA5"/>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rsid w:val="00BB5DA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B5DA5"/>
    <w:pPr>
      <w:spacing w:after="0" w:line="240" w:lineRule="auto"/>
      <w:contextualSpacing/>
    </w:pPr>
    <w:rPr>
      <w:rFonts w:ascii="Arial" w:eastAsia="Times New Roman" w:hAnsi="Arial" w:cs="Times New Roman"/>
      <w:b/>
      <w:caps/>
      <w:color w:val="E36C0A"/>
      <w:spacing w:val="-10"/>
      <w:kern w:val="28"/>
      <w:sz w:val="28"/>
      <w:szCs w:val="56"/>
      <w:lang w:val="en-GB"/>
    </w:rPr>
  </w:style>
  <w:style w:type="character" w:customStyle="1" w:styleId="TitleChar1">
    <w:name w:val="Title Char1"/>
    <w:basedOn w:val="DefaultParagraphFont"/>
    <w:uiPriority w:val="10"/>
    <w:rsid w:val="00BB5DA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B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BB5DA5"/>
    <w:rPr>
      <w:rFonts w:asciiTheme="majorHAnsi" w:eastAsiaTheme="majorEastAsia" w:hAnsiTheme="majorHAnsi" w:cstheme="majorBidi"/>
      <w:color w:val="1F4D78" w:themeColor="accent1" w:themeShade="7F"/>
      <w:sz w:val="24"/>
      <w:szCs w:val="24"/>
    </w:rPr>
  </w:style>
  <w:style w:type="table" w:customStyle="1" w:styleId="GridTable1Light3">
    <w:name w:val="Grid Table 1 Light3"/>
    <w:basedOn w:val="TableNormal"/>
    <w:next w:val="GridTable1Light"/>
    <w:uiPriority w:val="46"/>
    <w:rsid w:val="005B4621"/>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qFormat/>
    <w:rsid w:val="006C2EC0"/>
    <w:pPr>
      <w:spacing w:after="100" w:line="280" w:lineRule="exact"/>
      <w:jc w:val="both"/>
    </w:pPr>
    <w:rPr>
      <w:rFonts w:ascii="Arial" w:hAnsi="Arial"/>
      <w:b/>
      <w:caps/>
      <w:color w:val="000000" w:themeColor="text1"/>
      <w:sz w:val="24"/>
      <w:lang w:val="en-GB"/>
    </w:rPr>
  </w:style>
  <w:style w:type="paragraph" w:styleId="TOC2">
    <w:name w:val="toc 2"/>
    <w:basedOn w:val="Normal"/>
    <w:next w:val="Normal"/>
    <w:autoRedefine/>
    <w:uiPriority w:val="39"/>
    <w:unhideWhenUsed/>
    <w:rsid w:val="006C2EC0"/>
    <w:pPr>
      <w:spacing w:after="100" w:line="280" w:lineRule="exact"/>
      <w:ind w:left="220"/>
      <w:jc w:val="both"/>
    </w:pPr>
    <w:rPr>
      <w:rFonts w:ascii="Arial" w:hAnsi="Arial"/>
      <w:lang w:val="en-GB"/>
    </w:rPr>
  </w:style>
  <w:style w:type="paragraph" w:styleId="TOC3">
    <w:name w:val="toc 3"/>
    <w:basedOn w:val="Normal"/>
    <w:next w:val="Normal"/>
    <w:autoRedefine/>
    <w:uiPriority w:val="39"/>
    <w:unhideWhenUsed/>
    <w:rsid w:val="006C2EC0"/>
    <w:pPr>
      <w:spacing w:after="100" w:line="240" w:lineRule="exact"/>
      <w:ind w:left="442"/>
      <w:jc w:val="both"/>
    </w:pPr>
    <w:rPr>
      <w:rFonts w:ascii="Arial" w:eastAsiaTheme="minorEastAsia" w:hAnsi="Arial" w:cs="Times New Roman"/>
      <w:lang w:val="en-US"/>
    </w:rPr>
  </w:style>
  <w:style w:type="table" w:customStyle="1" w:styleId="TableGrid2">
    <w:name w:val="Table Grid2"/>
    <w:basedOn w:val="TableNormal"/>
    <w:next w:val="TableGrid"/>
    <w:rsid w:val="009110F1"/>
    <w:pPr>
      <w:spacing w:after="0" w:line="240" w:lineRule="auto"/>
    </w:pPr>
    <w:rPr>
      <w:rFonts w:ascii="Arial" w:eastAsia="Times New Roman" w:hAnsi="Arial" w:cs="Arial"/>
      <w:szCs w:val="24"/>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3E"/>
  </w:style>
  <w:style w:type="paragraph" w:styleId="Heading1">
    <w:name w:val="heading 1"/>
    <w:basedOn w:val="Normal"/>
    <w:next w:val="Normal"/>
    <w:link w:val="Heading1Char"/>
    <w:qFormat/>
    <w:rsid w:val="00BB5DA5"/>
    <w:pPr>
      <w:keepNext/>
      <w:keepLines/>
      <w:spacing w:before="240" w:after="0"/>
      <w:outlineLvl w:val="0"/>
    </w:pPr>
    <w:rPr>
      <w:rFonts w:ascii="Cambria" w:eastAsia="Times New Roman" w:hAnsi="Cambria" w:cs="Times New Roman"/>
      <w:color w:val="365F91"/>
      <w:sz w:val="32"/>
      <w:szCs w:val="32"/>
      <w:lang w:val="en-GB" w:eastAsia="en-GB"/>
    </w:rPr>
  </w:style>
  <w:style w:type="paragraph" w:styleId="Heading2">
    <w:name w:val="heading 2"/>
    <w:basedOn w:val="Normal"/>
    <w:next w:val="Normal"/>
    <w:link w:val="Heading2Char"/>
    <w:semiHidden/>
    <w:unhideWhenUsed/>
    <w:qFormat/>
    <w:rsid w:val="00BB5DA5"/>
    <w:pPr>
      <w:keepNext/>
      <w:keepLines/>
      <w:spacing w:before="40" w:after="0"/>
      <w:outlineLvl w:val="1"/>
    </w:pPr>
    <w:rPr>
      <w:rFonts w:ascii="Cambria" w:eastAsia="Times New Roman" w:hAnsi="Cambria" w:cs="Times New Roman"/>
      <w:color w:val="365F91"/>
      <w:sz w:val="26"/>
      <w:szCs w:val="26"/>
      <w:lang w:val="en-GB" w:eastAsia="en-GB"/>
    </w:rPr>
  </w:style>
  <w:style w:type="paragraph" w:styleId="Heading3">
    <w:name w:val="heading 3"/>
    <w:basedOn w:val="Normal"/>
    <w:next w:val="Normal"/>
    <w:link w:val="Heading3Char"/>
    <w:semiHidden/>
    <w:unhideWhenUsed/>
    <w:qFormat/>
    <w:rsid w:val="00BB5DA5"/>
    <w:pPr>
      <w:keepNext/>
      <w:keepLines/>
      <w:spacing w:before="40" w:after="0"/>
      <w:outlineLvl w:val="2"/>
    </w:pPr>
    <w:rPr>
      <w:rFonts w:ascii="Cambria" w:eastAsia="Times New Roman" w:hAnsi="Cambria" w:cs="Times New Roman"/>
      <w:color w:val="243F6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fn Char"/>
    <w:basedOn w:val="Normal"/>
    <w:link w:val="FootnoteTextChar"/>
    <w:unhideWhenUsed/>
    <w:rsid w:val="00BB5DA5"/>
    <w:pPr>
      <w:spacing w:after="0" w:line="240" w:lineRule="auto"/>
    </w:pPr>
    <w:rPr>
      <w:sz w:val="20"/>
      <w:szCs w:val="20"/>
    </w:rPr>
  </w:style>
  <w:style w:type="character" w:customStyle="1" w:styleId="FootnoteTextChar">
    <w:name w:val="Footnote Text Char"/>
    <w:aliases w:val="Footnote Text Char Char Char,Footnote Text Char1 Char,fn Char Char"/>
    <w:basedOn w:val="DefaultParagraphFont"/>
    <w:link w:val="FootnoteText"/>
    <w:rsid w:val="00BB5DA5"/>
    <w:rPr>
      <w:sz w:val="20"/>
      <w:szCs w:val="20"/>
    </w:rPr>
  </w:style>
  <w:style w:type="character" w:styleId="FootnoteReference">
    <w:name w:val="footnote reference"/>
    <w:basedOn w:val="DefaultParagraphFont"/>
    <w:rsid w:val="00BB5DA5"/>
    <w:rPr>
      <w:vertAlign w:val="superscript"/>
    </w:rPr>
  </w:style>
  <w:style w:type="table" w:customStyle="1" w:styleId="GridTable1Light1">
    <w:name w:val="Grid Table 1 Light1"/>
    <w:basedOn w:val="TableNormal"/>
    <w:next w:val="GridTable1Light"/>
    <w:uiPriority w:val="46"/>
    <w:rsid w:val="00BB5DA5"/>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BB5D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11">
    <w:name w:val="Heading 11"/>
    <w:basedOn w:val="Normal"/>
    <w:next w:val="Normal"/>
    <w:qFormat/>
    <w:rsid w:val="00BB5DA5"/>
    <w:pPr>
      <w:keepNext/>
      <w:keepLines/>
      <w:spacing w:before="240" w:after="0" w:line="240" w:lineRule="auto"/>
      <w:outlineLvl w:val="0"/>
    </w:pPr>
    <w:rPr>
      <w:rFonts w:ascii="Cambria" w:eastAsia="Times New Roman" w:hAnsi="Cambria" w:cs="Times New Roman"/>
      <w:color w:val="365F91"/>
      <w:sz w:val="32"/>
      <w:szCs w:val="32"/>
      <w:lang w:val="en-GB" w:eastAsia="en-GB"/>
    </w:rPr>
  </w:style>
  <w:style w:type="paragraph" w:customStyle="1" w:styleId="Heading21">
    <w:name w:val="Heading 21"/>
    <w:basedOn w:val="Normal"/>
    <w:next w:val="Normal"/>
    <w:semiHidden/>
    <w:unhideWhenUsed/>
    <w:qFormat/>
    <w:rsid w:val="00BB5DA5"/>
    <w:pPr>
      <w:keepNext/>
      <w:keepLines/>
      <w:spacing w:before="40" w:after="0" w:line="240" w:lineRule="auto"/>
      <w:outlineLvl w:val="1"/>
    </w:pPr>
    <w:rPr>
      <w:rFonts w:ascii="Cambria" w:eastAsia="Times New Roman" w:hAnsi="Cambria" w:cs="Times New Roman"/>
      <w:color w:val="365F91"/>
      <w:sz w:val="26"/>
      <w:szCs w:val="26"/>
      <w:lang w:val="en-GB" w:eastAsia="en-GB"/>
    </w:rPr>
  </w:style>
  <w:style w:type="paragraph" w:customStyle="1" w:styleId="Heading31">
    <w:name w:val="Heading 31"/>
    <w:basedOn w:val="Normal"/>
    <w:next w:val="Normal"/>
    <w:semiHidden/>
    <w:unhideWhenUsed/>
    <w:qFormat/>
    <w:rsid w:val="00BB5DA5"/>
    <w:pPr>
      <w:keepNext/>
      <w:keepLines/>
      <w:spacing w:before="40" w:after="0" w:line="240" w:lineRule="auto"/>
      <w:outlineLvl w:val="2"/>
    </w:pPr>
    <w:rPr>
      <w:rFonts w:ascii="Cambria" w:eastAsia="Times New Roman" w:hAnsi="Cambria" w:cs="Times New Roman"/>
      <w:color w:val="243F60"/>
      <w:sz w:val="24"/>
      <w:szCs w:val="24"/>
      <w:lang w:val="en-GB" w:eastAsia="en-GB"/>
    </w:rPr>
  </w:style>
  <w:style w:type="numbering" w:customStyle="1" w:styleId="NoList1">
    <w:name w:val="No List1"/>
    <w:next w:val="NoList"/>
    <w:uiPriority w:val="99"/>
    <w:semiHidden/>
    <w:unhideWhenUsed/>
    <w:rsid w:val="00BB5DA5"/>
  </w:style>
  <w:style w:type="paragraph" w:customStyle="1" w:styleId="Normalbold">
    <w:name w:val="Normal bold"/>
    <w:basedOn w:val="Normal"/>
    <w:rsid w:val="00BB5DA5"/>
    <w:pPr>
      <w:spacing w:after="60" w:line="240" w:lineRule="auto"/>
    </w:pPr>
    <w:rPr>
      <w:rFonts w:ascii="Arial" w:eastAsia="Times New Roman" w:hAnsi="Arial" w:cs="Times New Roman"/>
      <w:b/>
      <w:color w:val="000000"/>
      <w:sz w:val="18"/>
      <w:szCs w:val="18"/>
      <w:lang w:val="en-GB" w:eastAsia="en-GB"/>
    </w:rPr>
  </w:style>
  <w:style w:type="paragraph" w:styleId="Footer">
    <w:name w:val="footer"/>
    <w:basedOn w:val="Normal"/>
    <w:link w:val="FooterChar"/>
    <w:uiPriority w:val="99"/>
    <w:rsid w:val="00BB5DA5"/>
    <w:pPr>
      <w:spacing w:after="60" w:line="240" w:lineRule="auto"/>
    </w:pPr>
    <w:rPr>
      <w:rFonts w:ascii="Arial" w:eastAsia="Times New Roman" w:hAnsi="Arial" w:cs="Times New Roman"/>
      <w:sz w:val="14"/>
      <w:szCs w:val="14"/>
      <w:lang w:val="en-GB" w:eastAsia="en-GB"/>
    </w:rPr>
  </w:style>
  <w:style w:type="character" w:customStyle="1" w:styleId="FooterChar">
    <w:name w:val="Footer Char"/>
    <w:basedOn w:val="DefaultParagraphFont"/>
    <w:link w:val="Footer"/>
    <w:uiPriority w:val="99"/>
    <w:rsid w:val="00BB5DA5"/>
    <w:rPr>
      <w:rFonts w:ascii="Arial" w:eastAsia="Times New Roman" w:hAnsi="Arial" w:cs="Times New Roman"/>
      <w:sz w:val="14"/>
      <w:szCs w:val="14"/>
      <w:lang w:val="en-GB" w:eastAsia="en-GB"/>
    </w:rPr>
  </w:style>
  <w:style w:type="paragraph" w:styleId="Header">
    <w:name w:val="header"/>
    <w:basedOn w:val="Normal"/>
    <w:link w:val="HeaderChar"/>
    <w:rsid w:val="00BB5DA5"/>
    <w:pPr>
      <w:tabs>
        <w:tab w:val="center" w:pos="4153"/>
        <w:tab w:val="right" w:pos="8306"/>
      </w:tabs>
      <w:spacing w:after="60" w:line="240" w:lineRule="auto"/>
    </w:pPr>
    <w:rPr>
      <w:rFonts w:ascii="Arial" w:eastAsia="Times New Roman" w:hAnsi="Arial" w:cs="Times New Roman"/>
      <w:color w:val="000000"/>
      <w:sz w:val="18"/>
      <w:szCs w:val="18"/>
      <w:lang w:val="en-GB" w:eastAsia="en-GB"/>
    </w:rPr>
  </w:style>
  <w:style w:type="character" w:customStyle="1" w:styleId="HeaderChar">
    <w:name w:val="Header Char"/>
    <w:basedOn w:val="DefaultParagraphFont"/>
    <w:link w:val="Header"/>
    <w:rsid w:val="00BB5DA5"/>
    <w:rPr>
      <w:rFonts w:ascii="Arial" w:eastAsia="Times New Roman" w:hAnsi="Arial" w:cs="Times New Roman"/>
      <w:color w:val="000000"/>
      <w:sz w:val="18"/>
      <w:szCs w:val="18"/>
      <w:lang w:val="en-GB" w:eastAsia="en-GB"/>
    </w:rPr>
  </w:style>
  <w:style w:type="character" w:customStyle="1" w:styleId="FooterboldChar">
    <w:name w:val="Footer bold Char"/>
    <w:link w:val="Footerbold"/>
    <w:rsid w:val="00BB5DA5"/>
    <w:rPr>
      <w:rFonts w:ascii="Arial" w:hAnsi="Arial"/>
      <w:b/>
      <w:sz w:val="14"/>
      <w:szCs w:val="14"/>
      <w:lang w:val="en-GB" w:eastAsia="en-GB"/>
    </w:rPr>
  </w:style>
  <w:style w:type="character" w:styleId="PageNumber">
    <w:name w:val="page number"/>
    <w:basedOn w:val="DefaultParagraphFont"/>
    <w:rsid w:val="00BB5DA5"/>
  </w:style>
  <w:style w:type="paragraph" w:styleId="BodyText">
    <w:name w:val="Body Text"/>
    <w:basedOn w:val="Normal"/>
    <w:link w:val="BodyTextChar"/>
    <w:rsid w:val="00BB5DA5"/>
    <w:pPr>
      <w:spacing w:after="0" w:line="240" w:lineRule="auto"/>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BB5DA5"/>
    <w:rPr>
      <w:rFonts w:ascii="Arial" w:eastAsia="Times New Roman" w:hAnsi="Arial" w:cs="Times New Roman"/>
      <w:sz w:val="24"/>
      <w:szCs w:val="24"/>
      <w:lang w:val="en-US"/>
    </w:rPr>
  </w:style>
  <w:style w:type="paragraph" w:styleId="BalloonText">
    <w:name w:val="Balloon Text"/>
    <w:basedOn w:val="Normal"/>
    <w:link w:val="BalloonTextChar"/>
    <w:rsid w:val="00BB5DA5"/>
    <w:pPr>
      <w:spacing w:after="0" w:line="240" w:lineRule="auto"/>
    </w:pPr>
    <w:rPr>
      <w:rFonts w:ascii="Tahoma" w:eastAsia="Times New Roman" w:hAnsi="Tahoma" w:cs="Times New Roman"/>
      <w:color w:val="000000"/>
      <w:sz w:val="16"/>
      <w:szCs w:val="16"/>
      <w:lang w:val="en-GB" w:eastAsia="en-GB"/>
    </w:rPr>
  </w:style>
  <w:style w:type="character" w:customStyle="1" w:styleId="BalloonTextChar">
    <w:name w:val="Balloon Text Char"/>
    <w:basedOn w:val="DefaultParagraphFont"/>
    <w:link w:val="BalloonText"/>
    <w:rsid w:val="00BB5DA5"/>
    <w:rPr>
      <w:rFonts w:ascii="Tahoma" w:eastAsia="Times New Roman" w:hAnsi="Tahoma" w:cs="Times New Roman"/>
      <w:color w:val="000000"/>
      <w:sz w:val="16"/>
      <w:szCs w:val="16"/>
      <w:lang w:val="en-GB" w:eastAsia="en-GB"/>
    </w:rPr>
  </w:style>
  <w:style w:type="paragraph" w:styleId="ListParagraph">
    <w:name w:val="List Paragraph"/>
    <w:basedOn w:val="Normal"/>
    <w:uiPriority w:val="34"/>
    <w:qFormat/>
    <w:rsid w:val="00BB5DA5"/>
    <w:pPr>
      <w:spacing w:after="200" w:line="276" w:lineRule="auto"/>
      <w:ind w:left="720"/>
      <w:contextualSpacing/>
    </w:pPr>
    <w:rPr>
      <w:rFonts w:ascii="Calibri" w:eastAsia="Calibri" w:hAnsi="Calibri" w:cs="Times New Roman"/>
    </w:rPr>
  </w:style>
  <w:style w:type="character" w:styleId="Hyperlink">
    <w:name w:val="Hyperlink"/>
    <w:basedOn w:val="DefaultParagraphFont"/>
    <w:rsid w:val="00BB5DA5"/>
    <w:rPr>
      <w:color w:val="0000FF"/>
      <w:u w:val="single"/>
    </w:rPr>
  </w:style>
  <w:style w:type="character" w:styleId="Strong">
    <w:name w:val="Strong"/>
    <w:basedOn w:val="DefaultParagraphFont"/>
    <w:qFormat/>
    <w:rsid w:val="00BB5DA5"/>
    <w:rPr>
      <w:b/>
      <w:bCs/>
    </w:rPr>
  </w:style>
  <w:style w:type="character" w:styleId="Emphasis">
    <w:name w:val="Emphasis"/>
    <w:basedOn w:val="DefaultParagraphFont"/>
    <w:qFormat/>
    <w:rsid w:val="00BB5DA5"/>
    <w:rPr>
      <w:i/>
      <w:iCs/>
    </w:rPr>
  </w:style>
  <w:style w:type="paragraph" w:styleId="NormalWeb">
    <w:name w:val="Normal (Web)"/>
    <w:basedOn w:val="Normal"/>
    <w:uiPriority w:val="99"/>
    <w:unhideWhenUsed/>
    <w:rsid w:val="00BB5DA5"/>
    <w:pPr>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character" w:styleId="FollowedHyperlink">
    <w:name w:val="FollowedHyperlink"/>
    <w:basedOn w:val="DefaultParagraphFont"/>
    <w:rsid w:val="00BB5DA5"/>
    <w:rPr>
      <w:color w:val="800080"/>
      <w:u w:val="single"/>
    </w:rPr>
  </w:style>
  <w:style w:type="character" w:customStyle="1" w:styleId="inlineglossaryterm">
    <w:name w:val="inlineglossaryterm"/>
    <w:basedOn w:val="DefaultParagraphFont"/>
    <w:rsid w:val="00BB5DA5"/>
  </w:style>
  <w:style w:type="character" w:customStyle="1" w:styleId="A2">
    <w:name w:val="A2"/>
    <w:uiPriority w:val="99"/>
    <w:rsid w:val="00BB5DA5"/>
    <w:rPr>
      <w:rFonts w:cs="Palatino Linotype"/>
      <w:color w:val="000000"/>
      <w:sz w:val="18"/>
      <w:szCs w:val="18"/>
    </w:rPr>
  </w:style>
  <w:style w:type="paragraph" w:customStyle="1" w:styleId="Pa7">
    <w:name w:val="Pa7"/>
    <w:basedOn w:val="Normal"/>
    <w:next w:val="Normal"/>
    <w:uiPriority w:val="99"/>
    <w:rsid w:val="00BB5DA5"/>
    <w:pPr>
      <w:autoSpaceDE w:val="0"/>
      <w:autoSpaceDN w:val="0"/>
      <w:adjustRightInd w:val="0"/>
      <w:spacing w:after="0" w:line="201" w:lineRule="atLeast"/>
    </w:pPr>
    <w:rPr>
      <w:rFonts w:ascii="Myriad Pro" w:eastAsia="Calibri" w:hAnsi="Myriad Pro" w:cs="Times New Roman"/>
      <w:sz w:val="24"/>
      <w:szCs w:val="24"/>
    </w:rPr>
  </w:style>
  <w:style w:type="paragraph" w:customStyle="1" w:styleId="Footerbold">
    <w:name w:val="Footer bold"/>
    <w:basedOn w:val="Footer"/>
    <w:link w:val="FooterboldChar"/>
    <w:rsid w:val="00BB5DA5"/>
    <w:pPr>
      <w:spacing w:after="0" w:line="280" w:lineRule="exact"/>
    </w:pPr>
    <w:rPr>
      <w:rFonts w:eastAsiaTheme="minorHAnsi" w:cstheme="minorBidi"/>
      <w:b/>
    </w:rPr>
  </w:style>
  <w:style w:type="paragraph" w:customStyle="1" w:styleId="bold">
    <w:name w:val="bold"/>
    <w:basedOn w:val="Normal"/>
    <w:rsid w:val="00BB5D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semiHidden/>
    <w:unhideWhenUsed/>
    <w:rsid w:val="00BB5DA5"/>
    <w:rPr>
      <w:sz w:val="16"/>
      <w:szCs w:val="16"/>
    </w:rPr>
  </w:style>
  <w:style w:type="paragraph" w:styleId="CommentText">
    <w:name w:val="annotation text"/>
    <w:basedOn w:val="Normal"/>
    <w:link w:val="CommentTextChar"/>
    <w:semiHidden/>
    <w:unhideWhenUsed/>
    <w:rsid w:val="00BB5DA5"/>
    <w:pPr>
      <w:spacing w:after="60" w:line="240" w:lineRule="auto"/>
    </w:pPr>
    <w:rPr>
      <w:rFonts w:ascii="Arial" w:eastAsia="Times New Roman" w:hAnsi="Arial" w:cs="Times New Roman"/>
      <w:color w:val="000000"/>
      <w:sz w:val="20"/>
      <w:szCs w:val="20"/>
      <w:lang w:val="en-GB" w:eastAsia="en-GB"/>
    </w:rPr>
  </w:style>
  <w:style w:type="character" w:customStyle="1" w:styleId="CommentTextChar">
    <w:name w:val="Comment Text Char"/>
    <w:basedOn w:val="DefaultParagraphFont"/>
    <w:link w:val="CommentText"/>
    <w:semiHidden/>
    <w:rsid w:val="00BB5DA5"/>
    <w:rPr>
      <w:rFonts w:ascii="Arial" w:eastAsia="Times New Roman" w:hAnsi="Arial" w:cs="Times New Roman"/>
      <w:color w:val="000000"/>
      <w:sz w:val="20"/>
      <w:szCs w:val="20"/>
      <w:lang w:val="en-GB" w:eastAsia="en-GB"/>
    </w:rPr>
  </w:style>
  <w:style w:type="paragraph" w:styleId="CommentSubject">
    <w:name w:val="annotation subject"/>
    <w:basedOn w:val="CommentText"/>
    <w:next w:val="CommentText"/>
    <w:link w:val="CommentSubjectChar"/>
    <w:semiHidden/>
    <w:unhideWhenUsed/>
    <w:rsid w:val="00BB5DA5"/>
    <w:rPr>
      <w:b/>
      <w:bCs/>
    </w:rPr>
  </w:style>
  <w:style w:type="character" w:customStyle="1" w:styleId="CommentSubjectChar">
    <w:name w:val="Comment Subject Char"/>
    <w:basedOn w:val="CommentTextChar"/>
    <w:link w:val="CommentSubject"/>
    <w:semiHidden/>
    <w:rsid w:val="00BB5DA5"/>
    <w:rPr>
      <w:rFonts w:ascii="Arial" w:eastAsia="Times New Roman" w:hAnsi="Arial" w:cs="Times New Roman"/>
      <w:b/>
      <w:bCs/>
      <w:color w:val="000000"/>
      <w:sz w:val="20"/>
      <w:szCs w:val="20"/>
      <w:lang w:val="en-GB" w:eastAsia="en-GB"/>
    </w:rPr>
  </w:style>
  <w:style w:type="paragraph" w:styleId="Revision">
    <w:name w:val="Revision"/>
    <w:hidden/>
    <w:uiPriority w:val="99"/>
    <w:semiHidden/>
    <w:rsid w:val="00BB5DA5"/>
    <w:pPr>
      <w:spacing w:after="0" w:line="240" w:lineRule="auto"/>
    </w:pPr>
    <w:rPr>
      <w:rFonts w:ascii="Arial" w:eastAsia="Times New Roman" w:hAnsi="Arial" w:cs="Times New Roman"/>
      <w:color w:val="000000"/>
      <w:sz w:val="18"/>
      <w:szCs w:val="18"/>
      <w:lang w:val="en-GB" w:eastAsia="en-GB"/>
    </w:rPr>
  </w:style>
  <w:style w:type="character" w:customStyle="1" w:styleId="Heading2Char">
    <w:name w:val="Heading 2 Char"/>
    <w:basedOn w:val="DefaultParagraphFont"/>
    <w:link w:val="Heading2"/>
    <w:semiHidden/>
    <w:rsid w:val="00BB5DA5"/>
    <w:rPr>
      <w:rFonts w:ascii="Cambria" w:eastAsia="Times New Roman" w:hAnsi="Cambria" w:cs="Times New Roman"/>
      <w:color w:val="365F91"/>
      <w:sz w:val="26"/>
      <w:szCs w:val="26"/>
      <w:lang w:val="en-GB" w:eastAsia="en-GB"/>
    </w:rPr>
  </w:style>
  <w:style w:type="character" w:customStyle="1" w:styleId="Heading1Char">
    <w:name w:val="Heading 1 Char"/>
    <w:basedOn w:val="DefaultParagraphFont"/>
    <w:link w:val="Heading1"/>
    <w:rsid w:val="00BB5DA5"/>
    <w:rPr>
      <w:rFonts w:ascii="Cambria" w:eastAsia="Times New Roman" w:hAnsi="Cambria" w:cs="Times New Roman"/>
      <w:color w:val="365F91"/>
      <w:sz w:val="32"/>
      <w:szCs w:val="32"/>
      <w:lang w:val="en-GB" w:eastAsia="en-GB"/>
    </w:rPr>
  </w:style>
  <w:style w:type="paragraph" w:customStyle="1" w:styleId="ResearchTitle">
    <w:name w:val="Research Title"/>
    <w:basedOn w:val="Normal"/>
    <w:link w:val="ResearchTitleChar"/>
    <w:rsid w:val="00BB5DA5"/>
    <w:pPr>
      <w:spacing w:after="0" w:line="280" w:lineRule="exact"/>
      <w:jc w:val="both"/>
    </w:pPr>
    <w:rPr>
      <w:rFonts w:ascii="Arial" w:hAnsi="Arial"/>
      <w:b/>
      <w:caps/>
      <w:color w:val="E36C0A"/>
      <w:sz w:val="24"/>
      <w:lang w:val="en-GB"/>
    </w:rPr>
  </w:style>
  <w:style w:type="paragraph" w:customStyle="1" w:styleId="ReseachMainHeading">
    <w:name w:val="Reseach Main Heading"/>
    <w:basedOn w:val="ResearchTitle"/>
    <w:link w:val="ReseachMainHeadingChar"/>
    <w:rsid w:val="00BB5DA5"/>
  </w:style>
  <w:style w:type="character" w:customStyle="1" w:styleId="ResearchTitleChar">
    <w:name w:val="Research Title Char"/>
    <w:basedOn w:val="DefaultParagraphFont"/>
    <w:link w:val="ResearchTitle"/>
    <w:rsid w:val="00BB5DA5"/>
    <w:rPr>
      <w:rFonts w:ascii="Arial" w:hAnsi="Arial"/>
      <w:b/>
      <w:caps/>
      <w:color w:val="E36C0A"/>
      <w:sz w:val="24"/>
      <w:lang w:val="en-GB"/>
    </w:rPr>
  </w:style>
  <w:style w:type="character" w:customStyle="1" w:styleId="ReseachMainHeadingChar">
    <w:name w:val="Reseach Main Heading Char"/>
    <w:basedOn w:val="ResearchTitleChar"/>
    <w:link w:val="ReseachMainHeading"/>
    <w:rsid w:val="00BB5DA5"/>
    <w:rPr>
      <w:rFonts w:ascii="Arial" w:hAnsi="Arial"/>
      <w:b/>
      <w:caps/>
      <w:color w:val="E36C0A"/>
      <w:sz w:val="24"/>
      <w:lang w:val="en-GB"/>
    </w:rPr>
  </w:style>
  <w:style w:type="paragraph" w:customStyle="1" w:styleId="TOC11">
    <w:name w:val="TOC 11"/>
    <w:basedOn w:val="Normal"/>
    <w:next w:val="Normal"/>
    <w:autoRedefine/>
    <w:uiPriority w:val="39"/>
    <w:unhideWhenUsed/>
    <w:qFormat/>
    <w:rsid w:val="00BB5DA5"/>
    <w:pPr>
      <w:spacing w:after="100" w:line="280" w:lineRule="exact"/>
      <w:jc w:val="both"/>
    </w:pPr>
    <w:rPr>
      <w:rFonts w:ascii="Arial" w:hAnsi="Arial"/>
      <w:b/>
      <w:caps/>
      <w:color w:val="000000"/>
      <w:sz w:val="24"/>
      <w:lang w:val="en-GB"/>
    </w:rPr>
  </w:style>
  <w:style w:type="paragraph" w:customStyle="1" w:styleId="TOC21">
    <w:name w:val="TOC 21"/>
    <w:basedOn w:val="Normal"/>
    <w:next w:val="Normal"/>
    <w:autoRedefine/>
    <w:uiPriority w:val="39"/>
    <w:unhideWhenUsed/>
    <w:rsid w:val="00BB5DA5"/>
    <w:pPr>
      <w:spacing w:after="100" w:line="280" w:lineRule="exact"/>
      <w:ind w:left="220"/>
      <w:jc w:val="both"/>
    </w:pPr>
    <w:rPr>
      <w:rFonts w:ascii="Arial" w:hAnsi="Arial"/>
      <w:lang w:val="en-GB"/>
    </w:rPr>
  </w:style>
  <w:style w:type="paragraph" w:customStyle="1" w:styleId="TOC31">
    <w:name w:val="TOC 31"/>
    <w:basedOn w:val="Normal"/>
    <w:next w:val="Normal"/>
    <w:autoRedefine/>
    <w:uiPriority w:val="39"/>
    <w:unhideWhenUsed/>
    <w:rsid w:val="00BB5DA5"/>
    <w:pPr>
      <w:spacing w:after="100" w:line="240" w:lineRule="exact"/>
      <w:ind w:left="442"/>
      <w:jc w:val="both"/>
    </w:pPr>
    <w:rPr>
      <w:rFonts w:ascii="Arial" w:eastAsia="Times New Roman" w:hAnsi="Arial" w:cs="Times New Roman"/>
      <w:lang w:val="en-US"/>
    </w:rPr>
  </w:style>
  <w:style w:type="paragraph" w:customStyle="1" w:styleId="Title1">
    <w:name w:val="Title1"/>
    <w:basedOn w:val="Normal"/>
    <w:next w:val="Normal"/>
    <w:uiPriority w:val="10"/>
    <w:qFormat/>
    <w:rsid w:val="00BB5DA5"/>
    <w:pPr>
      <w:spacing w:after="0" w:line="240" w:lineRule="auto"/>
      <w:contextualSpacing/>
      <w:jc w:val="both"/>
    </w:pPr>
    <w:rPr>
      <w:rFonts w:ascii="Arial" w:eastAsia="Times New Roman" w:hAnsi="Arial" w:cs="Times New Roman"/>
      <w:b/>
      <w:caps/>
      <w:color w:val="E36C0A"/>
      <w:spacing w:val="-10"/>
      <w:kern w:val="28"/>
      <w:sz w:val="28"/>
      <w:szCs w:val="56"/>
      <w:lang w:val="en-GB"/>
    </w:rPr>
  </w:style>
  <w:style w:type="character" w:customStyle="1" w:styleId="TitleChar">
    <w:name w:val="Title Char"/>
    <w:basedOn w:val="DefaultParagraphFont"/>
    <w:link w:val="Title"/>
    <w:uiPriority w:val="10"/>
    <w:rsid w:val="00BB5DA5"/>
    <w:rPr>
      <w:rFonts w:ascii="Arial" w:eastAsia="Times New Roman" w:hAnsi="Arial" w:cs="Times New Roman"/>
      <w:b/>
      <w:caps/>
      <w:color w:val="E36C0A"/>
      <w:spacing w:val="-10"/>
      <w:kern w:val="28"/>
      <w:sz w:val="28"/>
      <w:szCs w:val="56"/>
      <w:lang w:val="en-GB" w:eastAsia="en-US"/>
    </w:rPr>
  </w:style>
  <w:style w:type="table" w:customStyle="1" w:styleId="TableGrid1">
    <w:name w:val="Table Grid1"/>
    <w:basedOn w:val="TableNormal"/>
    <w:next w:val="TableGrid"/>
    <w:uiPriority w:val="39"/>
    <w:rsid w:val="00BB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B5DA5"/>
    <w:rPr>
      <w:rFonts w:ascii="Cambria" w:eastAsia="Times New Roman" w:hAnsi="Cambria" w:cs="Times New Roman"/>
      <w:color w:val="243F60"/>
      <w:sz w:val="24"/>
      <w:szCs w:val="24"/>
      <w:lang w:val="en-GB" w:eastAsia="en-GB"/>
    </w:rPr>
  </w:style>
  <w:style w:type="table" w:customStyle="1" w:styleId="GridTable1Light2">
    <w:name w:val="Grid Table 1 Light2"/>
    <w:basedOn w:val="TableNormal"/>
    <w:next w:val="GridTable1Light"/>
    <w:uiPriority w:val="46"/>
    <w:rsid w:val="00BB5DA5"/>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2Char1">
    <w:name w:val="Heading 2 Char1"/>
    <w:basedOn w:val="DefaultParagraphFont"/>
    <w:uiPriority w:val="9"/>
    <w:semiHidden/>
    <w:rsid w:val="00BB5DA5"/>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rsid w:val="00BB5DA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B5DA5"/>
    <w:pPr>
      <w:spacing w:after="0" w:line="240" w:lineRule="auto"/>
      <w:contextualSpacing/>
    </w:pPr>
    <w:rPr>
      <w:rFonts w:ascii="Arial" w:eastAsia="Times New Roman" w:hAnsi="Arial" w:cs="Times New Roman"/>
      <w:b/>
      <w:caps/>
      <w:color w:val="E36C0A"/>
      <w:spacing w:val="-10"/>
      <w:kern w:val="28"/>
      <w:sz w:val="28"/>
      <w:szCs w:val="56"/>
      <w:lang w:val="en-GB"/>
    </w:rPr>
  </w:style>
  <w:style w:type="character" w:customStyle="1" w:styleId="TitleChar1">
    <w:name w:val="Title Char1"/>
    <w:basedOn w:val="DefaultParagraphFont"/>
    <w:uiPriority w:val="10"/>
    <w:rsid w:val="00BB5DA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B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BB5DA5"/>
    <w:rPr>
      <w:rFonts w:asciiTheme="majorHAnsi" w:eastAsiaTheme="majorEastAsia" w:hAnsiTheme="majorHAnsi" w:cstheme="majorBidi"/>
      <w:color w:val="1F4D78" w:themeColor="accent1" w:themeShade="7F"/>
      <w:sz w:val="24"/>
      <w:szCs w:val="24"/>
    </w:rPr>
  </w:style>
  <w:style w:type="table" w:customStyle="1" w:styleId="GridTable1Light3">
    <w:name w:val="Grid Table 1 Light3"/>
    <w:basedOn w:val="TableNormal"/>
    <w:next w:val="GridTable1Light"/>
    <w:uiPriority w:val="46"/>
    <w:rsid w:val="005B4621"/>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qFormat/>
    <w:rsid w:val="006C2EC0"/>
    <w:pPr>
      <w:spacing w:after="100" w:line="280" w:lineRule="exact"/>
      <w:jc w:val="both"/>
    </w:pPr>
    <w:rPr>
      <w:rFonts w:ascii="Arial" w:hAnsi="Arial"/>
      <w:b/>
      <w:caps/>
      <w:color w:val="000000" w:themeColor="text1"/>
      <w:sz w:val="24"/>
      <w:lang w:val="en-GB"/>
    </w:rPr>
  </w:style>
  <w:style w:type="paragraph" w:styleId="TOC2">
    <w:name w:val="toc 2"/>
    <w:basedOn w:val="Normal"/>
    <w:next w:val="Normal"/>
    <w:autoRedefine/>
    <w:uiPriority w:val="39"/>
    <w:unhideWhenUsed/>
    <w:rsid w:val="006C2EC0"/>
    <w:pPr>
      <w:spacing w:after="100" w:line="280" w:lineRule="exact"/>
      <w:ind w:left="220"/>
      <w:jc w:val="both"/>
    </w:pPr>
    <w:rPr>
      <w:rFonts w:ascii="Arial" w:hAnsi="Arial"/>
      <w:lang w:val="en-GB"/>
    </w:rPr>
  </w:style>
  <w:style w:type="paragraph" w:styleId="TOC3">
    <w:name w:val="toc 3"/>
    <w:basedOn w:val="Normal"/>
    <w:next w:val="Normal"/>
    <w:autoRedefine/>
    <w:uiPriority w:val="39"/>
    <w:unhideWhenUsed/>
    <w:rsid w:val="006C2EC0"/>
    <w:pPr>
      <w:spacing w:after="100" w:line="240" w:lineRule="exact"/>
      <w:ind w:left="442"/>
      <w:jc w:val="both"/>
    </w:pPr>
    <w:rPr>
      <w:rFonts w:ascii="Arial" w:eastAsiaTheme="minorEastAsia" w:hAnsi="Arial" w:cs="Times New Roman"/>
      <w:lang w:val="en-US"/>
    </w:rPr>
  </w:style>
  <w:style w:type="table" w:customStyle="1" w:styleId="TableGrid2">
    <w:name w:val="Table Grid2"/>
    <w:basedOn w:val="TableNormal"/>
    <w:next w:val="TableGrid"/>
    <w:rsid w:val="009110F1"/>
    <w:pPr>
      <w:spacing w:after="0" w:line="240" w:lineRule="auto"/>
    </w:pPr>
    <w:rPr>
      <w:rFonts w:ascii="Arial" w:eastAsia="Times New Roman" w:hAnsi="Arial" w:cs="Arial"/>
      <w:szCs w:val="24"/>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27A02-CA97-48F8-89AE-A4716493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13066</Words>
  <Characters>74478</Characters>
  <Application>Microsoft Office Word</Application>
  <DocSecurity>4</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87370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Carelse</dc:creator>
  <cp:lastModifiedBy>Asanda</cp:lastModifiedBy>
  <cp:revision>2</cp:revision>
  <dcterms:created xsi:type="dcterms:W3CDTF">2019-07-08T11:04:00Z</dcterms:created>
  <dcterms:modified xsi:type="dcterms:W3CDTF">2019-07-08T11:04:00Z</dcterms:modified>
</cp:coreProperties>
</file>