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F1" w:rsidRPr="00E14A68" w:rsidRDefault="00D45809" w:rsidP="00DF3726">
      <w:pPr>
        <w:pStyle w:val="NoSpacing"/>
        <w:rPr>
          <w:b/>
          <w:sz w:val="40"/>
          <w:szCs w:val="40"/>
        </w:rPr>
      </w:pPr>
      <w:bookmarkStart w:id="0" w:name="_GoBack"/>
      <w:bookmarkEnd w:id="0"/>
      <w:r w:rsidRPr="00E14A68">
        <w:rPr>
          <w:b/>
          <w:sz w:val="40"/>
          <w:szCs w:val="40"/>
        </w:rPr>
        <w:t xml:space="preserve">COMMENTS RECEIVED </w:t>
      </w:r>
      <w:r w:rsidR="0013067E">
        <w:rPr>
          <w:b/>
          <w:sz w:val="40"/>
          <w:szCs w:val="40"/>
        </w:rPr>
        <w:t>BY</w:t>
      </w:r>
      <w:r w:rsidRPr="00E14A68">
        <w:rPr>
          <w:b/>
          <w:sz w:val="40"/>
          <w:szCs w:val="40"/>
        </w:rPr>
        <w:t xml:space="preserve"> NCOP </w:t>
      </w:r>
      <w:r w:rsidR="0013067E">
        <w:rPr>
          <w:b/>
          <w:sz w:val="40"/>
          <w:szCs w:val="40"/>
        </w:rPr>
        <w:t>(</w:t>
      </w:r>
      <w:r w:rsidRPr="00E14A68">
        <w:rPr>
          <w:b/>
          <w:sz w:val="40"/>
          <w:szCs w:val="40"/>
        </w:rPr>
        <w:t>PUBLIC SUBMISSIONS</w:t>
      </w:r>
      <w:r w:rsidR="0013067E">
        <w:rPr>
          <w:b/>
          <w:sz w:val="40"/>
          <w:szCs w:val="40"/>
        </w:rPr>
        <w:t>)</w:t>
      </w:r>
      <w:r w:rsidRPr="00E14A68">
        <w:rPr>
          <w:b/>
          <w:sz w:val="40"/>
          <w:szCs w:val="40"/>
        </w:rPr>
        <w:t xml:space="preserve"> </w:t>
      </w:r>
    </w:p>
    <w:tbl>
      <w:tblPr>
        <w:tblpPr w:leftFromText="180" w:rightFromText="180" w:vertAnchor="page" w:horzAnchor="margin" w:tblpXSpec="center" w:tblpY="2881"/>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985"/>
        <w:gridCol w:w="5386"/>
        <w:gridCol w:w="3572"/>
      </w:tblGrid>
      <w:tr w:rsidR="009458B6" w:rsidRPr="009458B6" w:rsidTr="009458B6">
        <w:tc>
          <w:tcPr>
            <w:tcW w:w="3085"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ORGANISATION/INSTITUTION</w:t>
            </w:r>
          </w:p>
        </w:tc>
        <w:tc>
          <w:tcPr>
            <w:tcW w:w="1985"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SECTIONS OF THE BILL</w:t>
            </w:r>
          </w:p>
        </w:tc>
        <w:tc>
          <w:tcPr>
            <w:tcW w:w="5386"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COMMENT</w:t>
            </w:r>
          </w:p>
        </w:tc>
        <w:tc>
          <w:tcPr>
            <w:tcW w:w="3572" w:type="dxa"/>
            <w:shd w:val="clear" w:color="auto" w:fill="D6E3BC" w:themeFill="accent3" w:themeFillTint="66"/>
          </w:tcPr>
          <w:p w:rsidR="009458B6" w:rsidRPr="009458B6" w:rsidRDefault="009458B6" w:rsidP="00246FC8">
            <w:pPr>
              <w:spacing w:after="0" w:line="240" w:lineRule="auto"/>
              <w:jc w:val="center"/>
              <w:rPr>
                <w:rFonts w:ascii="Calibri" w:eastAsia="Times New Roman" w:hAnsi="Calibri" w:cs="Times New Roman"/>
                <w:b/>
                <w:sz w:val="40"/>
                <w:szCs w:val="40"/>
              </w:rPr>
            </w:pPr>
            <w:r w:rsidRPr="009458B6">
              <w:rPr>
                <w:rFonts w:ascii="Calibri" w:eastAsia="Times New Roman" w:hAnsi="Calibri" w:cs="Times New Roman"/>
                <w:b/>
                <w:sz w:val="40"/>
                <w:szCs w:val="40"/>
              </w:rPr>
              <w:t>DEPARTMENT’S RESPONSE</w:t>
            </w:r>
          </w:p>
        </w:tc>
      </w:tr>
      <w:tr w:rsidR="009458B6" w:rsidRPr="009458B6" w:rsidTr="00023025">
        <w:trPr>
          <w:trHeight w:val="70"/>
        </w:trPr>
        <w:tc>
          <w:tcPr>
            <w:tcW w:w="3085" w:type="dxa"/>
          </w:tcPr>
          <w:p w:rsidR="009458B6" w:rsidRDefault="009458B6" w:rsidP="009458B6">
            <w:pPr>
              <w:spacing w:after="0" w:line="240" w:lineRule="auto"/>
              <w:rPr>
                <w:rFonts w:ascii="Calibri" w:eastAsia="Times New Roman" w:hAnsi="Calibri" w:cs="Times New Roman"/>
                <w:b/>
                <w:sz w:val="32"/>
                <w:szCs w:val="32"/>
              </w:rPr>
            </w:pPr>
            <w:r w:rsidRPr="009458B6">
              <w:rPr>
                <w:rFonts w:ascii="Calibri" w:eastAsia="Times New Roman" w:hAnsi="Calibri" w:cs="Times New Roman"/>
                <w:b/>
                <w:sz w:val="32"/>
                <w:szCs w:val="32"/>
              </w:rPr>
              <w:t xml:space="preserve">1. </w:t>
            </w:r>
            <w:r w:rsidRPr="009458B6">
              <w:rPr>
                <w:rFonts w:ascii="Calibri" w:eastAsia="Batang" w:hAnsi="Calibri" w:cs="Times New Roman"/>
                <w:b/>
                <w:sz w:val="32"/>
                <w:szCs w:val="32"/>
              </w:rPr>
              <w:t xml:space="preserve"> </w:t>
            </w:r>
            <w:r w:rsidR="00E14A68">
              <w:rPr>
                <w:rFonts w:ascii="Calibri" w:eastAsia="Times New Roman" w:hAnsi="Calibri" w:cs="Times New Roman"/>
                <w:b/>
                <w:sz w:val="32"/>
                <w:szCs w:val="32"/>
              </w:rPr>
              <w:t>R Ekanayake</w:t>
            </w: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2. G Stroebel</w:t>
            </w: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5C0D4B" w:rsidRDefault="005C0D4B"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 xml:space="preserve">3. D Wall Smith (Core Properties) </w:t>
            </w: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E14A68" w:rsidRDefault="00E14A68" w:rsidP="009458B6">
            <w:pPr>
              <w:spacing w:after="0" w:line="240" w:lineRule="auto"/>
              <w:rPr>
                <w:rFonts w:ascii="Calibri" w:eastAsia="Times New Roman" w:hAnsi="Calibri" w:cs="Times New Roman"/>
                <w:b/>
                <w:sz w:val="32"/>
                <w:szCs w:val="32"/>
              </w:rPr>
            </w:pPr>
          </w:p>
          <w:p w:rsidR="005C0D4B" w:rsidRDefault="005C0D4B" w:rsidP="009458B6">
            <w:pPr>
              <w:spacing w:after="0" w:line="240" w:lineRule="auto"/>
              <w:rPr>
                <w:rFonts w:ascii="Calibri" w:eastAsia="Times New Roman" w:hAnsi="Calibri" w:cs="Times New Roman"/>
                <w:b/>
                <w:sz w:val="32"/>
                <w:szCs w:val="32"/>
              </w:rPr>
            </w:pPr>
          </w:p>
          <w:p w:rsidR="005C0D4B" w:rsidRDefault="005C0D4B" w:rsidP="009458B6">
            <w:pPr>
              <w:spacing w:after="0" w:line="240" w:lineRule="auto"/>
              <w:rPr>
                <w:rFonts w:ascii="Calibri" w:eastAsia="Times New Roman" w:hAnsi="Calibri" w:cs="Times New Roman"/>
                <w:b/>
                <w:sz w:val="32"/>
                <w:szCs w:val="32"/>
              </w:rPr>
            </w:pPr>
          </w:p>
          <w:p w:rsidR="00E14A68" w:rsidRDefault="005C0D4B"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4.</w:t>
            </w:r>
            <w:r w:rsidR="00E14A68">
              <w:rPr>
                <w:rFonts w:ascii="Calibri" w:eastAsia="Times New Roman" w:hAnsi="Calibri" w:cs="Times New Roman"/>
                <w:b/>
                <w:sz w:val="32"/>
                <w:szCs w:val="32"/>
              </w:rPr>
              <w:t>Homann(Weldgedacht Properties)</w:t>
            </w: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5C0D4B" w:rsidRDefault="005C0D4B"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5. J Lee Sonnekus</w:t>
            </w: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7A3117" w:rsidRDefault="007A3117" w:rsidP="009458B6">
            <w:pPr>
              <w:spacing w:after="0" w:line="240" w:lineRule="auto"/>
              <w:rPr>
                <w:rFonts w:ascii="Calibri" w:eastAsia="Times New Roman" w:hAnsi="Calibri" w:cs="Times New Roman"/>
                <w:b/>
                <w:sz w:val="32"/>
                <w:szCs w:val="32"/>
              </w:rPr>
            </w:pPr>
          </w:p>
          <w:p w:rsidR="007A3117" w:rsidRDefault="007A311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6. R van der Merwe</w:t>
            </w: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p>
          <w:p w:rsidR="00F43AA7" w:rsidRDefault="00F43AA7"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7. J Morkel (Rodel Bridging Finance)</w:t>
            </w: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7A3117" w:rsidRDefault="007A3117" w:rsidP="009458B6">
            <w:pPr>
              <w:spacing w:after="0" w:line="240" w:lineRule="auto"/>
              <w:rPr>
                <w:rFonts w:ascii="Calibri" w:eastAsia="Times New Roman" w:hAnsi="Calibri" w:cs="Times New Roman"/>
                <w:b/>
                <w:sz w:val="32"/>
                <w:szCs w:val="32"/>
              </w:rPr>
            </w:pPr>
          </w:p>
          <w:p w:rsidR="007A3117" w:rsidRDefault="007A3117" w:rsidP="009458B6">
            <w:pPr>
              <w:spacing w:after="0" w:line="240" w:lineRule="auto"/>
              <w:rPr>
                <w:rFonts w:ascii="Calibri" w:eastAsia="Times New Roman" w:hAnsi="Calibri" w:cs="Times New Roman"/>
                <w:b/>
                <w:sz w:val="32"/>
                <w:szCs w:val="32"/>
              </w:rPr>
            </w:pPr>
          </w:p>
          <w:p w:rsidR="007A3117" w:rsidRDefault="007A3117" w:rsidP="009458B6">
            <w:pPr>
              <w:spacing w:after="0" w:line="240" w:lineRule="auto"/>
              <w:rPr>
                <w:rFonts w:ascii="Calibri" w:eastAsia="Times New Roman" w:hAnsi="Calibri" w:cs="Times New Roman"/>
                <w:b/>
                <w:sz w:val="32"/>
                <w:szCs w:val="32"/>
              </w:rPr>
            </w:pPr>
          </w:p>
          <w:p w:rsidR="007A3117" w:rsidRDefault="007A3117" w:rsidP="009458B6">
            <w:pPr>
              <w:spacing w:after="0" w:line="240" w:lineRule="auto"/>
              <w:rPr>
                <w:rFonts w:ascii="Calibri" w:eastAsia="Times New Roman" w:hAnsi="Calibri" w:cs="Times New Roman"/>
                <w:b/>
                <w:sz w:val="32"/>
                <w:szCs w:val="32"/>
              </w:rPr>
            </w:pPr>
          </w:p>
          <w:p w:rsidR="007A3117" w:rsidRDefault="007A3117"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8. P Snyman</w:t>
            </w: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p>
          <w:p w:rsidR="00910EE3" w:rsidRDefault="00910EE3"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 xml:space="preserve">10. </w:t>
            </w:r>
            <w:r w:rsidR="00E40DF0">
              <w:rPr>
                <w:rFonts w:ascii="Calibri" w:eastAsia="Times New Roman" w:hAnsi="Calibri" w:cs="Times New Roman"/>
                <w:b/>
                <w:sz w:val="32"/>
                <w:szCs w:val="32"/>
              </w:rPr>
              <w:t>IEASA (Institute of Estate Agents of South Africa)</w:t>
            </w: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11. W Rabie</w:t>
            </w: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p>
          <w:p w:rsidR="00360E1D" w:rsidRDefault="00360E1D" w:rsidP="009458B6">
            <w:pPr>
              <w:spacing w:after="0" w:line="240" w:lineRule="auto"/>
              <w:rPr>
                <w:rFonts w:ascii="Calibri" w:eastAsia="Times New Roman" w:hAnsi="Calibri" w:cs="Times New Roman"/>
                <w:b/>
                <w:sz w:val="32"/>
                <w:szCs w:val="32"/>
              </w:rPr>
            </w:pPr>
          </w:p>
          <w:p w:rsidR="00892D9B" w:rsidRDefault="00892D9B"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12. U Spennato (GPR Properties)</w:t>
            </w:r>
          </w:p>
          <w:p w:rsidR="00892D9B" w:rsidRDefault="00892D9B" w:rsidP="009458B6">
            <w:pPr>
              <w:spacing w:after="0" w:line="240" w:lineRule="auto"/>
              <w:rPr>
                <w:rFonts w:ascii="Calibri" w:eastAsia="Times New Roman" w:hAnsi="Calibri" w:cs="Times New Roman"/>
                <w:b/>
                <w:sz w:val="32"/>
                <w:szCs w:val="32"/>
              </w:rPr>
            </w:pPr>
          </w:p>
          <w:p w:rsidR="00C06447" w:rsidRDefault="00C06447" w:rsidP="009458B6">
            <w:pPr>
              <w:spacing w:after="0" w:line="240" w:lineRule="auto"/>
              <w:rPr>
                <w:rFonts w:ascii="Calibri" w:eastAsia="Times New Roman" w:hAnsi="Calibri" w:cs="Times New Roman"/>
                <w:b/>
                <w:sz w:val="32"/>
                <w:szCs w:val="32"/>
              </w:rPr>
            </w:pPr>
          </w:p>
          <w:p w:rsidR="00C06447" w:rsidRDefault="00C06447" w:rsidP="009458B6">
            <w:pPr>
              <w:spacing w:after="0" w:line="240" w:lineRule="auto"/>
              <w:rPr>
                <w:rFonts w:ascii="Calibri" w:eastAsia="Times New Roman" w:hAnsi="Calibri" w:cs="Times New Roman"/>
                <w:b/>
                <w:sz w:val="32"/>
                <w:szCs w:val="32"/>
              </w:rPr>
            </w:pPr>
          </w:p>
          <w:p w:rsidR="00C06447" w:rsidRDefault="00C06447" w:rsidP="009458B6">
            <w:pPr>
              <w:spacing w:after="0" w:line="240" w:lineRule="auto"/>
              <w:rPr>
                <w:rFonts w:ascii="Calibri" w:eastAsia="Times New Roman" w:hAnsi="Calibri" w:cs="Times New Roman"/>
                <w:b/>
                <w:sz w:val="32"/>
                <w:szCs w:val="32"/>
              </w:rPr>
            </w:pPr>
          </w:p>
          <w:p w:rsidR="00C06447" w:rsidRDefault="00C06447" w:rsidP="009458B6">
            <w:pPr>
              <w:spacing w:after="0" w:line="240" w:lineRule="auto"/>
              <w:rPr>
                <w:rFonts w:ascii="Calibri" w:eastAsia="Times New Roman" w:hAnsi="Calibri" w:cs="Times New Roman"/>
                <w:b/>
                <w:sz w:val="32"/>
                <w:szCs w:val="32"/>
              </w:rPr>
            </w:pPr>
          </w:p>
          <w:p w:rsidR="00C06447" w:rsidRDefault="00C06447" w:rsidP="009458B6">
            <w:pPr>
              <w:spacing w:after="0" w:line="240" w:lineRule="auto"/>
              <w:rPr>
                <w:rFonts w:ascii="Calibri" w:eastAsia="Times New Roman" w:hAnsi="Calibri" w:cs="Times New Roman"/>
                <w:b/>
                <w:sz w:val="32"/>
                <w:szCs w:val="32"/>
              </w:rPr>
            </w:pPr>
          </w:p>
          <w:p w:rsidR="00C06447" w:rsidRDefault="00C06447" w:rsidP="009458B6">
            <w:pPr>
              <w:spacing w:after="0" w:line="240" w:lineRule="auto"/>
              <w:rPr>
                <w:rFonts w:ascii="Calibri" w:eastAsia="Times New Roman" w:hAnsi="Calibri" w:cs="Times New Roman"/>
                <w:b/>
                <w:sz w:val="32"/>
                <w:szCs w:val="32"/>
              </w:rPr>
            </w:pPr>
          </w:p>
          <w:p w:rsidR="004016A2" w:rsidRDefault="00C06447"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13. REBOSA</w:t>
            </w:r>
            <w:r w:rsidR="0013067E">
              <w:rPr>
                <w:rFonts w:ascii="Calibri" w:eastAsia="Times New Roman" w:hAnsi="Calibri" w:cs="Times New Roman"/>
                <w:b/>
                <w:sz w:val="32"/>
                <w:szCs w:val="32"/>
              </w:rPr>
              <w:t xml:space="preserve"> SUBMISSION</w:t>
            </w: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Default="004016A2" w:rsidP="009458B6">
            <w:pPr>
              <w:spacing w:after="0" w:line="240" w:lineRule="auto"/>
              <w:rPr>
                <w:rFonts w:ascii="Calibri" w:eastAsia="Times New Roman" w:hAnsi="Calibri" w:cs="Times New Roman"/>
                <w:b/>
                <w:sz w:val="32"/>
                <w:szCs w:val="32"/>
              </w:rPr>
            </w:pPr>
          </w:p>
          <w:p w:rsidR="004016A2" w:rsidRPr="009458B6" w:rsidRDefault="004016A2" w:rsidP="009458B6">
            <w:pPr>
              <w:spacing w:after="0" w:line="240" w:lineRule="auto"/>
              <w:rPr>
                <w:rFonts w:ascii="Calibri" w:eastAsia="Times New Roman" w:hAnsi="Calibri" w:cs="Times New Roman"/>
                <w:b/>
                <w:sz w:val="32"/>
                <w:szCs w:val="32"/>
              </w:rPr>
            </w:pPr>
            <w:r>
              <w:rPr>
                <w:rFonts w:ascii="Calibri" w:eastAsia="Times New Roman" w:hAnsi="Calibri" w:cs="Times New Roman"/>
                <w:b/>
                <w:sz w:val="32"/>
                <w:szCs w:val="32"/>
              </w:rPr>
              <w:t xml:space="preserve">15. </w:t>
            </w:r>
            <w:r w:rsidRPr="004016A2">
              <w:rPr>
                <w:rFonts w:ascii="Calibri" w:eastAsia="Times New Roman" w:hAnsi="Calibri" w:cs="Times New Roman"/>
                <w:b/>
                <w:sz w:val="32"/>
                <w:szCs w:val="32"/>
              </w:rPr>
              <w:t>Banking Association of South Africa (BASA)</w:t>
            </w:r>
          </w:p>
        </w:tc>
        <w:tc>
          <w:tcPr>
            <w:tcW w:w="1985" w:type="dxa"/>
          </w:tcPr>
          <w:p w:rsidR="009458B6" w:rsidRPr="009458B6" w:rsidRDefault="00E14A68"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lastRenderedPageBreak/>
              <w:t>Chapter 8, section 50</w:t>
            </w:r>
          </w:p>
          <w:p w:rsidR="009458B6" w:rsidRDefault="009458B6"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Pr="009458B6" w:rsidRDefault="00E14A68"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Trust Account, section 53</w:t>
            </w:r>
          </w:p>
          <w:p w:rsidR="009458B6" w:rsidRDefault="009458B6"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Pr="009458B6" w:rsidRDefault="00E14A68"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r w:rsidRPr="00E14A68">
              <w:rPr>
                <w:rFonts w:ascii="Calibri" w:eastAsia="Times New Roman" w:hAnsi="Calibri" w:cs="Times New Roman"/>
                <w:sz w:val="32"/>
                <w:szCs w:val="32"/>
              </w:rPr>
              <w:t>Chapter 8, section 50</w:t>
            </w:r>
          </w:p>
          <w:p w:rsidR="00E14A68" w:rsidRDefault="00E14A68" w:rsidP="00E14A68">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p>
          <w:p w:rsidR="00E14A68" w:rsidRDefault="00E14A68" w:rsidP="00E14A68">
            <w:pPr>
              <w:spacing w:after="0" w:line="240" w:lineRule="auto"/>
              <w:rPr>
                <w:rFonts w:ascii="Calibri" w:eastAsia="Times New Roman" w:hAnsi="Calibri" w:cs="Times New Roman"/>
                <w:sz w:val="32"/>
                <w:szCs w:val="32"/>
              </w:rPr>
            </w:pPr>
          </w:p>
          <w:p w:rsidR="005C0D4B" w:rsidRDefault="005C0D4B" w:rsidP="00E14A68">
            <w:pPr>
              <w:spacing w:after="0" w:line="240" w:lineRule="auto"/>
              <w:rPr>
                <w:rFonts w:ascii="Calibri" w:eastAsia="Times New Roman" w:hAnsi="Calibri" w:cs="Times New Roman"/>
                <w:sz w:val="32"/>
                <w:szCs w:val="32"/>
              </w:rPr>
            </w:pPr>
          </w:p>
          <w:p w:rsidR="00E14A68" w:rsidRPr="00E14A68" w:rsidRDefault="00F43AA7" w:rsidP="00E14A68">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SMME</w:t>
            </w:r>
          </w:p>
          <w:p w:rsidR="009458B6" w:rsidRDefault="009458B6"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5C0D4B" w:rsidRDefault="005C0D4B"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Cost of compliance</w:t>
            </w:r>
            <w:r w:rsidR="005C0D4B">
              <w:rPr>
                <w:rFonts w:ascii="Calibri" w:eastAsia="Times New Roman" w:hAnsi="Calibri" w:cs="Times New Roman"/>
                <w:sz w:val="32"/>
                <w:szCs w:val="32"/>
              </w:rPr>
              <w:t xml:space="preserve"> with the provisions of the Act</w:t>
            </w: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National online register</w:t>
            </w:r>
            <w:r w:rsidR="007A3117">
              <w:rPr>
                <w:rFonts w:ascii="Calibri" w:eastAsia="Times New Roman" w:hAnsi="Calibri" w:cs="Times New Roman"/>
                <w:sz w:val="32"/>
                <w:szCs w:val="32"/>
              </w:rPr>
              <w:t xml:space="preserve"> to be considered in the Bill</w:t>
            </w: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He endorse </w:t>
            </w:r>
            <w:r w:rsidR="007A3117">
              <w:rPr>
                <w:rFonts w:ascii="Calibri" w:eastAsia="Times New Roman" w:hAnsi="Calibri" w:cs="Times New Roman"/>
                <w:sz w:val="32"/>
                <w:szCs w:val="32"/>
              </w:rPr>
              <w:t xml:space="preserve">and support </w:t>
            </w:r>
            <w:r>
              <w:rPr>
                <w:rFonts w:ascii="Calibri" w:eastAsia="Times New Roman" w:hAnsi="Calibri" w:cs="Times New Roman"/>
                <w:sz w:val="32"/>
                <w:szCs w:val="32"/>
              </w:rPr>
              <w:lastRenderedPageBreak/>
              <w:t>REBOSA’s comments</w:t>
            </w:r>
            <w:r w:rsidR="007A3117">
              <w:rPr>
                <w:rFonts w:ascii="Calibri" w:eastAsia="Times New Roman" w:hAnsi="Calibri" w:cs="Times New Roman"/>
                <w:sz w:val="32"/>
                <w:szCs w:val="32"/>
              </w:rPr>
              <w:t xml:space="preserve"> and submission</w:t>
            </w: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458B6" w:rsidRDefault="00910EE3"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Section 54, 53</w:t>
            </w: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Section 48</w:t>
            </w:r>
          </w:p>
          <w:p w:rsidR="00E40DF0" w:rsidRDefault="00E40DF0" w:rsidP="009458B6">
            <w:pPr>
              <w:spacing w:after="0" w:line="240" w:lineRule="auto"/>
              <w:rPr>
                <w:rFonts w:ascii="Calibri" w:eastAsia="Times New Roman" w:hAnsi="Calibri" w:cs="Times New Roman"/>
                <w:sz w:val="32"/>
                <w:szCs w:val="32"/>
              </w:rPr>
            </w:pPr>
          </w:p>
          <w:p w:rsidR="00E40DF0" w:rsidRDefault="00E40DF0" w:rsidP="009458B6">
            <w:pPr>
              <w:spacing w:after="0" w:line="240" w:lineRule="auto"/>
              <w:rPr>
                <w:rFonts w:ascii="Calibri" w:eastAsia="Times New Roman" w:hAnsi="Calibri" w:cs="Times New Roman"/>
                <w:sz w:val="32"/>
                <w:szCs w:val="32"/>
              </w:rPr>
            </w:pPr>
          </w:p>
          <w:p w:rsidR="00E40DF0" w:rsidRDefault="00E40DF0" w:rsidP="009458B6">
            <w:pPr>
              <w:spacing w:after="0" w:line="240" w:lineRule="auto"/>
              <w:rPr>
                <w:rFonts w:ascii="Calibri" w:eastAsia="Times New Roman" w:hAnsi="Calibri" w:cs="Times New Roman"/>
                <w:sz w:val="32"/>
                <w:szCs w:val="32"/>
              </w:rPr>
            </w:pPr>
          </w:p>
          <w:p w:rsidR="00E40DF0" w:rsidRDefault="00E40DF0" w:rsidP="009458B6">
            <w:pPr>
              <w:spacing w:after="0" w:line="240" w:lineRule="auto"/>
              <w:rPr>
                <w:rFonts w:ascii="Calibri" w:eastAsia="Times New Roman" w:hAnsi="Calibri" w:cs="Times New Roman"/>
                <w:sz w:val="32"/>
                <w:szCs w:val="32"/>
              </w:rPr>
            </w:pPr>
          </w:p>
          <w:p w:rsidR="00E40DF0" w:rsidRPr="00E40DF0" w:rsidRDefault="00BB340C"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Sections 54</w:t>
            </w:r>
            <w:r w:rsidR="00E40DF0" w:rsidRPr="00E40DF0">
              <w:rPr>
                <w:rFonts w:ascii="Calibri" w:eastAsia="Times New Roman" w:hAnsi="Calibri" w:cs="Times New Roman"/>
                <w:sz w:val="32"/>
                <w:szCs w:val="32"/>
              </w:rPr>
              <w:t>(1)</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Default="00E40DF0" w:rsidP="00E40DF0">
            <w:pPr>
              <w:spacing w:after="0" w:line="240" w:lineRule="auto"/>
              <w:rPr>
                <w:rFonts w:ascii="Calibri" w:eastAsia="Times New Roman" w:hAnsi="Calibri" w:cs="Times New Roman"/>
                <w:sz w:val="32"/>
                <w:szCs w:val="32"/>
              </w:rPr>
            </w:pPr>
          </w:p>
          <w:p w:rsidR="00E40DF0" w:rsidRDefault="00E40DF0" w:rsidP="00E40DF0">
            <w:pPr>
              <w:spacing w:after="0" w:line="240" w:lineRule="auto"/>
              <w:rPr>
                <w:rFonts w:ascii="Calibri" w:eastAsia="Times New Roman" w:hAnsi="Calibri" w:cs="Times New Roman"/>
                <w:sz w:val="32"/>
                <w:szCs w:val="32"/>
              </w:rPr>
            </w:pPr>
          </w:p>
          <w:p w:rsidR="00BB340C" w:rsidRDefault="00BB340C" w:rsidP="00E40DF0">
            <w:pPr>
              <w:spacing w:after="0" w:line="240" w:lineRule="auto"/>
              <w:rPr>
                <w:rFonts w:ascii="Calibri" w:eastAsia="Times New Roman" w:hAnsi="Calibri" w:cs="Times New Roman"/>
                <w:sz w:val="32"/>
                <w:szCs w:val="32"/>
              </w:rPr>
            </w:pPr>
          </w:p>
          <w:p w:rsidR="00E40DF0" w:rsidRDefault="00BB340C"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Section 54</w:t>
            </w:r>
            <w:r w:rsidR="00E40DF0" w:rsidRPr="00E40DF0">
              <w:rPr>
                <w:rFonts w:ascii="Calibri" w:eastAsia="Times New Roman" w:hAnsi="Calibri" w:cs="Times New Roman"/>
                <w:sz w:val="32"/>
                <w:szCs w:val="32"/>
              </w:rPr>
              <w:t>(1)(b)</w:t>
            </w: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Section 48</w:t>
            </w: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Pr="00E40DF0" w:rsidRDefault="00892D9B"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Trust Accounts</w:t>
            </w:r>
          </w:p>
          <w:p w:rsidR="00E40DF0" w:rsidRDefault="00E40DF0"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360E1D" w:rsidRDefault="00360E1D" w:rsidP="00E40DF0">
            <w:pPr>
              <w:spacing w:after="0" w:line="240" w:lineRule="auto"/>
              <w:rPr>
                <w:rFonts w:ascii="Calibri" w:eastAsia="Times New Roman" w:hAnsi="Calibri" w:cs="Times New Roman"/>
                <w:sz w:val="32"/>
                <w:szCs w:val="32"/>
              </w:rPr>
            </w:pPr>
          </w:p>
          <w:p w:rsidR="00892D9B" w:rsidRPr="00E40DF0" w:rsidRDefault="00892D9B"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Exemptions, section 2, section 49, section 7, section 48, section</w:t>
            </w:r>
            <w:r w:rsidR="00C06447">
              <w:rPr>
                <w:rFonts w:ascii="Calibri" w:eastAsia="Times New Roman" w:hAnsi="Calibri" w:cs="Times New Roman"/>
                <w:sz w:val="32"/>
                <w:szCs w:val="32"/>
              </w:rPr>
              <w:t>s</w:t>
            </w:r>
            <w:r>
              <w:rPr>
                <w:rFonts w:ascii="Calibri" w:eastAsia="Times New Roman" w:hAnsi="Calibri" w:cs="Times New Roman"/>
                <w:sz w:val="32"/>
                <w:szCs w:val="32"/>
              </w:rPr>
              <w:t xml:space="preserve"> 52,53,54</w:t>
            </w:r>
            <w:r w:rsidR="00C06447">
              <w:rPr>
                <w:rFonts w:ascii="Calibri" w:eastAsia="Times New Roman" w:hAnsi="Calibri" w:cs="Times New Roman"/>
                <w:sz w:val="32"/>
                <w:szCs w:val="32"/>
              </w:rPr>
              <w:t xml:space="preserve"> and 66</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4016A2"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Are dealt with accordingly in line with same issues and comments as contained in REBOSA’s submission</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BB340C">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AF0DE7" w:rsidRDefault="00AF0DE7" w:rsidP="00191631">
            <w:pPr>
              <w:spacing w:after="0" w:line="240" w:lineRule="auto"/>
              <w:rPr>
                <w:rFonts w:ascii="Calibri" w:eastAsia="Times New Roman" w:hAnsi="Calibri" w:cs="Times New Roman"/>
                <w:sz w:val="32"/>
                <w:szCs w:val="32"/>
              </w:rPr>
            </w:pPr>
          </w:p>
          <w:p w:rsidR="00AF0DE7" w:rsidRDefault="00AF0DE7" w:rsidP="00191631">
            <w:pPr>
              <w:spacing w:after="0" w:line="240" w:lineRule="auto"/>
              <w:rPr>
                <w:rFonts w:ascii="Calibri" w:eastAsia="Times New Roman" w:hAnsi="Calibri" w:cs="Times New Roman"/>
                <w:sz w:val="32"/>
                <w:szCs w:val="32"/>
              </w:rPr>
            </w:pPr>
          </w:p>
          <w:p w:rsidR="00191631" w:rsidRPr="00191631" w:rsidRDefault="00AF0DE7" w:rsidP="00191631">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Chapter 2</w:t>
            </w: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8A260A" w:rsidP="00191631">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Section 4( Ombuds </w:t>
            </w:r>
            <w:r>
              <w:rPr>
                <w:rFonts w:ascii="Calibri" w:eastAsia="Times New Roman" w:hAnsi="Calibri" w:cs="Times New Roman"/>
                <w:sz w:val="32"/>
                <w:szCs w:val="32"/>
              </w:rPr>
              <w:lastRenderedPageBreak/>
              <w:t>Establishment)</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380919" w:rsidRDefault="00A9635C" w:rsidP="00E40DF0">
            <w:pPr>
              <w:spacing w:after="0" w:line="240" w:lineRule="auto"/>
              <w:rPr>
                <w:rFonts w:ascii="Calibri" w:eastAsia="Times New Roman" w:hAnsi="Calibri" w:cs="Times New Roman"/>
                <w:b/>
                <w:sz w:val="32"/>
                <w:szCs w:val="32"/>
              </w:rPr>
            </w:pPr>
            <w:r w:rsidRPr="00380919">
              <w:rPr>
                <w:rFonts w:ascii="Calibri" w:eastAsia="Times New Roman" w:hAnsi="Calibri" w:cs="Times New Roman"/>
                <w:b/>
                <w:sz w:val="32"/>
                <w:szCs w:val="32"/>
              </w:rPr>
              <w:t>Section 23</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7301F2" w:rsidRDefault="007301F2" w:rsidP="00E40DF0">
            <w:pPr>
              <w:spacing w:after="0" w:line="240" w:lineRule="auto"/>
              <w:rPr>
                <w:rFonts w:ascii="Calibri" w:eastAsia="Times New Roman" w:hAnsi="Calibri" w:cs="Times New Roman"/>
                <w:sz w:val="32"/>
                <w:szCs w:val="32"/>
              </w:rPr>
            </w:pPr>
          </w:p>
          <w:p w:rsidR="00E40DF0" w:rsidRPr="00380919" w:rsidRDefault="007301F2" w:rsidP="00E40DF0">
            <w:pPr>
              <w:spacing w:after="0" w:line="240" w:lineRule="auto"/>
              <w:rPr>
                <w:rFonts w:ascii="Calibri" w:eastAsia="Times New Roman" w:hAnsi="Calibri" w:cs="Times New Roman"/>
                <w:b/>
                <w:sz w:val="32"/>
                <w:szCs w:val="32"/>
              </w:rPr>
            </w:pPr>
            <w:r w:rsidRPr="00380919">
              <w:rPr>
                <w:rFonts w:ascii="Calibri" w:eastAsia="Times New Roman" w:hAnsi="Calibri" w:cs="Times New Roman"/>
                <w:b/>
                <w:sz w:val="32"/>
                <w:szCs w:val="32"/>
              </w:rPr>
              <w:t xml:space="preserve">Section 25 </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380919" w:rsidRDefault="00E3195A" w:rsidP="00E40DF0">
            <w:pPr>
              <w:spacing w:after="0" w:line="240" w:lineRule="auto"/>
              <w:rPr>
                <w:rFonts w:ascii="Calibri" w:eastAsia="Times New Roman" w:hAnsi="Calibri" w:cs="Times New Roman"/>
                <w:b/>
                <w:sz w:val="32"/>
                <w:szCs w:val="32"/>
              </w:rPr>
            </w:pPr>
            <w:r w:rsidRPr="00380919">
              <w:rPr>
                <w:rFonts w:ascii="Calibri" w:eastAsia="Times New Roman" w:hAnsi="Calibri" w:cs="Times New Roman"/>
                <w:b/>
                <w:sz w:val="32"/>
                <w:szCs w:val="32"/>
              </w:rPr>
              <w:t>Section 32</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Default="00E40DF0" w:rsidP="00E40DF0">
            <w:pPr>
              <w:spacing w:after="0" w:line="240" w:lineRule="auto"/>
              <w:rPr>
                <w:rFonts w:ascii="Calibri" w:eastAsia="Times New Roman" w:hAnsi="Calibri" w:cs="Times New Roman"/>
                <w:sz w:val="32"/>
                <w:szCs w:val="32"/>
              </w:rPr>
            </w:pPr>
          </w:p>
          <w:p w:rsidR="0013067E" w:rsidRDefault="0013067E" w:rsidP="00E40DF0">
            <w:pPr>
              <w:spacing w:after="0" w:line="240" w:lineRule="auto"/>
              <w:rPr>
                <w:rFonts w:ascii="Calibri" w:eastAsia="Times New Roman" w:hAnsi="Calibri" w:cs="Times New Roman"/>
                <w:sz w:val="32"/>
                <w:szCs w:val="32"/>
              </w:rPr>
            </w:pPr>
          </w:p>
          <w:p w:rsidR="003447D5" w:rsidRPr="00380919" w:rsidRDefault="003447D5" w:rsidP="00E40DF0">
            <w:pPr>
              <w:spacing w:after="0" w:line="240" w:lineRule="auto"/>
              <w:rPr>
                <w:rFonts w:ascii="Calibri" w:eastAsia="Times New Roman" w:hAnsi="Calibri" w:cs="Times New Roman"/>
                <w:b/>
                <w:sz w:val="32"/>
                <w:szCs w:val="32"/>
              </w:rPr>
            </w:pPr>
            <w:r w:rsidRPr="00380919">
              <w:rPr>
                <w:rFonts w:ascii="Calibri" w:eastAsia="Times New Roman" w:hAnsi="Calibri" w:cs="Times New Roman"/>
                <w:b/>
                <w:sz w:val="32"/>
                <w:szCs w:val="32"/>
              </w:rPr>
              <w:t>Section 47</w:t>
            </w:r>
          </w:p>
          <w:p w:rsidR="00E40DF0" w:rsidRDefault="00E40DF0"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Default="00D863A1" w:rsidP="00E40DF0">
            <w:pPr>
              <w:spacing w:after="0" w:line="240" w:lineRule="auto"/>
              <w:rPr>
                <w:rFonts w:ascii="Calibri" w:eastAsia="Times New Roman" w:hAnsi="Calibri" w:cs="Times New Roman"/>
                <w:sz w:val="32"/>
                <w:szCs w:val="32"/>
              </w:rPr>
            </w:pPr>
          </w:p>
          <w:p w:rsidR="00D863A1" w:rsidRPr="00380919" w:rsidRDefault="00D863A1" w:rsidP="00E40DF0">
            <w:pPr>
              <w:spacing w:after="0" w:line="240" w:lineRule="auto"/>
              <w:rPr>
                <w:rFonts w:ascii="Calibri" w:eastAsia="Times New Roman" w:hAnsi="Calibri" w:cs="Times New Roman"/>
                <w:b/>
                <w:sz w:val="32"/>
                <w:szCs w:val="32"/>
              </w:rPr>
            </w:pPr>
            <w:r w:rsidRPr="00380919">
              <w:rPr>
                <w:rFonts w:ascii="Calibri" w:eastAsia="Times New Roman" w:hAnsi="Calibri" w:cs="Times New Roman"/>
                <w:b/>
                <w:sz w:val="32"/>
                <w:szCs w:val="32"/>
              </w:rPr>
              <w:t>Section 50</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EC52C4" w:rsidRPr="00380919" w:rsidRDefault="00EC52C4" w:rsidP="009458B6">
            <w:pPr>
              <w:spacing w:after="0" w:line="240" w:lineRule="auto"/>
              <w:rPr>
                <w:rFonts w:ascii="Calibri" w:eastAsia="Times New Roman" w:hAnsi="Calibri" w:cs="Times New Roman"/>
                <w:b/>
                <w:sz w:val="32"/>
                <w:szCs w:val="32"/>
              </w:rPr>
            </w:pPr>
            <w:r w:rsidRPr="00380919">
              <w:rPr>
                <w:rFonts w:ascii="Calibri" w:eastAsia="Times New Roman" w:hAnsi="Calibri" w:cs="Times New Roman"/>
                <w:b/>
                <w:sz w:val="32"/>
                <w:szCs w:val="32"/>
              </w:rPr>
              <w:t>Section 54</w:t>
            </w: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380919" w:rsidRDefault="00380919" w:rsidP="009458B6">
            <w:pPr>
              <w:spacing w:after="0" w:line="240" w:lineRule="auto"/>
              <w:rPr>
                <w:rFonts w:ascii="Calibri" w:eastAsia="Times New Roman" w:hAnsi="Calibri" w:cs="Times New Roman"/>
                <w:sz w:val="32"/>
                <w:szCs w:val="32"/>
              </w:rPr>
            </w:pPr>
          </w:p>
          <w:p w:rsidR="00A92CAF" w:rsidRPr="009458B6" w:rsidRDefault="00A92CAF" w:rsidP="009458B6">
            <w:pPr>
              <w:spacing w:after="0" w:line="240" w:lineRule="auto"/>
              <w:rPr>
                <w:rFonts w:ascii="Calibri" w:eastAsia="Times New Roman" w:hAnsi="Calibri" w:cs="Times New Roman"/>
                <w:sz w:val="32"/>
                <w:szCs w:val="32"/>
              </w:rPr>
            </w:pPr>
          </w:p>
        </w:tc>
        <w:tc>
          <w:tcPr>
            <w:tcW w:w="5386" w:type="dxa"/>
          </w:tcPr>
          <w:p w:rsidR="009458B6" w:rsidRPr="009458B6" w:rsidRDefault="00E14A68"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lastRenderedPageBreak/>
              <w:t>Requirement for BEE Certificate</w:t>
            </w:r>
            <w:r w:rsidR="005C0D4B">
              <w:rPr>
                <w:rFonts w:ascii="Calibri" w:eastAsia="Times New Roman" w:hAnsi="Calibri" w:cs="Times New Roman"/>
                <w:sz w:val="32"/>
                <w:szCs w:val="32"/>
              </w:rPr>
              <w:t xml:space="preserve"> may be too expensive and difficult to small companies to comply therewith. </w:t>
            </w: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458B6" w:rsidRPr="009458B6" w:rsidRDefault="009458B6" w:rsidP="009458B6">
            <w:pPr>
              <w:spacing w:after="0" w:line="240" w:lineRule="auto"/>
              <w:rPr>
                <w:rFonts w:ascii="Calibri" w:eastAsia="Times New Roman" w:hAnsi="Calibri" w:cs="Times New Roman"/>
                <w:sz w:val="32"/>
                <w:szCs w:val="32"/>
              </w:rPr>
            </w:pPr>
          </w:p>
          <w:p w:rsidR="009A6595" w:rsidRDefault="005C0D4B"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It is too expensive to </w:t>
            </w:r>
            <w:r w:rsidR="0013067E">
              <w:rPr>
                <w:rFonts w:ascii="Calibri" w:eastAsia="Times New Roman" w:hAnsi="Calibri" w:cs="Times New Roman"/>
                <w:sz w:val="32"/>
                <w:szCs w:val="32"/>
              </w:rPr>
              <w:t>hold trust</w:t>
            </w:r>
            <w:r w:rsidR="00E14A68">
              <w:rPr>
                <w:rFonts w:ascii="Calibri" w:eastAsia="Times New Roman" w:hAnsi="Calibri" w:cs="Times New Roman"/>
                <w:sz w:val="32"/>
                <w:szCs w:val="32"/>
              </w:rPr>
              <w:t xml:space="preserve"> account</w:t>
            </w:r>
            <w:r>
              <w:rPr>
                <w:rFonts w:ascii="Calibri" w:eastAsia="Times New Roman" w:hAnsi="Calibri" w:cs="Times New Roman"/>
                <w:sz w:val="32"/>
                <w:szCs w:val="32"/>
              </w:rPr>
              <w:t xml:space="preserve"> and </w:t>
            </w:r>
            <w:r w:rsidR="0013067E">
              <w:rPr>
                <w:rFonts w:ascii="Calibri" w:eastAsia="Times New Roman" w:hAnsi="Calibri" w:cs="Times New Roman"/>
                <w:sz w:val="32"/>
                <w:szCs w:val="32"/>
              </w:rPr>
              <w:t>the expenses</w:t>
            </w:r>
            <w:r>
              <w:rPr>
                <w:rFonts w:ascii="Calibri" w:eastAsia="Times New Roman" w:hAnsi="Calibri" w:cs="Times New Roman"/>
                <w:sz w:val="32"/>
                <w:szCs w:val="32"/>
              </w:rPr>
              <w:t xml:space="preserve"> thereto.</w:t>
            </w:r>
          </w:p>
          <w:p w:rsidR="009A6595" w:rsidRDefault="009A6595" w:rsidP="009458B6">
            <w:pPr>
              <w:spacing w:after="0" w:line="240" w:lineRule="auto"/>
              <w:rPr>
                <w:rFonts w:ascii="Calibri" w:eastAsia="Times New Roman" w:hAnsi="Calibri" w:cs="Times New Roman"/>
                <w:sz w:val="32"/>
                <w:szCs w:val="32"/>
              </w:rPr>
            </w:pPr>
          </w:p>
          <w:p w:rsidR="009A6595" w:rsidRDefault="009A6595" w:rsidP="009458B6">
            <w:pPr>
              <w:spacing w:after="0" w:line="240" w:lineRule="auto"/>
              <w:rPr>
                <w:rFonts w:ascii="Calibri" w:eastAsia="Times New Roman" w:hAnsi="Calibri" w:cs="Times New Roman"/>
                <w:sz w:val="32"/>
                <w:szCs w:val="32"/>
              </w:rPr>
            </w:pPr>
          </w:p>
          <w:p w:rsidR="009458B6" w:rsidRDefault="009458B6" w:rsidP="009458B6">
            <w:pPr>
              <w:spacing w:after="0" w:line="240" w:lineRule="auto"/>
              <w:rPr>
                <w:rFonts w:ascii="Calibri" w:eastAsia="Times New Roman" w:hAnsi="Calibri" w:cs="Times New Roman"/>
                <w:sz w:val="32"/>
                <w:szCs w:val="32"/>
              </w:rPr>
            </w:pPr>
          </w:p>
          <w:p w:rsidR="00E14A68" w:rsidRDefault="00E14A68" w:rsidP="00C314A4">
            <w:pPr>
              <w:spacing w:after="0" w:line="240" w:lineRule="auto"/>
              <w:ind w:firstLine="720"/>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E14A68" w:rsidRDefault="00E14A68" w:rsidP="009458B6">
            <w:pPr>
              <w:spacing w:after="0" w:line="240" w:lineRule="auto"/>
              <w:rPr>
                <w:rFonts w:ascii="Calibri" w:eastAsia="Times New Roman" w:hAnsi="Calibri" w:cs="Times New Roman"/>
                <w:sz w:val="32"/>
                <w:szCs w:val="32"/>
              </w:rPr>
            </w:pPr>
          </w:p>
          <w:p w:rsidR="005C0D4B" w:rsidRDefault="005C0D4B" w:rsidP="00E14A68">
            <w:pPr>
              <w:spacing w:after="0" w:line="240" w:lineRule="auto"/>
              <w:rPr>
                <w:rFonts w:ascii="Calibri" w:eastAsia="Times New Roman" w:hAnsi="Calibri" w:cs="Times New Roman"/>
                <w:sz w:val="32"/>
                <w:szCs w:val="32"/>
              </w:rPr>
            </w:pPr>
          </w:p>
          <w:p w:rsidR="005C0D4B" w:rsidRDefault="005C0D4B" w:rsidP="00E14A68">
            <w:pPr>
              <w:spacing w:after="0" w:line="240" w:lineRule="auto"/>
              <w:rPr>
                <w:rFonts w:ascii="Calibri" w:eastAsia="Times New Roman" w:hAnsi="Calibri" w:cs="Times New Roman"/>
                <w:sz w:val="32"/>
                <w:szCs w:val="32"/>
              </w:rPr>
            </w:pPr>
          </w:p>
          <w:p w:rsidR="00E14A68" w:rsidRPr="00E14A68" w:rsidRDefault="00E14A68" w:rsidP="00E14A68">
            <w:pPr>
              <w:spacing w:after="0" w:line="240" w:lineRule="auto"/>
              <w:rPr>
                <w:rFonts w:ascii="Calibri" w:eastAsia="Times New Roman" w:hAnsi="Calibri" w:cs="Times New Roman"/>
                <w:sz w:val="32"/>
                <w:szCs w:val="32"/>
              </w:rPr>
            </w:pPr>
            <w:r w:rsidRPr="00E14A68">
              <w:rPr>
                <w:rFonts w:ascii="Calibri" w:eastAsia="Times New Roman" w:hAnsi="Calibri" w:cs="Times New Roman"/>
                <w:sz w:val="32"/>
                <w:szCs w:val="32"/>
              </w:rPr>
              <w:t xml:space="preserve">Requirement </w:t>
            </w:r>
            <w:r w:rsidR="005C0D4B">
              <w:rPr>
                <w:rFonts w:ascii="Calibri" w:eastAsia="Times New Roman" w:hAnsi="Calibri" w:cs="Times New Roman"/>
                <w:sz w:val="32"/>
                <w:szCs w:val="32"/>
              </w:rPr>
              <w:t xml:space="preserve">of compliance with the </w:t>
            </w:r>
            <w:r w:rsidRPr="00E14A68">
              <w:rPr>
                <w:rFonts w:ascii="Calibri" w:eastAsia="Times New Roman" w:hAnsi="Calibri" w:cs="Times New Roman"/>
                <w:sz w:val="32"/>
                <w:szCs w:val="32"/>
              </w:rPr>
              <w:t>for BEE Certificate</w:t>
            </w:r>
            <w:r w:rsidR="005C0D4B">
              <w:rPr>
                <w:rFonts w:ascii="Calibri" w:eastAsia="Times New Roman" w:hAnsi="Calibri" w:cs="Times New Roman"/>
                <w:sz w:val="32"/>
                <w:szCs w:val="32"/>
              </w:rPr>
              <w:t xml:space="preserve"> in the Bill</w:t>
            </w:r>
          </w:p>
          <w:p w:rsidR="00E14A68" w:rsidRDefault="00E14A68"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It will be difficult for the SMME to comply with </w:t>
            </w:r>
            <w:r w:rsidR="005C0D4B">
              <w:rPr>
                <w:rFonts w:ascii="Calibri" w:eastAsia="Times New Roman" w:hAnsi="Calibri" w:cs="Times New Roman"/>
                <w:sz w:val="32"/>
                <w:szCs w:val="32"/>
              </w:rPr>
              <w:t>the entire</w:t>
            </w:r>
            <w:r>
              <w:rPr>
                <w:rFonts w:ascii="Calibri" w:eastAsia="Times New Roman" w:hAnsi="Calibri" w:cs="Times New Roman"/>
                <w:sz w:val="32"/>
                <w:szCs w:val="32"/>
              </w:rPr>
              <w:t xml:space="preserve"> legal and compliance requirement</w:t>
            </w:r>
            <w:r w:rsidR="005C0D4B">
              <w:rPr>
                <w:rFonts w:ascii="Calibri" w:eastAsia="Times New Roman" w:hAnsi="Calibri" w:cs="Times New Roman"/>
                <w:sz w:val="32"/>
                <w:szCs w:val="32"/>
              </w:rPr>
              <w:t xml:space="preserve"> in the Bill due to cost thereof.</w:t>
            </w: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r w:rsidRPr="00F43AA7">
              <w:rPr>
                <w:rFonts w:ascii="Calibri" w:eastAsia="Times New Roman" w:hAnsi="Calibri" w:cs="Times New Roman"/>
                <w:sz w:val="32"/>
                <w:szCs w:val="32"/>
              </w:rPr>
              <w:t>It will</w:t>
            </w:r>
            <w:r>
              <w:rPr>
                <w:rFonts w:ascii="Calibri" w:eastAsia="Times New Roman" w:hAnsi="Calibri" w:cs="Times New Roman"/>
                <w:sz w:val="32"/>
                <w:szCs w:val="32"/>
              </w:rPr>
              <w:t xml:space="preserve"> be</w:t>
            </w:r>
            <w:r w:rsidRPr="00F43AA7">
              <w:rPr>
                <w:rFonts w:ascii="Calibri" w:eastAsia="Times New Roman" w:hAnsi="Calibri" w:cs="Times New Roman"/>
                <w:sz w:val="32"/>
                <w:szCs w:val="32"/>
              </w:rPr>
              <w:t xml:space="preserve"> difficu</w:t>
            </w:r>
            <w:r>
              <w:rPr>
                <w:rFonts w:ascii="Calibri" w:eastAsia="Times New Roman" w:hAnsi="Calibri" w:cs="Times New Roman"/>
                <w:sz w:val="32"/>
                <w:szCs w:val="32"/>
              </w:rPr>
              <w:t xml:space="preserve">lt for the SMME both black and white to </w:t>
            </w:r>
            <w:r w:rsidRPr="00F43AA7">
              <w:rPr>
                <w:rFonts w:ascii="Calibri" w:eastAsia="Times New Roman" w:hAnsi="Calibri" w:cs="Times New Roman"/>
                <w:sz w:val="32"/>
                <w:szCs w:val="32"/>
              </w:rPr>
              <w:t>comply with the legal and compliance requirement</w:t>
            </w:r>
            <w:r w:rsidR="005C0D4B">
              <w:rPr>
                <w:rFonts w:ascii="Calibri" w:eastAsia="Times New Roman" w:hAnsi="Calibri" w:cs="Times New Roman"/>
                <w:sz w:val="32"/>
                <w:szCs w:val="32"/>
              </w:rPr>
              <w:t xml:space="preserve"> as set out in the Bill.</w:t>
            </w: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p>
          <w:p w:rsidR="007A3117" w:rsidRDefault="007A311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Agreements of sale, lease agreements, education and training, </w:t>
            </w:r>
            <w:r w:rsidR="007A3117">
              <w:rPr>
                <w:rFonts w:ascii="Calibri" w:eastAsia="Times New Roman" w:hAnsi="Calibri" w:cs="Times New Roman"/>
                <w:sz w:val="32"/>
                <w:szCs w:val="32"/>
              </w:rPr>
              <w:t xml:space="preserve">to be utilized accordingly  </w:t>
            </w:r>
            <w:r>
              <w:rPr>
                <w:rFonts w:ascii="Calibri" w:eastAsia="Times New Roman" w:hAnsi="Calibri" w:cs="Times New Roman"/>
                <w:sz w:val="32"/>
                <w:szCs w:val="32"/>
              </w:rPr>
              <w:t xml:space="preserve"> to advance transformation</w:t>
            </w:r>
            <w:r w:rsidR="007A3117">
              <w:rPr>
                <w:rFonts w:ascii="Calibri" w:eastAsia="Times New Roman" w:hAnsi="Calibri" w:cs="Times New Roman"/>
                <w:sz w:val="32"/>
                <w:szCs w:val="32"/>
              </w:rPr>
              <w:t xml:space="preserve"> in the sector</w:t>
            </w:r>
          </w:p>
          <w:p w:rsidR="00F43AA7" w:rsidRDefault="00F43AA7" w:rsidP="009458B6">
            <w:pPr>
              <w:spacing w:after="0" w:line="240" w:lineRule="auto"/>
              <w:rPr>
                <w:rFonts w:ascii="Calibri" w:eastAsia="Times New Roman" w:hAnsi="Calibri" w:cs="Times New Roman"/>
                <w:sz w:val="32"/>
                <w:szCs w:val="32"/>
              </w:rPr>
            </w:pPr>
          </w:p>
          <w:p w:rsidR="007A3117" w:rsidRDefault="007A3117" w:rsidP="009458B6">
            <w:pPr>
              <w:spacing w:after="0" w:line="240" w:lineRule="auto"/>
              <w:rPr>
                <w:rFonts w:ascii="Calibri" w:eastAsia="Times New Roman" w:hAnsi="Calibri" w:cs="Times New Roman"/>
                <w:sz w:val="32"/>
                <w:szCs w:val="32"/>
              </w:rPr>
            </w:pPr>
          </w:p>
          <w:p w:rsidR="00F43AA7" w:rsidRDefault="00F43AA7"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Trust account, Accounting Records, Regulations and the period of issuing of FFC</w:t>
            </w:r>
          </w:p>
          <w:p w:rsidR="007A3117" w:rsidRPr="007A3117" w:rsidRDefault="007A3117" w:rsidP="007A3117">
            <w:pPr>
              <w:spacing w:after="0" w:line="240" w:lineRule="auto"/>
              <w:rPr>
                <w:rFonts w:ascii="Calibri" w:eastAsia="Times New Roman" w:hAnsi="Calibri" w:cs="Times New Roman"/>
                <w:sz w:val="32"/>
                <w:szCs w:val="32"/>
              </w:rPr>
            </w:pPr>
            <w:r w:rsidRPr="007A3117">
              <w:rPr>
                <w:rFonts w:ascii="Calibri" w:eastAsia="Times New Roman" w:hAnsi="Calibri" w:cs="Times New Roman"/>
                <w:sz w:val="32"/>
                <w:szCs w:val="32"/>
              </w:rPr>
              <w:lastRenderedPageBreak/>
              <w:t>Trust account, Accounting Records, Regulations and the period of issuing of FFC</w:t>
            </w: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7A3117" w:rsidRDefault="007A3117" w:rsidP="00910EE3">
            <w:pPr>
              <w:spacing w:after="0" w:line="240" w:lineRule="auto"/>
              <w:rPr>
                <w:rFonts w:ascii="Calibri" w:eastAsia="Times New Roman" w:hAnsi="Calibri" w:cs="Times New Roman"/>
                <w:sz w:val="32"/>
                <w:szCs w:val="32"/>
              </w:rPr>
            </w:pPr>
          </w:p>
          <w:p w:rsidR="00910EE3" w:rsidRPr="00910EE3" w:rsidRDefault="00910EE3" w:rsidP="00910EE3">
            <w:pPr>
              <w:spacing w:after="0" w:line="240" w:lineRule="auto"/>
              <w:rPr>
                <w:rFonts w:ascii="Calibri" w:eastAsia="Times New Roman" w:hAnsi="Calibri" w:cs="Times New Roman"/>
                <w:sz w:val="32"/>
                <w:szCs w:val="32"/>
              </w:rPr>
            </w:pPr>
            <w:r w:rsidRPr="00910EE3">
              <w:rPr>
                <w:rFonts w:ascii="Calibri" w:eastAsia="Times New Roman" w:hAnsi="Calibri" w:cs="Times New Roman"/>
                <w:sz w:val="32"/>
                <w:szCs w:val="32"/>
              </w:rPr>
              <w:t>Trust account, holding of the Trust account, alignment of the Bill with CPA, FIC and Rental Housing Act</w:t>
            </w: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Issuing of FFC’s by the Authority</w:t>
            </w:r>
          </w:p>
          <w:p w:rsidR="00E40DF0" w:rsidRDefault="00E40DF0" w:rsidP="009458B6">
            <w:pPr>
              <w:spacing w:after="0" w:line="240" w:lineRule="auto"/>
              <w:rPr>
                <w:rFonts w:ascii="Calibri" w:eastAsia="Times New Roman" w:hAnsi="Calibri" w:cs="Times New Roman"/>
                <w:sz w:val="32"/>
                <w:szCs w:val="32"/>
              </w:rPr>
            </w:pPr>
          </w:p>
          <w:p w:rsidR="00E40DF0" w:rsidRDefault="00E40DF0" w:rsidP="009458B6">
            <w:pPr>
              <w:spacing w:after="0" w:line="240" w:lineRule="auto"/>
              <w:rPr>
                <w:rFonts w:ascii="Calibri" w:eastAsia="Times New Roman" w:hAnsi="Calibri" w:cs="Times New Roman"/>
                <w:sz w:val="32"/>
                <w:szCs w:val="32"/>
              </w:rPr>
            </w:pPr>
          </w:p>
          <w:p w:rsidR="00E40DF0" w:rsidRDefault="00E40DF0" w:rsidP="009458B6">
            <w:pPr>
              <w:spacing w:after="0" w:line="240" w:lineRule="auto"/>
              <w:rPr>
                <w:rFonts w:ascii="Calibri" w:eastAsia="Times New Roman" w:hAnsi="Calibri" w:cs="Times New Roman"/>
                <w:sz w:val="32"/>
                <w:szCs w:val="32"/>
              </w:rPr>
            </w:pPr>
          </w:p>
          <w:p w:rsidR="00E40DF0" w:rsidRDefault="00E40DF0" w:rsidP="009458B6">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r w:rsidRPr="00E40DF0">
              <w:rPr>
                <w:rFonts w:ascii="Calibri" w:eastAsia="Times New Roman" w:hAnsi="Calibri" w:cs="Times New Roman"/>
                <w:sz w:val="32"/>
                <w:szCs w:val="32"/>
              </w:rPr>
              <w:t xml:space="preserve">Section does not contain requirements relating to the interest received on money in </w:t>
            </w:r>
            <w:r>
              <w:rPr>
                <w:rFonts w:ascii="Calibri" w:eastAsia="Times New Roman" w:hAnsi="Calibri" w:cs="Times New Roman"/>
                <w:sz w:val="32"/>
                <w:szCs w:val="32"/>
              </w:rPr>
              <w:t>Trust account. IEASA</w:t>
            </w:r>
            <w:r w:rsidRPr="00E40DF0">
              <w:rPr>
                <w:rFonts w:ascii="Calibri" w:eastAsia="Times New Roman" w:hAnsi="Calibri" w:cs="Times New Roman"/>
                <w:sz w:val="32"/>
                <w:szCs w:val="32"/>
              </w:rPr>
              <w:t xml:space="preserve"> submits that Trust accounting is not always clear. Requirements for the Trust Account should be set out. These sections do not contain requirement relating to the interest received on money in trust or invested in a separate savings or other interest-bearing account. The extent the Bill requires interest to be paid over the Fidelity Fund. Proposed that similar requirement be included in the Bill or alternatively in the subsequent regulations</w:t>
            </w:r>
          </w:p>
          <w:p w:rsidR="00E40DF0" w:rsidRPr="00E40DF0" w:rsidRDefault="00BB340C"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IEASA</w:t>
            </w:r>
            <w:r w:rsidR="00E40DF0" w:rsidRPr="00E40DF0">
              <w:rPr>
                <w:rFonts w:ascii="Calibri" w:eastAsia="Times New Roman" w:hAnsi="Calibri" w:cs="Times New Roman"/>
                <w:sz w:val="32"/>
                <w:szCs w:val="32"/>
              </w:rPr>
              <w:t xml:space="preserve"> Support the Bill. However they submit that trust acco</w:t>
            </w:r>
            <w:r>
              <w:rPr>
                <w:rFonts w:ascii="Calibri" w:eastAsia="Times New Roman" w:hAnsi="Calibri" w:cs="Times New Roman"/>
                <w:sz w:val="32"/>
                <w:szCs w:val="32"/>
              </w:rPr>
              <w:t>unt especially section 54</w:t>
            </w:r>
            <w:r w:rsidR="00E40DF0" w:rsidRPr="00E40DF0">
              <w:rPr>
                <w:rFonts w:ascii="Calibri" w:eastAsia="Times New Roman" w:hAnsi="Calibri" w:cs="Times New Roman"/>
                <w:sz w:val="32"/>
                <w:szCs w:val="32"/>
              </w:rPr>
              <w:t xml:space="preserve">(5) should outline or describe in details in the regulations as how </w:t>
            </w:r>
            <w:r w:rsidR="00E40DF0" w:rsidRPr="00E40DF0">
              <w:rPr>
                <w:rFonts w:ascii="Calibri" w:eastAsia="Times New Roman" w:hAnsi="Calibri" w:cs="Times New Roman"/>
                <w:sz w:val="32"/>
                <w:szCs w:val="32"/>
              </w:rPr>
              <w:lastRenderedPageBreak/>
              <w:t>such accounts should kept. They further submit that refinements relating to trust account should be done.</w:t>
            </w:r>
          </w:p>
          <w:p w:rsidR="00E40DF0" w:rsidRPr="00E40DF0" w:rsidRDefault="00E40DF0" w:rsidP="00E40DF0">
            <w:pPr>
              <w:spacing w:after="0" w:line="240" w:lineRule="auto"/>
              <w:rPr>
                <w:rFonts w:ascii="Calibri" w:eastAsia="Times New Roman" w:hAnsi="Calibri" w:cs="Times New Roman"/>
                <w:sz w:val="32"/>
                <w:szCs w:val="32"/>
              </w:rPr>
            </w:pPr>
          </w:p>
          <w:p w:rsidR="00BB340C" w:rsidRDefault="00E40DF0" w:rsidP="00E40DF0">
            <w:pPr>
              <w:spacing w:after="0" w:line="240" w:lineRule="auto"/>
              <w:rPr>
                <w:rFonts w:ascii="Calibri" w:eastAsia="Times New Roman" w:hAnsi="Calibri" w:cs="Times New Roman"/>
                <w:sz w:val="32"/>
                <w:szCs w:val="32"/>
              </w:rPr>
            </w:pPr>
            <w:r w:rsidRPr="00E40DF0">
              <w:rPr>
                <w:rFonts w:ascii="Calibri" w:eastAsia="Times New Roman" w:hAnsi="Calibri" w:cs="Times New Roman"/>
                <w:sz w:val="32"/>
                <w:szCs w:val="32"/>
              </w:rPr>
              <w:t xml:space="preserve">Refers to an auditor being appointed as prescribed. There is no prescribed method to appoint auditor in the Bill </w:t>
            </w:r>
          </w:p>
          <w:p w:rsidR="00E40DF0" w:rsidRDefault="00E40DF0" w:rsidP="00E40DF0">
            <w:pPr>
              <w:spacing w:after="0" w:line="240" w:lineRule="auto"/>
              <w:rPr>
                <w:rFonts w:ascii="Calibri" w:eastAsia="Times New Roman" w:hAnsi="Calibri" w:cs="Times New Roman"/>
                <w:sz w:val="32"/>
                <w:szCs w:val="32"/>
              </w:rPr>
            </w:pPr>
            <w:r w:rsidRPr="00E40DF0">
              <w:rPr>
                <w:rFonts w:ascii="Calibri" w:eastAsia="Times New Roman" w:hAnsi="Calibri" w:cs="Times New Roman"/>
                <w:sz w:val="32"/>
                <w:szCs w:val="32"/>
              </w:rPr>
              <w:t xml:space="preserve">or invested in a separate savings or other interest-bearing account. The current Act requires interest to be paid </w:t>
            </w:r>
            <w:r w:rsidR="00BB340C">
              <w:rPr>
                <w:rFonts w:ascii="Calibri" w:eastAsia="Times New Roman" w:hAnsi="Calibri" w:cs="Times New Roman"/>
                <w:sz w:val="32"/>
                <w:szCs w:val="32"/>
              </w:rPr>
              <w:t>over to the Fidelity Fund. IEASA</w:t>
            </w:r>
            <w:r w:rsidRPr="00E40DF0">
              <w:rPr>
                <w:rFonts w:ascii="Calibri" w:eastAsia="Times New Roman" w:hAnsi="Calibri" w:cs="Times New Roman"/>
                <w:sz w:val="32"/>
                <w:szCs w:val="32"/>
              </w:rPr>
              <w:t xml:space="preserve"> recommend that a similar requirement be included in the </w:t>
            </w:r>
            <w:r w:rsidR="00BB340C">
              <w:rPr>
                <w:rFonts w:ascii="Calibri" w:eastAsia="Times New Roman" w:hAnsi="Calibri" w:cs="Times New Roman"/>
                <w:sz w:val="32"/>
                <w:szCs w:val="32"/>
              </w:rPr>
              <w:t xml:space="preserve"> regulations</w:t>
            </w:r>
          </w:p>
          <w:p w:rsidR="00892D9B" w:rsidRDefault="00892D9B" w:rsidP="00E40DF0">
            <w:pPr>
              <w:spacing w:after="0" w:line="240" w:lineRule="auto"/>
              <w:rPr>
                <w:rFonts w:ascii="Calibri" w:eastAsia="Times New Roman" w:hAnsi="Calibri" w:cs="Times New Roman"/>
                <w:sz w:val="32"/>
                <w:szCs w:val="32"/>
              </w:rPr>
            </w:pPr>
          </w:p>
          <w:p w:rsidR="00360E1D" w:rsidRDefault="00360E1D"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Requirement of all directors, partners, members and trustees having FFCs</w:t>
            </w: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rPr>
            </w:pPr>
            <w:r w:rsidRPr="00892D9B">
              <w:rPr>
                <w:rFonts w:ascii="Calibri" w:eastAsia="Times New Roman" w:hAnsi="Calibri" w:cs="Times New Roman"/>
                <w:sz w:val="32"/>
                <w:szCs w:val="32"/>
              </w:rPr>
              <w:t xml:space="preserve">Huge </w:t>
            </w:r>
            <w:r w:rsidR="00360E1D">
              <w:rPr>
                <w:rFonts w:ascii="Calibri" w:eastAsia="Times New Roman" w:hAnsi="Calibri" w:cs="Times New Roman"/>
                <w:sz w:val="32"/>
                <w:szCs w:val="32"/>
              </w:rPr>
              <w:t xml:space="preserve">cost of holding </w:t>
            </w:r>
            <w:r w:rsidRPr="00892D9B">
              <w:rPr>
                <w:rFonts w:ascii="Calibri" w:eastAsia="Times New Roman" w:hAnsi="Calibri" w:cs="Times New Roman"/>
                <w:sz w:val="32"/>
                <w:szCs w:val="32"/>
              </w:rPr>
              <w:t xml:space="preserve">trust account </w:t>
            </w:r>
            <w:r w:rsidR="00360E1D">
              <w:rPr>
                <w:rFonts w:ascii="Calibri" w:eastAsia="Times New Roman" w:hAnsi="Calibri" w:cs="Times New Roman"/>
                <w:sz w:val="32"/>
                <w:szCs w:val="32"/>
              </w:rPr>
              <w:t xml:space="preserve">and its </w:t>
            </w:r>
            <w:r w:rsidRPr="00892D9B">
              <w:rPr>
                <w:rFonts w:ascii="Calibri" w:eastAsia="Times New Roman" w:hAnsi="Calibri" w:cs="Times New Roman"/>
                <w:sz w:val="32"/>
                <w:szCs w:val="32"/>
              </w:rPr>
              <w:t>expenses</w:t>
            </w:r>
          </w:p>
          <w:p w:rsidR="00892D9B" w:rsidRDefault="00892D9B" w:rsidP="00892D9B">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rPr>
            </w:pPr>
          </w:p>
          <w:p w:rsidR="00892D9B" w:rsidRPr="00892D9B" w:rsidRDefault="00892D9B" w:rsidP="00892D9B">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Types of exemptions</w:t>
            </w:r>
            <w:r w:rsidR="00C06447">
              <w:rPr>
                <w:rFonts w:ascii="Calibri" w:eastAsia="Times New Roman" w:hAnsi="Calibri" w:cs="Times New Roman"/>
                <w:sz w:val="32"/>
                <w:szCs w:val="32"/>
              </w:rPr>
              <w:t>, Trust Accounts , Accounting Records and Code of Conduct</w:t>
            </w:r>
          </w:p>
          <w:p w:rsidR="00892D9B" w:rsidRPr="00892D9B" w:rsidRDefault="00892D9B" w:rsidP="00892D9B">
            <w:pPr>
              <w:spacing w:after="0" w:line="240" w:lineRule="auto"/>
              <w:rPr>
                <w:rFonts w:ascii="Calibri" w:eastAsia="Times New Roman" w:hAnsi="Calibri" w:cs="Times New Roman"/>
                <w:sz w:val="32"/>
                <w:szCs w:val="32"/>
                <w:lang w:val="en-ZA"/>
              </w:rPr>
            </w:pPr>
          </w:p>
          <w:p w:rsidR="00892D9B" w:rsidRPr="00E40DF0" w:rsidRDefault="00892D9B"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Default="00E40DF0" w:rsidP="00BB340C">
            <w:pPr>
              <w:spacing w:after="0" w:line="240" w:lineRule="auto"/>
              <w:rPr>
                <w:rFonts w:ascii="Calibri" w:eastAsia="Times New Roman" w:hAnsi="Calibri" w:cs="Times New Roman"/>
                <w:sz w:val="32"/>
                <w:szCs w:val="32"/>
              </w:rPr>
            </w:pPr>
          </w:p>
          <w:p w:rsidR="00C06447" w:rsidRDefault="00C06447" w:rsidP="00BB340C">
            <w:pPr>
              <w:spacing w:after="0" w:line="240" w:lineRule="auto"/>
              <w:rPr>
                <w:rFonts w:ascii="Calibri" w:eastAsia="Times New Roman" w:hAnsi="Calibri" w:cs="Times New Roman"/>
                <w:sz w:val="32"/>
                <w:szCs w:val="32"/>
              </w:rPr>
            </w:pPr>
          </w:p>
          <w:p w:rsidR="00C06447" w:rsidRDefault="00C06447" w:rsidP="00BB340C">
            <w:pPr>
              <w:spacing w:after="0" w:line="240" w:lineRule="auto"/>
              <w:rPr>
                <w:rFonts w:ascii="Calibri" w:eastAsia="Times New Roman" w:hAnsi="Calibri" w:cs="Times New Roman"/>
                <w:sz w:val="32"/>
                <w:szCs w:val="32"/>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Definitions of the “Business Property Practitioner”</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Definition of the “candidate practitioner”</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Attorneys and Developers are excluded.</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Claims against the Fund prior to the commencement of the legislation</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Issue vs possession of FFC</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 xml:space="preserve">Section 48(2) </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 xml:space="preserve">Trust accounts and Accounting Records </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Supervision of candidate property practitioner</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Section 47, Fidelity Fund Certificates (FFC)</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D70FEC" w:rsidP="00C06447">
            <w:pPr>
              <w:spacing w:after="0" w:line="240" w:lineRule="auto"/>
              <w:rPr>
                <w:rFonts w:ascii="Calibri" w:eastAsia="Times New Roman" w:hAnsi="Calibri" w:cs="Times New Roman"/>
                <w:sz w:val="32"/>
                <w:szCs w:val="32"/>
                <w:lang w:val="en-ZA"/>
              </w:rPr>
            </w:pPr>
            <w:r>
              <w:rPr>
                <w:rFonts w:ascii="Calibri" w:eastAsia="Times New Roman" w:hAnsi="Calibri" w:cs="Times New Roman"/>
                <w:sz w:val="32"/>
                <w:szCs w:val="32"/>
                <w:lang w:val="en-ZA"/>
              </w:rPr>
              <w:t xml:space="preserve">Cost of </w:t>
            </w:r>
            <w:r w:rsidR="00C06447" w:rsidRPr="00C06447">
              <w:rPr>
                <w:rFonts w:ascii="Calibri" w:eastAsia="Times New Roman" w:hAnsi="Calibri" w:cs="Times New Roman"/>
                <w:sz w:val="32"/>
                <w:szCs w:val="32"/>
                <w:lang w:val="en-ZA"/>
              </w:rPr>
              <w:t>BEE Certificate Compliance</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Align the legislation with the Property Sector Transformation Charter</w:t>
            </w: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191631" w:rsidRDefault="00191631" w:rsidP="00C06447">
            <w:pPr>
              <w:spacing w:after="0" w:line="240" w:lineRule="auto"/>
              <w:rPr>
                <w:rFonts w:ascii="Calibri" w:eastAsia="Times New Roman" w:hAnsi="Calibri" w:cs="Times New Roman"/>
                <w:sz w:val="32"/>
                <w:szCs w:val="32"/>
                <w:lang w:val="en-ZA"/>
              </w:rPr>
            </w:pPr>
          </w:p>
          <w:p w:rsidR="00AF0DE7" w:rsidRDefault="00AF0DE7" w:rsidP="00191631">
            <w:pPr>
              <w:spacing w:after="0" w:line="240" w:lineRule="auto"/>
              <w:rPr>
                <w:rFonts w:ascii="Calibri" w:eastAsia="Times New Roman" w:hAnsi="Calibri" w:cs="Times New Roman"/>
                <w:sz w:val="32"/>
                <w:szCs w:val="32"/>
              </w:rPr>
            </w:pPr>
          </w:p>
          <w:p w:rsidR="00191631" w:rsidRPr="00191631" w:rsidRDefault="00AF0DE7" w:rsidP="00191631">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Board Accountability</w:t>
            </w:r>
            <w:r w:rsidR="00191631" w:rsidRPr="00191631">
              <w:rPr>
                <w:rFonts w:ascii="Calibri" w:eastAsia="Times New Roman" w:hAnsi="Calibri" w:cs="Times New Roman"/>
                <w:sz w:val="32"/>
                <w:szCs w:val="32"/>
              </w:rPr>
              <w:t>” should be defined</w:t>
            </w: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191631" w:rsidRDefault="008A260A" w:rsidP="00C06447">
            <w:pPr>
              <w:spacing w:after="0" w:line="240" w:lineRule="auto"/>
              <w:rPr>
                <w:rFonts w:ascii="Calibri" w:eastAsia="Times New Roman" w:hAnsi="Calibri" w:cs="Times New Roman"/>
                <w:sz w:val="32"/>
                <w:szCs w:val="32"/>
                <w:lang w:val="en-ZA"/>
              </w:rPr>
            </w:pPr>
            <w:r>
              <w:rPr>
                <w:rFonts w:ascii="Calibri" w:eastAsia="Times New Roman" w:hAnsi="Calibri" w:cs="Times New Roman"/>
                <w:sz w:val="32"/>
                <w:szCs w:val="32"/>
                <w:lang w:val="en-ZA"/>
              </w:rPr>
              <w:t xml:space="preserve">Property Practitioners Ombuds must be established in the Bill </w:t>
            </w:r>
          </w:p>
          <w:p w:rsidR="00191631" w:rsidRDefault="00191631"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Default="00A9635C" w:rsidP="00C06447">
            <w:pPr>
              <w:spacing w:after="0" w:line="240" w:lineRule="auto"/>
              <w:rPr>
                <w:rFonts w:ascii="Calibri" w:eastAsia="Times New Roman" w:hAnsi="Calibri" w:cs="Times New Roman"/>
                <w:sz w:val="32"/>
                <w:szCs w:val="32"/>
              </w:rPr>
            </w:pPr>
          </w:p>
          <w:p w:rsidR="00A9635C" w:rsidRPr="00380919" w:rsidRDefault="00A934D5" w:rsidP="00C06447">
            <w:pPr>
              <w:spacing w:after="0" w:line="240" w:lineRule="auto"/>
              <w:rPr>
                <w:rFonts w:ascii="Calibri" w:eastAsia="Times New Roman" w:hAnsi="Calibri" w:cs="Times New Roman"/>
                <w:b/>
                <w:sz w:val="32"/>
                <w:szCs w:val="32"/>
              </w:rPr>
            </w:pPr>
            <w:r w:rsidRPr="00380919">
              <w:rPr>
                <w:rFonts w:ascii="Calibri" w:eastAsia="Times New Roman" w:hAnsi="Calibri" w:cs="Times New Roman"/>
                <w:b/>
                <w:sz w:val="32"/>
                <w:szCs w:val="32"/>
              </w:rPr>
              <w:t>Exemption from appointing an auditor</w:t>
            </w:r>
          </w:p>
          <w:p w:rsidR="00A934D5" w:rsidRDefault="00A934D5" w:rsidP="00C06447">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This section permits the appointment of an accountant as opposed both an accountant an auditor for property practitioners with turnover of less than R2.5 million. Whilst the Bill specifics the criteria for an “auditor”</w:t>
            </w:r>
            <w:r w:rsidR="00EC1101">
              <w:rPr>
                <w:rFonts w:ascii="Calibri" w:eastAsia="Times New Roman" w:hAnsi="Calibri" w:cs="Times New Roman"/>
                <w:sz w:val="32"/>
                <w:szCs w:val="32"/>
              </w:rPr>
              <w:t>,</w:t>
            </w:r>
            <w:r>
              <w:rPr>
                <w:rFonts w:ascii="Calibri" w:eastAsia="Times New Roman" w:hAnsi="Calibri" w:cs="Times New Roman"/>
                <w:sz w:val="32"/>
                <w:szCs w:val="32"/>
              </w:rPr>
              <w:t xml:space="preserve"> there are no criteria or definition for an </w:t>
            </w:r>
            <w:r>
              <w:rPr>
                <w:rFonts w:ascii="Calibri" w:eastAsia="Times New Roman" w:hAnsi="Calibri" w:cs="Times New Roman"/>
                <w:sz w:val="32"/>
                <w:szCs w:val="32"/>
              </w:rPr>
              <w:lastRenderedPageBreak/>
              <w:t>“accountant”. While we recognize</w:t>
            </w:r>
            <w:r w:rsidR="00852908">
              <w:rPr>
                <w:rFonts w:ascii="Calibri" w:eastAsia="Times New Roman" w:hAnsi="Calibri" w:cs="Times New Roman"/>
                <w:sz w:val="32"/>
                <w:szCs w:val="32"/>
              </w:rPr>
              <w:t xml:space="preserve"> that the intent of this clause is to cater for small new entrants into the sector (reduce the cost burden of having their affairs audited)</w:t>
            </w:r>
            <w:r w:rsidR="00EC1101">
              <w:rPr>
                <w:rFonts w:ascii="Calibri" w:eastAsia="Times New Roman" w:hAnsi="Calibri" w:cs="Times New Roman"/>
                <w:sz w:val="32"/>
                <w:szCs w:val="32"/>
              </w:rPr>
              <w:t>,</w:t>
            </w:r>
            <w:r w:rsidR="00852908">
              <w:rPr>
                <w:rFonts w:ascii="Calibri" w:eastAsia="Times New Roman" w:hAnsi="Calibri" w:cs="Times New Roman"/>
                <w:sz w:val="32"/>
                <w:szCs w:val="32"/>
              </w:rPr>
              <w:t xml:space="preserve"> this poses a risk to consumers who entrust monies to property practitioners in the form of deposits. </w:t>
            </w:r>
            <w:r w:rsidR="00EC1101">
              <w:rPr>
                <w:rFonts w:ascii="Calibri" w:eastAsia="Times New Roman" w:hAnsi="Calibri" w:cs="Times New Roman"/>
                <w:sz w:val="32"/>
                <w:szCs w:val="32"/>
              </w:rPr>
              <w:t xml:space="preserve"> This may adversely affect consumers whose lives the Bill seeks to support due to fraud or malpractice. Further, this does not support the principle of “public interest”.</w:t>
            </w:r>
          </w:p>
          <w:p w:rsidR="007301F2" w:rsidRDefault="007301F2" w:rsidP="00C06447">
            <w:pPr>
              <w:spacing w:after="0" w:line="240" w:lineRule="auto"/>
              <w:rPr>
                <w:rFonts w:ascii="Calibri" w:eastAsia="Times New Roman" w:hAnsi="Calibri" w:cs="Times New Roman"/>
                <w:sz w:val="32"/>
                <w:szCs w:val="32"/>
              </w:rPr>
            </w:pPr>
          </w:p>
          <w:p w:rsidR="007301F2" w:rsidRDefault="007301F2" w:rsidP="007301F2">
            <w:pPr>
              <w:rPr>
                <w:rFonts w:ascii="Calibri" w:eastAsia="Times New Roman" w:hAnsi="Calibri" w:cs="Times New Roman"/>
                <w:sz w:val="32"/>
                <w:szCs w:val="32"/>
              </w:rPr>
            </w:pPr>
          </w:p>
          <w:p w:rsidR="001D73E8" w:rsidRPr="00380919" w:rsidRDefault="007301F2" w:rsidP="001D73E8">
            <w:pPr>
              <w:spacing w:after="0"/>
              <w:rPr>
                <w:rFonts w:ascii="Calibri" w:eastAsia="Times New Roman" w:hAnsi="Calibri" w:cs="Times New Roman"/>
                <w:b/>
                <w:sz w:val="32"/>
                <w:szCs w:val="32"/>
              </w:rPr>
            </w:pPr>
            <w:r w:rsidRPr="00380919">
              <w:rPr>
                <w:rFonts w:ascii="Calibri" w:eastAsia="Times New Roman" w:hAnsi="Calibri" w:cs="Times New Roman"/>
                <w:b/>
                <w:sz w:val="32"/>
                <w:szCs w:val="32"/>
              </w:rPr>
              <w:t>Adjudication</w:t>
            </w:r>
          </w:p>
          <w:p w:rsidR="007301F2" w:rsidRDefault="007301F2" w:rsidP="001D73E8">
            <w:pPr>
              <w:spacing w:after="0"/>
              <w:rPr>
                <w:rFonts w:ascii="Calibri" w:eastAsia="Times New Roman" w:hAnsi="Calibri" w:cs="Times New Roman"/>
                <w:sz w:val="32"/>
                <w:szCs w:val="32"/>
              </w:rPr>
            </w:pPr>
            <w:r>
              <w:rPr>
                <w:rFonts w:ascii="Calibri" w:eastAsia="Times New Roman" w:hAnsi="Calibri" w:cs="Times New Roman"/>
                <w:sz w:val="32"/>
                <w:szCs w:val="32"/>
              </w:rPr>
              <w:t xml:space="preserve">While we welcome an adjudication process, as this may reduce the burden on our courts, the Bill does not stipulate a maximum timeline during which an adjudication process, as a </w:t>
            </w:r>
            <w:r>
              <w:rPr>
                <w:rFonts w:ascii="Calibri" w:eastAsia="Times New Roman" w:hAnsi="Calibri" w:cs="Times New Roman"/>
                <w:sz w:val="32"/>
                <w:szCs w:val="32"/>
              </w:rPr>
              <w:lastRenderedPageBreak/>
              <w:t>dispute can be held up indefinit</w:t>
            </w:r>
            <w:r w:rsidR="003737B2">
              <w:rPr>
                <w:rFonts w:ascii="Calibri" w:eastAsia="Times New Roman" w:hAnsi="Calibri" w:cs="Times New Roman"/>
                <w:sz w:val="32"/>
                <w:szCs w:val="32"/>
              </w:rPr>
              <w:t>ely, due to an order being with</w:t>
            </w:r>
            <w:r>
              <w:rPr>
                <w:rFonts w:ascii="Calibri" w:eastAsia="Times New Roman" w:hAnsi="Calibri" w:cs="Times New Roman"/>
                <w:sz w:val="32"/>
                <w:szCs w:val="32"/>
              </w:rPr>
              <w:t>held.</w:t>
            </w:r>
          </w:p>
          <w:p w:rsidR="00E3195A" w:rsidRDefault="00E3195A" w:rsidP="001D73E8">
            <w:pPr>
              <w:spacing w:after="0"/>
              <w:rPr>
                <w:rFonts w:ascii="Calibri" w:eastAsia="Times New Roman" w:hAnsi="Calibri" w:cs="Times New Roman"/>
                <w:sz w:val="32"/>
                <w:szCs w:val="32"/>
              </w:rPr>
            </w:pPr>
          </w:p>
          <w:p w:rsidR="00E3195A" w:rsidRPr="00380919" w:rsidRDefault="00E3195A" w:rsidP="001D73E8">
            <w:pPr>
              <w:spacing w:after="0"/>
              <w:rPr>
                <w:rFonts w:ascii="Calibri" w:eastAsia="Times New Roman" w:hAnsi="Calibri" w:cs="Times New Roman"/>
                <w:b/>
                <w:sz w:val="32"/>
                <w:szCs w:val="32"/>
              </w:rPr>
            </w:pPr>
            <w:r w:rsidRPr="00380919">
              <w:rPr>
                <w:rFonts w:ascii="Calibri" w:eastAsia="Times New Roman" w:hAnsi="Calibri" w:cs="Times New Roman"/>
                <w:b/>
                <w:sz w:val="32"/>
                <w:szCs w:val="32"/>
              </w:rPr>
              <w:t>Funds  of Authority</w:t>
            </w:r>
          </w:p>
          <w:p w:rsidR="00E3195A" w:rsidRDefault="00E3195A" w:rsidP="001D73E8">
            <w:pPr>
              <w:spacing w:after="0"/>
              <w:rPr>
                <w:rFonts w:ascii="Calibri" w:eastAsia="Times New Roman" w:hAnsi="Calibri" w:cs="Times New Roman"/>
                <w:sz w:val="32"/>
                <w:szCs w:val="32"/>
              </w:rPr>
            </w:pPr>
            <w:r>
              <w:rPr>
                <w:rFonts w:ascii="Calibri" w:eastAsia="Times New Roman" w:hAnsi="Calibri" w:cs="Times New Roman"/>
                <w:sz w:val="32"/>
                <w:szCs w:val="32"/>
              </w:rPr>
              <w:t>Section 32 list</w:t>
            </w:r>
            <w:r w:rsidR="003447D5">
              <w:rPr>
                <w:rFonts w:ascii="Calibri" w:eastAsia="Times New Roman" w:hAnsi="Calibri" w:cs="Times New Roman"/>
                <w:sz w:val="32"/>
                <w:szCs w:val="32"/>
              </w:rPr>
              <w:t>s</w:t>
            </w:r>
            <w:r>
              <w:rPr>
                <w:rFonts w:ascii="Calibri" w:eastAsia="Times New Roman" w:hAnsi="Calibri" w:cs="Times New Roman"/>
                <w:sz w:val="32"/>
                <w:szCs w:val="32"/>
              </w:rPr>
              <w:t xml:space="preserve"> all the funds of the Authority, however, fines and interest are not listed.</w:t>
            </w:r>
          </w:p>
          <w:p w:rsidR="003447D5" w:rsidRDefault="003447D5" w:rsidP="001D73E8">
            <w:pPr>
              <w:spacing w:after="0"/>
              <w:rPr>
                <w:rFonts w:ascii="Calibri" w:eastAsia="Times New Roman" w:hAnsi="Calibri" w:cs="Times New Roman"/>
                <w:sz w:val="32"/>
                <w:szCs w:val="32"/>
              </w:rPr>
            </w:pPr>
          </w:p>
          <w:p w:rsidR="0013067E" w:rsidRDefault="0013067E" w:rsidP="001D73E8">
            <w:pPr>
              <w:spacing w:after="0"/>
              <w:rPr>
                <w:rFonts w:ascii="Calibri" w:eastAsia="Times New Roman" w:hAnsi="Calibri" w:cs="Times New Roman"/>
                <w:sz w:val="32"/>
                <w:szCs w:val="32"/>
              </w:rPr>
            </w:pPr>
          </w:p>
          <w:p w:rsidR="00BD412D" w:rsidRPr="00380919" w:rsidRDefault="003447D5" w:rsidP="001D73E8">
            <w:pPr>
              <w:spacing w:after="0"/>
              <w:rPr>
                <w:rFonts w:ascii="Calibri" w:eastAsia="Times New Roman" w:hAnsi="Calibri" w:cs="Times New Roman"/>
                <w:b/>
                <w:sz w:val="32"/>
                <w:szCs w:val="32"/>
              </w:rPr>
            </w:pPr>
            <w:r w:rsidRPr="00380919">
              <w:rPr>
                <w:rFonts w:ascii="Calibri" w:eastAsia="Times New Roman" w:hAnsi="Calibri" w:cs="Times New Roman"/>
                <w:b/>
                <w:sz w:val="32"/>
                <w:szCs w:val="32"/>
              </w:rPr>
              <w:t>Fidelity fund Certificates</w:t>
            </w:r>
          </w:p>
          <w:p w:rsidR="003447D5" w:rsidRDefault="003447D5" w:rsidP="001D73E8">
            <w:pPr>
              <w:spacing w:after="0"/>
              <w:rPr>
                <w:rFonts w:ascii="Calibri" w:eastAsia="Times New Roman" w:hAnsi="Calibri" w:cs="Times New Roman"/>
                <w:sz w:val="32"/>
                <w:szCs w:val="32"/>
              </w:rPr>
            </w:pPr>
            <w:r>
              <w:rPr>
                <w:rFonts w:ascii="Calibri" w:eastAsia="Times New Roman" w:hAnsi="Calibri" w:cs="Times New Roman"/>
                <w:sz w:val="32"/>
                <w:szCs w:val="32"/>
              </w:rPr>
              <w:t>Section 47 prop</w:t>
            </w:r>
            <w:r w:rsidR="00911644">
              <w:rPr>
                <w:rFonts w:ascii="Calibri" w:eastAsia="Times New Roman" w:hAnsi="Calibri" w:cs="Times New Roman"/>
                <w:sz w:val="32"/>
                <w:szCs w:val="32"/>
              </w:rPr>
              <w:t>oses that a property practitioner</w:t>
            </w:r>
            <w:r>
              <w:rPr>
                <w:rFonts w:ascii="Calibri" w:eastAsia="Times New Roman" w:hAnsi="Calibri" w:cs="Times New Roman"/>
                <w:sz w:val="32"/>
                <w:szCs w:val="32"/>
              </w:rPr>
              <w:t xml:space="preserve"> must apply for a fidelity find certificate and pay the prescribed fees every three years. The possession of a Fidelity Fund Certificate will be a mandatory requirement for acting as a property practi</w:t>
            </w:r>
            <w:r w:rsidR="00911644">
              <w:rPr>
                <w:rFonts w:ascii="Calibri" w:eastAsia="Times New Roman" w:hAnsi="Calibri" w:cs="Times New Roman"/>
                <w:sz w:val="32"/>
                <w:szCs w:val="32"/>
              </w:rPr>
              <w:t>ti</w:t>
            </w:r>
            <w:r>
              <w:rPr>
                <w:rFonts w:ascii="Calibri" w:eastAsia="Times New Roman" w:hAnsi="Calibri" w:cs="Times New Roman"/>
                <w:sz w:val="32"/>
                <w:szCs w:val="32"/>
              </w:rPr>
              <w:t>oner.</w:t>
            </w:r>
          </w:p>
          <w:p w:rsidR="00EF6C22" w:rsidRDefault="00EF6C22" w:rsidP="001D73E8">
            <w:pPr>
              <w:spacing w:after="0"/>
              <w:rPr>
                <w:rFonts w:ascii="Calibri" w:eastAsia="Times New Roman" w:hAnsi="Calibri" w:cs="Times New Roman"/>
                <w:sz w:val="32"/>
                <w:szCs w:val="32"/>
              </w:rPr>
            </w:pPr>
          </w:p>
          <w:p w:rsidR="00EF6C22" w:rsidRDefault="00EF6C22" w:rsidP="001D73E8">
            <w:pPr>
              <w:spacing w:after="0"/>
              <w:rPr>
                <w:rFonts w:ascii="Calibri" w:eastAsia="Times New Roman" w:hAnsi="Calibri" w:cs="Times New Roman"/>
                <w:sz w:val="32"/>
                <w:szCs w:val="32"/>
              </w:rPr>
            </w:pPr>
            <w:r>
              <w:rPr>
                <w:rFonts w:ascii="Calibri" w:eastAsia="Times New Roman" w:hAnsi="Calibri" w:cs="Times New Roman"/>
                <w:sz w:val="32"/>
                <w:szCs w:val="32"/>
              </w:rPr>
              <w:lastRenderedPageBreak/>
              <w:t>In instances where a juristic person participates as a property intermediary, every director of the company will be  required to be in possession of a  certificate. The same applies to:</w:t>
            </w:r>
          </w:p>
          <w:p w:rsidR="00EF6C22" w:rsidRDefault="00EF6C22" w:rsidP="001D73E8">
            <w:pPr>
              <w:spacing w:after="0"/>
              <w:rPr>
                <w:rFonts w:ascii="Calibri" w:eastAsia="Times New Roman" w:hAnsi="Calibri" w:cs="Times New Roman"/>
                <w:sz w:val="32"/>
                <w:szCs w:val="32"/>
              </w:rPr>
            </w:pPr>
          </w:p>
          <w:p w:rsidR="00EF6C22" w:rsidRPr="00EF6C22" w:rsidRDefault="00EF6C22" w:rsidP="00EF6C22">
            <w:pPr>
              <w:pStyle w:val="ListParagraph"/>
              <w:numPr>
                <w:ilvl w:val="0"/>
                <w:numId w:val="5"/>
              </w:numPr>
              <w:spacing w:after="0"/>
              <w:rPr>
                <w:rFonts w:ascii="Calibri" w:eastAsia="Times New Roman" w:hAnsi="Calibri" w:cs="Times New Roman"/>
                <w:sz w:val="32"/>
                <w:szCs w:val="32"/>
              </w:rPr>
            </w:pPr>
            <w:r>
              <w:rPr>
                <w:rFonts w:ascii="Calibri" w:eastAsia="Times New Roman" w:hAnsi="Calibri" w:cs="Times New Roman"/>
                <w:sz w:val="32"/>
                <w:szCs w:val="32"/>
              </w:rPr>
              <w:t>“</w:t>
            </w:r>
            <w:r w:rsidRPr="00EF6C22">
              <w:rPr>
                <w:rFonts w:ascii="Calibri" w:eastAsia="Times New Roman" w:hAnsi="Calibri" w:cs="Times New Roman"/>
                <w:sz w:val="32"/>
                <w:szCs w:val="32"/>
              </w:rPr>
              <w:t>All members of a close coperation;</w:t>
            </w:r>
          </w:p>
          <w:p w:rsidR="00EF6C22" w:rsidRPr="00EF6C22" w:rsidRDefault="00EF6C22" w:rsidP="00EF6C22">
            <w:pPr>
              <w:pStyle w:val="ListParagraph"/>
              <w:numPr>
                <w:ilvl w:val="0"/>
                <w:numId w:val="5"/>
              </w:numPr>
              <w:spacing w:after="0"/>
              <w:rPr>
                <w:rFonts w:ascii="Calibri" w:eastAsia="Times New Roman" w:hAnsi="Calibri" w:cs="Times New Roman"/>
                <w:sz w:val="32"/>
                <w:szCs w:val="32"/>
              </w:rPr>
            </w:pPr>
            <w:r w:rsidRPr="00EF6C22">
              <w:rPr>
                <w:rFonts w:ascii="Calibri" w:eastAsia="Times New Roman" w:hAnsi="Calibri" w:cs="Times New Roman"/>
                <w:sz w:val="32"/>
                <w:szCs w:val="32"/>
              </w:rPr>
              <w:t>All trustees of a trust; and</w:t>
            </w:r>
          </w:p>
          <w:p w:rsidR="00EF6C22" w:rsidRDefault="00EF6C22" w:rsidP="00EF6C22">
            <w:pPr>
              <w:pStyle w:val="ListParagraph"/>
              <w:numPr>
                <w:ilvl w:val="0"/>
                <w:numId w:val="5"/>
              </w:numPr>
              <w:spacing w:after="0"/>
              <w:rPr>
                <w:rFonts w:ascii="Calibri" w:eastAsia="Times New Roman" w:hAnsi="Calibri" w:cs="Times New Roman"/>
                <w:sz w:val="32"/>
                <w:szCs w:val="32"/>
              </w:rPr>
            </w:pPr>
            <w:r w:rsidRPr="00EF6C22">
              <w:rPr>
                <w:rFonts w:ascii="Calibri" w:eastAsia="Times New Roman" w:hAnsi="Calibri" w:cs="Times New Roman"/>
                <w:sz w:val="32"/>
                <w:szCs w:val="32"/>
              </w:rPr>
              <w:t>All partners of a partnership”</w:t>
            </w:r>
          </w:p>
          <w:p w:rsidR="00EF6C22" w:rsidRDefault="00EF6C22" w:rsidP="00EF6C22">
            <w:pPr>
              <w:pStyle w:val="ListParagraph"/>
              <w:spacing w:after="0"/>
              <w:rPr>
                <w:rFonts w:ascii="Calibri" w:eastAsia="Times New Roman" w:hAnsi="Calibri" w:cs="Times New Roman"/>
                <w:sz w:val="32"/>
                <w:szCs w:val="32"/>
              </w:rPr>
            </w:pPr>
          </w:p>
          <w:p w:rsidR="00EF6C22" w:rsidRDefault="00EF6C22" w:rsidP="00EF6C22">
            <w:pPr>
              <w:spacing w:after="0"/>
              <w:rPr>
                <w:rFonts w:ascii="Calibri" w:eastAsia="Times New Roman" w:hAnsi="Calibri" w:cs="Times New Roman"/>
                <w:sz w:val="32"/>
                <w:szCs w:val="32"/>
              </w:rPr>
            </w:pPr>
            <w:r>
              <w:rPr>
                <w:rFonts w:ascii="Calibri" w:eastAsia="Times New Roman" w:hAnsi="Calibri" w:cs="Times New Roman"/>
                <w:sz w:val="32"/>
                <w:szCs w:val="32"/>
              </w:rPr>
              <w:t xml:space="preserve">We believe that this requirement will place an undue burden on all directors/members/trustees/partners if they are to possess a fidelity certificate </w:t>
            </w:r>
            <w:r w:rsidR="00D150A9">
              <w:rPr>
                <w:rFonts w:ascii="Calibri" w:eastAsia="Times New Roman" w:hAnsi="Calibri" w:cs="Times New Roman"/>
                <w:sz w:val="32"/>
                <w:szCs w:val="32"/>
              </w:rPr>
              <w:t xml:space="preserve">as such entities employ specialists to fulfill roles without their having any knowledge or involvement </w:t>
            </w:r>
            <w:r w:rsidR="00D150A9">
              <w:rPr>
                <w:rFonts w:ascii="Calibri" w:eastAsia="Times New Roman" w:hAnsi="Calibri" w:cs="Times New Roman"/>
                <w:sz w:val="32"/>
                <w:szCs w:val="32"/>
              </w:rPr>
              <w:lastRenderedPageBreak/>
              <w:t xml:space="preserve">as a property practitioner e.g financial accountant. </w:t>
            </w:r>
            <w:r w:rsidR="00FC301D">
              <w:rPr>
                <w:rFonts w:ascii="Calibri" w:eastAsia="Times New Roman" w:hAnsi="Calibri" w:cs="Times New Roman"/>
                <w:sz w:val="32"/>
                <w:szCs w:val="32"/>
              </w:rPr>
              <w:t xml:space="preserve"> In addition, this will also place an undue burden on such entities and these costs will in turn be on passes onto the consumer by such entities, which will hamper transformation.</w:t>
            </w:r>
          </w:p>
          <w:p w:rsidR="00D863A1" w:rsidRPr="00EF6C22" w:rsidRDefault="00D863A1" w:rsidP="00EF6C22">
            <w:pPr>
              <w:spacing w:after="0"/>
              <w:rPr>
                <w:rFonts w:ascii="Calibri" w:eastAsia="Times New Roman" w:hAnsi="Calibri" w:cs="Times New Roman"/>
                <w:sz w:val="32"/>
                <w:szCs w:val="32"/>
              </w:rPr>
            </w:pPr>
          </w:p>
          <w:p w:rsidR="00EF6C22" w:rsidRPr="00380919" w:rsidRDefault="00D863A1" w:rsidP="001D73E8">
            <w:pPr>
              <w:spacing w:after="0"/>
              <w:rPr>
                <w:rFonts w:ascii="Calibri" w:eastAsia="Times New Roman" w:hAnsi="Calibri" w:cs="Times New Roman"/>
                <w:b/>
                <w:sz w:val="32"/>
                <w:szCs w:val="32"/>
              </w:rPr>
            </w:pPr>
            <w:r w:rsidRPr="00380919">
              <w:rPr>
                <w:rFonts w:ascii="Calibri" w:eastAsia="Times New Roman" w:hAnsi="Calibri" w:cs="Times New Roman"/>
                <w:b/>
                <w:sz w:val="32"/>
                <w:szCs w:val="32"/>
              </w:rPr>
              <w:t>Disqualification from issuing a Fidelity Fund Certificate</w:t>
            </w:r>
          </w:p>
          <w:p w:rsidR="00D863A1" w:rsidRDefault="0023764C" w:rsidP="001D73E8">
            <w:pPr>
              <w:spacing w:after="0"/>
              <w:rPr>
                <w:rFonts w:ascii="Calibri" w:eastAsia="Times New Roman" w:hAnsi="Calibri" w:cs="Times New Roman"/>
                <w:sz w:val="32"/>
                <w:szCs w:val="32"/>
              </w:rPr>
            </w:pPr>
            <w:r>
              <w:rPr>
                <w:rFonts w:ascii="Calibri" w:eastAsia="Times New Roman" w:hAnsi="Calibri" w:cs="Times New Roman"/>
                <w:sz w:val="32"/>
                <w:szCs w:val="32"/>
              </w:rPr>
              <w:t>The Draft Bi</w:t>
            </w:r>
            <w:r w:rsidR="00B65466">
              <w:rPr>
                <w:rFonts w:ascii="Calibri" w:eastAsia="Times New Roman" w:hAnsi="Calibri" w:cs="Times New Roman"/>
                <w:sz w:val="32"/>
                <w:szCs w:val="32"/>
              </w:rPr>
              <w:t>l</w:t>
            </w:r>
            <w:r>
              <w:rPr>
                <w:rFonts w:ascii="Calibri" w:eastAsia="Times New Roman" w:hAnsi="Calibri" w:cs="Times New Roman"/>
                <w:sz w:val="32"/>
                <w:szCs w:val="32"/>
              </w:rPr>
              <w:t>l proposes a long list of mandatory reasons why the Property Practitioners Board should withhold a Fidelity certificate, thereby preventing intermediaries from practising and therefore earning an income.</w:t>
            </w:r>
          </w:p>
          <w:p w:rsidR="007851D4" w:rsidRDefault="007851D4" w:rsidP="001D73E8">
            <w:pPr>
              <w:spacing w:after="0"/>
              <w:rPr>
                <w:rFonts w:ascii="Calibri" w:eastAsia="Times New Roman" w:hAnsi="Calibri" w:cs="Times New Roman"/>
                <w:sz w:val="32"/>
                <w:szCs w:val="32"/>
              </w:rPr>
            </w:pPr>
          </w:p>
          <w:p w:rsidR="007851D4" w:rsidRDefault="007851D4" w:rsidP="001D73E8">
            <w:pPr>
              <w:spacing w:after="0"/>
              <w:rPr>
                <w:rFonts w:ascii="Calibri" w:eastAsia="Times New Roman" w:hAnsi="Calibri" w:cs="Times New Roman"/>
                <w:sz w:val="32"/>
                <w:szCs w:val="32"/>
              </w:rPr>
            </w:pPr>
            <w:r>
              <w:rPr>
                <w:rFonts w:ascii="Calibri" w:eastAsia="Times New Roman" w:hAnsi="Calibri" w:cs="Times New Roman"/>
                <w:sz w:val="32"/>
                <w:szCs w:val="32"/>
              </w:rPr>
              <w:t xml:space="preserve">A number of those grounds may, </w:t>
            </w:r>
            <w:r>
              <w:rPr>
                <w:rFonts w:ascii="Calibri" w:eastAsia="Times New Roman" w:hAnsi="Calibri" w:cs="Times New Roman"/>
                <w:sz w:val="32"/>
                <w:szCs w:val="32"/>
              </w:rPr>
              <w:lastRenderedPageBreak/>
              <w:t>depending on the circumstances, be contrary to the principle that the punishment must fit the crime</w:t>
            </w:r>
            <w:r w:rsidR="00673415" w:rsidRPr="00673415">
              <w:rPr>
                <w:rFonts w:ascii="Calibri" w:eastAsia="Times New Roman" w:hAnsi="Calibri" w:cs="Times New Roman"/>
                <w:sz w:val="32"/>
                <w:szCs w:val="32"/>
              </w:rPr>
              <w:t>. We note that these same grounds are not reflected in the grounds for disqualification from the Board or Authority itself?</w:t>
            </w:r>
          </w:p>
          <w:p w:rsidR="00140F51" w:rsidRPr="00673415" w:rsidRDefault="00140F51" w:rsidP="001D73E8">
            <w:pPr>
              <w:spacing w:after="0"/>
              <w:rPr>
                <w:rFonts w:ascii="Calibri" w:eastAsia="Times New Roman" w:hAnsi="Calibri" w:cs="Times New Roman"/>
                <w:sz w:val="32"/>
                <w:szCs w:val="32"/>
              </w:rPr>
            </w:pPr>
          </w:p>
          <w:p w:rsidR="00E3195A" w:rsidRPr="00380919" w:rsidRDefault="00EC52C4" w:rsidP="001D73E8">
            <w:pPr>
              <w:spacing w:after="0"/>
              <w:rPr>
                <w:rFonts w:ascii="Calibri" w:eastAsia="Times New Roman" w:hAnsi="Calibri" w:cs="Times New Roman"/>
                <w:b/>
                <w:sz w:val="32"/>
                <w:szCs w:val="32"/>
              </w:rPr>
            </w:pPr>
            <w:r w:rsidRPr="00380919">
              <w:rPr>
                <w:rFonts w:ascii="Calibri" w:eastAsia="Times New Roman" w:hAnsi="Calibri" w:cs="Times New Roman"/>
                <w:b/>
                <w:sz w:val="32"/>
                <w:szCs w:val="32"/>
              </w:rPr>
              <w:t>Trusts</w:t>
            </w:r>
          </w:p>
          <w:p w:rsidR="00A92CAF" w:rsidRDefault="00EC52C4" w:rsidP="001D73E8">
            <w:pPr>
              <w:spacing w:after="0"/>
              <w:rPr>
                <w:rFonts w:ascii="Calibri" w:eastAsia="Times New Roman" w:hAnsi="Calibri" w:cs="Times New Roman"/>
                <w:sz w:val="32"/>
                <w:szCs w:val="32"/>
              </w:rPr>
            </w:pPr>
            <w:r>
              <w:rPr>
                <w:rFonts w:ascii="Calibri" w:eastAsia="Times New Roman" w:hAnsi="Calibri" w:cs="Times New Roman"/>
                <w:sz w:val="32"/>
                <w:szCs w:val="32"/>
              </w:rPr>
              <w:t>In terms of Regulations in support the Banks Act No.94 of 1990, a bank may not open a trust account for a property practitioner unless they are registered with the Property Practitioners Board</w:t>
            </w:r>
            <w:r w:rsidR="00A92CAF">
              <w:rPr>
                <w:rFonts w:ascii="Calibri" w:eastAsia="Times New Roman" w:hAnsi="Calibri" w:cs="Times New Roman"/>
                <w:sz w:val="32"/>
                <w:szCs w:val="32"/>
              </w:rPr>
              <w:t>. Clause 54(1)(c) is therefore correct</w:t>
            </w:r>
            <w:r w:rsidR="00CF1BA7">
              <w:rPr>
                <w:rFonts w:ascii="Calibri" w:eastAsia="Times New Roman" w:hAnsi="Calibri" w:cs="Times New Roman"/>
                <w:sz w:val="32"/>
                <w:szCs w:val="32"/>
              </w:rPr>
              <w:t xml:space="preserve"> that </w:t>
            </w:r>
            <w:r w:rsidR="00A92CAF">
              <w:rPr>
                <w:rFonts w:ascii="Calibri" w:eastAsia="Times New Roman" w:hAnsi="Calibri" w:cs="Times New Roman"/>
                <w:sz w:val="32"/>
                <w:szCs w:val="32"/>
              </w:rPr>
              <w:t xml:space="preserve"> as it should require a property practitioner to register with the Property Practitioners Board and only </w:t>
            </w:r>
            <w:r w:rsidR="00A92CAF">
              <w:rPr>
                <w:rFonts w:ascii="Calibri" w:eastAsia="Times New Roman" w:hAnsi="Calibri" w:cs="Times New Roman"/>
                <w:sz w:val="32"/>
                <w:szCs w:val="32"/>
              </w:rPr>
              <w:lastRenderedPageBreak/>
              <w:t>to approach a bank thereafter for a trust account to be opened.</w:t>
            </w:r>
          </w:p>
          <w:p w:rsidR="00A92CAF" w:rsidRDefault="00A92CAF" w:rsidP="001D73E8">
            <w:pPr>
              <w:spacing w:after="0"/>
              <w:rPr>
                <w:rFonts w:ascii="Calibri" w:eastAsia="Times New Roman" w:hAnsi="Calibri" w:cs="Times New Roman"/>
                <w:sz w:val="32"/>
                <w:szCs w:val="32"/>
              </w:rPr>
            </w:pPr>
          </w:p>
          <w:p w:rsidR="00A92CAF" w:rsidRDefault="00A92CAF" w:rsidP="001D73E8">
            <w:pPr>
              <w:spacing w:after="0"/>
              <w:rPr>
                <w:rFonts w:ascii="Calibri" w:eastAsia="Times New Roman" w:hAnsi="Calibri" w:cs="Times New Roman"/>
                <w:sz w:val="32"/>
                <w:szCs w:val="32"/>
              </w:rPr>
            </w:pPr>
            <w:r>
              <w:rPr>
                <w:rFonts w:ascii="Calibri" w:eastAsia="Times New Roman" w:hAnsi="Calibri" w:cs="Times New Roman"/>
                <w:sz w:val="32"/>
                <w:szCs w:val="32"/>
              </w:rPr>
              <w:t>We assume that the Property Practitioners Board would, when approving the registration of a Property Practitioner ensure that the name used for the trust account is appropriate and that the descriptor name clearly identifies that the trust account is for a property practitioners (</w:t>
            </w:r>
            <w:r w:rsidR="00380919">
              <w:rPr>
                <w:rFonts w:ascii="Calibri" w:eastAsia="Times New Roman" w:hAnsi="Calibri" w:cs="Times New Roman"/>
                <w:sz w:val="32"/>
                <w:szCs w:val="32"/>
              </w:rPr>
              <w:t xml:space="preserve">currently some of </w:t>
            </w:r>
            <w:r>
              <w:rPr>
                <w:rFonts w:ascii="Calibri" w:eastAsia="Times New Roman" w:hAnsi="Calibri" w:cs="Times New Roman"/>
                <w:sz w:val="32"/>
                <w:szCs w:val="32"/>
              </w:rPr>
              <w:t>the name descriptors used by Estate Agents/Estate Agencies make it impossible for banks when undertaking a search of their computer database to determine that he account s in fact a trust account, or the purpose for what the  account is to be  use</w:t>
            </w:r>
            <w:r w:rsidR="006E4989">
              <w:rPr>
                <w:rFonts w:ascii="Calibri" w:eastAsia="Times New Roman" w:hAnsi="Calibri" w:cs="Times New Roman"/>
                <w:sz w:val="32"/>
                <w:szCs w:val="32"/>
              </w:rPr>
              <w:t>d).</w:t>
            </w:r>
            <w:r>
              <w:rPr>
                <w:rFonts w:ascii="Calibri" w:eastAsia="Times New Roman" w:hAnsi="Calibri" w:cs="Times New Roman"/>
                <w:sz w:val="32"/>
                <w:szCs w:val="32"/>
              </w:rPr>
              <w:t xml:space="preserve"> </w:t>
            </w:r>
          </w:p>
          <w:p w:rsidR="00A92CAF" w:rsidRPr="007301F2" w:rsidRDefault="00EC52C4" w:rsidP="00FE40ED">
            <w:pPr>
              <w:spacing w:after="0"/>
              <w:rPr>
                <w:rFonts w:ascii="Calibri" w:eastAsia="Times New Roman" w:hAnsi="Calibri" w:cs="Times New Roman"/>
                <w:sz w:val="32"/>
                <w:szCs w:val="32"/>
              </w:rPr>
            </w:pPr>
            <w:r>
              <w:rPr>
                <w:rFonts w:ascii="Calibri" w:eastAsia="Times New Roman" w:hAnsi="Calibri" w:cs="Times New Roman"/>
                <w:sz w:val="32"/>
                <w:szCs w:val="32"/>
              </w:rPr>
              <w:lastRenderedPageBreak/>
              <w:t xml:space="preserve"> </w:t>
            </w:r>
          </w:p>
        </w:tc>
        <w:tc>
          <w:tcPr>
            <w:tcW w:w="3572" w:type="dxa"/>
          </w:tcPr>
          <w:p w:rsidR="00E14A68" w:rsidRDefault="00E14A68" w:rsidP="00E14A68">
            <w:pPr>
              <w:spacing w:after="0" w:line="240" w:lineRule="auto"/>
              <w:rPr>
                <w:rFonts w:ascii="Calibri" w:eastAsia="Times New Roman" w:hAnsi="Calibri" w:cs="Times New Roman"/>
                <w:sz w:val="32"/>
                <w:szCs w:val="32"/>
                <w:lang w:val="en-ZA"/>
              </w:rPr>
            </w:pPr>
            <w:r w:rsidRPr="00E14A68">
              <w:rPr>
                <w:rFonts w:ascii="Calibri" w:eastAsia="Times New Roman" w:hAnsi="Calibri" w:cs="Times New Roman"/>
                <w:sz w:val="32"/>
                <w:szCs w:val="32"/>
                <w:lang w:val="en-ZA"/>
              </w:rPr>
              <w:lastRenderedPageBreak/>
              <w:t xml:space="preserve">It is a constitutional requirement to comply with all the </w:t>
            </w:r>
            <w:r w:rsidR="005C0D4B">
              <w:rPr>
                <w:rFonts w:ascii="Calibri" w:eastAsia="Times New Roman" w:hAnsi="Calibri" w:cs="Times New Roman"/>
                <w:sz w:val="32"/>
                <w:szCs w:val="32"/>
                <w:lang w:val="en-ZA"/>
              </w:rPr>
              <w:t xml:space="preserve">BEE </w:t>
            </w:r>
            <w:r w:rsidRPr="00E14A68">
              <w:rPr>
                <w:rFonts w:ascii="Calibri" w:eastAsia="Times New Roman" w:hAnsi="Calibri" w:cs="Times New Roman"/>
                <w:sz w:val="32"/>
                <w:szCs w:val="32"/>
                <w:lang w:val="en-ZA"/>
              </w:rPr>
              <w:t>empowerment</w:t>
            </w:r>
            <w:r w:rsidR="005C0D4B">
              <w:rPr>
                <w:rFonts w:ascii="Calibri" w:eastAsia="Times New Roman" w:hAnsi="Calibri" w:cs="Times New Roman"/>
                <w:sz w:val="32"/>
                <w:szCs w:val="32"/>
                <w:lang w:val="en-ZA"/>
              </w:rPr>
              <w:t xml:space="preserve"> legislations </w:t>
            </w:r>
            <w:r w:rsidR="005C0D4B" w:rsidRPr="00E14A68">
              <w:rPr>
                <w:rFonts w:ascii="Calibri" w:eastAsia="Times New Roman" w:hAnsi="Calibri" w:cs="Times New Roman"/>
                <w:sz w:val="32"/>
                <w:szCs w:val="32"/>
                <w:lang w:val="en-ZA"/>
              </w:rPr>
              <w:t>and</w:t>
            </w:r>
            <w:r w:rsidRPr="00E14A68">
              <w:rPr>
                <w:rFonts w:ascii="Calibri" w:eastAsia="Times New Roman" w:hAnsi="Calibri" w:cs="Times New Roman"/>
                <w:sz w:val="32"/>
                <w:szCs w:val="32"/>
                <w:lang w:val="en-ZA"/>
              </w:rPr>
              <w:t xml:space="preserve"> employment equity Acts and in particular if </w:t>
            </w:r>
            <w:r w:rsidR="0013067E" w:rsidRPr="00E14A68">
              <w:rPr>
                <w:rFonts w:ascii="Calibri" w:eastAsia="Times New Roman" w:hAnsi="Calibri" w:cs="Times New Roman"/>
                <w:sz w:val="32"/>
                <w:szCs w:val="32"/>
                <w:lang w:val="en-ZA"/>
              </w:rPr>
              <w:t>a property practitioner wishes or intends</w:t>
            </w:r>
            <w:r w:rsidRPr="00E14A68">
              <w:rPr>
                <w:rFonts w:ascii="Calibri" w:eastAsia="Times New Roman" w:hAnsi="Calibri" w:cs="Times New Roman"/>
                <w:sz w:val="32"/>
                <w:szCs w:val="32"/>
                <w:lang w:val="en-ZA"/>
              </w:rPr>
              <w:t xml:space="preserve"> to do business with the State.</w:t>
            </w:r>
          </w:p>
          <w:p w:rsidR="00E14A68" w:rsidRDefault="00E14A68" w:rsidP="00E14A68">
            <w:pPr>
              <w:spacing w:after="0" w:line="240" w:lineRule="auto"/>
              <w:rPr>
                <w:rFonts w:ascii="Calibri" w:eastAsia="Times New Roman" w:hAnsi="Calibri" w:cs="Times New Roman"/>
                <w:sz w:val="32"/>
                <w:szCs w:val="32"/>
                <w:lang w:val="en-ZA"/>
              </w:rPr>
            </w:pPr>
          </w:p>
          <w:p w:rsidR="00E14A68" w:rsidRDefault="00E14A68" w:rsidP="00E14A68">
            <w:pPr>
              <w:spacing w:after="0" w:line="240" w:lineRule="auto"/>
              <w:rPr>
                <w:rFonts w:ascii="Calibri" w:eastAsia="Times New Roman" w:hAnsi="Calibri" w:cs="Times New Roman"/>
                <w:sz w:val="32"/>
                <w:szCs w:val="32"/>
                <w:lang w:val="en-ZA"/>
              </w:rPr>
            </w:pPr>
            <w:r w:rsidRPr="00E14A68">
              <w:rPr>
                <w:rFonts w:ascii="Calibri" w:eastAsia="Times New Roman" w:hAnsi="Calibri" w:cs="Times New Roman"/>
                <w:sz w:val="32"/>
                <w:szCs w:val="32"/>
                <w:lang w:val="en-ZA"/>
              </w:rPr>
              <w:t xml:space="preserve">Section 54 of the Bill makes provisions for exemption from keeping Trust accounts and section 55 </w:t>
            </w:r>
            <w:r w:rsidR="005C0D4B">
              <w:rPr>
                <w:rFonts w:ascii="Calibri" w:eastAsia="Times New Roman" w:hAnsi="Calibri" w:cs="Times New Roman"/>
                <w:sz w:val="32"/>
                <w:szCs w:val="32"/>
                <w:lang w:val="en-ZA"/>
              </w:rPr>
              <w:t xml:space="preserve">further </w:t>
            </w:r>
            <w:r w:rsidRPr="00E14A68">
              <w:rPr>
                <w:rFonts w:ascii="Calibri" w:eastAsia="Times New Roman" w:hAnsi="Calibri" w:cs="Times New Roman"/>
                <w:sz w:val="32"/>
                <w:szCs w:val="32"/>
                <w:lang w:val="en-ZA"/>
              </w:rPr>
              <w:t xml:space="preserve">makes </w:t>
            </w:r>
            <w:r w:rsidRPr="00E14A68">
              <w:rPr>
                <w:rFonts w:ascii="Calibri" w:eastAsia="Times New Roman" w:hAnsi="Calibri" w:cs="Times New Roman"/>
                <w:sz w:val="32"/>
                <w:szCs w:val="32"/>
                <w:lang w:val="en-ZA"/>
              </w:rPr>
              <w:lastRenderedPageBreak/>
              <w:t xml:space="preserve">provisions relating to keeping of accounting records </w:t>
            </w:r>
          </w:p>
          <w:p w:rsidR="00E14A68" w:rsidRDefault="00E14A68" w:rsidP="00E14A68">
            <w:pPr>
              <w:spacing w:after="0" w:line="240" w:lineRule="auto"/>
              <w:rPr>
                <w:rFonts w:ascii="Calibri" w:eastAsia="Times New Roman" w:hAnsi="Calibri" w:cs="Times New Roman"/>
                <w:sz w:val="32"/>
                <w:szCs w:val="32"/>
                <w:lang w:val="en-ZA"/>
              </w:rPr>
            </w:pPr>
          </w:p>
          <w:p w:rsidR="00E14A68" w:rsidRDefault="00E14A68" w:rsidP="00E14A68">
            <w:pPr>
              <w:spacing w:after="0" w:line="240" w:lineRule="auto"/>
              <w:rPr>
                <w:rFonts w:ascii="Calibri" w:eastAsia="Times New Roman" w:hAnsi="Calibri" w:cs="Times New Roman"/>
                <w:sz w:val="32"/>
                <w:szCs w:val="32"/>
                <w:lang w:val="en-ZA"/>
              </w:rPr>
            </w:pPr>
            <w:r w:rsidRPr="00E14A68">
              <w:rPr>
                <w:rFonts w:ascii="Calibri" w:eastAsia="Times New Roman" w:hAnsi="Calibri" w:cs="Times New Roman"/>
                <w:sz w:val="32"/>
                <w:szCs w:val="32"/>
                <w:lang w:val="en-ZA"/>
              </w:rPr>
              <w:t>It is a constitutional requirement to comply with all the empowerment and employment equity Acts and in particular if a property practitioner wish or intend to do business with the State.</w:t>
            </w:r>
          </w:p>
          <w:p w:rsidR="00F43AA7" w:rsidRDefault="00F43AA7" w:rsidP="00E14A68">
            <w:pPr>
              <w:spacing w:after="0" w:line="240" w:lineRule="auto"/>
              <w:rPr>
                <w:rFonts w:ascii="Calibri" w:eastAsia="Times New Roman" w:hAnsi="Calibri" w:cs="Times New Roman"/>
                <w:sz w:val="32"/>
                <w:szCs w:val="32"/>
                <w:lang w:val="en-ZA"/>
              </w:rPr>
            </w:pPr>
          </w:p>
          <w:p w:rsidR="00F43AA7" w:rsidRPr="00E14A68" w:rsidRDefault="00F43AA7" w:rsidP="00E14A68">
            <w:pPr>
              <w:spacing w:after="0" w:line="240" w:lineRule="auto"/>
              <w:rPr>
                <w:rFonts w:ascii="Calibri" w:eastAsia="Times New Roman" w:hAnsi="Calibri" w:cs="Times New Roman"/>
                <w:sz w:val="32"/>
                <w:szCs w:val="32"/>
                <w:lang w:val="en-ZA"/>
              </w:rPr>
            </w:pPr>
            <w:r>
              <w:rPr>
                <w:rFonts w:ascii="Calibri" w:eastAsia="Times New Roman" w:hAnsi="Calibri" w:cs="Times New Roman"/>
                <w:sz w:val="32"/>
                <w:szCs w:val="32"/>
                <w:lang w:val="en-ZA"/>
              </w:rPr>
              <w:t xml:space="preserve">Section 4 of the legislation makes provisions for various exemptions from </w:t>
            </w:r>
            <w:r w:rsidR="005C0D4B">
              <w:rPr>
                <w:rFonts w:ascii="Calibri" w:eastAsia="Times New Roman" w:hAnsi="Calibri" w:cs="Times New Roman"/>
                <w:sz w:val="32"/>
                <w:szCs w:val="32"/>
                <w:lang w:val="en-ZA"/>
              </w:rPr>
              <w:t xml:space="preserve">some of the compliance requirements in </w:t>
            </w:r>
            <w:r>
              <w:rPr>
                <w:rFonts w:ascii="Calibri" w:eastAsia="Times New Roman" w:hAnsi="Calibri" w:cs="Times New Roman"/>
                <w:sz w:val="32"/>
                <w:szCs w:val="32"/>
                <w:lang w:val="en-ZA"/>
              </w:rPr>
              <w:t xml:space="preserve">the legislation including </w:t>
            </w:r>
            <w:r>
              <w:rPr>
                <w:rFonts w:ascii="Calibri" w:eastAsia="Times New Roman" w:hAnsi="Calibri" w:cs="Times New Roman"/>
                <w:sz w:val="32"/>
                <w:szCs w:val="32"/>
                <w:lang w:val="en-ZA"/>
              </w:rPr>
              <w:lastRenderedPageBreak/>
              <w:t>SMME</w:t>
            </w:r>
          </w:p>
          <w:p w:rsidR="00E14A68" w:rsidRPr="00E14A68" w:rsidRDefault="00E14A68" w:rsidP="00E14A68">
            <w:pPr>
              <w:spacing w:after="0" w:line="240" w:lineRule="auto"/>
              <w:rPr>
                <w:rFonts w:ascii="Calibri" w:eastAsia="Times New Roman" w:hAnsi="Calibri" w:cs="Times New Roman"/>
                <w:sz w:val="32"/>
                <w:szCs w:val="32"/>
                <w:lang w:val="en-ZA"/>
              </w:rPr>
            </w:pPr>
          </w:p>
          <w:p w:rsidR="009458B6" w:rsidRDefault="00F43AA7" w:rsidP="009458B6">
            <w:pPr>
              <w:spacing w:after="0" w:line="240" w:lineRule="auto"/>
              <w:rPr>
                <w:rFonts w:ascii="Calibri" w:eastAsia="Times New Roman" w:hAnsi="Calibri" w:cs="Times New Roman"/>
                <w:sz w:val="32"/>
                <w:szCs w:val="32"/>
              </w:rPr>
            </w:pPr>
            <w:r w:rsidRPr="00F43AA7">
              <w:rPr>
                <w:rFonts w:ascii="Calibri" w:eastAsia="Times New Roman" w:hAnsi="Calibri" w:cs="Times New Roman"/>
                <w:sz w:val="32"/>
                <w:szCs w:val="32"/>
                <w:lang w:val="en-ZA"/>
              </w:rPr>
              <w:t>Section</w:t>
            </w:r>
            <w:r>
              <w:rPr>
                <w:rFonts w:ascii="Calibri" w:eastAsia="Times New Roman" w:hAnsi="Calibri" w:cs="Times New Roman"/>
                <w:sz w:val="32"/>
                <w:szCs w:val="32"/>
                <w:lang w:val="en-ZA"/>
              </w:rPr>
              <w:t xml:space="preserve"> 4</w:t>
            </w:r>
            <w:r w:rsidRPr="00F43AA7">
              <w:rPr>
                <w:rFonts w:ascii="Calibri" w:eastAsia="Times New Roman" w:hAnsi="Calibri" w:cs="Times New Roman"/>
                <w:sz w:val="32"/>
                <w:szCs w:val="32"/>
                <w:lang w:val="en-ZA"/>
              </w:rPr>
              <w:t xml:space="preserve"> of the legislation makes provisions for various exemptions from the </w:t>
            </w:r>
            <w:r w:rsidR="005C0D4B">
              <w:rPr>
                <w:rFonts w:ascii="Calibri" w:eastAsia="Times New Roman" w:hAnsi="Calibri" w:cs="Times New Roman"/>
                <w:sz w:val="32"/>
                <w:szCs w:val="32"/>
                <w:lang w:val="en-ZA"/>
              </w:rPr>
              <w:t>compliance requirements and in particular targeting the small and medium enterprises</w:t>
            </w:r>
            <w:r w:rsidR="007A3117">
              <w:rPr>
                <w:rFonts w:ascii="Calibri" w:eastAsia="Times New Roman" w:hAnsi="Calibri" w:cs="Times New Roman"/>
                <w:sz w:val="32"/>
                <w:szCs w:val="32"/>
                <w:lang w:val="en-ZA"/>
              </w:rPr>
              <w:t>(SMME)</w:t>
            </w:r>
            <w:r w:rsidR="005C0D4B">
              <w:rPr>
                <w:rFonts w:ascii="Calibri" w:eastAsia="Times New Roman" w:hAnsi="Calibri" w:cs="Times New Roman"/>
                <w:sz w:val="32"/>
                <w:szCs w:val="32"/>
                <w:lang w:val="en-ZA"/>
              </w:rPr>
              <w:t xml:space="preserve"> </w:t>
            </w:r>
          </w:p>
          <w:p w:rsidR="00F43AA7" w:rsidRDefault="00F43AA7" w:rsidP="009458B6">
            <w:pPr>
              <w:spacing w:after="0" w:line="240" w:lineRule="auto"/>
              <w:rPr>
                <w:rFonts w:ascii="Calibri" w:eastAsia="Times New Roman" w:hAnsi="Calibri" w:cs="Times New Roman"/>
                <w:sz w:val="32"/>
                <w:szCs w:val="32"/>
              </w:rPr>
            </w:pPr>
          </w:p>
          <w:p w:rsidR="00F43AA7" w:rsidRDefault="00F43AA7" w:rsidP="00F43AA7">
            <w:pPr>
              <w:spacing w:after="0" w:line="240" w:lineRule="auto"/>
              <w:rPr>
                <w:rFonts w:ascii="Calibri" w:eastAsia="Times New Roman" w:hAnsi="Calibri" w:cs="Times New Roman"/>
                <w:sz w:val="32"/>
                <w:szCs w:val="32"/>
                <w:lang w:val="en-ZA"/>
              </w:rPr>
            </w:pPr>
            <w:r w:rsidRPr="00F43AA7">
              <w:rPr>
                <w:rFonts w:ascii="Calibri" w:eastAsia="Times New Roman" w:hAnsi="Calibri" w:cs="Times New Roman"/>
                <w:sz w:val="32"/>
                <w:szCs w:val="32"/>
                <w:lang w:val="en-ZA"/>
              </w:rPr>
              <w:t>The real intention of the Bill is to advance t</w:t>
            </w:r>
            <w:r>
              <w:rPr>
                <w:rFonts w:ascii="Calibri" w:eastAsia="Times New Roman" w:hAnsi="Calibri" w:cs="Times New Roman"/>
                <w:sz w:val="32"/>
                <w:szCs w:val="32"/>
                <w:lang w:val="en-ZA"/>
              </w:rPr>
              <w:t>ransformation within the sector as provided for in chapter 4 of the Bill</w:t>
            </w: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910EE3" w:rsidRDefault="00910EE3" w:rsidP="009458B6">
            <w:pPr>
              <w:spacing w:after="0" w:line="240" w:lineRule="auto"/>
              <w:rPr>
                <w:rFonts w:ascii="Calibri" w:eastAsia="Times New Roman" w:hAnsi="Calibri" w:cs="Times New Roman"/>
                <w:sz w:val="32"/>
                <w:szCs w:val="32"/>
              </w:rPr>
            </w:pPr>
          </w:p>
          <w:p w:rsidR="007A3117" w:rsidRPr="007A3117" w:rsidRDefault="007A3117" w:rsidP="007A3117">
            <w:pPr>
              <w:spacing w:after="0" w:line="240" w:lineRule="auto"/>
              <w:rPr>
                <w:rFonts w:ascii="Calibri" w:eastAsia="Times New Roman" w:hAnsi="Calibri" w:cs="Times New Roman"/>
                <w:sz w:val="32"/>
                <w:szCs w:val="32"/>
              </w:rPr>
            </w:pPr>
            <w:r w:rsidRPr="007A3117">
              <w:rPr>
                <w:rFonts w:ascii="Calibri" w:eastAsia="Times New Roman" w:hAnsi="Calibri" w:cs="Times New Roman"/>
                <w:sz w:val="32"/>
                <w:szCs w:val="32"/>
              </w:rPr>
              <w:lastRenderedPageBreak/>
              <w:t xml:space="preserve">Section 54 makes provisions for Trust account and its interest and </w:t>
            </w:r>
            <w:r>
              <w:rPr>
                <w:rFonts w:ascii="Calibri" w:eastAsia="Times New Roman" w:hAnsi="Calibri" w:cs="Times New Roman"/>
                <w:sz w:val="32"/>
                <w:szCs w:val="32"/>
              </w:rPr>
              <w:t xml:space="preserve">Bill makes provision for exemption of holding a Trust account and </w:t>
            </w:r>
            <w:r w:rsidRPr="007A3117">
              <w:rPr>
                <w:rFonts w:ascii="Calibri" w:eastAsia="Times New Roman" w:hAnsi="Calibri" w:cs="Times New Roman"/>
                <w:sz w:val="32"/>
                <w:szCs w:val="32"/>
              </w:rPr>
              <w:t>the Regulations</w:t>
            </w:r>
            <w:r>
              <w:rPr>
                <w:rFonts w:ascii="Calibri" w:eastAsia="Times New Roman" w:hAnsi="Calibri" w:cs="Times New Roman"/>
                <w:sz w:val="32"/>
                <w:szCs w:val="32"/>
              </w:rPr>
              <w:t xml:space="preserve"> will provide process thereof.</w:t>
            </w:r>
          </w:p>
          <w:p w:rsidR="007A3117" w:rsidRDefault="007A3117" w:rsidP="00910EE3">
            <w:pPr>
              <w:spacing w:after="0" w:line="240" w:lineRule="auto"/>
              <w:rPr>
                <w:rFonts w:ascii="Calibri" w:eastAsia="Times New Roman" w:hAnsi="Calibri" w:cs="Times New Roman"/>
                <w:sz w:val="32"/>
                <w:szCs w:val="32"/>
                <w:lang w:val="en-ZA"/>
              </w:rPr>
            </w:pPr>
          </w:p>
          <w:p w:rsidR="00910EE3" w:rsidRDefault="00910EE3" w:rsidP="00910EE3">
            <w:pPr>
              <w:spacing w:after="0" w:line="240" w:lineRule="auto"/>
              <w:rPr>
                <w:rFonts w:ascii="Calibri" w:eastAsia="Times New Roman" w:hAnsi="Calibri" w:cs="Times New Roman"/>
                <w:sz w:val="32"/>
                <w:szCs w:val="32"/>
                <w:lang w:val="en-ZA"/>
              </w:rPr>
            </w:pPr>
            <w:r w:rsidRPr="00910EE3">
              <w:rPr>
                <w:rFonts w:ascii="Calibri" w:eastAsia="Times New Roman" w:hAnsi="Calibri" w:cs="Times New Roman"/>
                <w:sz w:val="32"/>
                <w:szCs w:val="32"/>
                <w:lang w:val="en-ZA"/>
              </w:rPr>
              <w:t>Section 4 of the legislation makes provisions for various exemptions fro</w:t>
            </w:r>
            <w:r>
              <w:rPr>
                <w:rFonts w:ascii="Calibri" w:eastAsia="Times New Roman" w:hAnsi="Calibri" w:cs="Times New Roman"/>
                <w:sz w:val="32"/>
                <w:szCs w:val="32"/>
                <w:lang w:val="en-ZA"/>
              </w:rPr>
              <w:t>m the legislation and the legislation is aligned to CPA and all other related legislation</w:t>
            </w:r>
          </w:p>
          <w:p w:rsidR="00910EE3" w:rsidRPr="00910EE3" w:rsidRDefault="00910EE3" w:rsidP="00910EE3">
            <w:pPr>
              <w:spacing w:after="0" w:line="240" w:lineRule="auto"/>
              <w:rPr>
                <w:rFonts w:ascii="Calibri" w:eastAsia="Times New Roman" w:hAnsi="Calibri" w:cs="Times New Roman"/>
                <w:sz w:val="32"/>
                <w:szCs w:val="32"/>
                <w:lang w:val="en-ZA"/>
              </w:rPr>
            </w:pPr>
            <w:r>
              <w:rPr>
                <w:rFonts w:ascii="Calibri" w:eastAsia="Times New Roman" w:hAnsi="Calibri" w:cs="Times New Roman"/>
                <w:sz w:val="32"/>
                <w:szCs w:val="32"/>
                <w:lang w:val="en-ZA"/>
              </w:rPr>
              <w:t>The legislation make a provision for a deemed provision for issuing of FFCS</w:t>
            </w:r>
          </w:p>
          <w:p w:rsidR="00E40DF0" w:rsidRDefault="00E40DF0" w:rsidP="00E40DF0">
            <w:pPr>
              <w:spacing w:after="0" w:line="240" w:lineRule="auto"/>
              <w:rPr>
                <w:rFonts w:ascii="Calibri" w:eastAsia="Times New Roman" w:hAnsi="Calibri" w:cs="Times New Roman"/>
                <w:sz w:val="32"/>
                <w:szCs w:val="32"/>
              </w:rPr>
            </w:pPr>
          </w:p>
          <w:p w:rsidR="00BB340C" w:rsidRPr="00E40DF0" w:rsidRDefault="00BB340C"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Section 54 makes provisions for Trust account and </w:t>
            </w:r>
            <w:r w:rsidR="007A3117">
              <w:rPr>
                <w:rFonts w:ascii="Calibri" w:eastAsia="Times New Roman" w:hAnsi="Calibri" w:cs="Times New Roman"/>
                <w:sz w:val="32"/>
                <w:szCs w:val="32"/>
              </w:rPr>
              <w:t xml:space="preserve">the Bill makes further provision for </w:t>
            </w:r>
            <w:r w:rsidR="0013067E">
              <w:rPr>
                <w:rFonts w:ascii="Calibri" w:eastAsia="Times New Roman" w:hAnsi="Calibri" w:cs="Times New Roman"/>
                <w:sz w:val="32"/>
                <w:szCs w:val="32"/>
              </w:rPr>
              <w:t>exemption</w:t>
            </w:r>
            <w:r w:rsidR="007A3117">
              <w:rPr>
                <w:rFonts w:ascii="Calibri" w:eastAsia="Times New Roman" w:hAnsi="Calibri" w:cs="Times New Roman"/>
                <w:sz w:val="32"/>
                <w:szCs w:val="32"/>
              </w:rPr>
              <w:t xml:space="preserve"> from holding a trust account and </w:t>
            </w:r>
            <w:r>
              <w:rPr>
                <w:rFonts w:ascii="Calibri" w:eastAsia="Times New Roman" w:hAnsi="Calibri" w:cs="Times New Roman"/>
                <w:sz w:val="32"/>
                <w:szCs w:val="32"/>
              </w:rPr>
              <w:t xml:space="preserve">d further provisions </w:t>
            </w:r>
            <w:r w:rsidR="007A3117">
              <w:rPr>
                <w:rFonts w:ascii="Calibri" w:eastAsia="Times New Roman" w:hAnsi="Calibri" w:cs="Times New Roman"/>
                <w:sz w:val="32"/>
                <w:szCs w:val="32"/>
              </w:rPr>
              <w:t xml:space="preserve">thereto </w:t>
            </w:r>
            <w:r>
              <w:rPr>
                <w:rFonts w:ascii="Calibri" w:eastAsia="Times New Roman" w:hAnsi="Calibri" w:cs="Times New Roman"/>
                <w:sz w:val="32"/>
                <w:szCs w:val="32"/>
              </w:rPr>
              <w:t>will provided by the Regulations</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BB340C"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The Regulations will </w:t>
            </w:r>
            <w:r>
              <w:rPr>
                <w:rFonts w:ascii="Calibri" w:eastAsia="Times New Roman" w:hAnsi="Calibri" w:cs="Times New Roman"/>
                <w:sz w:val="32"/>
                <w:szCs w:val="32"/>
              </w:rPr>
              <w:lastRenderedPageBreak/>
              <w:t>provide for this circumstances as per the submission</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7A3117"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The regulations under this Act will </w:t>
            </w:r>
            <w:r w:rsidR="00E40DF0" w:rsidRPr="00E40DF0">
              <w:rPr>
                <w:rFonts w:ascii="Calibri" w:eastAsia="Times New Roman" w:hAnsi="Calibri" w:cs="Times New Roman"/>
                <w:sz w:val="32"/>
                <w:szCs w:val="32"/>
              </w:rPr>
              <w:t xml:space="preserve"> prescribe</w:t>
            </w:r>
            <w:r w:rsidR="007A69F1">
              <w:rPr>
                <w:rFonts w:ascii="Calibri" w:eastAsia="Times New Roman" w:hAnsi="Calibri" w:cs="Times New Roman"/>
                <w:sz w:val="32"/>
                <w:szCs w:val="32"/>
              </w:rPr>
              <w:t xml:space="preserve"> </w:t>
            </w:r>
            <w:r w:rsidR="00E40DF0" w:rsidRPr="00E40DF0">
              <w:rPr>
                <w:rFonts w:ascii="Calibri" w:eastAsia="Times New Roman" w:hAnsi="Calibri" w:cs="Times New Roman"/>
                <w:sz w:val="32"/>
                <w:szCs w:val="32"/>
              </w:rPr>
              <w:t>the manner in which an auditor will be appointed</w:t>
            </w:r>
            <w:r w:rsidR="007A69F1">
              <w:rPr>
                <w:rFonts w:ascii="Calibri" w:eastAsia="Times New Roman" w:hAnsi="Calibri" w:cs="Times New Roman"/>
                <w:sz w:val="32"/>
                <w:szCs w:val="32"/>
              </w:rPr>
              <w:t xml:space="preserve"> as per the submission</w:t>
            </w:r>
            <w:r w:rsidR="00E40DF0" w:rsidRPr="00E40DF0">
              <w:rPr>
                <w:rFonts w:ascii="Calibri" w:eastAsia="Times New Roman" w:hAnsi="Calibri" w:cs="Times New Roman"/>
                <w:sz w:val="32"/>
                <w:szCs w:val="32"/>
              </w:rPr>
              <w:t>.</w:t>
            </w:r>
          </w:p>
          <w:p w:rsidR="00E40DF0" w:rsidRDefault="00E40DF0"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Default="00892D9B" w:rsidP="00E40DF0">
            <w:pPr>
              <w:spacing w:after="0" w:line="240" w:lineRule="auto"/>
              <w:rPr>
                <w:rFonts w:ascii="Calibri" w:eastAsia="Times New Roman" w:hAnsi="Calibri" w:cs="Times New Roman"/>
                <w:sz w:val="32"/>
                <w:szCs w:val="32"/>
              </w:rPr>
            </w:pPr>
          </w:p>
          <w:p w:rsidR="00892D9B" w:rsidRPr="00892D9B" w:rsidRDefault="00892D9B" w:rsidP="00892D9B">
            <w:pPr>
              <w:spacing w:after="0" w:line="240" w:lineRule="auto"/>
              <w:rPr>
                <w:rFonts w:ascii="Calibri" w:eastAsia="Times New Roman" w:hAnsi="Calibri" w:cs="Times New Roman"/>
                <w:sz w:val="32"/>
                <w:szCs w:val="32"/>
                <w:lang w:val="en-ZA"/>
              </w:rPr>
            </w:pPr>
            <w:r w:rsidRPr="00892D9B">
              <w:rPr>
                <w:rFonts w:ascii="Calibri" w:eastAsia="Times New Roman" w:hAnsi="Calibri" w:cs="Times New Roman"/>
                <w:sz w:val="32"/>
                <w:szCs w:val="32"/>
                <w:lang w:val="en-ZA"/>
              </w:rPr>
              <w:t xml:space="preserve">The intention of this section is to regulate the activities and conduct of directors, members, partners and trustees in </w:t>
            </w:r>
            <w:r w:rsidRPr="00892D9B">
              <w:rPr>
                <w:rFonts w:ascii="Calibri" w:eastAsia="Times New Roman" w:hAnsi="Calibri" w:cs="Times New Roman"/>
                <w:sz w:val="32"/>
                <w:szCs w:val="32"/>
                <w:lang w:val="en-ZA"/>
              </w:rPr>
              <w:lastRenderedPageBreak/>
              <w:t xml:space="preserve">their individual capacity not as an entity </w:t>
            </w:r>
          </w:p>
          <w:p w:rsidR="00892D9B" w:rsidRPr="00E40DF0" w:rsidRDefault="00892D9B"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892D9B" w:rsidRDefault="00892D9B" w:rsidP="00892D9B">
            <w:pPr>
              <w:spacing w:after="0" w:line="240" w:lineRule="auto"/>
              <w:rPr>
                <w:rFonts w:ascii="Calibri" w:eastAsia="Times New Roman" w:hAnsi="Calibri" w:cs="Times New Roman"/>
                <w:sz w:val="32"/>
                <w:szCs w:val="32"/>
                <w:lang w:val="en-ZA"/>
              </w:rPr>
            </w:pPr>
            <w:r w:rsidRPr="00892D9B">
              <w:rPr>
                <w:rFonts w:ascii="Calibri" w:eastAsia="Times New Roman" w:hAnsi="Calibri" w:cs="Times New Roman"/>
                <w:sz w:val="32"/>
                <w:szCs w:val="32"/>
                <w:lang w:val="en-ZA"/>
              </w:rPr>
              <w:t>Section 54 of the Bill makes provisions for exemption from keeping Trust accounts and section 55 makes provisions relating to keeping of accounting records</w:t>
            </w:r>
            <w:r w:rsidR="00360E1D">
              <w:rPr>
                <w:rFonts w:ascii="Calibri" w:eastAsia="Times New Roman" w:hAnsi="Calibri" w:cs="Times New Roman"/>
                <w:sz w:val="32"/>
                <w:szCs w:val="32"/>
                <w:lang w:val="en-ZA"/>
              </w:rPr>
              <w:t>.</w:t>
            </w:r>
            <w:r w:rsidRPr="00892D9B">
              <w:rPr>
                <w:rFonts w:ascii="Calibri" w:eastAsia="Times New Roman" w:hAnsi="Calibri" w:cs="Times New Roman"/>
                <w:sz w:val="32"/>
                <w:szCs w:val="32"/>
                <w:lang w:val="en-ZA"/>
              </w:rPr>
              <w:t xml:space="preserve"> </w:t>
            </w:r>
          </w:p>
          <w:p w:rsidR="00360E1D" w:rsidRDefault="00360E1D" w:rsidP="00892D9B">
            <w:pPr>
              <w:spacing w:after="0" w:line="240" w:lineRule="auto"/>
              <w:rPr>
                <w:rFonts w:ascii="Calibri" w:eastAsia="Times New Roman" w:hAnsi="Calibri" w:cs="Times New Roman"/>
                <w:sz w:val="32"/>
                <w:szCs w:val="32"/>
                <w:lang w:val="en-ZA"/>
              </w:rPr>
            </w:pPr>
          </w:p>
          <w:p w:rsidR="00892D9B" w:rsidRDefault="00C06447" w:rsidP="00892D9B">
            <w:pPr>
              <w:spacing w:after="0" w:line="240" w:lineRule="auto"/>
              <w:rPr>
                <w:rFonts w:ascii="Calibri" w:eastAsia="Times New Roman" w:hAnsi="Calibri" w:cs="Times New Roman"/>
                <w:sz w:val="32"/>
                <w:szCs w:val="32"/>
                <w:lang w:val="en-ZA"/>
              </w:rPr>
            </w:pPr>
            <w:r>
              <w:rPr>
                <w:rFonts w:ascii="Calibri" w:eastAsia="Times New Roman" w:hAnsi="Calibri" w:cs="Times New Roman"/>
                <w:sz w:val="32"/>
                <w:szCs w:val="32"/>
                <w:lang w:val="en-ZA"/>
              </w:rPr>
              <w:t xml:space="preserve">All these matters are dealt with in the Bill in accordance with the sections as set out </w:t>
            </w:r>
            <w:r w:rsidR="00360E1D">
              <w:rPr>
                <w:rFonts w:ascii="Calibri" w:eastAsia="Times New Roman" w:hAnsi="Calibri" w:cs="Times New Roman"/>
                <w:sz w:val="32"/>
                <w:szCs w:val="32"/>
                <w:lang w:val="en-ZA"/>
              </w:rPr>
              <w:t xml:space="preserve">herein </w:t>
            </w:r>
            <w:r>
              <w:rPr>
                <w:rFonts w:ascii="Calibri" w:eastAsia="Times New Roman" w:hAnsi="Calibri" w:cs="Times New Roman"/>
                <w:sz w:val="32"/>
                <w:szCs w:val="32"/>
                <w:lang w:val="en-ZA"/>
              </w:rPr>
              <w:t>and further to be prescribed by Regulations</w:t>
            </w:r>
            <w:r w:rsidR="00360E1D">
              <w:rPr>
                <w:rFonts w:ascii="Calibri" w:eastAsia="Times New Roman" w:hAnsi="Calibri" w:cs="Times New Roman"/>
                <w:sz w:val="32"/>
                <w:szCs w:val="32"/>
                <w:lang w:val="en-ZA"/>
              </w:rPr>
              <w:t xml:space="preserve"> under the Act</w:t>
            </w: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lastRenderedPageBreak/>
              <w:t>The different of property practitioners will be clarified and defined by Regulations through the provisioning of different occupational level.</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The definition of the candidate practitioner is included in the Bill as per the initial submission by REBOSA</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 xml:space="preserve">Attorneys and Developers are covered in the Bill to the extent that their employees are engaged in property transaction (you can’t </w:t>
            </w:r>
            <w:r w:rsidRPr="00C06447">
              <w:rPr>
                <w:rFonts w:ascii="Calibri" w:eastAsia="Times New Roman" w:hAnsi="Calibri" w:cs="Times New Roman"/>
                <w:sz w:val="32"/>
                <w:szCs w:val="32"/>
                <w:lang w:val="en-ZA"/>
              </w:rPr>
              <w:lastRenderedPageBreak/>
              <w:t>include the a general application of this legislation to attorneys in general)</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Claims are covered under the provision dealing with claim and in the transitional arrangement of the legislation</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The matter is dealt with in terms of section 35 of the legislation to advance efficiency on the part of the Authority</w:t>
            </w: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 xml:space="preserve">The intention of this section is to regulate the activities and conduct of directors, members, partners and trustees in </w:t>
            </w:r>
            <w:r w:rsidRPr="00C06447">
              <w:rPr>
                <w:rFonts w:ascii="Calibri" w:eastAsia="Times New Roman" w:hAnsi="Calibri" w:cs="Times New Roman"/>
                <w:sz w:val="32"/>
                <w:szCs w:val="32"/>
                <w:lang w:val="en-ZA"/>
              </w:rPr>
              <w:lastRenderedPageBreak/>
              <w:t xml:space="preserve">their individual capacity not as an entity </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 xml:space="preserve">Section 54 of the Bill makes provisions for exemption from keeping Trust accounts and section 55 makes provisions relating to keeping of accounting records </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The common law and statute hold principals vicariously liable for the actions of their candidates who are performing their activities within the scope and course of their employment</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The application period for FFC to the period of three years was included in the Bill as per the initial submission by REBOSA</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It is a constitutional requirement to comply with all the empowerment and employment equity Acts and in particular if a property practitioner wish or intend to do business with the State.</w:t>
            </w:r>
          </w:p>
          <w:p w:rsidR="00C06447" w:rsidRPr="00C06447" w:rsidRDefault="00C06447" w:rsidP="00C06447">
            <w:pPr>
              <w:spacing w:after="0" w:line="240" w:lineRule="auto"/>
              <w:rPr>
                <w:rFonts w:ascii="Calibri" w:eastAsia="Times New Roman" w:hAnsi="Calibri" w:cs="Times New Roman"/>
                <w:sz w:val="32"/>
                <w:szCs w:val="32"/>
                <w:lang w:val="en-ZA"/>
              </w:rPr>
            </w:pPr>
          </w:p>
          <w:p w:rsidR="00C06447" w:rsidRPr="00C06447" w:rsidRDefault="00C06447" w:rsidP="00C06447">
            <w:pPr>
              <w:spacing w:after="0" w:line="240" w:lineRule="auto"/>
              <w:rPr>
                <w:rFonts w:ascii="Calibri" w:eastAsia="Times New Roman" w:hAnsi="Calibri" w:cs="Times New Roman"/>
                <w:sz w:val="32"/>
                <w:szCs w:val="32"/>
                <w:lang w:val="en-ZA"/>
              </w:rPr>
            </w:pPr>
            <w:r w:rsidRPr="00C06447">
              <w:rPr>
                <w:rFonts w:ascii="Calibri" w:eastAsia="Times New Roman" w:hAnsi="Calibri" w:cs="Times New Roman"/>
                <w:sz w:val="32"/>
                <w:szCs w:val="32"/>
                <w:lang w:val="en-ZA"/>
              </w:rPr>
              <w:t xml:space="preserve">The real intention of the Bill is to advance </w:t>
            </w:r>
            <w:r w:rsidRPr="00C06447">
              <w:rPr>
                <w:rFonts w:ascii="Calibri" w:eastAsia="Times New Roman" w:hAnsi="Calibri" w:cs="Times New Roman"/>
                <w:sz w:val="32"/>
                <w:szCs w:val="32"/>
                <w:lang w:val="en-ZA"/>
              </w:rPr>
              <w:lastRenderedPageBreak/>
              <w:t>transformation within the sector and the Bill is fully aligned with the provisions of the Charter</w:t>
            </w:r>
          </w:p>
          <w:p w:rsidR="00C06447" w:rsidRPr="00C06447" w:rsidRDefault="00C06447" w:rsidP="00892D9B">
            <w:pPr>
              <w:spacing w:after="0" w:line="240" w:lineRule="auto"/>
              <w:rPr>
                <w:rFonts w:ascii="Calibri" w:eastAsia="Times New Roman" w:hAnsi="Calibri" w:cs="Times New Roman"/>
                <w:sz w:val="32"/>
                <w:szCs w:val="32"/>
                <w:lang w:val="en-ZA"/>
              </w:rPr>
            </w:pPr>
          </w:p>
          <w:p w:rsidR="00E40DF0" w:rsidRPr="00C06447" w:rsidRDefault="00E40DF0" w:rsidP="00E40DF0">
            <w:pPr>
              <w:spacing w:after="0" w:line="240" w:lineRule="auto"/>
              <w:rPr>
                <w:rFonts w:ascii="Calibri" w:eastAsia="Times New Roman" w:hAnsi="Calibri" w:cs="Times New Roman"/>
                <w:sz w:val="32"/>
                <w:szCs w:val="32"/>
              </w:rPr>
            </w:pPr>
          </w:p>
          <w:p w:rsidR="00E40DF0" w:rsidRPr="00C06447" w:rsidRDefault="00E40DF0" w:rsidP="00E40DF0">
            <w:pPr>
              <w:spacing w:after="0" w:line="240" w:lineRule="auto"/>
              <w:rPr>
                <w:rFonts w:ascii="Calibri" w:eastAsia="Times New Roman" w:hAnsi="Calibri" w:cs="Times New Roman"/>
                <w:sz w:val="32"/>
                <w:szCs w:val="32"/>
              </w:rPr>
            </w:pPr>
          </w:p>
          <w:p w:rsidR="00E40DF0" w:rsidRPr="00C06447"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8A260A" w:rsidRDefault="008A260A"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r w:rsidRPr="00191631">
              <w:rPr>
                <w:rFonts w:ascii="Calibri" w:eastAsia="Times New Roman" w:hAnsi="Calibri" w:cs="Times New Roman"/>
                <w:sz w:val="32"/>
                <w:szCs w:val="32"/>
              </w:rPr>
              <w:t xml:space="preserve">The provision will be </w:t>
            </w:r>
            <w:r w:rsidR="008A260A">
              <w:rPr>
                <w:rFonts w:ascii="Calibri" w:eastAsia="Times New Roman" w:hAnsi="Calibri" w:cs="Times New Roman"/>
                <w:sz w:val="32"/>
                <w:szCs w:val="32"/>
              </w:rPr>
              <w:t xml:space="preserve">dealt </w:t>
            </w:r>
            <w:r w:rsidR="0013067E">
              <w:rPr>
                <w:rFonts w:ascii="Calibri" w:eastAsia="Times New Roman" w:hAnsi="Calibri" w:cs="Times New Roman"/>
                <w:sz w:val="32"/>
                <w:szCs w:val="32"/>
              </w:rPr>
              <w:t>with by</w:t>
            </w:r>
            <w:r w:rsidR="008A260A">
              <w:rPr>
                <w:rFonts w:ascii="Calibri" w:eastAsia="Times New Roman" w:hAnsi="Calibri" w:cs="Times New Roman"/>
                <w:sz w:val="32"/>
                <w:szCs w:val="32"/>
              </w:rPr>
              <w:t xml:space="preserve"> shareholders compact and their declaration of </w:t>
            </w:r>
            <w:r w:rsidR="0013067E">
              <w:rPr>
                <w:rFonts w:ascii="Calibri" w:eastAsia="Times New Roman" w:hAnsi="Calibri" w:cs="Times New Roman"/>
                <w:sz w:val="32"/>
                <w:szCs w:val="32"/>
              </w:rPr>
              <w:t>interest to</w:t>
            </w:r>
            <w:r w:rsidR="008A260A">
              <w:rPr>
                <w:rFonts w:ascii="Calibri" w:eastAsia="Times New Roman" w:hAnsi="Calibri" w:cs="Times New Roman"/>
                <w:sz w:val="32"/>
                <w:szCs w:val="32"/>
              </w:rPr>
              <w:t xml:space="preserve"> be submitted to the Minister. </w:t>
            </w:r>
          </w:p>
          <w:p w:rsidR="00191631" w:rsidRPr="00191631" w:rsidRDefault="00191631" w:rsidP="00191631">
            <w:pPr>
              <w:spacing w:after="0" w:line="240" w:lineRule="auto"/>
              <w:rPr>
                <w:rFonts w:ascii="Calibri" w:eastAsia="Times New Roman" w:hAnsi="Calibri" w:cs="Times New Roman"/>
                <w:sz w:val="32"/>
                <w:szCs w:val="32"/>
              </w:rPr>
            </w:pPr>
          </w:p>
          <w:p w:rsidR="00191631" w:rsidRPr="00191631" w:rsidRDefault="00191631" w:rsidP="00191631">
            <w:pPr>
              <w:spacing w:after="0" w:line="240" w:lineRule="auto"/>
              <w:rPr>
                <w:rFonts w:ascii="Calibri" w:eastAsia="Times New Roman" w:hAnsi="Calibri" w:cs="Times New Roman"/>
                <w:sz w:val="32"/>
                <w:szCs w:val="32"/>
              </w:rPr>
            </w:pPr>
          </w:p>
          <w:p w:rsidR="00E40DF0" w:rsidRPr="00E40DF0" w:rsidRDefault="00191631" w:rsidP="00E40DF0">
            <w:pPr>
              <w:spacing w:after="0" w:line="240" w:lineRule="auto"/>
              <w:rPr>
                <w:rFonts w:ascii="Calibri" w:eastAsia="Times New Roman" w:hAnsi="Calibri" w:cs="Times New Roman"/>
                <w:sz w:val="32"/>
                <w:szCs w:val="32"/>
              </w:rPr>
            </w:pPr>
            <w:r w:rsidRPr="00191631">
              <w:rPr>
                <w:rFonts w:ascii="Calibri" w:eastAsia="Times New Roman" w:hAnsi="Calibri" w:cs="Times New Roman"/>
                <w:sz w:val="32"/>
                <w:szCs w:val="32"/>
              </w:rPr>
              <w:t xml:space="preserve">The </w:t>
            </w:r>
            <w:r w:rsidR="008A260A">
              <w:rPr>
                <w:rFonts w:ascii="Calibri" w:eastAsia="Times New Roman" w:hAnsi="Calibri" w:cs="Times New Roman"/>
                <w:sz w:val="32"/>
                <w:szCs w:val="32"/>
              </w:rPr>
              <w:t xml:space="preserve">proposal will be dealt with by the establishment of the </w:t>
            </w:r>
            <w:r w:rsidR="008A260A">
              <w:rPr>
                <w:rFonts w:ascii="Calibri" w:eastAsia="Times New Roman" w:hAnsi="Calibri" w:cs="Times New Roman"/>
                <w:sz w:val="32"/>
                <w:szCs w:val="32"/>
              </w:rPr>
              <w:lastRenderedPageBreak/>
              <w:t xml:space="preserve">Human Settlements Ombuds for the entire sector to dealt will all the compliant relating to human settlements, currently there is an Ombuds dealing with Human Settlements related issues </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13067E"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The issue of exemption will be dealt with in accordance with the merits of the submission by the property practitioner and the Minister will then decide to grant or reject the </w:t>
            </w:r>
            <w:r>
              <w:rPr>
                <w:rFonts w:ascii="Calibri" w:eastAsia="Times New Roman" w:hAnsi="Calibri" w:cs="Times New Roman"/>
                <w:sz w:val="32"/>
                <w:szCs w:val="32"/>
              </w:rPr>
              <w:lastRenderedPageBreak/>
              <w:t>application.</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13067E"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The procedure and processes will be clearly set out in the draft regulations under the Act</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13067E"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The fund of the Authority will be inclusive of all the other related monies and funds as may be accrued to the Authority. </w:t>
            </w: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E40DF0" w:rsidP="00E40DF0">
            <w:pPr>
              <w:spacing w:after="0" w:line="240" w:lineRule="auto"/>
              <w:rPr>
                <w:rFonts w:ascii="Calibri" w:eastAsia="Times New Roman" w:hAnsi="Calibri" w:cs="Times New Roman"/>
                <w:sz w:val="32"/>
                <w:szCs w:val="32"/>
              </w:rPr>
            </w:pPr>
          </w:p>
          <w:p w:rsidR="00E40DF0" w:rsidRPr="00E40DF0" w:rsidRDefault="00CF1BA7" w:rsidP="00E40DF0">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The compliance requirements as set out in section 47 will apply to individual directors to the extent that they engage\involved in the property and business transaction.</w:t>
            </w:r>
          </w:p>
          <w:p w:rsidR="00E40DF0" w:rsidRPr="00E40DF0" w:rsidRDefault="00E40DF0" w:rsidP="00E40DF0">
            <w:pPr>
              <w:spacing w:after="0" w:line="240" w:lineRule="auto"/>
              <w:rPr>
                <w:rFonts w:ascii="Calibri" w:eastAsia="Times New Roman" w:hAnsi="Calibri" w:cs="Times New Roman"/>
                <w:sz w:val="32"/>
                <w:szCs w:val="32"/>
              </w:rPr>
            </w:pPr>
          </w:p>
          <w:p w:rsidR="00910EE3" w:rsidRDefault="00910EE3"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BB340C">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 xml:space="preserve">The purpose of this section is basically to advance the consumer protection and ensure that the all property practitioners conform and abide with the Code of Conduct as may be set out . The section further provide for various circumstances wherein the disqualification may </w:t>
            </w:r>
            <w:r>
              <w:rPr>
                <w:rFonts w:ascii="Calibri" w:eastAsia="Times New Roman" w:hAnsi="Calibri" w:cs="Times New Roman"/>
                <w:sz w:val="32"/>
                <w:szCs w:val="32"/>
              </w:rPr>
              <w:lastRenderedPageBreak/>
              <w:t xml:space="preserve">be applicable.   </w:t>
            </w: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CF1BA7">
            <w:pPr>
              <w:spacing w:after="0" w:line="240" w:lineRule="auto"/>
              <w:rPr>
                <w:rFonts w:ascii="Calibri" w:eastAsia="Times New Roman" w:hAnsi="Calibri" w:cs="Times New Roman"/>
                <w:sz w:val="32"/>
                <w:szCs w:val="32"/>
              </w:rPr>
            </w:pPr>
          </w:p>
          <w:p w:rsidR="00CF1BA7" w:rsidRDefault="00CF1BA7" w:rsidP="00FE40ED">
            <w:pPr>
              <w:spacing w:after="0" w:line="240" w:lineRule="auto"/>
              <w:rPr>
                <w:rFonts w:ascii="Calibri" w:eastAsia="Times New Roman" w:hAnsi="Calibri" w:cs="Times New Roman"/>
                <w:sz w:val="32"/>
                <w:szCs w:val="32"/>
              </w:rPr>
            </w:pPr>
            <w:r>
              <w:rPr>
                <w:rFonts w:ascii="Calibri" w:eastAsia="Times New Roman" w:hAnsi="Calibri" w:cs="Times New Roman"/>
                <w:sz w:val="32"/>
                <w:szCs w:val="32"/>
              </w:rPr>
              <w:t>The process and the manner of application will be set out in the draft regulation and in practice it is a requirement that the property practitioner must obtain the FFC first and the</w:t>
            </w:r>
            <w:r w:rsidR="00FE40ED">
              <w:rPr>
                <w:rFonts w:ascii="Calibri" w:eastAsia="Times New Roman" w:hAnsi="Calibri" w:cs="Times New Roman"/>
                <w:sz w:val="32"/>
                <w:szCs w:val="32"/>
              </w:rPr>
              <w:t xml:space="preserve">n proceed to  </w:t>
            </w:r>
            <w:r>
              <w:rPr>
                <w:rFonts w:ascii="Calibri" w:eastAsia="Times New Roman" w:hAnsi="Calibri" w:cs="Times New Roman"/>
                <w:sz w:val="32"/>
                <w:szCs w:val="32"/>
              </w:rPr>
              <w:t xml:space="preserve"> open a trust account thereafter. </w:t>
            </w:r>
          </w:p>
          <w:p w:rsidR="00FE40ED" w:rsidRPr="009458B6" w:rsidRDefault="00FE40ED" w:rsidP="00FE40ED">
            <w:pPr>
              <w:spacing w:after="0" w:line="240" w:lineRule="auto"/>
              <w:rPr>
                <w:rFonts w:ascii="Calibri" w:eastAsia="Times New Roman" w:hAnsi="Calibri" w:cs="Times New Roman"/>
                <w:sz w:val="32"/>
                <w:szCs w:val="32"/>
              </w:rPr>
            </w:pPr>
          </w:p>
        </w:tc>
      </w:tr>
    </w:tbl>
    <w:p w:rsidR="009458B6" w:rsidRPr="009458B6" w:rsidRDefault="009458B6" w:rsidP="00682ABE">
      <w:pPr>
        <w:rPr>
          <w:sz w:val="32"/>
          <w:szCs w:val="32"/>
        </w:rPr>
      </w:pPr>
    </w:p>
    <w:sectPr w:rsidR="009458B6" w:rsidRPr="009458B6" w:rsidSect="009458B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BB" w:rsidRDefault="00220BBB" w:rsidP="009458B6">
      <w:pPr>
        <w:spacing w:after="0" w:line="240" w:lineRule="auto"/>
      </w:pPr>
      <w:r>
        <w:separator/>
      </w:r>
    </w:p>
  </w:endnote>
  <w:endnote w:type="continuationSeparator" w:id="0">
    <w:p w:rsidR="00220BBB" w:rsidRDefault="00220BBB" w:rsidP="00945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A4" w:rsidRDefault="00C314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472859"/>
      <w:docPartObj>
        <w:docPartGallery w:val="Page Numbers (Bottom of Page)"/>
        <w:docPartUnique/>
      </w:docPartObj>
    </w:sdtPr>
    <w:sdtEndPr>
      <w:rPr>
        <w:noProof/>
      </w:rPr>
    </w:sdtEndPr>
    <w:sdtContent>
      <w:p w:rsidR="00EC1101" w:rsidRDefault="00F732E5">
        <w:pPr>
          <w:pStyle w:val="Footer"/>
          <w:jc w:val="right"/>
        </w:pPr>
        <w:r>
          <w:fldChar w:fldCharType="begin"/>
        </w:r>
        <w:r w:rsidR="00EC1101">
          <w:instrText xml:space="preserve"> PAGE   \* MERGEFORMAT </w:instrText>
        </w:r>
        <w:r>
          <w:fldChar w:fldCharType="separate"/>
        </w:r>
        <w:r w:rsidR="00860B69">
          <w:rPr>
            <w:noProof/>
          </w:rPr>
          <w:t>1</w:t>
        </w:r>
        <w:r>
          <w:rPr>
            <w:noProof/>
          </w:rPr>
          <w:fldChar w:fldCharType="end"/>
        </w:r>
      </w:p>
    </w:sdtContent>
  </w:sdt>
  <w:p w:rsidR="00EC1101" w:rsidRDefault="00EC11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A4" w:rsidRDefault="00C31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BB" w:rsidRDefault="00220BBB" w:rsidP="009458B6">
      <w:pPr>
        <w:spacing w:after="0" w:line="240" w:lineRule="auto"/>
      </w:pPr>
      <w:r>
        <w:separator/>
      </w:r>
    </w:p>
  </w:footnote>
  <w:footnote w:type="continuationSeparator" w:id="0">
    <w:p w:rsidR="00220BBB" w:rsidRDefault="00220BBB" w:rsidP="00945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A4" w:rsidRDefault="00C31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01" w:rsidRDefault="00EC1101" w:rsidP="009458B6">
    <w:pPr>
      <w:pStyle w:val="Header"/>
      <w:jc w:val="center"/>
    </w:pPr>
    <w:r>
      <w:rPr>
        <w:rFonts w:ascii="Arial" w:hAnsi="Arial" w:cs="Arial"/>
        <w:noProof/>
        <w:sz w:val="32"/>
        <w:szCs w:val="32"/>
        <w:lang w:val="en-ZA" w:eastAsia="en-ZA"/>
      </w:rPr>
      <w:drawing>
        <wp:inline distT="0" distB="0" distL="0" distR="0">
          <wp:extent cx="5993176" cy="1013552"/>
          <wp:effectExtent l="0" t="0" r="7620" b="0"/>
          <wp:docPr id="2" name="Picture 2" descr="Human Settlement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Settlements_letterhead"/>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247" b="26991"/>
                  <a:stretch/>
                </pic:blipFill>
                <pic:spPr bwMode="auto">
                  <a:xfrm>
                    <a:off x="0" y="0"/>
                    <a:ext cx="5993176" cy="10135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A4" w:rsidRDefault="00C31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57C"/>
    <w:multiLevelType w:val="hybridMultilevel"/>
    <w:tmpl w:val="4962CA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D268E2"/>
    <w:multiLevelType w:val="hybridMultilevel"/>
    <w:tmpl w:val="EB025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1BD9"/>
    <w:multiLevelType w:val="hybridMultilevel"/>
    <w:tmpl w:val="29CA7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784635"/>
    <w:multiLevelType w:val="hybridMultilevel"/>
    <w:tmpl w:val="69845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87963C8"/>
    <w:multiLevelType w:val="hybridMultilevel"/>
    <w:tmpl w:val="93E8CAF4"/>
    <w:lvl w:ilvl="0" w:tplc="1C090001">
      <w:start w:val="1"/>
      <w:numFmt w:val="bullet"/>
      <w:lvlText w:val=""/>
      <w:lvlJc w:val="left"/>
      <w:pPr>
        <w:ind w:left="1428" w:hanging="360"/>
      </w:pPr>
      <w:rPr>
        <w:rFonts w:ascii="Symbol" w:hAnsi="Symbol" w:hint="default"/>
      </w:rPr>
    </w:lvl>
    <w:lvl w:ilvl="1" w:tplc="1C090003" w:tentative="1">
      <w:start w:val="1"/>
      <w:numFmt w:val="bullet"/>
      <w:lvlText w:val="o"/>
      <w:lvlJc w:val="left"/>
      <w:pPr>
        <w:ind w:left="2148" w:hanging="360"/>
      </w:pPr>
      <w:rPr>
        <w:rFonts w:ascii="Courier New" w:hAnsi="Courier New" w:cs="Courier New" w:hint="default"/>
      </w:rPr>
    </w:lvl>
    <w:lvl w:ilvl="2" w:tplc="1C090005" w:tentative="1">
      <w:start w:val="1"/>
      <w:numFmt w:val="bullet"/>
      <w:lvlText w:val=""/>
      <w:lvlJc w:val="left"/>
      <w:pPr>
        <w:ind w:left="2868" w:hanging="360"/>
      </w:pPr>
      <w:rPr>
        <w:rFonts w:ascii="Wingdings" w:hAnsi="Wingdings" w:hint="default"/>
      </w:rPr>
    </w:lvl>
    <w:lvl w:ilvl="3" w:tplc="1C090001" w:tentative="1">
      <w:start w:val="1"/>
      <w:numFmt w:val="bullet"/>
      <w:lvlText w:val=""/>
      <w:lvlJc w:val="left"/>
      <w:pPr>
        <w:ind w:left="3588" w:hanging="360"/>
      </w:pPr>
      <w:rPr>
        <w:rFonts w:ascii="Symbol" w:hAnsi="Symbol" w:hint="default"/>
      </w:rPr>
    </w:lvl>
    <w:lvl w:ilvl="4" w:tplc="1C090003" w:tentative="1">
      <w:start w:val="1"/>
      <w:numFmt w:val="bullet"/>
      <w:lvlText w:val="o"/>
      <w:lvlJc w:val="left"/>
      <w:pPr>
        <w:ind w:left="4308" w:hanging="360"/>
      </w:pPr>
      <w:rPr>
        <w:rFonts w:ascii="Courier New" w:hAnsi="Courier New" w:cs="Courier New" w:hint="default"/>
      </w:rPr>
    </w:lvl>
    <w:lvl w:ilvl="5" w:tplc="1C090005" w:tentative="1">
      <w:start w:val="1"/>
      <w:numFmt w:val="bullet"/>
      <w:lvlText w:val=""/>
      <w:lvlJc w:val="left"/>
      <w:pPr>
        <w:ind w:left="5028" w:hanging="360"/>
      </w:pPr>
      <w:rPr>
        <w:rFonts w:ascii="Wingdings" w:hAnsi="Wingdings" w:hint="default"/>
      </w:rPr>
    </w:lvl>
    <w:lvl w:ilvl="6" w:tplc="1C090001" w:tentative="1">
      <w:start w:val="1"/>
      <w:numFmt w:val="bullet"/>
      <w:lvlText w:val=""/>
      <w:lvlJc w:val="left"/>
      <w:pPr>
        <w:ind w:left="5748" w:hanging="360"/>
      </w:pPr>
      <w:rPr>
        <w:rFonts w:ascii="Symbol" w:hAnsi="Symbol" w:hint="default"/>
      </w:rPr>
    </w:lvl>
    <w:lvl w:ilvl="7" w:tplc="1C090003" w:tentative="1">
      <w:start w:val="1"/>
      <w:numFmt w:val="bullet"/>
      <w:lvlText w:val="o"/>
      <w:lvlJc w:val="left"/>
      <w:pPr>
        <w:ind w:left="6468" w:hanging="360"/>
      </w:pPr>
      <w:rPr>
        <w:rFonts w:ascii="Courier New" w:hAnsi="Courier New" w:cs="Courier New" w:hint="default"/>
      </w:rPr>
    </w:lvl>
    <w:lvl w:ilvl="8" w:tplc="1C0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9458B6"/>
    <w:rsid w:val="00023025"/>
    <w:rsid w:val="00080BDD"/>
    <w:rsid w:val="00082460"/>
    <w:rsid w:val="000C7EE6"/>
    <w:rsid w:val="000F5B3D"/>
    <w:rsid w:val="0010462C"/>
    <w:rsid w:val="0013067E"/>
    <w:rsid w:val="00140F51"/>
    <w:rsid w:val="0019015B"/>
    <w:rsid w:val="00191631"/>
    <w:rsid w:val="001C4A04"/>
    <w:rsid w:val="001D6A10"/>
    <w:rsid w:val="001D73E8"/>
    <w:rsid w:val="002067A1"/>
    <w:rsid w:val="00207605"/>
    <w:rsid w:val="00220BBB"/>
    <w:rsid w:val="0022545D"/>
    <w:rsid w:val="0023764C"/>
    <w:rsid w:val="00246FC8"/>
    <w:rsid w:val="003447D5"/>
    <w:rsid w:val="00360E1D"/>
    <w:rsid w:val="003737B2"/>
    <w:rsid w:val="00380919"/>
    <w:rsid w:val="004016A2"/>
    <w:rsid w:val="00403662"/>
    <w:rsid w:val="004C397A"/>
    <w:rsid w:val="004F4FEE"/>
    <w:rsid w:val="00522F44"/>
    <w:rsid w:val="00576ABA"/>
    <w:rsid w:val="005A068C"/>
    <w:rsid w:val="005C0D4B"/>
    <w:rsid w:val="006470CB"/>
    <w:rsid w:val="0067296F"/>
    <w:rsid w:val="00673415"/>
    <w:rsid w:val="006745FE"/>
    <w:rsid w:val="00682ABE"/>
    <w:rsid w:val="006E4989"/>
    <w:rsid w:val="006E798F"/>
    <w:rsid w:val="0072632D"/>
    <w:rsid w:val="007301F2"/>
    <w:rsid w:val="007416B0"/>
    <w:rsid w:val="007851D4"/>
    <w:rsid w:val="007A3117"/>
    <w:rsid w:val="007A69F1"/>
    <w:rsid w:val="007C7853"/>
    <w:rsid w:val="00852908"/>
    <w:rsid w:val="00857DFF"/>
    <w:rsid w:val="00860B69"/>
    <w:rsid w:val="00863BEB"/>
    <w:rsid w:val="00892D9B"/>
    <w:rsid w:val="008A260A"/>
    <w:rsid w:val="008A486B"/>
    <w:rsid w:val="008F51E8"/>
    <w:rsid w:val="00910EE3"/>
    <w:rsid w:val="00911644"/>
    <w:rsid w:val="00911F62"/>
    <w:rsid w:val="009458B6"/>
    <w:rsid w:val="00993CAB"/>
    <w:rsid w:val="009A6595"/>
    <w:rsid w:val="009F68C5"/>
    <w:rsid w:val="00A83B55"/>
    <w:rsid w:val="00A92CAF"/>
    <w:rsid w:val="00A934D5"/>
    <w:rsid w:val="00A9635C"/>
    <w:rsid w:val="00AF0DE7"/>
    <w:rsid w:val="00B65466"/>
    <w:rsid w:val="00BB340C"/>
    <w:rsid w:val="00BD412D"/>
    <w:rsid w:val="00C059E4"/>
    <w:rsid w:val="00C06447"/>
    <w:rsid w:val="00C314A4"/>
    <w:rsid w:val="00C330AC"/>
    <w:rsid w:val="00C816A9"/>
    <w:rsid w:val="00CC5552"/>
    <w:rsid w:val="00CE3904"/>
    <w:rsid w:val="00CF1BA7"/>
    <w:rsid w:val="00D05223"/>
    <w:rsid w:val="00D12173"/>
    <w:rsid w:val="00D150A9"/>
    <w:rsid w:val="00D45809"/>
    <w:rsid w:val="00D65527"/>
    <w:rsid w:val="00D66A27"/>
    <w:rsid w:val="00D70FEC"/>
    <w:rsid w:val="00D863A1"/>
    <w:rsid w:val="00DE08F1"/>
    <w:rsid w:val="00DF3726"/>
    <w:rsid w:val="00E14A68"/>
    <w:rsid w:val="00E3195A"/>
    <w:rsid w:val="00E3226B"/>
    <w:rsid w:val="00E40DF0"/>
    <w:rsid w:val="00EB0D6B"/>
    <w:rsid w:val="00EC1101"/>
    <w:rsid w:val="00EC52C4"/>
    <w:rsid w:val="00EF6C22"/>
    <w:rsid w:val="00F43AA7"/>
    <w:rsid w:val="00F732E5"/>
    <w:rsid w:val="00FC301D"/>
    <w:rsid w:val="00FE40ED"/>
    <w:rsid w:val="00FF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B6"/>
  </w:style>
  <w:style w:type="paragraph" w:styleId="Footer">
    <w:name w:val="footer"/>
    <w:basedOn w:val="Normal"/>
    <w:link w:val="FooterChar"/>
    <w:uiPriority w:val="99"/>
    <w:unhideWhenUsed/>
    <w:rsid w:val="0094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B6"/>
  </w:style>
  <w:style w:type="paragraph" w:styleId="BalloonText">
    <w:name w:val="Balloon Text"/>
    <w:basedOn w:val="Normal"/>
    <w:link w:val="BalloonTextChar"/>
    <w:uiPriority w:val="99"/>
    <w:semiHidden/>
    <w:unhideWhenUsed/>
    <w:rsid w:val="0094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B6"/>
    <w:rPr>
      <w:rFonts w:ascii="Tahoma" w:hAnsi="Tahoma" w:cs="Tahoma"/>
      <w:sz w:val="16"/>
      <w:szCs w:val="16"/>
    </w:rPr>
  </w:style>
  <w:style w:type="numbering" w:customStyle="1" w:styleId="NoList1">
    <w:name w:val="No List1"/>
    <w:next w:val="NoList"/>
    <w:semiHidden/>
    <w:rsid w:val="009458B6"/>
  </w:style>
  <w:style w:type="character" w:styleId="PageNumber">
    <w:name w:val="page number"/>
    <w:basedOn w:val="DefaultParagraphFont"/>
    <w:rsid w:val="009458B6"/>
  </w:style>
  <w:style w:type="paragraph" w:styleId="NoSpacing">
    <w:name w:val="No Spacing"/>
    <w:uiPriority w:val="1"/>
    <w:qFormat/>
    <w:rsid w:val="00DF3726"/>
    <w:pPr>
      <w:spacing w:after="0" w:line="240" w:lineRule="auto"/>
    </w:pPr>
  </w:style>
  <w:style w:type="paragraph" w:styleId="ListParagraph">
    <w:name w:val="List Paragraph"/>
    <w:basedOn w:val="Normal"/>
    <w:uiPriority w:val="34"/>
    <w:qFormat/>
    <w:rsid w:val="00E14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B6"/>
  </w:style>
  <w:style w:type="paragraph" w:styleId="Footer">
    <w:name w:val="footer"/>
    <w:basedOn w:val="Normal"/>
    <w:link w:val="FooterChar"/>
    <w:uiPriority w:val="99"/>
    <w:unhideWhenUsed/>
    <w:rsid w:val="0094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B6"/>
  </w:style>
  <w:style w:type="paragraph" w:styleId="BalloonText">
    <w:name w:val="Balloon Text"/>
    <w:basedOn w:val="Normal"/>
    <w:link w:val="BalloonTextChar"/>
    <w:uiPriority w:val="99"/>
    <w:semiHidden/>
    <w:unhideWhenUsed/>
    <w:rsid w:val="0094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B6"/>
    <w:rPr>
      <w:rFonts w:ascii="Tahoma" w:hAnsi="Tahoma" w:cs="Tahoma"/>
      <w:sz w:val="16"/>
      <w:szCs w:val="16"/>
    </w:rPr>
  </w:style>
  <w:style w:type="numbering" w:customStyle="1" w:styleId="NoList1">
    <w:name w:val="No List1"/>
    <w:next w:val="NoList"/>
    <w:semiHidden/>
    <w:rsid w:val="009458B6"/>
  </w:style>
  <w:style w:type="character" w:styleId="PageNumber">
    <w:name w:val="page number"/>
    <w:basedOn w:val="DefaultParagraphFont"/>
    <w:rsid w:val="009458B6"/>
  </w:style>
  <w:style w:type="paragraph" w:styleId="NoSpacing">
    <w:name w:val="No Spacing"/>
    <w:uiPriority w:val="1"/>
    <w:qFormat/>
    <w:rsid w:val="00DF3726"/>
    <w:pPr>
      <w:spacing w:after="0" w:line="240" w:lineRule="auto"/>
    </w:pPr>
  </w:style>
  <w:style w:type="paragraph" w:styleId="ListParagraph">
    <w:name w:val="List Paragraph"/>
    <w:basedOn w:val="Normal"/>
    <w:uiPriority w:val="34"/>
    <w:qFormat/>
    <w:rsid w:val="00E14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3B34-6F85-41EF-B1A0-9B1CA33D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PUMZA</cp:lastModifiedBy>
  <cp:revision>2</cp:revision>
  <cp:lastPrinted>2018-11-02T09:28:00Z</cp:lastPrinted>
  <dcterms:created xsi:type="dcterms:W3CDTF">2019-03-26T09:46:00Z</dcterms:created>
  <dcterms:modified xsi:type="dcterms:W3CDTF">2019-03-26T09:46:00Z</dcterms:modified>
</cp:coreProperties>
</file>