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02" w:rsidRPr="00CF0A95" w:rsidRDefault="003F0902" w:rsidP="002F0A9A">
      <w:pPr>
        <w:tabs>
          <w:tab w:val="center" w:pos="4819"/>
        </w:tabs>
        <w:suppressAutoHyphens/>
        <w:ind w:left="720" w:right="-46"/>
        <w:jc w:val="center"/>
        <w:rPr>
          <w:rFonts w:ascii="Arial" w:hAnsi="Arial" w:cs="Arial"/>
          <w:b/>
          <w:spacing w:val="-3"/>
          <w:sz w:val="22"/>
          <w:szCs w:val="22"/>
        </w:rPr>
      </w:pPr>
      <w:r w:rsidRPr="00CF0A95">
        <w:rPr>
          <w:rFonts w:ascii="Arial" w:hAnsi="Arial" w:cs="Arial"/>
          <w:noProof/>
          <w:sz w:val="22"/>
          <w:szCs w:val="22"/>
          <w:lang w:val="en-ZA" w:eastAsia="en-ZA"/>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0</wp:posOffset>
            </wp:positionV>
            <wp:extent cx="1428750" cy="1162050"/>
            <wp:effectExtent l="19050" t="0" r="0" b="0"/>
            <wp:wrapTopAndBottom/>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28750" cy="1162050"/>
                    </a:xfrm>
                    <a:prstGeom prst="rect">
                      <a:avLst/>
                    </a:prstGeom>
                    <a:noFill/>
                  </pic:spPr>
                </pic:pic>
              </a:graphicData>
            </a:graphic>
          </wp:anchor>
        </w:drawing>
      </w:r>
    </w:p>
    <w:p w:rsidR="003F0902" w:rsidRPr="00CF0A95" w:rsidRDefault="0025078B" w:rsidP="002F0A9A">
      <w:pPr>
        <w:tabs>
          <w:tab w:val="center" w:pos="4819"/>
        </w:tabs>
        <w:suppressAutoHyphens/>
        <w:ind w:left="720" w:right="-46"/>
        <w:jc w:val="center"/>
        <w:rPr>
          <w:rFonts w:ascii="Arial" w:hAnsi="Arial" w:cs="Arial"/>
          <w:b/>
          <w:spacing w:val="-3"/>
          <w:sz w:val="22"/>
          <w:szCs w:val="22"/>
        </w:rPr>
      </w:pPr>
      <w:r w:rsidRPr="00CF0A95">
        <w:rPr>
          <w:rFonts w:ascii="Arial" w:hAnsi="Arial" w:cs="Arial"/>
          <w:b/>
          <w:spacing w:val="-3"/>
          <w:sz w:val="22"/>
          <w:szCs w:val="22"/>
        </w:rPr>
        <w:t>FINANCE PORTFOLIO COMMITTEE</w:t>
      </w:r>
    </w:p>
    <w:p w:rsidR="003F0902" w:rsidRPr="00CF0A95" w:rsidRDefault="003F0902" w:rsidP="002F0A9A">
      <w:pPr>
        <w:tabs>
          <w:tab w:val="center" w:pos="4819"/>
        </w:tabs>
        <w:suppressAutoHyphens/>
        <w:ind w:left="720" w:right="-46"/>
        <w:jc w:val="center"/>
        <w:rPr>
          <w:rFonts w:ascii="Arial" w:hAnsi="Arial" w:cs="Arial"/>
          <w:b/>
          <w:spacing w:val="-3"/>
          <w:sz w:val="22"/>
          <w:szCs w:val="22"/>
        </w:rPr>
      </w:pPr>
    </w:p>
    <w:p w:rsidR="00215DDD" w:rsidRPr="00CF0A95" w:rsidRDefault="00A528A4" w:rsidP="00143D29">
      <w:pPr>
        <w:pStyle w:val="ListParagraph"/>
        <w:numPr>
          <w:ilvl w:val="0"/>
          <w:numId w:val="31"/>
        </w:numPr>
        <w:tabs>
          <w:tab w:val="center" w:pos="4819"/>
        </w:tabs>
        <w:suppressAutoHyphens/>
        <w:spacing w:line="360" w:lineRule="auto"/>
        <w:ind w:left="709" w:right="-46" w:hanging="283"/>
        <w:jc w:val="both"/>
        <w:rPr>
          <w:rFonts w:ascii="Arial" w:hAnsi="Arial" w:cs="Arial"/>
          <w:b/>
          <w:i/>
          <w:spacing w:val="-3"/>
          <w:sz w:val="22"/>
          <w:szCs w:val="22"/>
        </w:rPr>
      </w:pPr>
      <w:r w:rsidRPr="00CF0A95">
        <w:rPr>
          <w:rFonts w:ascii="Arial" w:hAnsi="Arial" w:cs="Arial"/>
          <w:b/>
          <w:spacing w:val="-3"/>
          <w:sz w:val="22"/>
          <w:szCs w:val="22"/>
        </w:rPr>
        <w:t xml:space="preserve">REPORT ON THE MANDATE OF THE </w:t>
      </w:r>
      <w:r w:rsidR="001239FC" w:rsidRPr="00CF0A95">
        <w:rPr>
          <w:rFonts w:ascii="Arial" w:hAnsi="Arial" w:cs="Arial"/>
          <w:b/>
          <w:spacing w:val="-3"/>
          <w:sz w:val="22"/>
          <w:szCs w:val="22"/>
        </w:rPr>
        <w:fldChar w:fldCharType="begin"/>
      </w:r>
      <w:r w:rsidR="00215DDD" w:rsidRPr="00CF0A95">
        <w:rPr>
          <w:rFonts w:ascii="Arial" w:hAnsi="Arial" w:cs="Arial"/>
          <w:b/>
          <w:spacing w:val="-3"/>
          <w:sz w:val="22"/>
          <w:szCs w:val="22"/>
        </w:rPr>
        <w:instrText xml:space="preserve">PRIVATE </w:instrText>
      </w:r>
      <w:r w:rsidR="001239FC" w:rsidRPr="00CF0A95">
        <w:rPr>
          <w:rFonts w:ascii="Arial" w:hAnsi="Arial" w:cs="Arial"/>
          <w:b/>
          <w:spacing w:val="-3"/>
          <w:sz w:val="22"/>
          <w:szCs w:val="22"/>
        </w:rPr>
        <w:fldChar w:fldCharType="end"/>
      </w:r>
      <w:r w:rsidRPr="00CF0A95">
        <w:rPr>
          <w:rFonts w:ascii="Arial" w:hAnsi="Arial" w:cs="Arial"/>
          <w:b/>
          <w:spacing w:val="-3"/>
          <w:sz w:val="22"/>
          <w:szCs w:val="22"/>
        </w:rPr>
        <w:t xml:space="preserve"> DIVISION OF REVENUE BILL [B</w:t>
      </w:r>
      <w:r w:rsidR="009B5B53" w:rsidRPr="00CF0A95">
        <w:rPr>
          <w:rFonts w:ascii="Arial" w:hAnsi="Arial" w:cs="Arial"/>
          <w:b/>
          <w:spacing w:val="-3"/>
          <w:sz w:val="22"/>
          <w:szCs w:val="22"/>
        </w:rPr>
        <w:t>5</w:t>
      </w:r>
      <w:r w:rsidRPr="00CF0A95">
        <w:rPr>
          <w:rFonts w:ascii="Arial" w:hAnsi="Arial" w:cs="Arial"/>
          <w:b/>
          <w:spacing w:val="-3"/>
          <w:sz w:val="22"/>
          <w:szCs w:val="22"/>
        </w:rPr>
        <w:t>-201</w:t>
      </w:r>
      <w:r w:rsidR="009B5B53" w:rsidRPr="00CF0A95">
        <w:rPr>
          <w:rFonts w:ascii="Arial" w:hAnsi="Arial" w:cs="Arial"/>
          <w:b/>
          <w:spacing w:val="-3"/>
          <w:sz w:val="22"/>
          <w:szCs w:val="22"/>
        </w:rPr>
        <w:t>9</w:t>
      </w:r>
      <w:r w:rsidRPr="00CF0A95">
        <w:rPr>
          <w:rFonts w:ascii="Arial" w:hAnsi="Arial" w:cs="Arial"/>
          <w:b/>
          <w:spacing w:val="-3"/>
          <w:sz w:val="22"/>
          <w:szCs w:val="22"/>
        </w:rPr>
        <w:t>] – SECTION 76</w:t>
      </w:r>
    </w:p>
    <w:p w:rsidR="00295518" w:rsidRPr="00CF0A95" w:rsidRDefault="00295518" w:rsidP="00CE4652">
      <w:pPr>
        <w:tabs>
          <w:tab w:val="center" w:pos="4819"/>
        </w:tabs>
        <w:suppressAutoHyphens/>
        <w:spacing w:line="360" w:lineRule="auto"/>
        <w:ind w:left="431" w:right="-46"/>
        <w:jc w:val="both"/>
        <w:rPr>
          <w:rFonts w:ascii="Arial" w:hAnsi="Arial" w:cs="Arial"/>
          <w:b/>
          <w:sz w:val="22"/>
          <w:szCs w:val="22"/>
        </w:rPr>
      </w:pPr>
    </w:p>
    <w:p w:rsidR="00013231" w:rsidRPr="00CF0A95" w:rsidRDefault="00013231" w:rsidP="00CE4652">
      <w:pPr>
        <w:pStyle w:val="BodyTextIndent"/>
        <w:spacing w:line="360" w:lineRule="auto"/>
        <w:rPr>
          <w:rFonts w:ascii="Arial" w:hAnsi="Arial" w:cs="Arial"/>
          <w:b/>
          <w:sz w:val="22"/>
          <w:szCs w:val="22"/>
        </w:rPr>
      </w:pPr>
      <w:r w:rsidRPr="00CF0A95">
        <w:rPr>
          <w:rFonts w:ascii="Arial" w:hAnsi="Arial" w:cs="Arial"/>
          <w:b/>
          <w:sz w:val="22"/>
          <w:szCs w:val="22"/>
        </w:rPr>
        <w:t xml:space="preserve">The Chairperson of the Finance Portfolio Committee (Portfolio Committee), Mr S Khumalo tabled a report on the Division of Revenue Bill </w:t>
      </w:r>
      <w:r w:rsidRPr="00CF0A95">
        <w:rPr>
          <w:rFonts w:ascii="Arial" w:hAnsi="Arial" w:cs="Arial"/>
          <w:b/>
          <w:i/>
          <w:sz w:val="22"/>
          <w:szCs w:val="22"/>
        </w:rPr>
        <w:t>[B</w:t>
      </w:r>
      <w:r w:rsidR="009B5B53" w:rsidRPr="00CF0A95">
        <w:rPr>
          <w:rFonts w:ascii="Arial" w:hAnsi="Arial" w:cs="Arial"/>
          <w:b/>
          <w:i/>
          <w:sz w:val="22"/>
          <w:szCs w:val="22"/>
        </w:rPr>
        <w:t>5</w:t>
      </w:r>
      <w:r w:rsidR="006725BC" w:rsidRPr="00CF0A95">
        <w:rPr>
          <w:rFonts w:ascii="Arial" w:hAnsi="Arial" w:cs="Arial"/>
          <w:b/>
          <w:i/>
          <w:sz w:val="22"/>
          <w:szCs w:val="22"/>
        </w:rPr>
        <w:t>-201</w:t>
      </w:r>
      <w:r w:rsidR="009B5B53" w:rsidRPr="00CF0A95">
        <w:rPr>
          <w:rFonts w:ascii="Arial" w:hAnsi="Arial" w:cs="Arial"/>
          <w:b/>
          <w:i/>
          <w:sz w:val="22"/>
          <w:szCs w:val="22"/>
        </w:rPr>
        <w:t>9</w:t>
      </w:r>
      <w:r w:rsidRPr="00CF0A95">
        <w:rPr>
          <w:rFonts w:ascii="Arial" w:hAnsi="Arial" w:cs="Arial"/>
          <w:b/>
          <w:i/>
          <w:sz w:val="22"/>
          <w:szCs w:val="22"/>
        </w:rPr>
        <w:t xml:space="preserve">] (the </w:t>
      </w:r>
      <w:r w:rsidRPr="00CF0A95">
        <w:rPr>
          <w:rFonts w:ascii="Arial" w:hAnsi="Arial" w:cs="Arial"/>
          <w:b/>
          <w:sz w:val="22"/>
          <w:szCs w:val="22"/>
        </w:rPr>
        <w:t xml:space="preserve">Bill). </w:t>
      </w:r>
    </w:p>
    <w:p w:rsidR="00013231" w:rsidRPr="00CF0A95" w:rsidRDefault="00013231" w:rsidP="00CE4652">
      <w:pPr>
        <w:tabs>
          <w:tab w:val="center" w:pos="4819"/>
        </w:tabs>
        <w:suppressAutoHyphens/>
        <w:spacing w:line="360" w:lineRule="auto"/>
        <w:ind w:left="431" w:right="-46"/>
        <w:jc w:val="both"/>
        <w:rPr>
          <w:rFonts w:ascii="Arial" w:hAnsi="Arial" w:cs="Arial"/>
          <w:sz w:val="22"/>
          <w:szCs w:val="22"/>
        </w:rPr>
      </w:pPr>
    </w:p>
    <w:p w:rsidR="00FA05F6" w:rsidRPr="00CF0A95" w:rsidRDefault="00FA05F6" w:rsidP="00143D29">
      <w:pPr>
        <w:pStyle w:val="Heading1"/>
        <w:numPr>
          <w:ilvl w:val="1"/>
          <w:numId w:val="31"/>
        </w:numPr>
        <w:spacing w:before="0" w:line="360" w:lineRule="auto"/>
        <w:ind w:left="709" w:hanging="283"/>
        <w:jc w:val="both"/>
        <w:rPr>
          <w:sz w:val="22"/>
          <w:szCs w:val="22"/>
          <w:u w:val="single"/>
          <w:lang w:val="en-ZA"/>
        </w:rPr>
      </w:pPr>
      <w:r w:rsidRPr="00CF0A95">
        <w:rPr>
          <w:sz w:val="22"/>
          <w:szCs w:val="22"/>
          <w:u w:val="single"/>
          <w:lang w:val="en-ZA"/>
        </w:rPr>
        <w:t>INTRODUCTION</w:t>
      </w:r>
    </w:p>
    <w:p w:rsidR="0006425F" w:rsidRPr="00CF0A95" w:rsidRDefault="0006425F" w:rsidP="00CE4652">
      <w:pPr>
        <w:pStyle w:val="BodyTextIndent"/>
        <w:spacing w:line="360" w:lineRule="auto"/>
        <w:ind w:left="360"/>
        <w:rPr>
          <w:rFonts w:ascii="Arial" w:hAnsi="Arial" w:cs="Arial"/>
          <w:sz w:val="22"/>
          <w:szCs w:val="22"/>
        </w:rPr>
      </w:pPr>
    </w:p>
    <w:p w:rsidR="0006425F" w:rsidRPr="00CF0A95" w:rsidRDefault="0006425F" w:rsidP="00CE4652">
      <w:pPr>
        <w:pStyle w:val="BodyTextIndent"/>
        <w:spacing w:line="360" w:lineRule="auto"/>
        <w:rPr>
          <w:rFonts w:ascii="Arial" w:hAnsi="Arial" w:cs="Arial"/>
          <w:sz w:val="22"/>
          <w:szCs w:val="22"/>
        </w:rPr>
      </w:pPr>
      <w:r w:rsidRPr="00CF0A95">
        <w:rPr>
          <w:rFonts w:ascii="Arial" w:hAnsi="Arial" w:cs="Arial"/>
          <w:sz w:val="22"/>
          <w:szCs w:val="22"/>
        </w:rPr>
        <w:t>The Bill is introduced in terms of section 76 of the Constitution of the Republic of South Africa, 1996 (“the Constitution”) and it is widely referred to as a section 76 Bill.</w:t>
      </w:r>
    </w:p>
    <w:p w:rsidR="0006425F" w:rsidRPr="00CF0A95" w:rsidRDefault="0006425F" w:rsidP="00CE4652">
      <w:pPr>
        <w:pStyle w:val="BodyTextIndent"/>
        <w:spacing w:line="360" w:lineRule="auto"/>
        <w:ind w:left="720"/>
        <w:rPr>
          <w:rFonts w:ascii="Arial" w:hAnsi="Arial" w:cs="Arial"/>
          <w:sz w:val="22"/>
          <w:szCs w:val="22"/>
        </w:rPr>
      </w:pPr>
    </w:p>
    <w:p w:rsidR="00013231" w:rsidRPr="00CF0A95" w:rsidRDefault="00013231" w:rsidP="00CE4652">
      <w:pPr>
        <w:pStyle w:val="BodyTextIndent"/>
        <w:spacing w:line="360" w:lineRule="auto"/>
        <w:rPr>
          <w:rFonts w:ascii="Arial" w:hAnsi="Arial" w:cs="Arial"/>
          <w:sz w:val="22"/>
          <w:szCs w:val="22"/>
        </w:rPr>
      </w:pPr>
      <w:r w:rsidRPr="00CF0A95">
        <w:rPr>
          <w:rFonts w:ascii="Arial" w:hAnsi="Arial" w:cs="Arial"/>
          <w:sz w:val="22"/>
          <w:szCs w:val="22"/>
        </w:rPr>
        <w:t>The Bill is introduced annually to give effect to Section 214(1) of the Constitution and the Intergovernmental Fiscal Relations Act, 1990 (“IGFRA”). The Bill provides for the equitable Division of Revenue anticipated to be raised nationally among the National, Provincial and Local spheres of Government for the 201</w:t>
      </w:r>
      <w:r w:rsidR="009B5B53" w:rsidRPr="00CF0A95">
        <w:rPr>
          <w:rFonts w:ascii="Arial" w:hAnsi="Arial" w:cs="Arial"/>
          <w:sz w:val="22"/>
          <w:szCs w:val="22"/>
        </w:rPr>
        <w:t>9/20</w:t>
      </w:r>
      <w:r w:rsidRPr="00CF0A95">
        <w:rPr>
          <w:rFonts w:ascii="Arial" w:hAnsi="Arial" w:cs="Arial"/>
          <w:sz w:val="22"/>
          <w:szCs w:val="22"/>
        </w:rPr>
        <w:t xml:space="preserve"> financial year.  </w:t>
      </w:r>
    </w:p>
    <w:p w:rsidR="00013231" w:rsidRPr="00CF0A95" w:rsidRDefault="00013231" w:rsidP="00CE4652">
      <w:pPr>
        <w:pStyle w:val="BodyTextIndent"/>
        <w:spacing w:line="360" w:lineRule="auto"/>
        <w:ind w:left="720"/>
        <w:rPr>
          <w:rFonts w:ascii="Arial" w:hAnsi="Arial" w:cs="Arial"/>
          <w:sz w:val="22"/>
          <w:szCs w:val="22"/>
        </w:rPr>
      </w:pPr>
    </w:p>
    <w:p w:rsidR="00013231" w:rsidRPr="00CF0A95" w:rsidRDefault="00013231" w:rsidP="00CE4652">
      <w:pPr>
        <w:pStyle w:val="BodyTextIndent"/>
        <w:spacing w:line="360" w:lineRule="auto"/>
        <w:rPr>
          <w:rFonts w:ascii="Arial" w:hAnsi="Arial" w:cs="Arial"/>
          <w:sz w:val="22"/>
          <w:szCs w:val="22"/>
        </w:rPr>
      </w:pPr>
      <w:r w:rsidRPr="00CF0A95">
        <w:rPr>
          <w:rFonts w:ascii="Arial" w:hAnsi="Arial" w:cs="Arial"/>
          <w:sz w:val="22"/>
          <w:szCs w:val="22"/>
        </w:rPr>
        <w:t>The total revenue raised and to be shared amongst the three spheres of government, amounts to</w:t>
      </w:r>
      <w:r w:rsidR="00A528A4" w:rsidRPr="00CF0A95">
        <w:rPr>
          <w:rFonts w:ascii="Arial" w:hAnsi="Arial" w:cs="Arial"/>
          <w:sz w:val="22"/>
          <w:szCs w:val="22"/>
        </w:rPr>
        <w:t xml:space="preserve"> R1</w:t>
      </w:r>
      <w:r w:rsidR="00265F54" w:rsidRPr="00CF0A95">
        <w:rPr>
          <w:rFonts w:ascii="Arial" w:hAnsi="Arial" w:cs="Arial"/>
          <w:sz w:val="22"/>
          <w:szCs w:val="22"/>
        </w:rPr>
        <w:t xml:space="preserve"> 658 707 </w:t>
      </w:r>
      <w:r w:rsidR="00A528A4" w:rsidRPr="00CF0A95">
        <w:rPr>
          <w:rFonts w:ascii="Arial" w:hAnsi="Arial" w:cs="Arial"/>
          <w:sz w:val="22"/>
          <w:szCs w:val="22"/>
        </w:rPr>
        <w:t>000 in 201</w:t>
      </w:r>
      <w:r w:rsidR="00265F54" w:rsidRPr="00CF0A95">
        <w:rPr>
          <w:rFonts w:ascii="Arial" w:hAnsi="Arial" w:cs="Arial"/>
          <w:sz w:val="22"/>
          <w:szCs w:val="22"/>
        </w:rPr>
        <w:t>9/20</w:t>
      </w:r>
      <w:r w:rsidR="00A528A4" w:rsidRPr="00CF0A95">
        <w:rPr>
          <w:rFonts w:ascii="Arial" w:hAnsi="Arial" w:cs="Arial"/>
          <w:sz w:val="22"/>
          <w:szCs w:val="22"/>
        </w:rPr>
        <w:t>, increasing to R 1</w:t>
      </w:r>
      <w:r w:rsidR="000D03A7" w:rsidRPr="00CF0A95">
        <w:rPr>
          <w:rFonts w:ascii="Arial" w:hAnsi="Arial" w:cs="Arial"/>
          <w:sz w:val="22"/>
          <w:szCs w:val="22"/>
        </w:rPr>
        <w:t> </w:t>
      </w:r>
      <w:r w:rsidR="00265F54" w:rsidRPr="00CF0A95">
        <w:rPr>
          <w:rFonts w:ascii="Arial" w:hAnsi="Arial" w:cs="Arial"/>
          <w:sz w:val="22"/>
          <w:szCs w:val="22"/>
        </w:rPr>
        <w:t>769 566</w:t>
      </w:r>
      <w:r w:rsidR="00A528A4" w:rsidRPr="00CF0A95">
        <w:rPr>
          <w:rFonts w:ascii="Arial" w:hAnsi="Arial" w:cs="Arial"/>
          <w:sz w:val="22"/>
          <w:szCs w:val="22"/>
        </w:rPr>
        <w:t xml:space="preserve"> 000 in 20</w:t>
      </w:r>
      <w:r w:rsidR="00265F54" w:rsidRPr="00CF0A95">
        <w:rPr>
          <w:rFonts w:ascii="Arial" w:hAnsi="Arial" w:cs="Arial"/>
          <w:sz w:val="22"/>
          <w:szCs w:val="22"/>
        </w:rPr>
        <w:t>20</w:t>
      </w:r>
      <w:r w:rsidR="00A528A4" w:rsidRPr="00CF0A95">
        <w:rPr>
          <w:rFonts w:ascii="Arial" w:hAnsi="Arial" w:cs="Arial"/>
          <w:sz w:val="22"/>
          <w:szCs w:val="22"/>
        </w:rPr>
        <w:t>/</w:t>
      </w:r>
      <w:r w:rsidR="00265F54" w:rsidRPr="00CF0A95">
        <w:rPr>
          <w:rFonts w:ascii="Arial" w:hAnsi="Arial" w:cs="Arial"/>
          <w:sz w:val="22"/>
          <w:szCs w:val="22"/>
        </w:rPr>
        <w:t>2</w:t>
      </w:r>
      <w:r w:rsidR="00A528A4" w:rsidRPr="00CF0A95">
        <w:rPr>
          <w:rFonts w:ascii="Arial" w:hAnsi="Arial" w:cs="Arial"/>
          <w:sz w:val="22"/>
          <w:szCs w:val="22"/>
        </w:rPr>
        <w:t>1 an</w:t>
      </w:r>
      <w:r w:rsidR="000D03A7" w:rsidRPr="00CF0A95">
        <w:rPr>
          <w:rFonts w:ascii="Arial" w:hAnsi="Arial" w:cs="Arial"/>
          <w:sz w:val="22"/>
          <w:szCs w:val="22"/>
        </w:rPr>
        <w:t>d R1 </w:t>
      </w:r>
      <w:r w:rsidR="00265F54" w:rsidRPr="00CF0A95">
        <w:rPr>
          <w:rFonts w:ascii="Arial" w:hAnsi="Arial" w:cs="Arial"/>
          <w:sz w:val="22"/>
          <w:szCs w:val="22"/>
        </w:rPr>
        <w:t>900 485 000 in 2021</w:t>
      </w:r>
      <w:r w:rsidR="000D03A7" w:rsidRPr="00CF0A95">
        <w:rPr>
          <w:rFonts w:ascii="Arial" w:hAnsi="Arial" w:cs="Arial"/>
          <w:sz w:val="22"/>
          <w:szCs w:val="22"/>
        </w:rPr>
        <w:t>/2</w:t>
      </w:r>
      <w:r w:rsidR="00265F54" w:rsidRPr="00CF0A95">
        <w:rPr>
          <w:rFonts w:ascii="Arial" w:hAnsi="Arial" w:cs="Arial"/>
          <w:sz w:val="22"/>
          <w:szCs w:val="22"/>
        </w:rPr>
        <w:t>2</w:t>
      </w:r>
      <w:r w:rsidR="00A528A4" w:rsidRPr="00CF0A95">
        <w:rPr>
          <w:rFonts w:ascii="Arial" w:hAnsi="Arial" w:cs="Arial"/>
          <w:sz w:val="22"/>
          <w:szCs w:val="22"/>
        </w:rPr>
        <w:t xml:space="preserve"> financial years respectively. </w:t>
      </w:r>
      <w:r w:rsidRPr="00CF0A95">
        <w:rPr>
          <w:rFonts w:ascii="Arial" w:hAnsi="Arial" w:cs="Arial"/>
          <w:sz w:val="22"/>
          <w:szCs w:val="22"/>
        </w:rPr>
        <w:t xml:space="preserve">It is </w:t>
      </w:r>
      <w:r w:rsidR="000D03A7" w:rsidRPr="00CF0A95">
        <w:rPr>
          <w:rFonts w:ascii="Arial" w:hAnsi="Arial" w:cs="Arial"/>
          <w:sz w:val="22"/>
          <w:szCs w:val="22"/>
        </w:rPr>
        <w:t xml:space="preserve">worth noting </w:t>
      </w:r>
      <w:r w:rsidRPr="00CF0A95">
        <w:rPr>
          <w:rFonts w:ascii="Arial" w:hAnsi="Arial" w:cs="Arial"/>
          <w:sz w:val="22"/>
          <w:szCs w:val="22"/>
        </w:rPr>
        <w:t xml:space="preserve">that Gauteng Province receives </w:t>
      </w:r>
      <w:r w:rsidR="000D03A7" w:rsidRPr="00CF0A95">
        <w:rPr>
          <w:rFonts w:ascii="Arial" w:hAnsi="Arial" w:cs="Arial"/>
          <w:sz w:val="22"/>
          <w:szCs w:val="22"/>
        </w:rPr>
        <w:t>total national transfers of R1</w:t>
      </w:r>
      <w:r w:rsidR="00265F54" w:rsidRPr="00CF0A95">
        <w:rPr>
          <w:rFonts w:ascii="Arial" w:hAnsi="Arial" w:cs="Arial"/>
          <w:sz w:val="22"/>
          <w:szCs w:val="22"/>
        </w:rPr>
        <w:t xml:space="preserve">25 525 000 </w:t>
      </w:r>
      <w:r w:rsidR="000D03A7" w:rsidRPr="00CF0A95">
        <w:rPr>
          <w:rFonts w:ascii="Arial" w:hAnsi="Arial" w:cs="Arial"/>
          <w:sz w:val="22"/>
          <w:szCs w:val="22"/>
        </w:rPr>
        <w:t xml:space="preserve">000 comprising of </w:t>
      </w:r>
      <w:r w:rsidRPr="00CF0A95">
        <w:rPr>
          <w:rFonts w:ascii="Arial" w:hAnsi="Arial" w:cs="Arial"/>
          <w:sz w:val="22"/>
          <w:szCs w:val="22"/>
        </w:rPr>
        <w:t xml:space="preserve">R </w:t>
      </w:r>
      <w:r w:rsidR="00265F54" w:rsidRPr="00CF0A95">
        <w:rPr>
          <w:rFonts w:ascii="Arial" w:hAnsi="Arial" w:cs="Arial"/>
          <w:sz w:val="22"/>
          <w:szCs w:val="22"/>
        </w:rPr>
        <w:t>102 448 000</w:t>
      </w:r>
      <w:r w:rsidR="000D03A7" w:rsidRPr="00CF0A95">
        <w:rPr>
          <w:rFonts w:ascii="Arial" w:hAnsi="Arial" w:cs="Arial"/>
          <w:sz w:val="22"/>
          <w:szCs w:val="22"/>
        </w:rPr>
        <w:t> 000 in</w:t>
      </w:r>
      <w:r w:rsidRPr="00CF0A95">
        <w:rPr>
          <w:rFonts w:ascii="Arial" w:hAnsi="Arial" w:cs="Arial"/>
          <w:sz w:val="22"/>
          <w:szCs w:val="22"/>
        </w:rPr>
        <w:t xml:space="preserve"> equitable share </w:t>
      </w:r>
      <w:r w:rsidR="000D03A7" w:rsidRPr="00CF0A95">
        <w:rPr>
          <w:rFonts w:ascii="Arial" w:hAnsi="Arial" w:cs="Arial"/>
          <w:sz w:val="22"/>
          <w:szCs w:val="22"/>
        </w:rPr>
        <w:t>and R2</w:t>
      </w:r>
      <w:r w:rsidR="00265F54" w:rsidRPr="00CF0A95">
        <w:rPr>
          <w:rFonts w:ascii="Arial" w:hAnsi="Arial" w:cs="Arial"/>
          <w:sz w:val="22"/>
          <w:szCs w:val="22"/>
        </w:rPr>
        <w:t>3 077 000</w:t>
      </w:r>
      <w:r w:rsidR="000D03A7" w:rsidRPr="00CF0A95">
        <w:rPr>
          <w:rFonts w:ascii="Arial" w:hAnsi="Arial" w:cs="Arial"/>
          <w:sz w:val="22"/>
          <w:szCs w:val="22"/>
        </w:rPr>
        <w:t xml:space="preserve"> 000 </w:t>
      </w:r>
      <w:r w:rsidRPr="00CF0A95">
        <w:rPr>
          <w:rFonts w:ascii="Arial" w:hAnsi="Arial" w:cs="Arial"/>
          <w:sz w:val="22"/>
          <w:szCs w:val="22"/>
        </w:rPr>
        <w:t>in</w:t>
      </w:r>
      <w:r w:rsidR="000D03A7" w:rsidRPr="00CF0A95">
        <w:rPr>
          <w:rFonts w:ascii="Arial" w:hAnsi="Arial" w:cs="Arial"/>
          <w:sz w:val="22"/>
          <w:szCs w:val="22"/>
        </w:rPr>
        <w:t xml:space="preserve"> conditional grants for</w:t>
      </w:r>
      <w:r w:rsidRPr="00CF0A95">
        <w:rPr>
          <w:rFonts w:ascii="Arial" w:hAnsi="Arial" w:cs="Arial"/>
          <w:sz w:val="22"/>
          <w:szCs w:val="22"/>
        </w:rPr>
        <w:t xml:space="preserve"> the 201</w:t>
      </w:r>
      <w:r w:rsidR="00265F54" w:rsidRPr="00CF0A95">
        <w:rPr>
          <w:rFonts w:ascii="Arial" w:hAnsi="Arial" w:cs="Arial"/>
          <w:sz w:val="22"/>
          <w:szCs w:val="22"/>
        </w:rPr>
        <w:t>9/20</w:t>
      </w:r>
      <w:r w:rsidRPr="00CF0A95">
        <w:rPr>
          <w:rFonts w:ascii="Arial" w:hAnsi="Arial" w:cs="Arial"/>
          <w:sz w:val="22"/>
          <w:szCs w:val="22"/>
        </w:rPr>
        <w:t xml:space="preserve"> financial year.</w:t>
      </w:r>
    </w:p>
    <w:p w:rsidR="00DA69A7" w:rsidRPr="00CF0A95" w:rsidRDefault="00DA69A7" w:rsidP="00CE4652">
      <w:pPr>
        <w:autoSpaceDE w:val="0"/>
        <w:autoSpaceDN w:val="0"/>
        <w:adjustRightInd w:val="0"/>
        <w:spacing w:line="360" w:lineRule="auto"/>
        <w:ind w:left="360"/>
        <w:jc w:val="both"/>
        <w:rPr>
          <w:rFonts w:ascii="Arial" w:hAnsi="Arial" w:cs="Arial"/>
          <w:sz w:val="22"/>
          <w:szCs w:val="22"/>
          <w:lang w:val="en-US"/>
        </w:rPr>
      </w:pPr>
    </w:p>
    <w:p w:rsidR="00FA05F6" w:rsidRPr="00CF0A95" w:rsidRDefault="00FA05F6" w:rsidP="00143D29">
      <w:pPr>
        <w:pStyle w:val="Heading1"/>
        <w:numPr>
          <w:ilvl w:val="1"/>
          <w:numId w:val="31"/>
        </w:numPr>
        <w:spacing w:before="0" w:line="360" w:lineRule="auto"/>
        <w:ind w:hanging="654"/>
        <w:jc w:val="both"/>
        <w:rPr>
          <w:sz w:val="22"/>
          <w:szCs w:val="22"/>
          <w:u w:val="single"/>
          <w:lang w:val="en-ZA"/>
        </w:rPr>
      </w:pPr>
      <w:r w:rsidRPr="00CF0A95">
        <w:rPr>
          <w:sz w:val="22"/>
          <w:szCs w:val="22"/>
          <w:u w:val="single"/>
          <w:lang w:val="en-ZA"/>
        </w:rPr>
        <w:t>PROCESS FOLLOWED</w:t>
      </w:r>
    </w:p>
    <w:p w:rsidR="0038343C" w:rsidRPr="00CF0A95" w:rsidRDefault="0038343C" w:rsidP="00CE4652">
      <w:pPr>
        <w:pStyle w:val="BodyTextIndent"/>
        <w:spacing w:line="360" w:lineRule="auto"/>
        <w:ind w:left="720"/>
        <w:rPr>
          <w:rFonts w:ascii="Arial" w:hAnsi="Arial" w:cs="Arial"/>
          <w:sz w:val="22"/>
          <w:szCs w:val="22"/>
          <w:u w:val="single"/>
        </w:rPr>
      </w:pPr>
    </w:p>
    <w:p w:rsidR="006E7FE4" w:rsidRPr="00CF0A95" w:rsidRDefault="006E7FE4" w:rsidP="00CE4652">
      <w:pPr>
        <w:pStyle w:val="BodyTextIndent"/>
        <w:spacing w:line="360" w:lineRule="auto"/>
        <w:rPr>
          <w:rFonts w:ascii="Arial" w:hAnsi="Arial" w:cs="Arial"/>
          <w:sz w:val="22"/>
          <w:szCs w:val="22"/>
        </w:rPr>
      </w:pPr>
      <w:r w:rsidRPr="00CF0A95">
        <w:rPr>
          <w:rFonts w:ascii="Arial" w:hAnsi="Arial" w:cs="Arial"/>
          <w:sz w:val="22"/>
          <w:szCs w:val="22"/>
        </w:rPr>
        <w:t>The Speaker of the Gauteng Provincial Legislature formally referred the Bill to the</w:t>
      </w:r>
      <w:r w:rsidR="00A1189F" w:rsidRPr="00CF0A95">
        <w:rPr>
          <w:rFonts w:ascii="Arial" w:hAnsi="Arial" w:cs="Arial"/>
          <w:sz w:val="22"/>
          <w:szCs w:val="22"/>
        </w:rPr>
        <w:t xml:space="preserve"> Finance Portfolio Committee (“Portfolio C</w:t>
      </w:r>
      <w:r w:rsidRPr="00CF0A95">
        <w:rPr>
          <w:rFonts w:ascii="Arial" w:hAnsi="Arial" w:cs="Arial"/>
          <w:sz w:val="22"/>
          <w:szCs w:val="22"/>
        </w:rPr>
        <w:t>ommittee”) for consideration in terms of Gauteng Provincial Legislature Standing Rule 24</w:t>
      </w:r>
      <w:r w:rsidR="00295C0C" w:rsidRPr="00CF0A95">
        <w:rPr>
          <w:rFonts w:ascii="Arial" w:hAnsi="Arial" w:cs="Arial"/>
          <w:sz w:val="22"/>
          <w:szCs w:val="22"/>
        </w:rPr>
        <w:t>5(1) read with 247</w:t>
      </w:r>
      <w:r w:rsidRPr="00CF0A95">
        <w:rPr>
          <w:rFonts w:ascii="Arial" w:hAnsi="Arial" w:cs="Arial"/>
          <w:sz w:val="22"/>
          <w:szCs w:val="22"/>
        </w:rPr>
        <w:t xml:space="preserve"> (1) and 2</w:t>
      </w:r>
      <w:r w:rsidR="00295C0C" w:rsidRPr="00CF0A95">
        <w:rPr>
          <w:rFonts w:ascii="Arial" w:hAnsi="Arial" w:cs="Arial"/>
          <w:sz w:val="22"/>
          <w:szCs w:val="22"/>
        </w:rPr>
        <w:t>48</w:t>
      </w:r>
      <w:r w:rsidRPr="00CF0A95">
        <w:rPr>
          <w:rFonts w:ascii="Arial" w:hAnsi="Arial" w:cs="Arial"/>
          <w:sz w:val="22"/>
          <w:szCs w:val="22"/>
        </w:rPr>
        <w:t>.</w:t>
      </w:r>
    </w:p>
    <w:p w:rsidR="006E7FE4" w:rsidRPr="00CF0A95" w:rsidRDefault="006E7FE4" w:rsidP="00CE4652">
      <w:pPr>
        <w:pStyle w:val="BodyTextIndent"/>
        <w:spacing w:line="360" w:lineRule="auto"/>
        <w:ind w:left="0" w:firstLine="360"/>
        <w:rPr>
          <w:rFonts w:ascii="Arial" w:hAnsi="Arial" w:cs="Arial"/>
          <w:sz w:val="22"/>
          <w:szCs w:val="22"/>
        </w:rPr>
      </w:pPr>
    </w:p>
    <w:p w:rsidR="000020DB" w:rsidRPr="00CF0A95" w:rsidRDefault="006E7FE4" w:rsidP="00CE4652">
      <w:pPr>
        <w:spacing w:line="360" w:lineRule="auto"/>
        <w:ind w:left="431"/>
        <w:jc w:val="both"/>
        <w:rPr>
          <w:rFonts w:ascii="Arial" w:hAnsi="Arial" w:cs="Arial"/>
          <w:sz w:val="22"/>
          <w:szCs w:val="22"/>
        </w:rPr>
      </w:pPr>
      <w:r w:rsidRPr="00CF0A95">
        <w:rPr>
          <w:rFonts w:ascii="Arial" w:hAnsi="Arial" w:cs="Arial"/>
          <w:sz w:val="22"/>
          <w:szCs w:val="22"/>
        </w:rPr>
        <w:lastRenderedPageBreak/>
        <w:t xml:space="preserve">On </w:t>
      </w:r>
      <w:r w:rsidR="00265F54" w:rsidRPr="00CF0A95">
        <w:rPr>
          <w:rFonts w:ascii="Arial" w:hAnsi="Arial" w:cs="Arial"/>
          <w:sz w:val="22"/>
          <w:szCs w:val="22"/>
        </w:rPr>
        <w:t>Friday</w:t>
      </w:r>
      <w:r w:rsidRPr="00CF0A95">
        <w:rPr>
          <w:rFonts w:ascii="Arial" w:hAnsi="Arial" w:cs="Arial"/>
          <w:sz w:val="22"/>
          <w:szCs w:val="22"/>
        </w:rPr>
        <w:t xml:space="preserve">, </w:t>
      </w:r>
      <w:r w:rsidR="00265F54" w:rsidRPr="00CF0A95">
        <w:rPr>
          <w:rFonts w:ascii="Arial" w:hAnsi="Arial" w:cs="Arial"/>
          <w:sz w:val="22"/>
          <w:szCs w:val="22"/>
        </w:rPr>
        <w:t xml:space="preserve">15 March </w:t>
      </w:r>
      <w:r w:rsidRPr="00CF0A95">
        <w:rPr>
          <w:rFonts w:ascii="Arial" w:hAnsi="Arial" w:cs="Arial"/>
          <w:sz w:val="22"/>
          <w:szCs w:val="22"/>
        </w:rPr>
        <w:t>201</w:t>
      </w:r>
      <w:r w:rsidR="00265F54" w:rsidRPr="00CF0A95">
        <w:rPr>
          <w:rFonts w:ascii="Arial" w:hAnsi="Arial" w:cs="Arial"/>
          <w:sz w:val="22"/>
          <w:szCs w:val="22"/>
        </w:rPr>
        <w:t>9</w:t>
      </w:r>
      <w:r w:rsidRPr="00CF0A95">
        <w:rPr>
          <w:rFonts w:ascii="Arial" w:hAnsi="Arial" w:cs="Arial"/>
          <w:sz w:val="22"/>
          <w:szCs w:val="22"/>
        </w:rPr>
        <w:t xml:space="preserve">, the Portfolio Committee received a </w:t>
      </w:r>
      <w:r w:rsidR="00265F54" w:rsidRPr="00CF0A95">
        <w:rPr>
          <w:rFonts w:ascii="Arial" w:hAnsi="Arial" w:cs="Arial"/>
          <w:sz w:val="22"/>
          <w:szCs w:val="22"/>
        </w:rPr>
        <w:t>presentation</w:t>
      </w:r>
      <w:r w:rsidR="00A900AA" w:rsidRPr="00CF0A95">
        <w:rPr>
          <w:rFonts w:ascii="Arial" w:hAnsi="Arial" w:cs="Arial"/>
          <w:sz w:val="22"/>
          <w:szCs w:val="22"/>
        </w:rPr>
        <w:t xml:space="preserve"> on</w:t>
      </w:r>
      <w:r w:rsidRPr="00CF0A95">
        <w:rPr>
          <w:rFonts w:ascii="Arial" w:hAnsi="Arial" w:cs="Arial"/>
          <w:sz w:val="22"/>
          <w:szCs w:val="22"/>
        </w:rPr>
        <w:t xml:space="preserve"> the Bill by the officials from National Treasury. </w:t>
      </w:r>
    </w:p>
    <w:p w:rsidR="000020DB" w:rsidRPr="00CF0A95" w:rsidRDefault="000020DB" w:rsidP="00CE4652">
      <w:pPr>
        <w:spacing w:line="360" w:lineRule="auto"/>
        <w:ind w:left="431"/>
        <w:jc w:val="both"/>
        <w:rPr>
          <w:rFonts w:ascii="Arial" w:hAnsi="Arial" w:cs="Arial"/>
          <w:sz w:val="22"/>
          <w:szCs w:val="22"/>
        </w:rPr>
      </w:pPr>
    </w:p>
    <w:p w:rsidR="00115470" w:rsidRPr="00CF0A95" w:rsidRDefault="00295C0C" w:rsidP="00265F54">
      <w:pPr>
        <w:spacing w:line="360" w:lineRule="auto"/>
        <w:ind w:left="431"/>
        <w:jc w:val="both"/>
        <w:rPr>
          <w:rFonts w:ascii="Arial" w:hAnsi="Arial" w:cs="Arial"/>
          <w:bCs/>
          <w:sz w:val="22"/>
          <w:szCs w:val="22"/>
        </w:rPr>
      </w:pPr>
      <w:r w:rsidRPr="00CF0A95">
        <w:rPr>
          <w:rFonts w:ascii="Arial" w:hAnsi="Arial" w:cs="Arial"/>
          <w:bCs/>
          <w:sz w:val="22"/>
          <w:szCs w:val="22"/>
        </w:rPr>
        <w:t>As required by the Standing Rules of the Gauteng Provincial Legislature</w:t>
      </w:r>
      <w:r w:rsidRPr="00CF0A95">
        <w:rPr>
          <w:rFonts w:ascii="Arial" w:hAnsi="Arial" w:cs="Arial"/>
          <w:bCs/>
          <w:i/>
          <w:sz w:val="22"/>
          <w:szCs w:val="22"/>
        </w:rPr>
        <w:t xml:space="preserve">, </w:t>
      </w:r>
      <w:r w:rsidRPr="00CF0A95">
        <w:rPr>
          <w:rFonts w:ascii="Arial" w:hAnsi="Arial" w:cs="Arial"/>
          <w:bCs/>
          <w:sz w:val="22"/>
          <w:szCs w:val="22"/>
        </w:rPr>
        <w:t xml:space="preserve">the Portfolio Committee invited stakeholders to their meetings mainly to observe Committee proceedings and later make verbal or written submissions. </w:t>
      </w:r>
      <w:r w:rsidR="00265F54" w:rsidRPr="00CF0A95">
        <w:rPr>
          <w:rFonts w:ascii="Arial" w:hAnsi="Arial" w:cs="Arial"/>
          <w:bCs/>
          <w:sz w:val="22"/>
          <w:szCs w:val="22"/>
        </w:rPr>
        <w:t>O</w:t>
      </w:r>
      <w:r w:rsidRPr="00CF0A95">
        <w:rPr>
          <w:rFonts w:ascii="Arial" w:hAnsi="Arial" w:cs="Arial"/>
          <w:sz w:val="22"/>
          <w:szCs w:val="22"/>
        </w:rPr>
        <w:t xml:space="preserve">n Saturday, </w:t>
      </w:r>
      <w:r w:rsidR="00265F54" w:rsidRPr="00CF0A95">
        <w:rPr>
          <w:rFonts w:ascii="Arial" w:hAnsi="Arial" w:cs="Arial"/>
          <w:sz w:val="22"/>
          <w:szCs w:val="22"/>
        </w:rPr>
        <w:t>16 march 2019</w:t>
      </w:r>
      <w:r w:rsidRPr="00CF0A95">
        <w:rPr>
          <w:rFonts w:ascii="Arial" w:hAnsi="Arial" w:cs="Arial"/>
          <w:bCs/>
          <w:sz w:val="22"/>
          <w:szCs w:val="22"/>
        </w:rPr>
        <w:t xml:space="preserve">, the Portfolio Committee conducted </w:t>
      </w:r>
      <w:r w:rsidR="000020DB" w:rsidRPr="00CF0A95">
        <w:rPr>
          <w:rFonts w:ascii="Arial" w:hAnsi="Arial" w:cs="Arial"/>
          <w:bCs/>
          <w:sz w:val="22"/>
          <w:szCs w:val="22"/>
        </w:rPr>
        <w:t xml:space="preserve">a </w:t>
      </w:r>
      <w:r w:rsidRPr="00CF0A95">
        <w:rPr>
          <w:rFonts w:ascii="Arial" w:hAnsi="Arial" w:cs="Arial"/>
          <w:bCs/>
          <w:sz w:val="22"/>
          <w:szCs w:val="22"/>
        </w:rPr>
        <w:t>public hearing to receive submissions from stakeholders.</w:t>
      </w:r>
      <w:r w:rsidR="00115470" w:rsidRPr="00CF0A95">
        <w:rPr>
          <w:rFonts w:ascii="Arial" w:hAnsi="Arial" w:cs="Arial"/>
          <w:bCs/>
          <w:sz w:val="22"/>
          <w:szCs w:val="22"/>
        </w:rPr>
        <w:t xml:space="preserve"> </w:t>
      </w:r>
    </w:p>
    <w:p w:rsidR="00265F54" w:rsidRPr="00CF0A95" w:rsidRDefault="00265F54" w:rsidP="00265F54">
      <w:pPr>
        <w:spacing w:line="360" w:lineRule="auto"/>
        <w:ind w:left="431"/>
        <w:jc w:val="both"/>
        <w:rPr>
          <w:rFonts w:ascii="Arial" w:hAnsi="Arial" w:cs="Arial"/>
          <w:sz w:val="22"/>
          <w:szCs w:val="22"/>
        </w:rPr>
      </w:pPr>
    </w:p>
    <w:p w:rsidR="006E7FE4" w:rsidRPr="00CF0A95" w:rsidRDefault="006E7FE4" w:rsidP="00CE4652">
      <w:pPr>
        <w:spacing w:line="360" w:lineRule="auto"/>
        <w:ind w:left="360"/>
        <w:jc w:val="both"/>
        <w:rPr>
          <w:rFonts w:ascii="Arial" w:hAnsi="Arial" w:cs="Arial"/>
          <w:sz w:val="22"/>
          <w:szCs w:val="22"/>
        </w:rPr>
      </w:pPr>
      <w:r w:rsidRPr="00CF0A95">
        <w:rPr>
          <w:rFonts w:ascii="Arial" w:hAnsi="Arial" w:cs="Arial"/>
          <w:sz w:val="22"/>
          <w:szCs w:val="22"/>
        </w:rPr>
        <w:t xml:space="preserve">On </w:t>
      </w:r>
      <w:r w:rsidR="00864A22" w:rsidRPr="00CF0A95">
        <w:rPr>
          <w:rFonts w:ascii="Arial" w:hAnsi="Arial" w:cs="Arial"/>
          <w:sz w:val="22"/>
          <w:szCs w:val="22"/>
        </w:rPr>
        <w:t>T</w:t>
      </w:r>
      <w:r w:rsidR="00265F54" w:rsidRPr="00CF0A95">
        <w:rPr>
          <w:rFonts w:ascii="Arial" w:hAnsi="Arial" w:cs="Arial"/>
          <w:sz w:val="22"/>
          <w:szCs w:val="22"/>
        </w:rPr>
        <w:t>uesd</w:t>
      </w:r>
      <w:r w:rsidR="00115470" w:rsidRPr="00CF0A95">
        <w:rPr>
          <w:rFonts w:ascii="Arial" w:hAnsi="Arial" w:cs="Arial"/>
          <w:sz w:val="22"/>
          <w:szCs w:val="22"/>
        </w:rPr>
        <w:t>ay</w:t>
      </w:r>
      <w:r w:rsidRPr="00CF0A95">
        <w:rPr>
          <w:rFonts w:ascii="Arial" w:hAnsi="Arial" w:cs="Arial"/>
          <w:sz w:val="22"/>
          <w:szCs w:val="22"/>
        </w:rPr>
        <w:t xml:space="preserve">, </w:t>
      </w:r>
      <w:r w:rsidR="00265F54" w:rsidRPr="00CF0A95">
        <w:rPr>
          <w:rFonts w:ascii="Arial" w:hAnsi="Arial" w:cs="Arial"/>
          <w:sz w:val="22"/>
          <w:szCs w:val="22"/>
        </w:rPr>
        <w:t xml:space="preserve">19 March </w:t>
      </w:r>
      <w:r w:rsidRPr="00CF0A95">
        <w:rPr>
          <w:rFonts w:ascii="Arial" w:hAnsi="Arial" w:cs="Arial"/>
          <w:sz w:val="22"/>
          <w:szCs w:val="22"/>
        </w:rPr>
        <w:t>201</w:t>
      </w:r>
      <w:r w:rsidR="00265F54" w:rsidRPr="00CF0A95">
        <w:rPr>
          <w:rFonts w:ascii="Arial" w:hAnsi="Arial" w:cs="Arial"/>
          <w:sz w:val="22"/>
          <w:szCs w:val="22"/>
        </w:rPr>
        <w:t>9</w:t>
      </w:r>
      <w:r w:rsidRPr="00CF0A95">
        <w:rPr>
          <w:rFonts w:ascii="Arial" w:hAnsi="Arial" w:cs="Arial"/>
          <w:sz w:val="22"/>
          <w:szCs w:val="22"/>
        </w:rPr>
        <w:t xml:space="preserve">, the Committee deliberated on the Bill. After deliberations, the Committee adopted its report on the Bill to be tabled at the NCOP plenary. </w:t>
      </w:r>
    </w:p>
    <w:p w:rsidR="002F0A9A" w:rsidRPr="00CF0A95" w:rsidRDefault="002F0A9A" w:rsidP="00CE4652">
      <w:pPr>
        <w:spacing w:line="360" w:lineRule="auto"/>
        <w:ind w:left="360"/>
        <w:jc w:val="both"/>
        <w:rPr>
          <w:rFonts w:ascii="Arial" w:hAnsi="Arial" w:cs="Arial"/>
          <w:sz w:val="22"/>
          <w:szCs w:val="22"/>
        </w:rPr>
      </w:pPr>
    </w:p>
    <w:p w:rsidR="00B24538" w:rsidRPr="00CF0A95" w:rsidRDefault="00B24538" w:rsidP="00143D29">
      <w:pPr>
        <w:pStyle w:val="BodyTextIndent2"/>
        <w:numPr>
          <w:ilvl w:val="1"/>
          <w:numId w:val="31"/>
        </w:numPr>
        <w:spacing w:line="360" w:lineRule="auto"/>
        <w:ind w:hanging="796"/>
        <w:rPr>
          <w:b/>
          <w:sz w:val="22"/>
          <w:szCs w:val="22"/>
          <w:u w:val="single"/>
        </w:rPr>
      </w:pPr>
      <w:bookmarkStart w:id="0" w:name="OLE_LINK3"/>
      <w:bookmarkStart w:id="1" w:name="OLE_LINK4"/>
      <w:r w:rsidRPr="00CF0A95">
        <w:rPr>
          <w:b/>
          <w:sz w:val="22"/>
          <w:szCs w:val="22"/>
          <w:u w:val="single"/>
        </w:rPr>
        <w:t>PRINCIPLE AND DETAIL OF THE BILL</w:t>
      </w:r>
      <w:r w:rsidR="00CB6008" w:rsidRPr="00CF0A95">
        <w:rPr>
          <w:b/>
          <w:sz w:val="22"/>
          <w:szCs w:val="22"/>
          <w:u w:val="single"/>
        </w:rPr>
        <w:t xml:space="preserve"> AND THE GOVERNMENT’S POLICY PRIORITIES FOR THE 201</w:t>
      </w:r>
      <w:r w:rsidR="00DD6E7E">
        <w:rPr>
          <w:b/>
          <w:sz w:val="22"/>
          <w:szCs w:val="22"/>
          <w:u w:val="single"/>
        </w:rPr>
        <w:t>9/20</w:t>
      </w:r>
      <w:r w:rsidR="00CB6008" w:rsidRPr="00CF0A95">
        <w:rPr>
          <w:b/>
          <w:sz w:val="22"/>
          <w:szCs w:val="22"/>
          <w:u w:val="single"/>
        </w:rPr>
        <w:t xml:space="preserve"> MTEF</w:t>
      </w:r>
    </w:p>
    <w:p w:rsidR="00B24538" w:rsidRPr="00CF0A95" w:rsidRDefault="00B24538" w:rsidP="00CE4652">
      <w:pPr>
        <w:pStyle w:val="BodyTextIndent2"/>
        <w:spacing w:line="360" w:lineRule="auto"/>
        <w:ind w:left="360" w:firstLine="360"/>
        <w:rPr>
          <w:sz w:val="22"/>
          <w:szCs w:val="22"/>
          <w:u w:val="single"/>
        </w:rPr>
      </w:pPr>
    </w:p>
    <w:p w:rsidR="006725BC" w:rsidRPr="00CF0A95" w:rsidRDefault="006725BC" w:rsidP="00CE4652">
      <w:pPr>
        <w:autoSpaceDE w:val="0"/>
        <w:autoSpaceDN w:val="0"/>
        <w:adjustRightInd w:val="0"/>
        <w:spacing w:line="360" w:lineRule="auto"/>
        <w:ind w:left="360"/>
        <w:jc w:val="both"/>
        <w:rPr>
          <w:rFonts w:ascii="Arial" w:hAnsi="Arial" w:cs="Arial"/>
          <w:bCs/>
          <w:sz w:val="22"/>
          <w:szCs w:val="22"/>
          <w:lang w:val="en-US"/>
        </w:rPr>
      </w:pPr>
      <w:r w:rsidRPr="00CF0A95">
        <w:rPr>
          <w:rFonts w:ascii="Arial" w:hAnsi="Arial" w:cs="Arial"/>
          <w:bCs/>
          <w:sz w:val="22"/>
          <w:szCs w:val="22"/>
          <w:lang w:val="en-US"/>
        </w:rPr>
        <w:t>To provide for the equitable division of revenue raised nationally among the national, provincial and local spheres of government for the 201</w:t>
      </w:r>
      <w:r w:rsidR="00265F54" w:rsidRPr="00CF0A95">
        <w:rPr>
          <w:rFonts w:ascii="Arial" w:hAnsi="Arial" w:cs="Arial"/>
          <w:bCs/>
          <w:sz w:val="22"/>
          <w:szCs w:val="22"/>
          <w:lang w:val="en-US"/>
        </w:rPr>
        <w:t>9</w:t>
      </w:r>
      <w:r w:rsidRPr="00CF0A95">
        <w:rPr>
          <w:rFonts w:ascii="Arial" w:hAnsi="Arial" w:cs="Arial"/>
          <w:bCs/>
          <w:sz w:val="22"/>
          <w:szCs w:val="22"/>
          <w:lang w:val="en-US"/>
        </w:rPr>
        <w:t>/</w:t>
      </w:r>
      <w:r w:rsidR="00265F54" w:rsidRPr="00CF0A95">
        <w:rPr>
          <w:rFonts w:ascii="Arial" w:hAnsi="Arial" w:cs="Arial"/>
          <w:bCs/>
          <w:sz w:val="22"/>
          <w:szCs w:val="22"/>
          <w:lang w:val="en-US"/>
        </w:rPr>
        <w:t>20</w:t>
      </w:r>
      <w:r w:rsidRPr="00CF0A95">
        <w:rPr>
          <w:rFonts w:ascii="Arial" w:hAnsi="Arial" w:cs="Arial"/>
          <w:bCs/>
          <w:sz w:val="22"/>
          <w:szCs w:val="22"/>
          <w:lang w:val="en-US"/>
        </w:rPr>
        <w:t xml:space="preserve"> financial year, the determination of each province’s equitable share and allocations to provinces, local government and municipalities from national government’s equitable share and the responsibilities of all three spheres pursuant to such division and allocations; and to provide for matters connected therewith.</w:t>
      </w:r>
    </w:p>
    <w:p w:rsidR="00765C10" w:rsidRPr="00CF0A95" w:rsidRDefault="00B66078" w:rsidP="00CE4652">
      <w:pPr>
        <w:pStyle w:val="Heading1"/>
        <w:spacing w:line="360" w:lineRule="auto"/>
        <w:ind w:left="360"/>
        <w:jc w:val="both"/>
        <w:rPr>
          <w:sz w:val="22"/>
          <w:szCs w:val="22"/>
        </w:rPr>
      </w:pPr>
      <w:r w:rsidRPr="00CF0A95">
        <w:rPr>
          <w:b w:val="0"/>
          <w:sz w:val="22"/>
          <w:szCs w:val="22"/>
        </w:rPr>
        <w:t>The allocations to the three sp</w:t>
      </w:r>
      <w:r w:rsidR="00295F07" w:rsidRPr="00CF0A95">
        <w:rPr>
          <w:b w:val="0"/>
          <w:sz w:val="22"/>
          <w:szCs w:val="22"/>
        </w:rPr>
        <w:t>heres of government for the 201</w:t>
      </w:r>
      <w:r w:rsidR="00265F54" w:rsidRPr="00CF0A95">
        <w:rPr>
          <w:b w:val="0"/>
          <w:sz w:val="22"/>
          <w:szCs w:val="22"/>
        </w:rPr>
        <w:t>9</w:t>
      </w:r>
      <w:r w:rsidRPr="00CF0A95">
        <w:rPr>
          <w:b w:val="0"/>
          <w:sz w:val="22"/>
          <w:szCs w:val="22"/>
        </w:rPr>
        <w:t>/</w:t>
      </w:r>
      <w:r w:rsidR="00265F54" w:rsidRPr="00CF0A95">
        <w:rPr>
          <w:b w:val="0"/>
          <w:sz w:val="22"/>
          <w:szCs w:val="22"/>
        </w:rPr>
        <w:t>20</w:t>
      </w:r>
      <w:r w:rsidRPr="00CF0A95">
        <w:rPr>
          <w:b w:val="0"/>
          <w:sz w:val="22"/>
          <w:szCs w:val="22"/>
        </w:rPr>
        <w:t xml:space="preserve"> financial year and M</w:t>
      </w:r>
      <w:r w:rsidR="00295F07" w:rsidRPr="00CF0A95">
        <w:rPr>
          <w:b w:val="0"/>
          <w:sz w:val="22"/>
          <w:szCs w:val="22"/>
        </w:rPr>
        <w:t>TEF</w:t>
      </w:r>
      <w:r w:rsidRPr="00CF0A95">
        <w:rPr>
          <w:b w:val="0"/>
          <w:sz w:val="22"/>
          <w:szCs w:val="22"/>
        </w:rPr>
        <w:t xml:space="preserve"> are informed by </w:t>
      </w:r>
      <w:r w:rsidR="00C14DA3" w:rsidRPr="00CF0A95">
        <w:rPr>
          <w:b w:val="0"/>
          <w:sz w:val="22"/>
          <w:szCs w:val="22"/>
        </w:rPr>
        <w:t>national interest encapsulated in</w:t>
      </w:r>
      <w:r w:rsidRPr="00CF0A95">
        <w:rPr>
          <w:b w:val="0"/>
          <w:sz w:val="22"/>
          <w:szCs w:val="22"/>
        </w:rPr>
        <w:t xml:space="preserve"> </w:t>
      </w:r>
      <w:r w:rsidR="000C5ED2" w:rsidRPr="00CF0A95">
        <w:rPr>
          <w:b w:val="0"/>
          <w:sz w:val="22"/>
          <w:szCs w:val="22"/>
        </w:rPr>
        <w:t>government priorities</w:t>
      </w:r>
      <w:r w:rsidR="00C14DA3" w:rsidRPr="00CF0A95">
        <w:rPr>
          <w:b w:val="0"/>
          <w:sz w:val="22"/>
          <w:szCs w:val="22"/>
        </w:rPr>
        <w:t xml:space="preserve"> that benefit the nation as a whole. These priorities are</w:t>
      </w:r>
      <w:r w:rsidR="000C5ED2" w:rsidRPr="00CF0A95">
        <w:rPr>
          <w:b w:val="0"/>
          <w:sz w:val="22"/>
          <w:szCs w:val="22"/>
        </w:rPr>
        <w:t xml:space="preserve"> </w:t>
      </w:r>
      <w:r w:rsidR="00295F07" w:rsidRPr="00CF0A95">
        <w:rPr>
          <w:b w:val="0"/>
          <w:sz w:val="22"/>
          <w:szCs w:val="22"/>
        </w:rPr>
        <w:t xml:space="preserve">outlined in the </w:t>
      </w:r>
      <w:r w:rsidR="00B029B9" w:rsidRPr="00CF0A95">
        <w:rPr>
          <w:b w:val="0"/>
          <w:sz w:val="22"/>
          <w:szCs w:val="22"/>
        </w:rPr>
        <w:t xml:space="preserve">National Development Plan, which sets out the countries long-term development trajectory. Complemented by the strategic integrated projects overseen by the Presidential Infrastructure Coordinating Council and the 14 priority outcomes adopted by Cabinet in 2014-2019 </w:t>
      </w:r>
      <w:r w:rsidR="000C5ED2" w:rsidRPr="00CF0A95">
        <w:rPr>
          <w:b w:val="0"/>
          <w:sz w:val="22"/>
          <w:szCs w:val="22"/>
        </w:rPr>
        <w:t>M</w:t>
      </w:r>
      <w:r w:rsidR="00295F07" w:rsidRPr="00CF0A95">
        <w:rPr>
          <w:b w:val="0"/>
          <w:sz w:val="22"/>
          <w:szCs w:val="22"/>
        </w:rPr>
        <w:t xml:space="preserve">edium </w:t>
      </w:r>
      <w:r w:rsidR="000C5ED2" w:rsidRPr="00CF0A95">
        <w:rPr>
          <w:b w:val="0"/>
          <w:sz w:val="22"/>
          <w:szCs w:val="22"/>
        </w:rPr>
        <w:t>Term Strategic Framework (MTSF)</w:t>
      </w:r>
      <w:r w:rsidR="00B029B9" w:rsidRPr="00CF0A95">
        <w:rPr>
          <w:b w:val="0"/>
          <w:sz w:val="22"/>
          <w:szCs w:val="22"/>
        </w:rPr>
        <w:t>.</w:t>
      </w:r>
    </w:p>
    <w:p w:rsidR="00765C10" w:rsidRPr="00CF0A95" w:rsidRDefault="00765C10" w:rsidP="00CE4652">
      <w:pPr>
        <w:pStyle w:val="ListParagraph"/>
        <w:autoSpaceDE w:val="0"/>
        <w:autoSpaceDN w:val="0"/>
        <w:adjustRightInd w:val="0"/>
        <w:spacing w:line="360" w:lineRule="auto"/>
        <w:ind w:left="1080"/>
        <w:jc w:val="both"/>
        <w:rPr>
          <w:rFonts w:ascii="Arial" w:hAnsi="Arial" w:cs="Arial"/>
          <w:sz w:val="22"/>
          <w:szCs w:val="22"/>
        </w:rPr>
      </w:pPr>
    </w:p>
    <w:p w:rsidR="00B66078" w:rsidRPr="00CF0A95" w:rsidRDefault="00B66078" w:rsidP="00CE4652">
      <w:pPr>
        <w:autoSpaceDE w:val="0"/>
        <w:autoSpaceDN w:val="0"/>
        <w:adjustRightInd w:val="0"/>
        <w:spacing w:line="360" w:lineRule="auto"/>
        <w:ind w:left="360"/>
        <w:jc w:val="both"/>
        <w:rPr>
          <w:rFonts w:ascii="Arial" w:hAnsi="Arial" w:cs="Arial"/>
          <w:sz w:val="22"/>
          <w:szCs w:val="22"/>
        </w:rPr>
      </w:pPr>
      <w:r w:rsidRPr="00CF0A95">
        <w:rPr>
          <w:rFonts w:ascii="Arial" w:hAnsi="Arial" w:cs="Arial"/>
          <w:sz w:val="22"/>
          <w:szCs w:val="22"/>
          <w:lang w:val="en-US"/>
        </w:rPr>
        <w:t>In addition, the Division of Revenue for the 201</w:t>
      </w:r>
      <w:r w:rsidR="00265F54" w:rsidRPr="00CF0A95">
        <w:rPr>
          <w:rFonts w:ascii="Arial" w:hAnsi="Arial" w:cs="Arial"/>
          <w:sz w:val="22"/>
          <w:szCs w:val="22"/>
          <w:lang w:val="en-US"/>
        </w:rPr>
        <w:t>9</w:t>
      </w:r>
      <w:r w:rsidRPr="00CF0A95">
        <w:rPr>
          <w:rFonts w:ascii="Arial" w:hAnsi="Arial" w:cs="Arial"/>
          <w:sz w:val="22"/>
          <w:szCs w:val="22"/>
          <w:lang w:val="en-US"/>
        </w:rPr>
        <w:t>/</w:t>
      </w:r>
      <w:r w:rsidR="00265F54" w:rsidRPr="00CF0A95">
        <w:rPr>
          <w:rFonts w:ascii="Arial" w:hAnsi="Arial" w:cs="Arial"/>
          <w:sz w:val="22"/>
          <w:szCs w:val="22"/>
          <w:lang w:val="en-US"/>
        </w:rPr>
        <w:t>20</w:t>
      </w:r>
      <w:r w:rsidRPr="00CF0A95">
        <w:rPr>
          <w:rFonts w:ascii="Arial" w:hAnsi="Arial" w:cs="Arial"/>
          <w:sz w:val="22"/>
          <w:szCs w:val="22"/>
          <w:lang w:val="en-US"/>
        </w:rPr>
        <w:t xml:space="preserve"> financial year is mainly in line with the recommendations made by the Financial and Fiscal Commission (“FFC”), which is mandated by Section 220 of the Constitution  </w:t>
      </w:r>
      <w:r w:rsidRPr="00CF0A95">
        <w:rPr>
          <w:rFonts w:ascii="Arial" w:hAnsi="Arial" w:cs="Arial"/>
          <w:sz w:val="22"/>
          <w:szCs w:val="22"/>
        </w:rPr>
        <w:t xml:space="preserve"> to provide information to all organs of state in order to make informed decisions about complex fiscal matters. The FFC consults on these matters with all the three spheres of government.</w:t>
      </w:r>
    </w:p>
    <w:p w:rsidR="00B66078" w:rsidRPr="00CF0A95" w:rsidRDefault="00B66078" w:rsidP="00CE4652">
      <w:pPr>
        <w:autoSpaceDE w:val="0"/>
        <w:autoSpaceDN w:val="0"/>
        <w:adjustRightInd w:val="0"/>
        <w:spacing w:line="360" w:lineRule="auto"/>
        <w:ind w:left="360"/>
        <w:jc w:val="both"/>
        <w:rPr>
          <w:rFonts w:ascii="Arial" w:hAnsi="Arial" w:cs="Arial"/>
          <w:sz w:val="22"/>
          <w:szCs w:val="22"/>
        </w:rPr>
      </w:pPr>
    </w:p>
    <w:p w:rsidR="00B24538" w:rsidRPr="00CF0A95" w:rsidRDefault="003A13D6" w:rsidP="00143D29">
      <w:pPr>
        <w:pStyle w:val="BodyTextIndent2"/>
        <w:numPr>
          <w:ilvl w:val="1"/>
          <w:numId w:val="31"/>
        </w:numPr>
        <w:spacing w:line="360" w:lineRule="auto"/>
        <w:ind w:hanging="796"/>
        <w:rPr>
          <w:b/>
          <w:sz w:val="22"/>
          <w:szCs w:val="22"/>
          <w:u w:val="single"/>
        </w:rPr>
      </w:pPr>
      <w:r w:rsidRPr="00CF0A95">
        <w:rPr>
          <w:b/>
          <w:sz w:val="22"/>
          <w:szCs w:val="22"/>
          <w:u w:val="single"/>
        </w:rPr>
        <w:t>C</w:t>
      </w:r>
      <w:r w:rsidR="00B24538" w:rsidRPr="00CF0A95">
        <w:rPr>
          <w:b/>
          <w:sz w:val="22"/>
          <w:szCs w:val="22"/>
          <w:u w:val="single"/>
        </w:rPr>
        <w:t>O</w:t>
      </w:r>
      <w:r w:rsidRPr="00CF0A95">
        <w:rPr>
          <w:b/>
          <w:sz w:val="22"/>
          <w:szCs w:val="22"/>
          <w:u w:val="single"/>
        </w:rPr>
        <w:t>NSTITUTIONAL AND STATUTORY FRAMEWORK</w:t>
      </w:r>
    </w:p>
    <w:p w:rsidR="00B24538" w:rsidRPr="00CF0A95" w:rsidRDefault="00B24538" w:rsidP="00CE4652">
      <w:pPr>
        <w:pStyle w:val="BodyTextIndent2"/>
        <w:spacing w:line="360" w:lineRule="auto"/>
        <w:ind w:left="720"/>
        <w:rPr>
          <w:b/>
          <w:sz w:val="22"/>
          <w:szCs w:val="22"/>
        </w:rPr>
      </w:pPr>
    </w:p>
    <w:p w:rsidR="00B66078" w:rsidRPr="00CF0A95" w:rsidRDefault="00B66078" w:rsidP="00CE4652">
      <w:pPr>
        <w:spacing w:line="360" w:lineRule="auto"/>
        <w:ind w:right="-46" w:firstLine="360"/>
        <w:jc w:val="both"/>
        <w:rPr>
          <w:rFonts w:ascii="Arial" w:hAnsi="Arial" w:cs="Arial"/>
          <w:sz w:val="22"/>
          <w:szCs w:val="22"/>
        </w:rPr>
      </w:pPr>
      <w:r w:rsidRPr="00CF0A95">
        <w:rPr>
          <w:rFonts w:ascii="Arial" w:hAnsi="Arial" w:cs="Arial"/>
          <w:sz w:val="22"/>
          <w:szCs w:val="22"/>
        </w:rPr>
        <w:t>Section 214 of the Constitution requires that an Act of Parliament must provide for:</w:t>
      </w:r>
    </w:p>
    <w:p w:rsidR="00B66078" w:rsidRPr="00CF0A95" w:rsidRDefault="00B66078" w:rsidP="00CE4652">
      <w:pPr>
        <w:spacing w:line="360" w:lineRule="auto"/>
        <w:ind w:left="360" w:right="-46"/>
        <w:jc w:val="both"/>
        <w:rPr>
          <w:rFonts w:ascii="Arial" w:hAnsi="Arial" w:cs="Arial"/>
          <w:sz w:val="22"/>
          <w:szCs w:val="22"/>
        </w:rPr>
      </w:pPr>
    </w:p>
    <w:p w:rsidR="00B66078" w:rsidRPr="00CF0A95" w:rsidRDefault="00B66078" w:rsidP="00CE4652">
      <w:pPr>
        <w:pStyle w:val="ListParagraph"/>
        <w:numPr>
          <w:ilvl w:val="0"/>
          <w:numId w:val="5"/>
        </w:numPr>
        <w:spacing w:line="360" w:lineRule="auto"/>
        <w:ind w:right="-46"/>
        <w:contextualSpacing/>
        <w:jc w:val="both"/>
        <w:rPr>
          <w:rFonts w:ascii="Arial" w:hAnsi="Arial" w:cs="Arial"/>
          <w:sz w:val="22"/>
          <w:szCs w:val="22"/>
        </w:rPr>
      </w:pPr>
      <w:r w:rsidRPr="00CF0A95">
        <w:rPr>
          <w:rFonts w:ascii="Arial" w:hAnsi="Arial" w:cs="Arial"/>
          <w:sz w:val="22"/>
          <w:szCs w:val="22"/>
        </w:rPr>
        <w:lastRenderedPageBreak/>
        <w:t xml:space="preserve">The equitable division of revenue raised nationally among national, </w:t>
      </w:r>
    </w:p>
    <w:p w:rsidR="00765C10" w:rsidRPr="00CF0A95" w:rsidRDefault="00B66078" w:rsidP="00CE4652">
      <w:pPr>
        <w:spacing w:line="360" w:lineRule="auto"/>
        <w:ind w:left="360" w:right="-46" w:firstLine="720"/>
        <w:contextualSpacing/>
        <w:jc w:val="both"/>
        <w:rPr>
          <w:rFonts w:ascii="Arial" w:hAnsi="Arial" w:cs="Arial"/>
          <w:sz w:val="22"/>
          <w:szCs w:val="22"/>
        </w:rPr>
      </w:pPr>
      <w:r w:rsidRPr="00CF0A95">
        <w:rPr>
          <w:rFonts w:ascii="Arial" w:hAnsi="Arial" w:cs="Arial"/>
          <w:sz w:val="22"/>
          <w:szCs w:val="22"/>
        </w:rPr>
        <w:t>Provincial and local spheres of government;</w:t>
      </w:r>
    </w:p>
    <w:p w:rsidR="007E663A" w:rsidRPr="00CF0A95" w:rsidRDefault="007E663A" w:rsidP="00CE4652">
      <w:pPr>
        <w:spacing w:line="360" w:lineRule="auto"/>
        <w:ind w:left="360" w:right="-46" w:firstLine="720"/>
        <w:contextualSpacing/>
        <w:jc w:val="both"/>
        <w:rPr>
          <w:rFonts w:ascii="Arial" w:hAnsi="Arial" w:cs="Arial"/>
          <w:sz w:val="22"/>
          <w:szCs w:val="22"/>
        </w:rPr>
      </w:pPr>
    </w:p>
    <w:p w:rsidR="00B66078" w:rsidRPr="00CF0A95" w:rsidRDefault="00B66078" w:rsidP="00CE4652">
      <w:pPr>
        <w:pStyle w:val="ListParagraph"/>
        <w:numPr>
          <w:ilvl w:val="0"/>
          <w:numId w:val="5"/>
        </w:numPr>
        <w:spacing w:line="360" w:lineRule="auto"/>
        <w:ind w:right="-46"/>
        <w:contextualSpacing/>
        <w:jc w:val="both"/>
        <w:rPr>
          <w:rFonts w:ascii="Arial" w:hAnsi="Arial" w:cs="Arial"/>
          <w:sz w:val="22"/>
          <w:szCs w:val="22"/>
        </w:rPr>
      </w:pPr>
      <w:r w:rsidRPr="00CF0A95">
        <w:rPr>
          <w:rFonts w:ascii="Arial" w:hAnsi="Arial" w:cs="Arial"/>
          <w:sz w:val="22"/>
          <w:szCs w:val="22"/>
        </w:rPr>
        <w:t>The determination of each province’s equitable share of the provincial share of that revenue; and</w:t>
      </w:r>
    </w:p>
    <w:p w:rsidR="007E663A" w:rsidRPr="00CF0A95" w:rsidRDefault="007E663A" w:rsidP="00CE4652">
      <w:pPr>
        <w:pStyle w:val="ListParagraph"/>
        <w:spacing w:line="360" w:lineRule="auto"/>
        <w:ind w:left="1080" w:right="-46"/>
        <w:contextualSpacing/>
        <w:jc w:val="both"/>
        <w:rPr>
          <w:rFonts w:ascii="Arial" w:hAnsi="Arial" w:cs="Arial"/>
          <w:sz w:val="22"/>
          <w:szCs w:val="22"/>
        </w:rPr>
      </w:pPr>
    </w:p>
    <w:p w:rsidR="00B66078" w:rsidRPr="00CF0A95" w:rsidRDefault="00B66078" w:rsidP="00CE4652">
      <w:pPr>
        <w:pStyle w:val="ListParagraph"/>
        <w:numPr>
          <w:ilvl w:val="0"/>
          <w:numId w:val="5"/>
        </w:numPr>
        <w:tabs>
          <w:tab w:val="left" w:pos="1440"/>
        </w:tabs>
        <w:spacing w:line="360" w:lineRule="auto"/>
        <w:ind w:right="-46"/>
        <w:contextualSpacing/>
        <w:jc w:val="both"/>
        <w:rPr>
          <w:rFonts w:ascii="Arial" w:hAnsi="Arial" w:cs="Arial"/>
          <w:sz w:val="22"/>
          <w:szCs w:val="22"/>
        </w:rPr>
      </w:pPr>
      <w:r w:rsidRPr="00CF0A95">
        <w:rPr>
          <w:rFonts w:ascii="Arial" w:hAnsi="Arial" w:cs="Arial"/>
          <w:sz w:val="22"/>
          <w:szCs w:val="22"/>
        </w:rPr>
        <w:t>Any other allocations to provinces, local government or municipalities from the national government’s share of that revenue, and for any conditions on which those allocations may be made.</w:t>
      </w:r>
    </w:p>
    <w:p w:rsidR="001B1E23" w:rsidRPr="00CF0A95" w:rsidRDefault="001B1E23" w:rsidP="00CE4652">
      <w:pPr>
        <w:pStyle w:val="ListParagraph"/>
        <w:tabs>
          <w:tab w:val="left" w:pos="1440"/>
        </w:tabs>
        <w:spacing w:line="360" w:lineRule="auto"/>
        <w:ind w:left="1440" w:right="-46"/>
        <w:contextualSpacing/>
        <w:rPr>
          <w:rFonts w:ascii="Arial" w:hAnsi="Arial" w:cs="Arial"/>
          <w:sz w:val="22"/>
          <w:szCs w:val="22"/>
        </w:rPr>
      </w:pPr>
    </w:p>
    <w:p w:rsidR="00B66078" w:rsidRPr="00CF0A95" w:rsidRDefault="001B1E23" w:rsidP="00143D29">
      <w:pPr>
        <w:autoSpaceDE w:val="0"/>
        <w:autoSpaceDN w:val="0"/>
        <w:adjustRightInd w:val="0"/>
        <w:spacing w:line="360" w:lineRule="auto"/>
        <w:ind w:left="360"/>
        <w:jc w:val="both"/>
        <w:rPr>
          <w:rFonts w:ascii="Arial" w:hAnsi="Arial" w:cs="Arial"/>
          <w:sz w:val="22"/>
          <w:szCs w:val="22"/>
        </w:rPr>
      </w:pPr>
      <w:r w:rsidRPr="00CF0A95">
        <w:rPr>
          <w:rFonts w:ascii="Arial" w:hAnsi="Arial" w:cs="Arial"/>
          <w:sz w:val="22"/>
          <w:szCs w:val="22"/>
          <w:lang w:val="en-US"/>
        </w:rPr>
        <w:t>Further than this, section 7(3) of the Money Bi</w:t>
      </w:r>
      <w:r w:rsidR="004C1F1E" w:rsidRPr="00CF0A95">
        <w:rPr>
          <w:rFonts w:ascii="Arial" w:hAnsi="Arial" w:cs="Arial"/>
          <w:sz w:val="22"/>
          <w:szCs w:val="22"/>
          <w:lang w:val="en-US"/>
        </w:rPr>
        <w:t>ll</w:t>
      </w:r>
      <w:r w:rsidRPr="00CF0A95">
        <w:rPr>
          <w:rFonts w:ascii="Arial" w:hAnsi="Arial" w:cs="Arial"/>
          <w:sz w:val="22"/>
          <w:szCs w:val="22"/>
          <w:lang w:val="en-US"/>
        </w:rPr>
        <w:t xml:space="preserve">s </w:t>
      </w:r>
      <w:r w:rsidR="004C1F1E" w:rsidRPr="00CF0A95">
        <w:rPr>
          <w:rFonts w:ascii="Arial" w:hAnsi="Arial" w:cs="Arial"/>
          <w:sz w:val="22"/>
          <w:szCs w:val="22"/>
          <w:lang w:val="en-US"/>
        </w:rPr>
        <w:t>Amendment P</w:t>
      </w:r>
      <w:r w:rsidRPr="00CF0A95">
        <w:rPr>
          <w:rFonts w:ascii="Arial" w:hAnsi="Arial" w:cs="Arial"/>
          <w:sz w:val="22"/>
          <w:szCs w:val="22"/>
          <w:lang w:val="en-US"/>
        </w:rPr>
        <w:t>rocedure and Related Matters Act, 2009, requires the introduction of the Division of Revenue Bill at the same time as the Appropriation Bill is introduced.</w:t>
      </w:r>
    </w:p>
    <w:p w:rsidR="00765C10" w:rsidRPr="00CF0A95" w:rsidRDefault="00765C10" w:rsidP="00143D29">
      <w:pPr>
        <w:autoSpaceDE w:val="0"/>
        <w:autoSpaceDN w:val="0"/>
        <w:adjustRightInd w:val="0"/>
        <w:spacing w:line="360" w:lineRule="auto"/>
        <w:jc w:val="both"/>
        <w:rPr>
          <w:rFonts w:ascii="Arial" w:hAnsi="Arial" w:cs="Arial"/>
          <w:sz w:val="22"/>
          <w:szCs w:val="22"/>
        </w:rPr>
      </w:pPr>
    </w:p>
    <w:p w:rsidR="00B66078" w:rsidRPr="00CF0A95" w:rsidRDefault="00B66078" w:rsidP="00CE4652">
      <w:pPr>
        <w:autoSpaceDE w:val="0"/>
        <w:autoSpaceDN w:val="0"/>
        <w:adjustRightInd w:val="0"/>
        <w:spacing w:line="360" w:lineRule="auto"/>
        <w:ind w:left="360"/>
        <w:jc w:val="both"/>
        <w:rPr>
          <w:rFonts w:ascii="Arial" w:hAnsi="Arial" w:cs="Arial"/>
          <w:sz w:val="22"/>
          <w:szCs w:val="22"/>
        </w:rPr>
      </w:pPr>
      <w:r w:rsidRPr="00CF0A95">
        <w:rPr>
          <w:rFonts w:ascii="Arial" w:hAnsi="Arial" w:cs="Arial"/>
          <w:sz w:val="22"/>
          <w:szCs w:val="22"/>
        </w:rPr>
        <w:t xml:space="preserve">The Bill seeks to amongst others, give effect to the provisions of Section 214 of the Constitution. </w:t>
      </w:r>
      <w:r w:rsidR="000C5ED2" w:rsidRPr="00CF0A95">
        <w:rPr>
          <w:rFonts w:ascii="Arial" w:hAnsi="Arial" w:cs="Arial"/>
          <w:sz w:val="22"/>
          <w:szCs w:val="22"/>
          <w:lang w:val="en-US"/>
        </w:rPr>
        <w:t>These include national interest, debt provision, the needs of national government, flexibility in responding to emergencies, resource allocation for basic services and developmental needs, the fiscal capacity and efficiency of provincial and local government, the reduction of economic disparities, and the promotion of stability and predictability.</w:t>
      </w:r>
      <w:r w:rsidRPr="00CF0A95">
        <w:rPr>
          <w:rFonts w:ascii="Arial" w:hAnsi="Arial" w:cs="Arial"/>
          <w:sz w:val="22"/>
          <w:szCs w:val="22"/>
        </w:rPr>
        <w:t>It is noted in this regard that the bill is in alignment with the Constitution and other relevant statutory framework.</w:t>
      </w:r>
    </w:p>
    <w:p w:rsidR="00B66078" w:rsidRPr="00CF0A95" w:rsidRDefault="00B66078" w:rsidP="00CE4652">
      <w:pPr>
        <w:spacing w:line="360" w:lineRule="auto"/>
        <w:ind w:left="360" w:right="-46"/>
        <w:jc w:val="both"/>
        <w:rPr>
          <w:rFonts w:ascii="Arial" w:hAnsi="Arial" w:cs="Arial"/>
          <w:sz w:val="22"/>
          <w:szCs w:val="22"/>
        </w:rPr>
      </w:pPr>
    </w:p>
    <w:p w:rsidR="00013231" w:rsidRPr="00CF0A95" w:rsidRDefault="00013231" w:rsidP="00143D29">
      <w:pPr>
        <w:pStyle w:val="Heading1"/>
        <w:numPr>
          <w:ilvl w:val="1"/>
          <w:numId w:val="31"/>
        </w:numPr>
        <w:spacing w:before="0" w:after="0" w:line="360" w:lineRule="auto"/>
        <w:ind w:hanging="796"/>
        <w:rPr>
          <w:sz w:val="22"/>
          <w:szCs w:val="22"/>
          <w:u w:val="single"/>
          <w:lang w:val="en-ZA"/>
        </w:rPr>
      </w:pPr>
      <w:r w:rsidRPr="00CF0A95">
        <w:rPr>
          <w:sz w:val="22"/>
          <w:szCs w:val="22"/>
          <w:u w:val="single"/>
          <w:lang w:val="en-ZA"/>
        </w:rPr>
        <w:t>OPINION OF THE PROVINCIAL EXECUTIVE COUNCIL ON THE BILL</w:t>
      </w:r>
    </w:p>
    <w:p w:rsidR="00013231" w:rsidRPr="00CF0A95" w:rsidRDefault="00400968" w:rsidP="00CE4652">
      <w:pPr>
        <w:pStyle w:val="Heading1"/>
        <w:tabs>
          <w:tab w:val="left" w:pos="360"/>
        </w:tabs>
        <w:spacing w:line="360" w:lineRule="auto"/>
        <w:ind w:left="360"/>
        <w:jc w:val="both"/>
        <w:rPr>
          <w:b w:val="0"/>
          <w:sz w:val="22"/>
          <w:szCs w:val="22"/>
        </w:rPr>
      </w:pPr>
      <w:r w:rsidRPr="00CF0A95">
        <w:rPr>
          <w:sz w:val="22"/>
          <w:szCs w:val="22"/>
        </w:rPr>
        <w:t>The Portfolio Committee note</w:t>
      </w:r>
      <w:r w:rsidR="0018453F" w:rsidRPr="00CF0A95">
        <w:rPr>
          <w:sz w:val="22"/>
          <w:szCs w:val="22"/>
        </w:rPr>
        <w:t>d</w:t>
      </w:r>
      <w:r w:rsidRPr="00CF0A95">
        <w:rPr>
          <w:sz w:val="22"/>
          <w:szCs w:val="22"/>
        </w:rPr>
        <w:t xml:space="preserve"> that </w:t>
      </w:r>
      <w:r w:rsidR="0018453F" w:rsidRPr="00CF0A95">
        <w:rPr>
          <w:sz w:val="22"/>
          <w:szCs w:val="22"/>
        </w:rPr>
        <w:t>National Treasury</w:t>
      </w:r>
      <w:r w:rsidRPr="00CF0A95">
        <w:rPr>
          <w:sz w:val="22"/>
          <w:szCs w:val="22"/>
        </w:rPr>
        <w:t xml:space="preserve"> </w:t>
      </w:r>
      <w:r w:rsidR="0018453F" w:rsidRPr="00CF0A95">
        <w:rPr>
          <w:sz w:val="22"/>
          <w:szCs w:val="22"/>
        </w:rPr>
        <w:t xml:space="preserve">consulted widely </w:t>
      </w:r>
      <w:r w:rsidRPr="00CF0A95">
        <w:rPr>
          <w:sz w:val="22"/>
          <w:szCs w:val="22"/>
        </w:rPr>
        <w:t>o</w:t>
      </w:r>
      <w:r w:rsidR="0018453F" w:rsidRPr="00CF0A95">
        <w:rPr>
          <w:sz w:val="22"/>
          <w:szCs w:val="22"/>
        </w:rPr>
        <w:t xml:space="preserve">n the Division </w:t>
      </w:r>
      <w:r w:rsidRPr="00CF0A95">
        <w:rPr>
          <w:sz w:val="22"/>
          <w:szCs w:val="22"/>
        </w:rPr>
        <w:t xml:space="preserve">Revenue Bill </w:t>
      </w:r>
      <w:r w:rsidR="0018453F" w:rsidRPr="00CF0A95">
        <w:rPr>
          <w:sz w:val="22"/>
          <w:szCs w:val="22"/>
        </w:rPr>
        <w:t>by circulating the draft Bill</w:t>
      </w:r>
      <w:r w:rsidRPr="00CF0A95">
        <w:rPr>
          <w:sz w:val="22"/>
          <w:szCs w:val="22"/>
        </w:rPr>
        <w:t xml:space="preserve">. </w:t>
      </w:r>
      <w:r w:rsidR="00013231" w:rsidRPr="00CF0A95">
        <w:rPr>
          <w:b w:val="0"/>
          <w:sz w:val="22"/>
          <w:szCs w:val="22"/>
        </w:rPr>
        <w:t xml:space="preserve">The Gauteng </w:t>
      </w:r>
      <w:r w:rsidR="00F11FA4" w:rsidRPr="00CF0A95">
        <w:rPr>
          <w:b w:val="0"/>
          <w:sz w:val="22"/>
          <w:szCs w:val="22"/>
        </w:rPr>
        <w:t xml:space="preserve">Provincial </w:t>
      </w:r>
      <w:r w:rsidRPr="00CF0A95">
        <w:rPr>
          <w:b w:val="0"/>
          <w:sz w:val="22"/>
          <w:szCs w:val="22"/>
        </w:rPr>
        <w:t>Treasury on behalf of the Provincial Executive Council is satisfied that the 201</w:t>
      </w:r>
      <w:r w:rsidR="0018453F" w:rsidRPr="00CF0A95">
        <w:rPr>
          <w:b w:val="0"/>
          <w:sz w:val="22"/>
          <w:szCs w:val="22"/>
        </w:rPr>
        <w:t>9</w:t>
      </w:r>
      <w:r w:rsidRPr="00CF0A95">
        <w:rPr>
          <w:b w:val="0"/>
          <w:sz w:val="22"/>
          <w:szCs w:val="22"/>
        </w:rPr>
        <w:t xml:space="preserve"> Division of Revenue Bill has adequately </w:t>
      </w:r>
      <w:r w:rsidR="0018453F" w:rsidRPr="00CF0A95">
        <w:rPr>
          <w:b w:val="0"/>
          <w:sz w:val="22"/>
          <w:szCs w:val="22"/>
        </w:rPr>
        <w:t>responded to government’s priorities over the 2019 MTEF period</w:t>
      </w:r>
      <w:r w:rsidR="006B75B8" w:rsidRPr="00CF0A95">
        <w:rPr>
          <w:b w:val="0"/>
          <w:sz w:val="22"/>
          <w:szCs w:val="22"/>
        </w:rPr>
        <w:t>.</w:t>
      </w:r>
    </w:p>
    <w:p w:rsidR="00013231" w:rsidRPr="00CF0A95" w:rsidRDefault="00013231" w:rsidP="00CE4652">
      <w:pPr>
        <w:pStyle w:val="Heading1"/>
        <w:tabs>
          <w:tab w:val="left" w:pos="360"/>
        </w:tabs>
        <w:spacing w:before="0" w:after="0" w:line="360" w:lineRule="auto"/>
        <w:ind w:left="360"/>
        <w:jc w:val="both"/>
        <w:rPr>
          <w:b w:val="0"/>
          <w:sz w:val="22"/>
          <w:szCs w:val="22"/>
          <w:lang w:val="en-ZA"/>
        </w:rPr>
      </w:pPr>
    </w:p>
    <w:p w:rsidR="00013231" w:rsidRPr="00CF0A95" w:rsidRDefault="00013231" w:rsidP="00143D29">
      <w:pPr>
        <w:pStyle w:val="ListParagraph"/>
        <w:numPr>
          <w:ilvl w:val="1"/>
          <w:numId w:val="31"/>
        </w:numPr>
        <w:spacing w:line="360" w:lineRule="auto"/>
        <w:ind w:hanging="796"/>
        <w:jc w:val="both"/>
        <w:rPr>
          <w:rFonts w:ascii="Arial" w:hAnsi="Arial" w:cs="Arial"/>
          <w:b/>
          <w:sz w:val="22"/>
          <w:szCs w:val="22"/>
          <w:u w:val="single"/>
        </w:rPr>
      </w:pPr>
      <w:r w:rsidRPr="00CF0A95">
        <w:rPr>
          <w:rFonts w:ascii="Arial" w:hAnsi="Arial" w:cs="Arial"/>
          <w:b/>
          <w:sz w:val="22"/>
          <w:szCs w:val="22"/>
          <w:u w:val="single"/>
          <w:lang w:val="en-ZA"/>
        </w:rPr>
        <w:t>SOCIO-ECONOMIC IMPACT</w:t>
      </w:r>
    </w:p>
    <w:p w:rsidR="000C5ED2" w:rsidRPr="00CF0A95" w:rsidRDefault="000C5ED2" w:rsidP="00CE4652">
      <w:pPr>
        <w:autoSpaceDE w:val="0"/>
        <w:autoSpaceDN w:val="0"/>
        <w:adjustRightInd w:val="0"/>
        <w:spacing w:line="360" w:lineRule="auto"/>
        <w:ind w:left="360"/>
        <w:jc w:val="both"/>
        <w:rPr>
          <w:rFonts w:ascii="Arial" w:hAnsi="Arial" w:cs="Arial"/>
          <w:sz w:val="22"/>
          <w:szCs w:val="22"/>
          <w:lang w:val="en-US"/>
        </w:rPr>
      </w:pPr>
    </w:p>
    <w:p w:rsidR="00D458BD" w:rsidRPr="00CF0A95" w:rsidRDefault="00D458BD" w:rsidP="00D458BD">
      <w:pPr>
        <w:spacing w:line="276" w:lineRule="auto"/>
        <w:ind w:left="284"/>
        <w:jc w:val="both"/>
        <w:rPr>
          <w:rFonts w:ascii="Arial" w:hAnsi="Arial" w:cs="Arial"/>
          <w:sz w:val="22"/>
          <w:szCs w:val="22"/>
        </w:rPr>
      </w:pPr>
      <w:r w:rsidRPr="00CF0A95">
        <w:rPr>
          <w:rFonts w:ascii="Arial" w:hAnsi="Arial" w:cs="Arial"/>
          <w:sz w:val="22"/>
          <w:szCs w:val="22"/>
        </w:rPr>
        <w:t>Though there are pressing economic challenges such as lower revenue generation and slower than projected economic growth, the Bill will uplift the standard of living across the province in many ways. These include investing in an infrastructure that would attract investment, establishment of programmes aimed to uplift young graduates, support for small businesses, outsourcing of services to youth, women and people living with disabilities as prescribed by the SCM and Preferential Procurement Plan.</w:t>
      </w:r>
    </w:p>
    <w:p w:rsidR="00D458BD" w:rsidRPr="00CF0A95" w:rsidRDefault="00D458BD" w:rsidP="00D458BD">
      <w:pPr>
        <w:spacing w:line="276" w:lineRule="auto"/>
        <w:ind w:left="284"/>
        <w:jc w:val="both"/>
        <w:rPr>
          <w:rFonts w:ascii="Arial" w:hAnsi="Arial" w:cs="Arial"/>
          <w:sz w:val="22"/>
          <w:szCs w:val="22"/>
        </w:rPr>
      </w:pPr>
    </w:p>
    <w:p w:rsidR="00D458BD" w:rsidRPr="00CF0A95" w:rsidRDefault="00D458BD" w:rsidP="00D458BD">
      <w:pPr>
        <w:spacing w:line="276" w:lineRule="auto"/>
        <w:ind w:left="284"/>
        <w:jc w:val="both"/>
        <w:rPr>
          <w:rFonts w:ascii="Arial" w:hAnsi="Arial" w:cs="Arial"/>
          <w:sz w:val="22"/>
          <w:szCs w:val="22"/>
        </w:rPr>
      </w:pPr>
      <w:r w:rsidRPr="00CF0A95">
        <w:rPr>
          <w:rFonts w:ascii="Arial" w:hAnsi="Arial" w:cs="Arial"/>
          <w:sz w:val="22"/>
          <w:szCs w:val="22"/>
        </w:rPr>
        <w:t xml:space="preserve">Furthermore, the Committee should note the conditional grants allocated towards education infrastructure investment and school nutrition programme, HIV and AIDS (life skill education) and </w:t>
      </w:r>
      <w:r w:rsidRPr="00CF0A95">
        <w:rPr>
          <w:rFonts w:ascii="Arial" w:hAnsi="Arial" w:cs="Arial"/>
          <w:sz w:val="22"/>
          <w:szCs w:val="22"/>
        </w:rPr>
        <w:lastRenderedPageBreak/>
        <w:t xml:space="preserve">the support for the National Health Insurance. Noting the increased demand for social services due </w:t>
      </w:r>
      <w:r w:rsidR="00DD6E7E">
        <w:rPr>
          <w:rFonts w:ascii="Arial" w:hAnsi="Arial" w:cs="Arial"/>
          <w:sz w:val="22"/>
          <w:szCs w:val="22"/>
        </w:rPr>
        <w:t xml:space="preserve">to </w:t>
      </w:r>
      <w:r w:rsidRPr="00CF0A95">
        <w:rPr>
          <w:rFonts w:ascii="Arial" w:hAnsi="Arial" w:cs="Arial"/>
          <w:sz w:val="22"/>
          <w:szCs w:val="22"/>
        </w:rPr>
        <w:t xml:space="preserve">in-migration, the Bill will surely uplift the standard of living in the country.  </w:t>
      </w:r>
    </w:p>
    <w:p w:rsidR="00D458BD" w:rsidRPr="00CF0A95" w:rsidRDefault="00D458BD" w:rsidP="00D458BD">
      <w:pPr>
        <w:spacing w:line="276" w:lineRule="auto"/>
        <w:ind w:left="284"/>
        <w:jc w:val="both"/>
        <w:rPr>
          <w:rFonts w:ascii="Arial" w:hAnsi="Arial" w:cs="Arial"/>
          <w:sz w:val="22"/>
          <w:szCs w:val="22"/>
        </w:rPr>
      </w:pPr>
    </w:p>
    <w:p w:rsidR="00D458BD" w:rsidRPr="00CF0A95" w:rsidRDefault="00D458BD" w:rsidP="00D458BD">
      <w:pPr>
        <w:spacing w:line="276" w:lineRule="auto"/>
        <w:ind w:left="284"/>
        <w:jc w:val="both"/>
        <w:rPr>
          <w:rFonts w:ascii="Arial" w:hAnsi="Arial" w:cs="Arial"/>
          <w:sz w:val="22"/>
          <w:szCs w:val="22"/>
        </w:rPr>
      </w:pPr>
      <w:r w:rsidRPr="00CF0A95">
        <w:rPr>
          <w:rFonts w:ascii="Arial" w:hAnsi="Arial" w:cs="Arial"/>
          <w:sz w:val="22"/>
          <w:szCs w:val="22"/>
        </w:rPr>
        <w:t xml:space="preserve">The Division of Revenue Bill </w:t>
      </w:r>
      <w:r w:rsidR="005D58A5" w:rsidRPr="00CF0A95">
        <w:rPr>
          <w:rFonts w:ascii="Arial" w:hAnsi="Arial" w:cs="Arial"/>
          <w:sz w:val="22"/>
          <w:szCs w:val="22"/>
        </w:rPr>
        <w:t xml:space="preserve">2019 </w:t>
      </w:r>
      <w:r w:rsidRPr="00CF0A95">
        <w:rPr>
          <w:rFonts w:ascii="Arial" w:hAnsi="Arial" w:cs="Arial"/>
          <w:sz w:val="22"/>
          <w:szCs w:val="22"/>
        </w:rPr>
        <w:t xml:space="preserve">present the government an opportunity to make inroads towards the realisation of the NDP 2030 priorities. The </w:t>
      </w:r>
      <w:r w:rsidR="005D58A5" w:rsidRPr="00CF0A95">
        <w:rPr>
          <w:sz w:val="22"/>
          <w:szCs w:val="22"/>
        </w:rPr>
        <w:t>2019 Division of Revenue Bill</w:t>
      </w:r>
      <w:r w:rsidRPr="00CF0A95">
        <w:rPr>
          <w:rFonts w:ascii="Arial" w:hAnsi="Arial" w:cs="Arial"/>
          <w:sz w:val="22"/>
          <w:szCs w:val="22"/>
        </w:rPr>
        <w:t xml:space="preserve"> </w:t>
      </w:r>
      <w:r w:rsidR="005D58A5" w:rsidRPr="00CF0A95">
        <w:rPr>
          <w:rFonts w:ascii="Arial" w:hAnsi="Arial" w:cs="Arial"/>
          <w:sz w:val="22"/>
          <w:szCs w:val="22"/>
        </w:rPr>
        <w:t>provides</w:t>
      </w:r>
      <w:r w:rsidRPr="00CF0A95">
        <w:rPr>
          <w:rFonts w:ascii="Arial" w:hAnsi="Arial" w:cs="Arial"/>
          <w:sz w:val="22"/>
          <w:szCs w:val="22"/>
        </w:rPr>
        <w:t xml:space="preserve"> a fair balance between the economic and social allocations and the redistribution of revenue from wealthier provinces to poor province. Furthermore, the Bill aim to maximise the socioeconomic returns with the limited financial resources available. </w:t>
      </w:r>
    </w:p>
    <w:p w:rsidR="00AF343C" w:rsidRPr="00CF0A95" w:rsidRDefault="00AF343C" w:rsidP="00CE4652">
      <w:pPr>
        <w:autoSpaceDE w:val="0"/>
        <w:autoSpaceDN w:val="0"/>
        <w:adjustRightInd w:val="0"/>
        <w:spacing w:line="360" w:lineRule="auto"/>
        <w:ind w:left="360"/>
        <w:jc w:val="both"/>
        <w:rPr>
          <w:rFonts w:ascii="Arial" w:hAnsi="Arial" w:cs="Arial"/>
          <w:sz w:val="22"/>
          <w:szCs w:val="22"/>
          <w:lang w:val="en-US"/>
        </w:rPr>
      </w:pPr>
    </w:p>
    <w:p w:rsidR="00013231" w:rsidRPr="00CF0A95" w:rsidRDefault="00012E20" w:rsidP="00143D29">
      <w:pPr>
        <w:pStyle w:val="ListParagraph"/>
        <w:numPr>
          <w:ilvl w:val="1"/>
          <w:numId w:val="31"/>
        </w:numPr>
        <w:spacing w:line="360" w:lineRule="auto"/>
        <w:ind w:hanging="796"/>
        <w:jc w:val="both"/>
        <w:rPr>
          <w:rFonts w:ascii="Arial" w:hAnsi="Arial" w:cs="Arial"/>
          <w:b/>
          <w:sz w:val="22"/>
          <w:szCs w:val="22"/>
          <w:u w:val="single"/>
        </w:rPr>
      </w:pPr>
      <w:r w:rsidRPr="00CF0A95">
        <w:rPr>
          <w:rFonts w:ascii="Arial" w:hAnsi="Arial" w:cs="Arial"/>
          <w:b/>
          <w:sz w:val="22"/>
          <w:szCs w:val="22"/>
          <w:u w:val="single"/>
        </w:rPr>
        <w:t>FINANCIAL IMPLICATIONS OF THE BILL</w:t>
      </w:r>
    </w:p>
    <w:p w:rsidR="002F0A9A" w:rsidRPr="00CF0A95" w:rsidRDefault="002F0A9A" w:rsidP="00CE4652">
      <w:pPr>
        <w:pStyle w:val="ListParagraph"/>
        <w:spacing w:line="360" w:lineRule="auto"/>
        <w:jc w:val="both"/>
        <w:rPr>
          <w:rFonts w:ascii="Arial" w:hAnsi="Arial" w:cs="Arial"/>
          <w:b/>
          <w:sz w:val="22"/>
          <w:szCs w:val="22"/>
          <w:u w:val="single"/>
        </w:rPr>
      </w:pPr>
    </w:p>
    <w:p w:rsidR="0067492E" w:rsidRPr="00CF0A95" w:rsidRDefault="0067492E" w:rsidP="00CE4652">
      <w:pPr>
        <w:autoSpaceDE w:val="0"/>
        <w:autoSpaceDN w:val="0"/>
        <w:adjustRightInd w:val="0"/>
        <w:spacing w:line="360" w:lineRule="auto"/>
        <w:ind w:left="360"/>
        <w:jc w:val="both"/>
        <w:rPr>
          <w:rFonts w:ascii="Arial" w:hAnsi="Arial" w:cs="Arial"/>
          <w:sz w:val="22"/>
          <w:szCs w:val="22"/>
          <w:lang w:val="en-US"/>
        </w:rPr>
      </w:pPr>
      <w:r w:rsidRPr="00CF0A95">
        <w:rPr>
          <w:rFonts w:ascii="Arial" w:hAnsi="Arial" w:cs="Arial"/>
          <w:sz w:val="22"/>
          <w:szCs w:val="22"/>
          <w:lang w:val="en-US"/>
        </w:rPr>
        <w:t>Over the past year, government has worked to end the policy inertia and uncertainty that have undermined confidence and constrained investment in the economy. To this end, new partnerships with the private sector have led to large-scale investment commitments. While several commissions probing allegations of corruption and wrongdoing continue their work, a special directorate is being established to investigate and prosecute serious crimes that have being revealed.  Government is reforming state-owned companies, with Eskom as its immediate focus.</w:t>
      </w:r>
    </w:p>
    <w:p w:rsidR="0067492E" w:rsidRPr="00CF0A95" w:rsidRDefault="0067492E" w:rsidP="00CE4652">
      <w:pPr>
        <w:autoSpaceDE w:val="0"/>
        <w:autoSpaceDN w:val="0"/>
        <w:adjustRightInd w:val="0"/>
        <w:spacing w:line="360" w:lineRule="auto"/>
        <w:ind w:left="360"/>
        <w:jc w:val="both"/>
        <w:rPr>
          <w:rFonts w:ascii="Arial" w:hAnsi="Arial" w:cs="Arial"/>
          <w:sz w:val="22"/>
          <w:szCs w:val="22"/>
          <w:lang w:val="en-US"/>
        </w:rPr>
      </w:pPr>
    </w:p>
    <w:p w:rsidR="005D58A5" w:rsidRPr="00CF0A95" w:rsidRDefault="005D58A5" w:rsidP="00CE4652">
      <w:pPr>
        <w:autoSpaceDE w:val="0"/>
        <w:autoSpaceDN w:val="0"/>
        <w:adjustRightInd w:val="0"/>
        <w:spacing w:line="360" w:lineRule="auto"/>
        <w:ind w:left="360"/>
        <w:jc w:val="both"/>
        <w:rPr>
          <w:rFonts w:ascii="Arial" w:hAnsi="Arial" w:cs="Arial"/>
          <w:sz w:val="22"/>
          <w:szCs w:val="22"/>
          <w:lang w:val="en-US"/>
        </w:rPr>
      </w:pPr>
      <w:r w:rsidRPr="00CF0A95">
        <w:rPr>
          <w:rFonts w:ascii="Arial" w:hAnsi="Arial" w:cs="Arial"/>
          <w:sz w:val="22"/>
          <w:szCs w:val="22"/>
          <w:lang w:val="en-US"/>
        </w:rPr>
        <w:t xml:space="preserve">The 2019 Budget outlines a series of fiscal measures intended to move the economy onto a new trajectory and reduce the long-term to South Africa’s public finances. </w:t>
      </w:r>
      <w:r w:rsidR="001D4D6E" w:rsidRPr="00CF0A95">
        <w:rPr>
          <w:rFonts w:ascii="Arial" w:hAnsi="Arial" w:cs="Arial"/>
          <w:sz w:val="22"/>
          <w:szCs w:val="22"/>
          <w:lang w:val="en-US"/>
        </w:rPr>
        <w:t xml:space="preserve">Government’s central economic policy goal is to accelerate inclusive growth and create jobs. Its main fiscal objective is to ensure sustainable finances by containing the budget deficit and stabilizing public debt. </w:t>
      </w:r>
    </w:p>
    <w:p w:rsidR="005D58A5" w:rsidRPr="00CF0A95" w:rsidRDefault="005D58A5" w:rsidP="00CE4652">
      <w:pPr>
        <w:autoSpaceDE w:val="0"/>
        <w:autoSpaceDN w:val="0"/>
        <w:adjustRightInd w:val="0"/>
        <w:spacing w:line="360" w:lineRule="auto"/>
        <w:ind w:left="360"/>
        <w:jc w:val="both"/>
        <w:rPr>
          <w:rFonts w:ascii="Arial" w:hAnsi="Arial" w:cs="Arial"/>
          <w:sz w:val="22"/>
          <w:szCs w:val="22"/>
          <w:lang w:val="en-US"/>
        </w:rPr>
      </w:pPr>
      <w:r w:rsidRPr="00CF0A95">
        <w:rPr>
          <w:rFonts w:ascii="Arial" w:hAnsi="Arial" w:cs="Arial"/>
          <w:sz w:val="22"/>
          <w:szCs w:val="22"/>
          <w:lang w:val="en-US"/>
        </w:rPr>
        <w:t xml:space="preserve"> </w:t>
      </w:r>
    </w:p>
    <w:p w:rsidR="0067492E" w:rsidRPr="00CF0A95" w:rsidRDefault="003B6BA1" w:rsidP="00CE4652">
      <w:pPr>
        <w:autoSpaceDE w:val="0"/>
        <w:autoSpaceDN w:val="0"/>
        <w:adjustRightInd w:val="0"/>
        <w:spacing w:line="360" w:lineRule="auto"/>
        <w:ind w:left="360"/>
        <w:jc w:val="both"/>
        <w:rPr>
          <w:rFonts w:ascii="Arial" w:hAnsi="Arial" w:cs="Arial"/>
          <w:sz w:val="22"/>
          <w:szCs w:val="22"/>
          <w:lang w:val="en-US"/>
        </w:rPr>
      </w:pPr>
      <w:r w:rsidRPr="00CF0A95">
        <w:rPr>
          <w:rFonts w:ascii="Arial" w:hAnsi="Arial" w:cs="Arial"/>
          <w:sz w:val="22"/>
          <w:szCs w:val="22"/>
          <w:lang w:val="en-US"/>
        </w:rPr>
        <w:t>The environment remains challenging, hence t</w:t>
      </w:r>
      <w:r w:rsidR="006D54BB" w:rsidRPr="00CF0A95">
        <w:rPr>
          <w:rFonts w:ascii="Arial" w:hAnsi="Arial" w:cs="Arial"/>
          <w:sz w:val="22"/>
          <w:szCs w:val="22"/>
          <w:lang w:val="en-US"/>
        </w:rPr>
        <w:t>he</w:t>
      </w:r>
      <w:r w:rsidR="000A0F52" w:rsidRPr="00CF0A95">
        <w:rPr>
          <w:rFonts w:ascii="Arial" w:hAnsi="Arial" w:cs="Arial"/>
          <w:sz w:val="22"/>
          <w:szCs w:val="22"/>
          <w:lang w:val="en-US"/>
        </w:rPr>
        <w:t xml:space="preserve"> medium term economic outlook has been revised down, with GDP growth forecast to reach 1.5% in 2019, rising to 2.1% in 2021. Weak economic performance and residual problems in tax administration have resulted in large revenu</w:t>
      </w:r>
      <w:r w:rsidR="003E7878" w:rsidRPr="00CF0A95">
        <w:rPr>
          <w:rFonts w:ascii="Arial" w:hAnsi="Arial" w:cs="Arial"/>
          <w:sz w:val="22"/>
          <w:szCs w:val="22"/>
          <w:lang w:val="en-US"/>
        </w:rPr>
        <w:t>e</w:t>
      </w:r>
      <w:r w:rsidR="000A0F52" w:rsidRPr="00CF0A95">
        <w:rPr>
          <w:rFonts w:ascii="Arial" w:hAnsi="Arial" w:cs="Arial"/>
          <w:sz w:val="22"/>
          <w:szCs w:val="22"/>
          <w:lang w:val="en-US"/>
        </w:rPr>
        <w:t xml:space="preserve"> shortfalls. The deteriorating financial position of state</w:t>
      </w:r>
      <w:r w:rsidR="0067492E" w:rsidRPr="00CF0A95">
        <w:rPr>
          <w:rFonts w:ascii="Arial" w:hAnsi="Arial" w:cs="Arial"/>
          <w:sz w:val="22"/>
          <w:szCs w:val="22"/>
          <w:lang w:val="en-US"/>
        </w:rPr>
        <w:t xml:space="preserve"> companies has put additional pressure on public finances.</w:t>
      </w:r>
    </w:p>
    <w:p w:rsidR="003B6BA1" w:rsidRPr="00CF0A95" w:rsidRDefault="003B6BA1" w:rsidP="00CE4652">
      <w:pPr>
        <w:autoSpaceDE w:val="0"/>
        <w:autoSpaceDN w:val="0"/>
        <w:adjustRightInd w:val="0"/>
        <w:spacing w:line="360" w:lineRule="auto"/>
        <w:ind w:left="360"/>
        <w:jc w:val="both"/>
        <w:rPr>
          <w:rFonts w:ascii="Arial" w:hAnsi="Arial" w:cs="Arial"/>
          <w:sz w:val="22"/>
          <w:szCs w:val="22"/>
          <w:lang w:val="en-US"/>
        </w:rPr>
      </w:pPr>
    </w:p>
    <w:p w:rsidR="003B6BA1" w:rsidRPr="00CF0A95" w:rsidRDefault="003B6BA1" w:rsidP="00CE4652">
      <w:pPr>
        <w:autoSpaceDE w:val="0"/>
        <w:autoSpaceDN w:val="0"/>
        <w:adjustRightInd w:val="0"/>
        <w:spacing w:line="360" w:lineRule="auto"/>
        <w:ind w:left="360"/>
        <w:jc w:val="both"/>
        <w:rPr>
          <w:rFonts w:ascii="Arial" w:hAnsi="Arial" w:cs="Arial"/>
          <w:sz w:val="22"/>
          <w:szCs w:val="22"/>
          <w:lang w:val="en-US"/>
        </w:rPr>
      </w:pPr>
      <w:r w:rsidRPr="00CF0A95">
        <w:rPr>
          <w:rFonts w:ascii="Arial" w:hAnsi="Arial" w:cs="Arial"/>
          <w:sz w:val="22"/>
          <w:szCs w:val="22"/>
          <w:lang w:val="en-US"/>
        </w:rPr>
        <w:t>In lig</w:t>
      </w:r>
      <w:bookmarkStart w:id="2" w:name="_GoBack"/>
      <w:bookmarkEnd w:id="2"/>
      <w:r w:rsidRPr="00CF0A95">
        <w:rPr>
          <w:rFonts w:ascii="Arial" w:hAnsi="Arial" w:cs="Arial"/>
          <w:sz w:val="22"/>
          <w:szCs w:val="22"/>
          <w:lang w:val="en-US"/>
        </w:rPr>
        <w:t>ht of these considerations, the 2019 Budget priorities are as follows:</w:t>
      </w:r>
    </w:p>
    <w:p w:rsidR="003B6BA1" w:rsidRPr="00CF0A95" w:rsidRDefault="003B6BA1" w:rsidP="00CE4652">
      <w:pPr>
        <w:autoSpaceDE w:val="0"/>
        <w:autoSpaceDN w:val="0"/>
        <w:adjustRightInd w:val="0"/>
        <w:spacing w:line="360" w:lineRule="auto"/>
        <w:ind w:left="360"/>
        <w:jc w:val="both"/>
        <w:rPr>
          <w:rFonts w:ascii="Arial" w:hAnsi="Arial" w:cs="Arial"/>
          <w:sz w:val="22"/>
          <w:szCs w:val="22"/>
          <w:lang w:val="en-US"/>
        </w:rPr>
      </w:pPr>
    </w:p>
    <w:p w:rsidR="003B6BA1" w:rsidRPr="00CF0A95" w:rsidRDefault="003B6BA1" w:rsidP="003B6BA1">
      <w:pPr>
        <w:pStyle w:val="ListParagraph"/>
        <w:numPr>
          <w:ilvl w:val="0"/>
          <w:numId w:val="36"/>
        </w:numPr>
        <w:autoSpaceDE w:val="0"/>
        <w:autoSpaceDN w:val="0"/>
        <w:adjustRightInd w:val="0"/>
        <w:spacing w:line="360" w:lineRule="auto"/>
        <w:jc w:val="both"/>
        <w:rPr>
          <w:rFonts w:ascii="Arial" w:hAnsi="Arial" w:cs="Arial"/>
          <w:sz w:val="22"/>
          <w:szCs w:val="22"/>
          <w:lang w:val="en-US"/>
        </w:rPr>
      </w:pPr>
      <w:r w:rsidRPr="00CF0A95">
        <w:rPr>
          <w:rFonts w:ascii="Arial" w:hAnsi="Arial" w:cs="Arial"/>
          <w:sz w:val="22"/>
          <w:szCs w:val="22"/>
          <w:lang w:val="en-US"/>
        </w:rPr>
        <w:t>Narrowing the budget deficit to stabilize the national debt-to-GDP ratio;</w:t>
      </w:r>
    </w:p>
    <w:p w:rsidR="003B6BA1" w:rsidRPr="00CF0A95" w:rsidRDefault="003B6BA1" w:rsidP="003B6BA1">
      <w:pPr>
        <w:pStyle w:val="ListParagraph"/>
        <w:numPr>
          <w:ilvl w:val="0"/>
          <w:numId w:val="36"/>
        </w:numPr>
        <w:autoSpaceDE w:val="0"/>
        <w:autoSpaceDN w:val="0"/>
        <w:adjustRightInd w:val="0"/>
        <w:spacing w:line="360" w:lineRule="auto"/>
        <w:jc w:val="both"/>
        <w:rPr>
          <w:rFonts w:ascii="Arial" w:hAnsi="Arial" w:cs="Arial"/>
          <w:sz w:val="22"/>
          <w:szCs w:val="22"/>
          <w:lang w:val="en-US"/>
        </w:rPr>
      </w:pPr>
      <w:r w:rsidRPr="00CF0A95">
        <w:rPr>
          <w:rFonts w:ascii="Arial" w:hAnsi="Arial" w:cs="Arial"/>
          <w:sz w:val="22"/>
          <w:szCs w:val="22"/>
          <w:lang w:val="en-US"/>
        </w:rPr>
        <w:t>Supporting the restructuring of the electricity sector, and reducing the immediate risks Eskom poses to the economy and the public finances;</w:t>
      </w:r>
    </w:p>
    <w:p w:rsidR="003B6BA1" w:rsidRPr="00CF0A95" w:rsidRDefault="003B6BA1" w:rsidP="003B6BA1">
      <w:pPr>
        <w:pStyle w:val="ListParagraph"/>
        <w:numPr>
          <w:ilvl w:val="0"/>
          <w:numId w:val="36"/>
        </w:numPr>
        <w:autoSpaceDE w:val="0"/>
        <w:autoSpaceDN w:val="0"/>
        <w:adjustRightInd w:val="0"/>
        <w:spacing w:line="360" w:lineRule="auto"/>
        <w:jc w:val="both"/>
        <w:rPr>
          <w:rFonts w:ascii="Arial" w:hAnsi="Arial" w:cs="Arial"/>
          <w:sz w:val="22"/>
          <w:szCs w:val="22"/>
          <w:lang w:val="en-US"/>
        </w:rPr>
      </w:pPr>
      <w:r w:rsidRPr="00CF0A95">
        <w:rPr>
          <w:rFonts w:ascii="Arial" w:hAnsi="Arial" w:cs="Arial"/>
          <w:sz w:val="22"/>
          <w:szCs w:val="22"/>
          <w:lang w:val="en-US"/>
        </w:rPr>
        <w:t>Renew economic growth by strengthening private sector investment, improving planning and implementation of infrastructure projects, and rebuilding state institutions.</w:t>
      </w:r>
    </w:p>
    <w:p w:rsidR="0067492E" w:rsidRPr="00CF0A95" w:rsidRDefault="0067492E" w:rsidP="00CE4652">
      <w:pPr>
        <w:autoSpaceDE w:val="0"/>
        <w:autoSpaceDN w:val="0"/>
        <w:adjustRightInd w:val="0"/>
        <w:spacing w:line="360" w:lineRule="auto"/>
        <w:ind w:left="360"/>
        <w:jc w:val="both"/>
        <w:rPr>
          <w:rFonts w:ascii="Arial" w:hAnsi="Arial" w:cs="Arial"/>
          <w:sz w:val="22"/>
          <w:szCs w:val="22"/>
          <w:lang w:val="en-US"/>
        </w:rPr>
      </w:pPr>
    </w:p>
    <w:p w:rsidR="003D338A" w:rsidRPr="00CF0A95" w:rsidRDefault="003D338A" w:rsidP="003D338A">
      <w:pPr>
        <w:spacing w:line="276" w:lineRule="auto"/>
        <w:ind w:left="284"/>
        <w:jc w:val="both"/>
        <w:rPr>
          <w:rFonts w:ascii="Arial" w:hAnsi="Arial" w:cs="Arial"/>
          <w:sz w:val="22"/>
          <w:szCs w:val="22"/>
        </w:rPr>
      </w:pPr>
      <w:r w:rsidRPr="00CF0A95">
        <w:rPr>
          <w:rFonts w:ascii="Arial" w:hAnsi="Arial" w:cs="Arial"/>
          <w:sz w:val="22"/>
          <w:szCs w:val="22"/>
          <w:lang w:val="en-US"/>
        </w:rPr>
        <w:lastRenderedPageBreak/>
        <w:t xml:space="preserve">Excluding the debt-service costs and the contingency reserves, the </w:t>
      </w:r>
      <w:r w:rsidRPr="00CF0A95">
        <w:rPr>
          <w:rFonts w:ascii="Arial" w:hAnsi="Arial" w:cs="Arial"/>
          <w:sz w:val="22"/>
          <w:szCs w:val="22"/>
        </w:rPr>
        <w:t>total revenue raised and to be allocated between the three spheres of government, amounts to R1</w:t>
      </w:r>
      <w:r w:rsidR="00D95AC8" w:rsidRPr="00CF0A95">
        <w:rPr>
          <w:rFonts w:ascii="Arial" w:hAnsi="Arial" w:cs="Arial"/>
          <w:sz w:val="22"/>
          <w:szCs w:val="22"/>
        </w:rPr>
        <w:t> 658 707</w:t>
      </w:r>
      <w:r w:rsidRPr="00CF0A95">
        <w:rPr>
          <w:rFonts w:ascii="Arial" w:hAnsi="Arial" w:cs="Arial"/>
          <w:sz w:val="22"/>
          <w:szCs w:val="22"/>
        </w:rPr>
        <w:t xml:space="preserve"> 000 in </w:t>
      </w:r>
      <w:r w:rsidR="00D95AC8" w:rsidRPr="00CF0A95">
        <w:rPr>
          <w:rFonts w:ascii="Arial" w:hAnsi="Arial" w:cs="Arial"/>
          <w:sz w:val="22"/>
          <w:szCs w:val="22"/>
        </w:rPr>
        <w:t xml:space="preserve">the </w:t>
      </w:r>
      <w:r w:rsidRPr="00CF0A95">
        <w:rPr>
          <w:rFonts w:ascii="Arial" w:hAnsi="Arial" w:cs="Arial"/>
          <w:sz w:val="22"/>
          <w:szCs w:val="22"/>
        </w:rPr>
        <w:t>201</w:t>
      </w:r>
      <w:r w:rsidR="00D95AC8" w:rsidRPr="00CF0A95">
        <w:rPr>
          <w:rFonts w:ascii="Arial" w:hAnsi="Arial" w:cs="Arial"/>
          <w:sz w:val="22"/>
          <w:szCs w:val="22"/>
        </w:rPr>
        <w:t>9/20 FY</w:t>
      </w:r>
      <w:r w:rsidRPr="00CF0A95">
        <w:rPr>
          <w:rFonts w:ascii="Arial" w:hAnsi="Arial" w:cs="Arial"/>
          <w:sz w:val="22"/>
          <w:szCs w:val="22"/>
        </w:rPr>
        <w:t>, increasing to R</w:t>
      </w:r>
      <w:r w:rsidRPr="00CF0A95">
        <w:rPr>
          <w:rFonts w:ascii="Arial" w:hAnsi="Arial" w:cs="Arial"/>
          <w:sz w:val="22"/>
          <w:szCs w:val="22"/>
          <w:lang w:val="en-ZA"/>
        </w:rPr>
        <w:t>1</w:t>
      </w:r>
      <w:r w:rsidR="00D95AC8" w:rsidRPr="00CF0A95">
        <w:rPr>
          <w:rFonts w:ascii="Arial" w:hAnsi="Arial" w:cs="Arial"/>
          <w:sz w:val="22"/>
          <w:szCs w:val="22"/>
          <w:lang w:val="en-ZA"/>
        </w:rPr>
        <w:t> 769 566</w:t>
      </w:r>
      <w:r w:rsidRPr="00CF0A95">
        <w:rPr>
          <w:rFonts w:ascii="Arial" w:hAnsi="Arial" w:cs="Arial"/>
          <w:sz w:val="22"/>
          <w:szCs w:val="22"/>
        </w:rPr>
        <w:t xml:space="preserve"> 000 in </w:t>
      </w:r>
      <w:r w:rsidR="00D95AC8" w:rsidRPr="00CF0A95">
        <w:rPr>
          <w:rFonts w:ascii="Arial" w:hAnsi="Arial" w:cs="Arial"/>
          <w:sz w:val="22"/>
          <w:szCs w:val="22"/>
        </w:rPr>
        <w:t xml:space="preserve">the 2020/21 FY </w:t>
      </w:r>
      <w:r w:rsidRPr="00CF0A95">
        <w:rPr>
          <w:rFonts w:ascii="Arial" w:hAnsi="Arial" w:cs="Arial"/>
          <w:sz w:val="22"/>
          <w:szCs w:val="22"/>
        </w:rPr>
        <w:t>and R</w:t>
      </w:r>
      <w:r w:rsidRPr="00CF0A95">
        <w:rPr>
          <w:rFonts w:ascii="Arial" w:hAnsi="Arial" w:cs="Arial"/>
          <w:sz w:val="22"/>
          <w:szCs w:val="22"/>
          <w:lang w:val="en-ZA"/>
        </w:rPr>
        <w:t>1</w:t>
      </w:r>
      <w:r w:rsidR="00D95AC8" w:rsidRPr="00CF0A95">
        <w:rPr>
          <w:rFonts w:ascii="Arial" w:hAnsi="Arial" w:cs="Arial"/>
          <w:sz w:val="22"/>
          <w:szCs w:val="22"/>
          <w:lang w:val="en-ZA"/>
        </w:rPr>
        <w:t> 900 485</w:t>
      </w:r>
      <w:r w:rsidRPr="00CF0A95">
        <w:rPr>
          <w:rFonts w:ascii="Arial" w:hAnsi="Arial" w:cs="Arial"/>
          <w:sz w:val="22"/>
          <w:szCs w:val="22"/>
          <w:lang w:val="en-ZA"/>
        </w:rPr>
        <w:t xml:space="preserve"> 000</w:t>
      </w:r>
      <w:r w:rsidRPr="00CF0A95">
        <w:rPr>
          <w:rFonts w:ascii="Arial" w:hAnsi="Arial" w:cs="Arial"/>
          <w:sz w:val="22"/>
          <w:szCs w:val="22"/>
        </w:rPr>
        <w:t xml:space="preserve"> in </w:t>
      </w:r>
      <w:r w:rsidR="00D95AC8" w:rsidRPr="00CF0A95">
        <w:rPr>
          <w:rFonts w:ascii="Arial" w:hAnsi="Arial" w:cs="Arial"/>
          <w:sz w:val="22"/>
          <w:szCs w:val="22"/>
        </w:rPr>
        <w:t xml:space="preserve">the </w:t>
      </w:r>
      <w:r w:rsidRPr="00CF0A95">
        <w:rPr>
          <w:rFonts w:ascii="Arial" w:hAnsi="Arial" w:cs="Arial"/>
          <w:sz w:val="22"/>
          <w:szCs w:val="22"/>
        </w:rPr>
        <w:t>202</w:t>
      </w:r>
      <w:r w:rsidR="00D95AC8" w:rsidRPr="00CF0A95">
        <w:rPr>
          <w:rFonts w:ascii="Arial" w:hAnsi="Arial" w:cs="Arial"/>
          <w:sz w:val="22"/>
          <w:szCs w:val="22"/>
        </w:rPr>
        <w:t>1</w:t>
      </w:r>
      <w:r w:rsidRPr="00CF0A95">
        <w:rPr>
          <w:rFonts w:ascii="Arial" w:hAnsi="Arial" w:cs="Arial"/>
          <w:sz w:val="22"/>
          <w:szCs w:val="22"/>
        </w:rPr>
        <w:t>/2</w:t>
      </w:r>
      <w:r w:rsidR="00D95AC8" w:rsidRPr="00CF0A95">
        <w:rPr>
          <w:rFonts w:ascii="Arial" w:hAnsi="Arial" w:cs="Arial"/>
          <w:sz w:val="22"/>
          <w:szCs w:val="22"/>
        </w:rPr>
        <w:t>2</w:t>
      </w:r>
      <w:r w:rsidRPr="00CF0A95">
        <w:rPr>
          <w:rFonts w:ascii="Arial" w:hAnsi="Arial" w:cs="Arial"/>
          <w:sz w:val="22"/>
          <w:szCs w:val="22"/>
        </w:rPr>
        <w:t xml:space="preserve"> </w:t>
      </w:r>
      <w:r w:rsidR="00D95AC8" w:rsidRPr="00CF0A95">
        <w:rPr>
          <w:rFonts w:ascii="Arial" w:hAnsi="Arial" w:cs="Arial"/>
          <w:sz w:val="22"/>
          <w:szCs w:val="22"/>
        </w:rPr>
        <w:t>FY</w:t>
      </w:r>
      <w:r w:rsidRPr="00CF0A95">
        <w:rPr>
          <w:rFonts w:ascii="Arial" w:hAnsi="Arial" w:cs="Arial"/>
          <w:sz w:val="22"/>
          <w:szCs w:val="22"/>
        </w:rPr>
        <w:t xml:space="preserve">. </w:t>
      </w:r>
      <w:r w:rsidRPr="00CF0A95">
        <w:rPr>
          <w:rFonts w:ascii="Arial" w:hAnsi="Arial" w:cs="Arial"/>
          <w:b/>
          <w:sz w:val="22"/>
          <w:szCs w:val="22"/>
        </w:rPr>
        <w:t>Of importance, the Portfolio Committee also notes that these allocations take into consideration government’s spending priorities, each sphere’s revenue raising capacity and responsibilities, and input from various intergovernmental forums and the recommendations of the FFC.</w:t>
      </w:r>
      <w:r w:rsidRPr="00CF0A95">
        <w:rPr>
          <w:rFonts w:ascii="Arial" w:hAnsi="Arial" w:cs="Arial"/>
          <w:sz w:val="22"/>
          <w:szCs w:val="22"/>
        </w:rPr>
        <w:t xml:space="preserve"> </w:t>
      </w:r>
    </w:p>
    <w:p w:rsidR="000B63DA" w:rsidRPr="00CF0A95" w:rsidRDefault="000B63DA" w:rsidP="002F0A9A">
      <w:pPr>
        <w:pStyle w:val="ListParagraph"/>
        <w:ind w:left="360"/>
        <w:jc w:val="both"/>
        <w:rPr>
          <w:rFonts w:ascii="Arial" w:hAnsi="Arial" w:cs="Arial"/>
          <w:sz w:val="22"/>
          <w:szCs w:val="22"/>
          <w:lang w:val="en-ZA"/>
        </w:rPr>
      </w:pPr>
    </w:p>
    <w:p w:rsidR="001065F3" w:rsidRPr="00CF0A95" w:rsidRDefault="001065F3" w:rsidP="000020DB">
      <w:pPr>
        <w:autoSpaceDE w:val="0"/>
        <w:autoSpaceDN w:val="0"/>
        <w:adjustRightInd w:val="0"/>
        <w:ind w:left="360" w:hanging="76"/>
        <w:jc w:val="both"/>
        <w:rPr>
          <w:rFonts w:ascii="Arial" w:hAnsi="Arial" w:cs="Arial"/>
          <w:b/>
          <w:sz w:val="16"/>
          <w:szCs w:val="16"/>
          <w:lang w:val="en-ZA"/>
        </w:rPr>
      </w:pPr>
      <w:r w:rsidRPr="00CF0A95">
        <w:rPr>
          <w:rFonts w:ascii="Arial" w:hAnsi="Arial" w:cs="Arial"/>
          <w:b/>
          <w:sz w:val="16"/>
          <w:szCs w:val="16"/>
          <w:lang w:val="en-ZA"/>
        </w:rPr>
        <w:t>Table 1: To</w:t>
      </w:r>
      <w:r w:rsidR="00007066" w:rsidRPr="00CF0A95">
        <w:rPr>
          <w:rFonts w:ascii="Arial" w:hAnsi="Arial" w:cs="Arial"/>
          <w:b/>
          <w:sz w:val="16"/>
          <w:szCs w:val="16"/>
          <w:lang w:val="en-ZA"/>
        </w:rPr>
        <w:t>tal Transfers to provinces, 201</w:t>
      </w:r>
      <w:r w:rsidR="00DF78F4" w:rsidRPr="00CF0A95">
        <w:rPr>
          <w:rFonts w:ascii="Arial" w:hAnsi="Arial" w:cs="Arial"/>
          <w:b/>
          <w:sz w:val="16"/>
          <w:szCs w:val="16"/>
          <w:lang w:val="en-ZA"/>
        </w:rPr>
        <w:t>9/20</w:t>
      </w:r>
    </w:p>
    <w:tbl>
      <w:tblPr>
        <w:tblStyle w:val="TableGrid"/>
        <w:tblW w:w="9450" w:type="dxa"/>
        <w:tblInd w:w="355" w:type="dxa"/>
        <w:tblLook w:val="04A0"/>
      </w:tblPr>
      <w:tblGrid>
        <w:gridCol w:w="2700"/>
        <w:gridCol w:w="2070"/>
        <w:gridCol w:w="2610"/>
        <w:gridCol w:w="2070"/>
      </w:tblGrid>
      <w:tr w:rsidR="00CF0A95" w:rsidRPr="00CF0A95" w:rsidTr="00CB36B5">
        <w:tc>
          <w:tcPr>
            <w:tcW w:w="2700" w:type="dxa"/>
          </w:tcPr>
          <w:p w:rsidR="00DD03B6" w:rsidRPr="00CF0A95" w:rsidRDefault="00DD03B6" w:rsidP="002F0A9A">
            <w:pPr>
              <w:pStyle w:val="ListParagraph"/>
              <w:tabs>
                <w:tab w:val="left" w:pos="360"/>
              </w:tabs>
              <w:ind w:left="0"/>
              <w:jc w:val="both"/>
              <w:rPr>
                <w:rFonts w:ascii="Arial" w:hAnsi="Arial" w:cs="Arial"/>
                <w:b/>
                <w:sz w:val="20"/>
                <w:szCs w:val="20"/>
                <w:lang w:val="en-ZA"/>
              </w:rPr>
            </w:pPr>
            <w:r w:rsidRPr="00CF0A95">
              <w:rPr>
                <w:rFonts w:ascii="Arial" w:hAnsi="Arial" w:cs="Arial"/>
                <w:b/>
                <w:sz w:val="20"/>
                <w:szCs w:val="20"/>
                <w:lang w:val="en-ZA"/>
              </w:rPr>
              <w:t>R million</w:t>
            </w:r>
          </w:p>
        </w:tc>
        <w:tc>
          <w:tcPr>
            <w:tcW w:w="2070" w:type="dxa"/>
          </w:tcPr>
          <w:p w:rsidR="00DD03B6" w:rsidRPr="00CF0A95" w:rsidRDefault="00DD03B6" w:rsidP="002F0A9A">
            <w:pPr>
              <w:pStyle w:val="ListParagraph"/>
              <w:tabs>
                <w:tab w:val="left" w:pos="360"/>
              </w:tabs>
              <w:ind w:left="0"/>
              <w:jc w:val="both"/>
              <w:rPr>
                <w:rFonts w:ascii="Arial" w:hAnsi="Arial" w:cs="Arial"/>
                <w:b/>
                <w:sz w:val="20"/>
                <w:szCs w:val="20"/>
                <w:lang w:val="en-ZA"/>
              </w:rPr>
            </w:pPr>
            <w:r w:rsidRPr="00CF0A95">
              <w:rPr>
                <w:rFonts w:ascii="Arial" w:hAnsi="Arial" w:cs="Arial"/>
                <w:b/>
                <w:sz w:val="20"/>
                <w:szCs w:val="20"/>
                <w:lang w:val="en-ZA"/>
              </w:rPr>
              <w:t>Equitable Share</w:t>
            </w:r>
          </w:p>
        </w:tc>
        <w:tc>
          <w:tcPr>
            <w:tcW w:w="2610" w:type="dxa"/>
          </w:tcPr>
          <w:p w:rsidR="00DD03B6" w:rsidRPr="00CF0A95" w:rsidRDefault="00DD03B6" w:rsidP="002F0A9A">
            <w:pPr>
              <w:pStyle w:val="ListParagraph"/>
              <w:tabs>
                <w:tab w:val="left" w:pos="360"/>
              </w:tabs>
              <w:ind w:left="0"/>
              <w:jc w:val="both"/>
              <w:rPr>
                <w:rFonts w:ascii="Arial" w:hAnsi="Arial" w:cs="Arial"/>
                <w:b/>
                <w:sz w:val="20"/>
                <w:szCs w:val="20"/>
                <w:lang w:val="en-ZA"/>
              </w:rPr>
            </w:pPr>
            <w:r w:rsidRPr="00CF0A95">
              <w:rPr>
                <w:rFonts w:ascii="Arial" w:hAnsi="Arial" w:cs="Arial"/>
                <w:b/>
                <w:sz w:val="20"/>
                <w:szCs w:val="20"/>
                <w:lang w:val="en-ZA"/>
              </w:rPr>
              <w:t>Conditional Grants</w:t>
            </w:r>
          </w:p>
        </w:tc>
        <w:tc>
          <w:tcPr>
            <w:tcW w:w="2070" w:type="dxa"/>
          </w:tcPr>
          <w:p w:rsidR="00DD03B6" w:rsidRPr="00CF0A95" w:rsidRDefault="00DD03B6" w:rsidP="002F0A9A">
            <w:pPr>
              <w:pStyle w:val="ListParagraph"/>
              <w:tabs>
                <w:tab w:val="left" w:pos="360"/>
              </w:tabs>
              <w:ind w:left="0"/>
              <w:jc w:val="both"/>
              <w:rPr>
                <w:rFonts w:ascii="Arial" w:hAnsi="Arial" w:cs="Arial"/>
                <w:b/>
                <w:sz w:val="20"/>
                <w:szCs w:val="20"/>
                <w:lang w:val="en-ZA"/>
              </w:rPr>
            </w:pPr>
            <w:r w:rsidRPr="00CF0A95">
              <w:rPr>
                <w:rFonts w:ascii="Arial" w:hAnsi="Arial" w:cs="Arial"/>
                <w:b/>
                <w:sz w:val="20"/>
                <w:szCs w:val="20"/>
                <w:lang w:val="en-ZA"/>
              </w:rPr>
              <w:t>Total Transfers</w:t>
            </w:r>
          </w:p>
        </w:tc>
      </w:tr>
      <w:tr w:rsidR="00CF0A95" w:rsidRPr="00CF0A95" w:rsidTr="00CB36B5">
        <w:tc>
          <w:tcPr>
            <w:tcW w:w="2700" w:type="dxa"/>
          </w:tcPr>
          <w:p w:rsidR="00DD03B6" w:rsidRPr="00CF0A95" w:rsidRDefault="001065F3" w:rsidP="002F0A9A">
            <w:pPr>
              <w:pStyle w:val="ListParagraph"/>
              <w:tabs>
                <w:tab w:val="left" w:pos="360"/>
              </w:tabs>
              <w:ind w:left="0"/>
              <w:jc w:val="both"/>
              <w:rPr>
                <w:rFonts w:ascii="Arial" w:hAnsi="Arial" w:cs="Arial"/>
                <w:sz w:val="20"/>
                <w:szCs w:val="20"/>
                <w:lang w:val="en-ZA"/>
              </w:rPr>
            </w:pPr>
            <w:r w:rsidRPr="00CF0A95">
              <w:rPr>
                <w:rFonts w:ascii="Arial" w:hAnsi="Arial" w:cs="Arial"/>
                <w:sz w:val="20"/>
                <w:szCs w:val="20"/>
                <w:lang w:val="en-ZA"/>
              </w:rPr>
              <w:t>Eastern Cape</w:t>
            </w:r>
          </w:p>
        </w:tc>
        <w:tc>
          <w:tcPr>
            <w:tcW w:w="2070" w:type="dxa"/>
          </w:tcPr>
          <w:p w:rsidR="00DD03B6" w:rsidRPr="00CF0A95" w:rsidRDefault="00D458BD" w:rsidP="00D458BD">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68 824</w:t>
            </w:r>
          </w:p>
        </w:tc>
        <w:tc>
          <w:tcPr>
            <w:tcW w:w="2610" w:type="dxa"/>
          </w:tcPr>
          <w:p w:rsidR="00DD03B6" w:rsidRPr="00CF0A95" w:rsidRDefault="00115470" w:rsidP="00D458BD">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1</w:t>
            </w:r>
            <w:r w:rsidR="00D458BD" w:rsidRPr="00CF0A95">
              <w:rPr>
                <w:rFonts w:ascii="Arial" w:hAnsi="Arial" w:cs="Arial"/>
                <w:sz w:val="20"/>
                <w:szCs w:val="20"/>
                <w:lang w:val="en-ZA"/>
              </w:rPr>
              <w:t>2 079</w:t>
            </w:r>
          </w:p>
        </w:tc>
        <w:tc>
          <w:tcPr>
            <w:tcW w:w="2070" w:type="dxa"/>
          </w:tcPr>
          <w:p w:rsidR="00DD03B6" w:rsidRPr="00CF0A95" w:rsidRDefault="00D458BD" w:rsidP="001F27C4">
            <w:pPr>
              <w:pStyle w:val="ListParagraph"/>
              <w:tabs>
                <w:tab w:val="left" w:pos="360"/>
              </w:tabs>
              <w:ind w:left="0"/>
              <w:jc w:val="right"/>
              <w:rPr>
                <w:rFonts w:ascii="Arial" w:hAnsi="Arial" w:cs="Arial"/>
                <w:b/>
                <w:sz w:val="20"/>
                <w:szCs w:val="20"/>
                <w:lang w:val="en-ZA"/>
              </w:rPr>
            </w:pPr>
            <w:r w:rsidRPr="00CF0A95">
              <w:rPr>
                <w:rFonts w:ascii="Arial" w:hAnsi="Arial" w:cs="Arial"/>
                <w:b/>
                <w:sz w:val="20"/>
                <w:szCs w:val="20"/>
                <w:lang w:val="en-ZA"/>
              </w:rPr>
              <w:t>80 903</w:t>
            </w:r>
          </w:p>
        </w:tc>
      </w:tr>
      <w:tr w:rsidR="00CF0A95" w:rsidRPr="00CF0A95" w:rsidTr="00CB36B5">
        <w:tc>
          <w:tcPr>
            <w:tcW w:w="2700" w:type="dxa"/>
          </w:tcPr>
          <w:p w:rsidR="00DD03B6" w:rsidRPr="00CF0A95" w:rsidRDefault="00DD03B6" w:rsidP="002F0A9A">
            <w:pPr>
              <w:pStyle w:val="ListParagraph"/>
              <w:tabs>
                <w:tab w:val="left" w:pos="360"/>
              </w:tabs>
              <w:ind w:left="0"/>
              <w:jc w:val="both"/>
              <w:rPr>
                <w:rFonts w:ascii="Arial" w:hAnsi="Arial" w:cs="Arial"/>
                <w:sz w:val="20"/>
                <w:szCs w:val="20"/>
                <w:lang w:val="en-ZA"/>
              </w:rPr>
            </w:pPr>
            <w:r w:rsidRPr="00CF0A95">
              <w:rPr>
                <w:rFonts w:ascii="Arial" w:hAnsi="Arial" w:cs="Arial"/>
                <w:sz w:val="20"/>
                <w:szCs w:val="20"/>
                <w:lang w:val="en-ZA"/>
              </w:rPr>
              <w:t>Free State</w:t>
            </w:r>
          </w:p>
        </w:tc>
        <w:tc>
          <w:tcPr>
            <w:tcW w:w="2070" w:type="dxa"/>
          </w:tcPr>
          <w:p w:rsidR="00DD03B6" w:rsidRPr="00CF0A95" w:rsidRDefault="00115470" w:rsidP="00D458BD">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2</w:t>
            </w:r>
            <w:r w:rsidR="00D458BD" w:rsidRPr="00CF0A95">
              <w:rPr>
                <w:rFonts w:ascii="Arial" w:hAnsi="Arial" w:cs="Arial"/>
                <w:sz w:val="20"/>
                <w:szCs w:val="20"/>
                <w:lang w:val="en-ZA"/>
              </w:rPr>
              <w:t>8 187</w:t>
            </w:r>
          </w:p>
        </w:tc>
        <w:tc>
          <w:tcPr>
            <w:tcW w:w="2610" w:type="dxa"/>
          </w:tcPr>
          <w:p w:rsidR="00DD03B6" w:rsidRPr="00CF0A95" w:rsidRDefault="00D458BD" w:rsidP="00C7723E">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7 863</w:t>
            </w:r>
          </w:p>
        </w:tc>
        <w:tc>
          <w:tcPr>
            <w:tcW w:w="2070" w:type="dxa"/>
          </w:tcPr>
          <w:p w:rsidR="00DD03B6" w:rsidRPr="00CF0A95" w:rsidRDefault="00D458BD" w:rsidP="00D458BD">
            <w:pPr>
              <w:pStyle w:val="ListParagraph"/>
              <w:tabs>
                <w:tab w:val="left" w:pos="360"/>
              </w:tabs>
              <w:ind w:left="0"/>
              <w:jc w:val="right"/>
              <w:rPr>
                <w:rFonts w:ascii="Arial" w:hAnsi="Arial" w:cs="Arial"/>
                <w:b/>
                <w:sz w:val="20"/>
                <w:szCs w:val="20"/>
                <w:lang w:val="en-ZA"/>
              </w:rPr>
            </w:pPr>
            <w:r w:rsidRPr="00CF0A95">
              <w:rPr>
                <w:rFonts w:ascii="Arial" w:hAnsi="Arial" w:cs="Arial"/>
                <w:b/>
                <w:sz w:val="20"/>
                <w:szCs w:val="20"/>
                <w:lang w:val="en-ZA"/>
              </w:rPr>
              <w:t>36 049</w:t>
            </w:r>
          </w:p>
        </w:tc>
      </w:tr>
      <w:tr w:rsidR="00CF0A95" w:rsidRPr="00CF0A95" w:rsidTr="003E6D49">
        <w:tc>
          <w:tcPr>
            <w:tcW w:w="2700" w:type="dxa"/>
            <w:shd w:val="clear" w:color="auto" w:fill="FFFF00"/>
          </w:tcPr>
          <w:p w:rsidR="00DD03B6" w:rsidRPr="00CF0A95" w:rsidRDefault="00DD03B6" w:rsidP="002F0A9A">
            <w:pPr>
              <w:pStyle w:val="ListParagraph"/>
              <w:tabs>
                <w:tab w:val="left" w:pos="360"/>
              </w:tabs>
              <w:ind w:left="0"/>
              <w:jc w:val="both"/>
              <w:rPr>
                <w:rFonts w:ascii="Arial" w:hAnsi="Arial" w:cs="Arial"/>
                <w:sz w:val="20"/>
                <w:szCs w:val="20"/>
                <w:lang w:val="en-ZA"/>
              </w:rPr>
            </w:pPr>
            <w:r w:rsidRPr="00CF0A95">
              <w:rPr>
                <w:rFonts w:ascii="Arial" w:hAnsi="Arial" w:cs="Arial"/>
                <w:sz w:val="20"/>
                <w:szCs w:val="20"/>
                <w:lang w:val="en-ZA"/>
              </w:rPr>
              <w:t>Gauteng</w:t>
            </w:r>
          </w:p>
        </w:tc>
        <w:tc>
          <w:tcPr>
            <w:tcW w:w="2070" w:type="dxa"/>
            <w:shd w:val="clear" w:color="auto" w:fill="FFFF00"/>
          </w:tcPr>
          <w:p w:rsidR="00DD03B6" w:rsidRPr="00CF0A95" w:rsidRDefault="00D458BD" w:rsidP="00C7723E">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102 448</w:t>
            </w:r>
          </w:p>
        </w:tc>
        <w:tc>
          <w:tcPr>
            <w:tcW w:w="2610" w:type="dxa"/>
            <w:shd w:val="clear" w:color="auto" w:fill="FFFF00"/>
          </w:tcPr>
          <w:p w:rsidR="00DD03B6" w:rsidRPr="00CF0A95" w:rsidRDefault="00D458BD" w:rsidP="00C7723E">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23 077</w:t>
            </w:r>
          </w:p>
        </w:tc>
        <w:tc>
          <w:tcPr>
            <w:tcW w:w="2070" w:type="dxa"/>
            <w:shd w:val="clear" w:color="auto" w:fill="FFFF00"/>
          </w:tcPr>
          <w:p w:rsidR="00DD03B6" w:rsidRPr="00CF0A95" w:rsidRDefault="00D458BD" w:rsidP="00C7723E">
            <w:pPr>
              <w:pStyle w:val="ListParagraph"/>
              <w:tabs>
                <w:tab w:val="left" w:pos="360"/>
              </w:tabs>
              <w:ind w:left="0"/>
              <w:jc w:val="right"/>
              <w:rPr>
                <w:rFonts w:ascii="Arial" w:hAnsi="Arial" w:cs="Arial"/>
                <w:b/>
                <w:sz w:val="20"/>
                <w:szCs w:val="20"/>
                <w:lang w:val="en-ZA"/>
              </w:rPr>
            </w:pPr>
            <w:r w:rsidRPr="00CF0A95">
              <w:rPr>
                <w:rFonts w:ascii="Arial" w:hAnsi="Arial" w:cs="Arial"/>
                <w:b/>
                <w:sz w:val="20"/>
                <w:szCs w:val="20"/>
                <w:lang w:val="en-ZA"/>
              </w:rPr>
              <w:t>125 525</w:t>
            </w:r>
          </w:p>
        </w:tc>
      </w:tr>
      <w:tr w:rsidR="00CF0A95" w:rsidRPr="00CF0A95" w:rsidTr="00CB36B5">
        <w:tc>
          <w:tcPr>
            <w:tcW w:w="2700" w:type="dxa"/>
          </w:tcPr>
          <w:p w:rsidR="00DD03B6" w:rsidRPr="00CF0A95" w:rsidRDefault="00DD03B6" w:rsidP="002F0A9A">
            <w:pPr>
              <w:pStyle w:val="ListParagraph"/>
              <w:tabs>
                <w:tab w:val="left" w:pos="360"/>
              </w:tabs>
              <w:ind w:left="0"/>
              <w:jc w:val="both"/>
              <w:rPr>
                <w:rFonts w:ascii="Arial" w:hAnsi="Arial" w:cs="Arial"/>
                <w:sz w:val="20"/>
                <w:szCs w:val="20"/>
                <w:lang w:val="en-ZA"/>
              </w:rPr>
            </w:pPr>
            <w:r w:rsidRPr="00CF0A95">
              <w:rPr>
                <w:rFonts w:ascii="Arial" w:hAnsi="Arial" w:cs="Arial"/>
                <w:sz w:val="20"/>
                <w:szCs w:val="20"/>
                <w:lang w:val="en-ZA"/>
              </w:rPr>
              <w:t>Kwa</w:t>
            </w:r>
            <w:r w:rsidR="009D4E92" w:rsidRPr="00CF0A95">
              <w:rPr>
                <w:rFonts w:ascii="Arial" w:hAnsi="Arial" w:cs="Arial"/>
                <w:sz w:val="20"/>
                <w:szCs w:val="20"/>
                <w:lang w:val="en-ZA"/>
              </w:rPr>
              <w:t>-</w:t>
            </w:r>
            <w:r w:rsidRPr="00CF0A95">
              <w:rPr>
                <w:rFonts w:ascii="Arial" w:hAnsi="Arial" w:cs="Arial"/>
                <w:sz w:val="20"/>
                <w:szCs w:val="20"/>
                <w:lang w:val="en-ZA"/>
              </w:rPr>
              <w:t>Zulu Natal</w:t>
            </w:r>
          </w:p>
        </w:tc>
        <w:tc>
          <w:tcPr>
            <w:tcW w:w="2070" w:type="dxa"/>
          </w:tcPr>
          <w:p w:rsidR="00DD03B6" w:rsidRPr="00CF0A95" w:rsidRDefault="00D458BD" w:rsidP="002F0A9A">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106 014</w:t>
            </w:r>
          </w:p>
        </w:tc>
        <w:tc>
          <w:tcPr>
            <w:tcW w:w="2610" w:type="dxa"/>
          </w:tcPr>
          <w:p w:rsidR="00DD03B6" w:rsidRPr="00CF0A95" w:rsidRDefault="00D458BD" w:rsidP="002F0A9A">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21 137</w:t>
            </w:r>
          </w:p>
        </w:tc>
        <w:tc>
          <w:tcPr>
            <w:tcW w:w="2070" w:type="dxa"/>
          </w:tcPr>
          <w:p w:rsidR="00DD03B6" w:rsidRPr="00CF0A95" w:rsidRDefault="00D458BD" w:rsidP="002F0A9A">
            <w:pPr>
              <w:pStyle w:val="ListParagraph"/>
              <w:tabs>
                <w:tab w:val="left" w:pos="360"/>
              </w:tabs>
              <w:ind w:left="0"/>
              <w:jc w:val="right"/>
              <w:rPr>
                <w:rFonts w:ascii="Arial" w:hAnsi="Arial" w:cs="Arial"/>
                <w:b/>
                <w:sz w:val="20"/>
                <w:szCs w:val="20"/>
                <w:lang w:val="en-ZA"/>
              </w:rPr>
            </w:pPr>
            <w:r w:rsidRPr="00CF0A95">
              <w:rPr>
                <w:rFonts w:ascii="Arial" w:hAnsi="Arial" w:cs="Arial"/>
                <w:b/>
                <w:sz w:val="20"/>
                <w:szCs w:val="20"/>
                <w:lang w:val="en-ZA"/>
              </w:rPr>
              <w:t>127 151</w:t>
            </w:r>
          </w:p>
        </w:tc>
      </w:tr>
      <w:tr w:rsidR="00CF0A95" w:rsidRPr="00CF0A95" w:rsidTr="00CB36B5">
        <w:tc>
          <w:tcPr>
            <w:tcW w:w="2700" w:type="dxa"/>
          </w:tcPr>
          <w:p w:rsidR="00DD03B6" w:rsidRPr="00CF0A95" w:rsidRDefault="00DD03B6" w:rsidP="002F0A9A">
            <w:pPr>
              <w:pStyle w:val="ListParagraph"/>
              <w:tabs>
                <w:tab w:val="left" w:pos="360"/>
              </w:tabs>
              <w:ind w:left="0"/>
              <w:jc w:val="both"/>
              <w:rPr>
                <w:rFonts w:ascii="Arial" w:hAnsi="Arial" w:cs="Arial"/>
                <w:sz w:val="20"/>
                <w:szCs w:val="20"/>
                <w:lang w:val="en-ZA"/>
              </w:rPr>
            </w:pPr>
            <w:r w:rsidRPr="00CF0A95">
              <w:rPr>
                <w:rFonts w:ascii="Arial" w:hAnsi="Arial" w:cs="Arial"/>
                <w:sz w:val="20"/>
                <w:szCs w:val="20"/>
                <w:lang w:val="en-ZA"/>
              </w:rPr>
              <w:t>Limpopo</w:t>
            </w:r>
          </w:p>
        </w:tc>
        <w:tc>
          <w:tcPr>
            <w:tcW w:w="2070" w:type="dxa"/>
          </w:tcPr>
          <w:p w:rsidR="00DD03B6" w:rsidRPr="00CF0A95" w:rsidRDefault="00D458BD" w:rsidP="002F0A9A">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58 965</w:t>
            </w:r>
          </w:p>
        </w:tc>
        <w:tc>
          <w:tcPr>
            <w:tcW w:w="2610" w:type="dxa"/>
          </w:tcPr>
          <w:p w:rsidR="00DD03B6" w:rsidRPr="00CF0A95" w:rsidRDefault="00DF78F4" w:rsidP="002F0A9A">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9 061</w:t>
            </w:r>
          </w:p>
        </w:tc>
        <w:tc>
          <w:tcPr>
            <w:tcW w:w="2070" w:type="dxa"/>
          </w:tcPr>
          <w:p w:rsidR="00DD03B6" w:rsidRPr="00CF0A95" w:rsidRDefault="00DF78F4" w:rsidP="002F0A9A">
            <w:pPr>
              <w:pStyle w:val="ListParagraph"/>
              <w:tabs>
                <w:tab w:val="left" w:pos="360"/>
              </w:tabs>
              <w:ind w:left="0"/>
              <w:jc w:val="right"/>
              <w:rPr>
                <w:rFonts w:ascii="Arial" w:hAnsi="Arial" w:cs="Arial"/>
                <w:b/>
                <w:sz w:val="20"/>
                <w:szCs w:val="20"/>
                <w:lang w:val="en-ZA"/>
              </w:rPr>
            </w:pPr>
            <w:r w:rsidRPr="00CF0A95">
              <w:rPr>
                <w:rFonts w:ascii="Arial" w:hAnsi="Arial" w:cs="Arial"/>
                <w:b/>
                <w:sz w:val="20"/>
                <w:szCs w:val="20"/>
                <w:lang w:val="en-ZA"/>
              </w:rPr>
              <w:t>68 026</w:t>
            </w:r>
          </w:p>
        </w:tc>
      </w:tr>
      <w:tr w:rsidR="00CF0A95" w:rsidRPr="00CF0A95" w:rsidTr="00CB36B5">
        <w:tc>
          <w:tcPr>
            <w:tcW w:w="2700" w:type="dxa"/>
          </w:tcPr>
          <w:p w:rsidR="00DD03B6" w:rsidRPr="00CF0A95" w:rsidRDefault="00DD03B6" w:rsidP="002F0A9A">
            <w:pPr>
              <w:pStyle w:val="ListParagraph"/>
              <w:tabs>
                <w:tab w:val="left" w:pos="360"/>
              </w:tabs>
              <w:ind w:left="0"/>
              <w:jc w:val="both"/>
              <w:rPr>
                <w:rFonts w:ascii="Arial" w:hAnsi="Arial" w:cs="Arial"/>
                <w:sz w:val="20"/>
                <w:szCs w:val="20"/>
                <w:lang w:val="en-ZA"/>
              </w:rPr>
            </w:pPr>
            <w:r w:rsidRPr="00CF0A95">
              <w:rPr>
                <w:rFonts w:ascii="Arial" w:hAnsi="Arial" w:cs="Arial"/>
                <w:sz w:val="20"/>
                <w:szCs w:val="20"/>
                <w:lang w:val="en-ZA"/>
              </w:rPr>
              <w:t>Mpumalanga</w:t>
            </w:r>
          </w:p>
        </w:tc>
        <w:tc>
          <w:tcPr>
            <w:tcW w:w="2070" w:type="dxa"/>
          </w:tcPr>
          <w:p w:rsidR="00DD03B6" w:rsidRPr="00CF0A95" w:rsidRDefault="00DF78F4" w:rsidP="002F0A9A">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41 428</w:t>
            </w:r>
          </w:p>
        </w:tc>
        <w:tc>
          <w:tcPr>
            <w:tcW w:w="2610" w:type="dxa"/>
          </w:tcPr>
          <w:p w:rsidR="00DD03B6" w:rsidRPr="00CF0A95" w:rsidRDefault="00DF78F4" w:rsidP="002F0A9A">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8 245</w:t>
            </w:r>
          </w:p>
        </w:tc>
        <w:tc>
          <w:tcPr>
            <w:tcW w:w="2070" w:type="dxa"/>
          </w:tcPr>
          <w:p w:rsidR="00DD03B6" w:rsidRPr="00CF0A95" w:rsidRDefault="00DF78F4" w:rsidP="002F0A9A">
            <w:pPr>
              <w:pStyle w:val="ListParagraph"/>
              <w:tabs>
                <w:tab w:val="left" w:pos="360"/>
              </w:tabs>
              <w:ind w:left="0"/>
              <w:jc w:val="right"/>
              <w:rPr>
                <w:rFonts w:ascii="Arial" w:hAnsi="Arial" w:cs="Arial"/>
                <w:b/>
                <w:sz w:val="20"/>
                <w:szCs w:val="20"/>
                <w:lang w:val="en-ZA"/>
              </w:rPr>
            </w:pPr>
            <w:r w:rsidRPr="00CF0A95">
              <w:rPr>
                <w:rFonts w:ascii="Arial" w:hAnsi="Arial" w:cs="Arial"/>
                <w:b/>
                <w:sz w:val="20"/>
                <w:szCs w:val="20"/>
                <w:lang w:val="en-ZA"/>
              </w:rPr>
              <w:t>49 673</w:t>
            </w:r>
          </w:p>
        </w:tc>
      </w:tr>
      <w:tr w:rsidR="00CF0A95" w:rsidRPr="00CF0A95" w:rsidTr="00CB36B5">
        <w:tc>
          <w:tcPr>
            <w:tcW w:w="2700" w:type="dxa"/>
          </w:tcPr>
          <w:p w:rsidR="00DD03B6" w:rsidRPr="00CF0A95" w:rsidRDefault="00DD03B6" w:rsidP="002F0A9A">
            <w:pPr>
              <w:pStyle w:val="ListParagraph"/>
              <w:tabs>
                <w:tab w:val="left" w:pos="360"/>
              </w:tabs>
              <w:ind w:left="0"/>
              <w:jc w:val="both"/>
              <w:rPr>
                <w:rFonts w:ascii="Arial" w:hAnsi="Arial" w:cs="Arial"/>
                <w:sz w:val="20"/>
                <w:szCs w:val="20"/>
                <w:lang w:val="en-ZA"/>
              </w:rPr>
            </w:pPr>
            <w:r w:rsidRPr="00CF0A95">
              <w:rPr>
                <w:rFonts w:ascii="Arial" w:hAnsi="Arial" w:cs="Arial"/>
                <w:sz w:val="20"/>
                <w:szCs w:val="20"/>
                <w:lang w:val="en-ZA"/>
              </w:rPr>
              <w:t>Northern Cape</w:t>
            </w:r>
          </w:p>
        </w:tc>
        <w:tc>
          <w:tcPr>
            <w:tcW w:w="2070" w:type="dxa"/>
          </w:tcPr>
          <w:p w:rsidR="00DD03B6" w:rsidRPr="00CF0A95" w:rsidRDefault="00DF78F4" w:rsidP="00C7723E">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13 424</w:t>
            </w:r>
          </w:p>
        </w:tc>
        <w:tc>
          <w:tcPr>
            <w:tcW w:w="2610" w:type="dxa"/>
          </w:tcPr>
          <w:p w:rsidR="00DD03B6" w:rsidRPr="00CF0A95" w:rsidRDefault="00DF78F4" w:rsidP="002F0A9A">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4 483</w:t>
            </w:r>
          </w:p>
        </w:tc>
        <w:tc>
          <w:tcPr>
            <w:tcW w:w="2070" w:type="dxa"/>
          </w:tcPr>
          <w:p w:rsidR="00DD03B6" w:rsidRPr="00CF0A95" w:rsidRDefault="00DF78F4" w:rsidP="002F0A9A">
            <w:pPr>
              <w:pStyle w:val="ListParagraph"/>
              <w:tabs>
                <w:tab w:val="left" w:pos="360"/>
              </w:tabs>
              <w:ind w:left="0"/>
              <w:jc w:val="right"/>
              <w:rPr>
                <w:rFonts w:ascii="Arial" w:hAnsi="Arial" w:cs="Arial"/>
                <w:b/>
                <w:sz w:val="20"/>
                <w:szCs w:val="20"/>
                <w:lang w:val="en-ZA"/>
              </w:rPr>
            </w:pPr>
            <w:r w:rsidRPr="00CF0A95">
              <w:rPr>
                <w:rFonts w:ascii="Arial" w:hAnsi="Arial" w:cs="Arial"/>
                <w:b/>
                <w:sz w:val="20"/>
                <w:szCs w:val="20"/>
                <w:lang w:val="en-ZA"/>
              </w:rPr>
              <w:t>17 907</w:t>
            </w:r>
          </w:p>
        </w:tc>
      </w:tr>
      <w:tr w:rsidR="00CF0A95" w:rsidRPr="00CF0A95" w:rsidTr="00CB36B5">
        <w:tc>
          <w:tcPr>
            <w:tcW w:w="2700" w:type="dxa"/>
          </w:tcPr>
          <w:p w:rsidR="00DD03B6" w:rsidRPr="00CF0A95" w:rsidRDefault="00DD03B6" w:rsidP="002F0A9A">
            <w:pPr>
              <w:pStyle w:val="ListParagraph"/>
              <w:tabs>
                <w:tab w:val="left" w:pos="360"/>
              </w:tabs>
              <w:ind w:left="0"/>
              <w:jc w:val="both"/>
              <w:rPr>
                <w:rFonts w:ascii="Arial" w:hAnsi="Arial" w:cs="Arial"/>
                <w:sz w:val="20"/>
                <w:szCs w:val="20"/>
                <w:lang w:val="en-ZA"/>
              </w:rPr>
            </w:pPr>
            <w:r w:rsidRPr="00CF0A95">
              <w:rPr>
                <w:rFonts w:ascii="Arial" w:hAnsi="Arial" w:cs="Arial"/>
                <w:sz w:val="20"/>
                <w:szCs w:val="20"/>
                <w:lang w:val="en-ZA"/>
              </w:rPr>
              <w:t>North West</w:t>
            </w:r>
          </w:p>
        </w:tc>
        <w:tc>
          <w:tcPr>
            <w:tcW w:w="2070" w:type="dxa"/>
          </w:tcPr>
          <w:p w:rsidR="00DD03B6" w:rsidRPr="00CF0A95" w:rsidRDefault="00DF78F4" w:rsidP="002F0A9A">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34 973</w:t>
            </w:r>
          </w:p>
        </w:tc>
        <w:tc>
          <w:tcPr>
            <w:tcW w:w="2610" w:type="dxa"/>
          </w:tcPr>
          <w:p w:rsidR="00DD03B6" w:rsidRPr="00CF0A95" w:rsidRDefault="00DF78F4" w:rsidP="002F0A9A">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7 551</w:t>
            </w:r>
          </w:p>
        </w:tc>
        <w:tc>
          <w:tcPr>
            <w:tcW w:w="2070" w:type="dxa"/>
          </w:tcPr>
          <w:p w:rsidR="00DD03B6" w:rsidRPr="00CF0A95" w:rsidRDefault="00DF78F4" w:rsidP="002F0A9A">
            <w:pPr>
              <w:pStyle w:val="ListParagraph"/>
              <w:tabs>
                <w:tab w:val="left" w:pos="360"/>
              </w:tabs>
              <w:ind w:left="0"/>
              <w:jc w:val="right"/>
              <w:rPr>
                <w:rFonts w:ascii="Arial" w:hAnsi="Arial" w:cs="Arial"/>
                <w:b/>
                <w:sz w:val="20"/>
                <w:szCs w:val="20"/>
                <w:lang w:val="en-ZA"/>
              </w:rPr>
            </w:pPr>
            <w:r w:rsidRPr="00CF0A95">
              <w:rPr>
                <w:rFonts w:ascii="Arial" w:hAnsi="Arial" w:cs="Arial"/>
                <w:b/>
                <w:sz w:val="20"/>
                <w:szCs w:val="20"/>
                <w:lang w:val="en-ZA"/>
              </w:rPr>
              <w:t>42 524</w:t>
            </w:r>
          </w:p>
        </w:tc>
      </w:tr>
      <w:tr w:rsidR="00CF0A95" w:rsidRPr="00CF0A95" w:rsidTr="00CB36B5">
        <w:tc>
          <w:tcPr>
            <w:tcW w:w="2700" w:type="dxa"/>
          </w:tcPr>
          <w:p w:rsidR="00DD03B6" w:rsidRPr="00CF0A95" w:rsidRDefault="00DD03B6" w:rsidP="002F0A9A">
            <w:pPr>
              <w:pStyle w:val="ListParagraph"/>
              <w:tabs>
                <w:tab w:val="left" w:pos="360"/>
              </w:tabs>
              <w:ind w:left="0"/>
              <w:jc w:val="both"/>
              <w:rPr>
                <w:rFonts w:ascii="Arial" w:hAnsi="Arial" w:cs="Arial"/>
                <w:sz w:val="20"/>
                <w:szCs w:val="20"/>
                <w:lang w:val="en-ZA"/>
              </w:rPr>
            </w:pPr>
            <w:r w:rsidRPr="00CF0A95">
              <w:rPr>
                <w:rFonts w:ascii="Arial" w:hAnsi="Arial" w:cs="Arial"/>
                <w:sz w:val="20"/>
                <w:szCs w:val="20"/>
                <w:lang w:val="en-ZA"/>
              </w:rPr>
              <w:t>Western Cape</w:t>
            </w:r>
          </w:p>
        </w:tc>
        <w:tc>
          <w:tcPr>
            <w:tcW w:w="2070" w:type="dxa"/>
          </w:tcPr>
          <w:p w:rsidR="00DD03B6" w:rsidRPr="00CF0A95" w:rsidRDefault="00DF78F4" w:rsidP="002F0A9A">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51 291</w:t>
            </w:r>
          </w:p>
        </w:tc>
        <w:tc>
          <w:tcPr>
            <w:tcW w:w="2610" w:type="dxa"/>
          </w:tcPr>
          <w:p w:rsidR="00DD03B6" w:rsidRPr="00CF0A95" w:rsidRDefault="00DF78F4" w:rsidP="00C7723E">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12 809</w:t>
            </w:r>
          </w:p>
        </w:tc>
        <w:tc>
          <w:tcPr>
            <w:tcW w:w="2070" w:type="dxa"/>
          </w:tcPr>
          <w:p w:rsidR="00DD03B6" w:rsidRPr="00CF0A95" w:rsidRDefault="00DF78F4" w:rsidP="002F0A9A">
            <w:pPr>
              <w:pStyle w:val="ListParagraph"/>
              <w:tabs>
                <w:tab w:val="left" w:pos="360"/>
              </w:tabs>
              <w:ind w:left="0"/>
              <w:jc w:val="right"/>
              <w:rPr>
                <w:rFonts w:ascii="Arial" w:hAnsi="Arial" w:cs="Arial"/>
                <w:b/>
                <w:sz w:val="20"/>
                <w:szCs w:val="20"/>
                <w:lang w:val="en-ZA"/>
              </w:rPr>
            </w:pPr>
            <w:r w:rsidRPr="00CF0A95">
              <w:rPr>
                <w:rFonts w:ascii="Arial" w:hAnsi="Arial" w:cs="Arial"/>
                <w:b/>
                <w:sz w:val="20"/>
                <w:szCs w:val="20"/>
                <w:lang w:val="en-ZA"/>
              </w:rPr>
              <w:t>64 099</w:t>
            </w:r>
          </w:p>
        </w:tc>
      </w:tr>
      <w:tr w:rsidR="00CF0A95" w:rsidRPr="00CF0A95" w:rsidTr="00CB36B5">
        <w:tc>
          <w:tcPr>
            <w:tcW w:w="2700" w:type="dxa"/>
          </w:tcPr>
          <w:p w:rsidR="00DD03B6" w:rsidRPr="00CF0A95" w:rsidRDefault="00DD03B6" w:rsidP="002F0A9A">
            <w:pPr>
              <w:pStyle w:val="ListParagraph"/>
              <w:tabs>
                <w:tab w:val="left" w:pos="360"/>
              </w:tabs>
              <w:ind w:left="0"/>
              <w:jc w:val="both"/>
              <w:rPr>
                <w:rFonts w:ascii="Arial" w:hAnsi="Arial" w:cs="Arial"/>
                <w:sz w:val="20"/>
                <w:szCs w:val="20"/>
                <w:lang w:val="en-ZA"/>
              </w:rPr>
            </w:pPr>
            <w:r w:rsidRPr="00CF0A95">
              <w:rPr>
                <w:rFonts w:ascii="Arial" w:hAnsi="Arial" w:cs="Arial"/>
                <w:sz w:val="20"/>
                <w:szCs w:val="20"/>
                <w:lang w:val="en-ZA"/>
              </w:rPr>
              <w:t>Unallocated</w:t>
            </w:r>
          </w:p>
        </w:tc>
        <w:tc>
          <w:tcPr>
            <w:tcW w:w="2070" w:type="dxa"/>
          </w:tcPr>
          <w:p w:rsidR="00DD03B6" w:rsidRPr="00CF0A95" w:rsidRDefault="00DD03B6" w:rsidP="002F0A9A">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w:t>
            </w:r>
          </w:p>
        </w:tc>
        <w:tc>
          <w:tcPr>
            <w:tcW w:w="2610" w:type="dxa"/>
          </w:tcPr>
          <w:p w:rsidR="00DD03B6" w:rsidRPr="00CF0A95" w:rsidRDefault="00DF78F4" w:rsidP="00C7723E">
            <w:pPr>
              <w:pStyle w:val="ListParagraph"/>
              <w:tabs>
                <w:tab w:val="left" w:pos="360"/>
              </w:tabs>
              <w:ind w:left="0"/>
              <w:jc w:val="right"/>
              <w:rPr>
                <w:rFonts w:ascii="Arial" w:hAnsi="Arial" w:cs="Arial"/>
                <w:sz w:val="20"/>
                <w:szCs w:val="20"/>
                <w:lang w:val="en-ZA"/>
              </w:rPr>
            </w:pPr>
            <w:r w:rsidRPr="00CF0A95">
              <w:rPr>
                <w:rFonts w:ascii="Arial" w:hAnsi="Arial" w:cs="Arial"/>
                <w:sz w:val="20"/>
                <w:szCs w:val="20"/>
                <w:lang w:val="en-ZA"/>
              </w:rPr>
              <w:t>408</w:t>
            </w:r>
          </w:p>
        </w:tc>
        <w:tc>
          <w:tcPr>
            <w:tcW w:w="2070" w:type="dxa"/>
          </w:tcPr>
          <w:p w:rsidR="00DD03B6" w:rsidRPr="00CF0A95" w:rsidRDefault="00DF78F4" w:rsidP="002F0A9A">
            <w:pPr>
              <w:pStyle w:val="ListParagraph"/>
              <w:tabs>
                <w:tab w:val="left" w:pos="360"/>
              </w:tabs>
              <w:ind w:left="0"/>
              <w:jc w:val="right"/>
              <w:rPr>
                <w:rFonts w:ascii="Arial" w:hAnsi="Arial" w:cs="Arial"/>
                <w:b/>
                <w:sz w:val="20"/>
                <w:szCs w:val="20"/>
                <w:lang w:val="en-ZA"/>
              </w:rPr>
            </w:pPr>
            <w:r w:rsidRPr="00CF0A95">
              <w:rPr>
                <w:rFonts w:ascii="Arial" w:hAnsi="Arial" w:cs="Arial"/>
                <w:b/>
                <w:sz w:val="20"/>
                <w:szCs w:val="20"/>
                <w:lang w:val="en-ZA"/>
              </w:rPr>
              <w:t>408</w:t>
            </w:r>
          </w:p>
        </w:tc>
      </w:tr>
      <w:tr w:rsidR="00CF0A95" w:rsidRPr="00CF0A95" w:rsidTr="00CB36B5">
        <w:tc>
          <w:tcPr>
            <w:tcW w:w="2700" w:type="dxa"/>
          </w:tcPr>
          <w:p w:rsidR="00DD03B6" w:rsidRPr="00CF0A95" w:rsidRDefault="000B63DA" w:rsidP="002F0A9A">
            <w:pPr>
              <w:pStyle w:val="ListParagraph"/>
              <w:tabs>
                <w:tab w:val="left" w:pos="360"/>
              </w:tabs>
              <w:ind w:left="0"/>
              <w:jc w:val="both"/>
              <w:rPr>
                <w:rFonts w:ascii="Arial" w:hAnsi="Arial" w:cs="Arial"/>
                <w:b/>
                <w:sz w:val="20"/>
                <w:szCs w:val="20"/>
                <w:lang w:val="en-ZA"/>
              </w:rPr>
            </w:pPr>
            <w:r w:rsidRPr="00CF0A95">
              <w:rPr>
                <w:rFonts w:ascii="Arial" w:hAnsi="Arial" w:cs="Arial"/>
                <w:b/>
                <w:sz w:val="20"/>
                <w:szCs w:val="20"/>
                <w:lang w:val="en-ZA"/>
              </w:rPr>
              <w:t>Total</w:t>
            </w:r>
          </w:p>
        </w:tc>
        <w:tc>
          <w:tcPr>
            <w:tcW w:w="2070" w:type="dxa"/>
          </w:tcPr>
          <w:p w:rsidR="00DD03B6" w:rsidRPr="00CF0A95" w:rsidRDefault="00DF78F4" w:rsidP="002F0A9A">
            <w:pPr>
              <w:pStyle w:val="ListParagraph"/>
              <w:tabs>
                <w:tab w:val="left" w:pos="360"/>
              </w:tabs>
              <w:ind w:left="0"/>
              <w:jc w:val="right"/>
              <w:rPr>
                <w:rFonts w:ascii="Arial" w:hAnsi="Arial" w:cs="Arial"/>
                <w:b/>
                <w:sz w:val="20"/>
                <w:szCs w:val="20"/>
                <w:lang w:val="en-ZA"/>
              </w:rPr>
            </w:pPr>
            <w:r w:rsidRPr="00CF0A95">
              <w:rPr>
                <w:rFonts w:ascii="Arial" w:hAnsi="Arial" w:cs="Arial"/>
                <w:b/>
                <w:sz w:val="20"/>
                <w:szCs w:val="20"/>
                <w:lang w:val="en-ZA"/>
              </w:rPr>
              <w:t>505 554</w:t>
            </w:r>
          </w:p>
        </w:tc>
        <w:tc>
          <w:tcPr>
            <w:tcW w:w="2610" w:type="dxa"/>
          </w:tcPr>
          <w:p w:rsidR="00DD03B6" w:rsidRPr="00CF0A95" w:rsidRDefault="00DF78F4" w:rsidP="00C7723E">
            <w:pPr>
              <w:pStyle w:val="ListParagraph"/>
              <w:tabs>
                <w:tab w:val="left" w:pos="360"/>
              </w:tabs>
              <w:ind w:left="0"/>
              <w:jc w:val="right"/>
              <w:rPr>
                <w:rFonts w:ascii="Arial" w:hAnsi="Arial" w:cs="Arial"/>
                <w:b/>
                <w:sz w:val="20"/>
                <w:szCs w:val="20"/>
                <w:lang w:val="en-ZA"/>
              </w:rPr>
            </w:pPr>
            <w:r w:rsidRPr="00CF0A95">
              <w:rPr>
                <w:rFonts w:ascii="Arial" w:hAnsi="Arial" w:cs="Arial"/>
                <w:b/>
                <w:sz w:val="20"/>
                <w:szCs w:val="20"/>
                <w:lang w:val="en-ZA"/>
              </w:rPr>
              <w:t>106 712</w:t>
            </w:r>
          </w:p>
        </w:tc>
        <w:tc>
          <w:tcPr>
            <w:tcW w:w="2070" w:type="dxa"/>
          </w:tcPr>
          <w:p w:rsidR="00DD03B6" w:rsidRPr="00CF0A95" w:rsidRDefault="00DF78F4" w:rsidP="002F0A9A">
            <w:pPr>
              <w:pStyle w:val="ListParagraph"/>
              <w:tabs>
                <w:tab w:val="left" w:pos="360"/>
              </w:tabs>
              <w:ind w:left="0"/>
              <w:jc w:val="right"/>
              <w:rPr>
                <w:rFonts w:ascii="Arial" w:hAnsi="Arial" w:cs="Arial"/>
                <w:b/>
                <w:sz w:val="20"/>
                <w:szCs w:val="20"/>
                <w:lang w:val="en-ZA"/>
              </w:rPr>
            </w:pPr>
            <w:r w:rsidRPr="00CF0A95">
              <w:rPr>
                <w:rFonts w:ascii="Arial" w:hAnsi="Arial" w:cs="Arial"/>
                <w:b/>
                <w:sz w:val="20"/>
                <w:szCs w:val="20"/>
                <w:lang w:val="en-ZA"/>
              </w:rPr>
              <w:t>612 266</w:t>
            </w:r>
          </w:p>
        </w:tc>
      </w:tr>
    </w:tbl>
    <w:p w:rsidR="00012E20" w:rsidRPr="00CF0A95" w:rsidRDefault="00012E20" w:rsidP="00CB36B5">
      <w:pPr>
        <w:ind w:firstLine="360"/>
        <w:rPr>
          <w:rFonts w:ascii="Arial" w:hAnsi="Arial" w:cs="Arial"/>
          <w:i/>
          <w:sz w:val="16"/>
          <w:szCs w:val="16"/>
          <w:lang w:val="en-ZA"/>
        </w:rPr>
      </w:pPr>
      <w:r w:rsidRPr="00CF0A95">
        <w:rPr>
          <w:rFonts w:ascii="Arial" w:hAnsi="Arial" w:cs="Arial"/>
          <w:i/>
          <w:sz w:val="16"/>
          <w:szCs w:val="16"/>
          <w:lang w:val="en-ZA"/>
        </w:rPr>
        <w:t xml:space="preserve">Source: </w:t>
      </w:r>
      <w:r w:rsidR="001065F3" w:rsidRPr="00CF0A95">
        <w:rPr>
          <w:rFonts w:ascii="Arial" w:hAnsi="Arial" w:cs="Arial"/>
          <w:i/>
          <w:sz w:val="16"/>
          <w:szCs w:val="16"/>
          <w:lang w:val="en-ZA"/>
        </w:rPr>
        <w:t>National Treasury</w:t>
      </w:r>
    </w:p>
    <w:p w:rsidR="00A528A4" w:rsidRPr="00CF0A95" w:rsidRDefault="00A528A4" w:rsidP="002F0A9A">
      <w:pPr>
        <w:pStyle w:val="ListParagraph"/>
        <w:rPr>
          <w:rFonts w:ascii="Arial" w:hAnsi="Arial" w:cs="Arial"/>
          <w:i/>
          <w:sz w:val="16"/>
          <w:szCs w:val="16"/>
          <w:lang w:val="en-ZA"/>
        </w:rPr>
      </w:pPr>
    </w:p>
    <w:p w:rsidR="000B3FDB" w:rsidRPr="00CF0A95" w:rsidRDefault="000B3FDB" w:rsidP="002F0A9A">
      <w:pPr>
        <w:pStyle w:val="ListParagraph"/>
        <w:rPr>
          <w:rFonts w:ascii="Arial" w:hAnsi="Arial" w:cs="Arial"/>
          <w:i/>
          <w:sz w:val="16"/>
          <w:szCs w:val="16"/>
          <w:lang w:val="en-ZA"/>
        </w:rPr>
      </w:pPr>
    </w:p>
    <w:p w:rsidR="000B3FDB" w:rsidRPr="00CF0A95" w:rsidRDefault="000B3FDB" w:rsidP="002F0A9A">
      <w:pPr>
        <w:pStyle w:val="ListParagraph"/>
        <w:rPr>
          <w:rFonts w:ascii="Arial" w:hAnsi="Arial" w:cs="Arial"/>
          <w:i/>
          <w:sz w:val="16"/>
          <w:szCs w:val="16"/>
          <w:lang w:val="en-ZA"/>
        </w:rPr>
      </w:pPr>
    </w:p>
    <w:p w:rsidR="0012084D" w:rsidRPr="00CF0A95" w:rsidRDefault="003E6D49" w:rsidP="0012084D">
      <w:pPr>
        <w:pStyle w:val="Default"/>
        <w:ind w:left="360"/>
        <w:jc w:val="both"/>
        <w:rPr>
          <w:rFonts w:ascii="Arial" w:hAnsi="Arial" w:cs="Arial"/>
          <w:color w:val="auto"/>
          <w:sz w:val="22"/>
          <w:szCs w:val="22"/>
        </w:rPr>
      </w:pPr>
      <w:r w:rsidRPr="00CF0A95">
        <w:rPr>
          <w:rFonts w:ascii="Arial" w:hAnsi="Arial" w:cs="Arial"/>
          <w:color w:val="auto"/>
          <w:sz w:val="22"/>
          <w:szCs w:val="22"/>
          <w:lang w:val="en-ZA"/>
        </w:rPr>
        <w:t xml:space="preserve">Table </w:t>
      </w:r>
      <w:r w:rsidR="00E33166" w:rsidRPr="00CF0A95">
        <w:rPr>
          <w:rFonts w:ascii="Arial" w:hAnsi="Arial" w:cs="Arial"/>
          <w:color w:val="auto"/>
          <w:sz w:val="22"/>
          <w:szCs w:val="22"/>
          <w:lang w:val="en-ZA"/>
        </w:rPr>
        <w:t>1 above</w:t>
      </w:r>
      <w:r w:rsidRPr="00CF0A95">
        <w:rPr>
          <w:rFonts w:ascii="Arial" w:hAnsi="Arial" w:cs="Arial"/>
          <w:color w:val="auto"/>
          <w:sz w:val="22"/>
          <w:szCs w:val="22"/>
          <w:lang w:val="en-ZA"/>
        </w:rPr>
        <w:t xml:space="preserve"> is a graphical representation of total transfers to provinces for the 201</w:t>
      </w:r>
      <w:r w:rsidR="00DF78F4" w:rsidRPr="00CF0A95">
        <w:rPr>
          <w:rFonts w:ascii="Arial" w:hAnsi="Arial" w:cs="Arial"/>
          <w:color w:val="auto"/>
          <w:sz w:val="22"/>
          <w:szCs w:val="22"/>
          <w:lang w:val="en-ZA"/>
        </w:rPr>
        <w:t>9/20</w:t>
      </w:r>
      <w:r w:rsidRPr="00CF0A95">
        <w:rPr>
          <w:rFonts w:ascii="Arial" w:hAnsi="Arial" w:cs="Arial"/>
          <w:color w:val="auto"/>
          <w:sz w:val="22"/>
          <w:szCs w:val="22"/>
          <w:lang w:val="en-ZA"/>
        </w:rPr>
        <w:t xml:space="preserve"> financial year. G</w:t>
      </w:r>
      <w:r w:rsidR="000B63DA" w:rsidRPr="00CF0A95">
        <w:rPr>
          <w:rFonts w:ascii="Arial" w:hAnsi="Arial" w:cs="Arial"/>
          <w:color w:val="auto"/>
          <w:sz w:val="22"/>
          <w:szCs w:val="22"/>
          <w:lang w:val="en-ZA"/>
        </w:rPr>
        <w:t>auteng Province receives R</w:t>
      </w:r>
      <w:r w:rsidR="00DF78F4" w:rsidRPr="00CF0A95">
        <w:rPr>
          <w:rFonts w:ascii="Arial" w:hAnsi="Arial" w:cs="Arial"/>
          <w:color w:val="auto"/>
          <w:sz w:val="22"/>
          <w:szCs w:val="22"/>
          <w:lang w:val="en-ZA"/>
        </w:rPr>
        <w:t>102 448</w:t>
      </w:r>
      <w:r w:rsidRPr="00CF0A95">
        <w:rPr>
          <w:rFonts w:ascii="Arial" w:hAnsi="Arial" w:cs="Arial"/>
          <w:color w:val="auto"/>
          <w:sz w:val="22"/>
          <w:szCs w:val="22"/>
          <w:lang w:val="en-ZA"/>
        </w:rPr>
        <w:t> </w:t>
      </w:r>
      <w:r w:rsidR="00425D8F" w:rsidRPr="00CF0A95">
        <w:rPr>
          <w:rFonts w:ascii="Arial" w:hAnsi="Arial" w:cs="Arial"/>
          <w:color w:val="auto"/>
          <w:sz w:val="22"/>
          <w:szCs w:val="22"/>
          <w:lang w:val="en-ZA"/>
        </w:rPr>
        <w:t>000</w:t>
      </w:r>
      <w:r w:rsidRPr="00CF0A95">
        <w:rPr>
          <w:rFonts w:ascii="Arial" w:hAnsi="Arial" w:cs="Arial"/>
          <w:color w:val="auto"/>
          <w:sz w:val="22"/>
          <w:szCs w:val="22"/>
          <w:lang w:val="en-ZA"/>
        </w:rPr>
        <w:t xml:space="preserve"> 000</w:t>
      </w:r>
      <w:r w:rsidR="000B63DA" w:rsidRPr="00CF0A95">
        <w:rPr>
          <w:rFonts w:ascii="Arial" w:hAnsi="Arial" w:cs="Arial"/>
          <w:color w:val="auto"/>
          <w:sz w:val="22"/>
          <w:szCs w:val="22"/>
          <w:lang w:val="en-ZA"/>
        </w:rPr>
        <w:t> from the equitable share allocation and R</w:t>
      </w:r>
      <w:r w:rsidRPr="00CF0A95">
        <w:rPr>
          <w:rFonts w:ascii="Arial" w:hAnsi="Arial" w:cs="Arial"/>
          <w:color w:val="auto"/>
          <w:sz w:val="22"/>
          <w:szCs w:val="22"/>
          <w:lang w:val="en-ZA"/>
        </w:rPr>
        <w:t>2</w:t>
      </w:r>
      <w:r w:rsidR="00DF78F4" w:rsidRPr="00CF0A95">
        <w:rPr>
          <w:rFonts w:ascii="Arial" w:hAnsi="Arial" w:cs="Arial"/>
          <w:color w:val="auto"/>
          <w:sz w:val="22"/>
          <w:szCs w:val="22"/>
          <w:lang w:val="en-ZA"/>
        </w:rPr>
        <w:t xml:space="preserve">3 077 </w:t>
      </w:r>
      <w:r w:rsidRPr="00CF0A95">
        <w:rPr>
          <w:rFonts w:ascii="Arial" w:hAnsi="Arial" w:cs="Arial"/>
          <w:color w:val="auto"/>
          <w:sz w:val="22"/>
          <w:szCs w:val="22"/>
          <w:lang w:val="en-ZA"/>
        </w:rPr>
        <w:t>000</w:t>
      </w:r>
      <w:r w:rsidR="00425D8F" w:rsidRPr="00CF0A95">
        <w:rPr>
          <w:rFonts w:ascii="Arial" w:hAnsi="Arial" w:cs="Arial"/>
          <w:color w:val="auto"/>
          <w:sz w:val="22"/>
          <w:szCs w:val="22"/>
          <w:lang w:val="en-ZA"/>
        </w:rPr>
        <w:t xml:space="preserve"> 000</w:t>
      </w:r>
      <w:r w:rsidR="000B63DA" w:rsidRPr="00CF0A95">
        <w:rPr>
          <w:rFonts w:ascii="Arial" w:hAnsi="Arial" w:cs="Arial"/>
          <w:color w:val="auto"/>
          <w:sz w:val="22"/>
          <w:szCs w:val="22"/>
          <w:lang w:val="en-ZA"/>
        </w:rPr>
        <w:t xml:space="preserve"> for conditional grants in </w:t>
      </w:r>
      <w:r w:rsidR="00DF78F4" w:rsidRPr="00CF0A95">
        <w:rPr>
          <w:rFonts w:ascii="Arial" w:hAnsi="Arial" w:cs="Arial"/>
          <w:color w:val="auto"/>
          <w:sz w:val="22"/>
          <w:szCs w:val="22"/>
          <w:lang w:val="en-ZA"/>
        </w:rPr>
        <w:t xml:space="preserve">2019/20 </w:t>
      </w:r>
      <w:r w:rsidR="000B63DA" w:rsidRPr="00CF0A95">
        <w:rPr>
          <w:rFonts w:ascii="Arial" w:hAnsi="Arial" w:cs="Arial"/>
          <w:color w:val="auto"/>
          <w:sz w:val="22"/>
          <w:szCs w:val="22"/>
          <w:lang w:val="en-ZA"/>
        </w:rPr>
        <w:t>financial year which amounts to R</w:t>
      </w:r>
      <w:r w:rsidRPr="00CF0A95">
        <w:rPr>
          <w:rFonts w:ascii="Arial" w:hAnsi="Arial" w:cs="Arial"/>
          <w:color w:val="auto"/>
          <w:sz w:val="22"/>
          <w:szCs w:val="22"/>
          <w:lang w:val="en-ZA"/>
        </w:rPr>
        <w:t>1</w:t>
      </w:r>
      <w:r w:rsidR="00DF78F4" w:rsidRPr="00CF0A95">
        <w:rPr>
          <w:rFonts w:ascii="Arial" w:hAnsi="Arial" w:cs="Arial"/>
          <w:color w:val="auto"/>
          <w:sz w:val="22"/>
          <w:szCs w:val="22"/>
          <w:lang w:val="en-ZA"/>
        </w:rPr>
        <w:t>25 525</w:t>
      </w:r>
      <w:r w:rsidR="00425D8F" w:rsidRPr="00CF0A95">
        <w:rPr>
          <w:rFonts w:ascii="Arial" w:hAnsi="Arial" w:cs="Arial"/>
          <w:color w:val="auto"/>
          <w:sz w:val="22"/>
          <w:szCs w:val="22"/>
          <w:lang w:val="en-ZA"/>
        </w:rPr>
        <w:t xml:space="preserve"> 000 000</w:t>
      </w:r>
      <w:r w:rsidR="000B63DA" w:rsidRPr="00CF0A95">
        <w:rPr>
          <w:rFonts w:ascii="Arial" w:hAnsi="Arial" w:cs="Arial"/>
          <w:color w:val="auto"/>
          <w:sz w:val="22"/>
          <w:szCs w:val="22"/>
          <w:lang w:val="en-ZA"/>
        </w:rPr>
        <w:t>.</w:t>
      </w:r>
      <w:r w:rsidR="0012084D" w:rsidRPr="00CF0A95">
        <w:rPr>
          <w:rFonts w:ascii="Arial" w:hAnsi="Arial" w:cs="Arial"/>
          <w:color w:val="auto"/>
          <w:sz w:val="22"/>
          <w:szCs w:val="22"/>
          <w:lang w:val="en-ZA"/>
        </w:rPr>
        <w:t xml:space="preserve"> </w:t>
      </w:r>
      <w:r w:rsidR="0012084D" w:rsidRPr="00CF0A95">
        <w:rPr>
          <w:rFonts w:ascii="Arial" w:hAnsi="Arial" w:cs="Arial"/>
          <w:b/>
          <w:color w:val="auto"/>
          <w:sz w:val="22"/>
          <w:szCs w:val="22"/>
          <w:lang w:val="en-ZA"/>
        </w:rPr>
        <w:t xml:space="preserve">The Portfolio Committee noted with appreciation that </w:t>
      </w:r>
      <w:r w:rsidR="0012084D" w:rsidRPr="00CF0A95">
        <w:rPr>
          <w:rFonts w:ascii="Arial" w:hAnsi="Arial" w:cs="Arial"/>
          <w:b/>
          <w:color w:val="auto"/>
          <w:sz w:val="22"/>
          <w:szCs w:val="22"/>
        </w:rPr>
        <w:t>provincial equitable share grows faster than conditional grants over the MTEF, thereby giving provinces greater flexibility in budgeting for their priorities.</w:t>
      </w:r>
      <w:r w:rsidR="0012084D" w:rsidRPr="00CF0A95">
        <w:rPr>
          <w:rFonts w:ascii="Arial" w:hAnsi="Arial" w:cs="Arial"/>
          <w:color w:val="auto"/>
          <w:sz w:val="22"/>
          <w:szCs w:val="22"/>
        </w:rPr>
        <w:t xml:space="preserve"> The equitable share grows at 7.2% a year, while conditional grants grow at 6.3% a year.</w:t>
      </w:r>
    </w:p>
    <w:p w:rsidR="00377D04" w:rsidRPr="00CF0A95" w:rsidRDefault="00377D04" w:rsidP="0012084D">
      <w:pPr>
        <w:pStyle w:val="Default"/>
        <w:ind w:left="360"/>
        <w:jc w:val="both"/>
        <w:rPr>
          <w:rFonts w:ascii="Arial" w:hAnsi="Arial" w:cs="Arial"/>
          <w:color w:val="auto"/>
          <w:sz w:val="22"/>
          <w:szCs w:val="22"/>
        </w:rPr>
      </w:pPr>
    </w:p>
    <w:p w:rsidR="00BE1125" w:rsidRPr="00CF0A95" w:rsidRDefault="006251FD" w:rsidP="00CE4652">
      <w:pPr>
        <w:autoSpaceDE w:val="0"/>
        <w:autoSpaceDN w:val="0"/>
        <w:adjustRightInd w:val="0"/>
        <w:spacing w:line="360" w:lineRule="auto"/>
        <w:ind w:left="360"/>
        <w:jc w:val="both"/>
        <w:rPr>
          <w:rFonts w:ascii="Arial" w:hAnsi="Arial" w:cs="Arial"/>
          <w:sz w:val="22"/>
          <w:szCs w:val="22"/>
          <w:lang w:val="en-US"/>
        </w:rPr>
      </w:pPr>
      <w:r w:rsidRPr="00CF0A95">
        <w:rPr>
          <w:rFonts w:ascii="Arial" w:hAnsi="Arial" w:cs="Arial"/>
          <w:sz w:val="22"/>
          <w:szCs w:val="22"/>
          <w:lang w:val="en-US"/>
        </w:rPr>
        <w:t xml:space="preserve">These allocations take into consideration </w:t>
      </w:r>
      <w:r w:rsidR="002350F1" w:rsidRPr="00CF0A95">
        <w:rPr>
          <w:rFonts w:ascii="Arial" w:hAnsi="Arial" w:cs="Arial"/>
          <w:sz w:val="22"/>
          <w:szCs w:val="22"/>
          <w:lang w:val="en-US"/>
        </w:rPr>
        <w:t xml:space="preserve">key trends in equitable share data updates like, education component, health component, basic </w:t>
      </w:r>
      <w:r w:rsidR="00377D04" w:rsidRPr="00CF0A95">
        <w:rPr>
          <w:rFonts w:ascii="Arial" w:hAnsi="Arial" w:cs="Arial"/>
          <w:sz w:val="22"/>
          <w:szCs w:val="22"/>
          <w:lang w:val="en-US"/>
        </w:rPr>
        <w:t xml:space="preserve">share </w:t>
      </w:r>
      <w:r w:rsidR="002350F1" w:rsidRPr="00CF0A95">
        <w:rPr>
          <w:rFonts w:ascii="Arial" w:hAnsi="Arial" w:cs="Arial"/>
          <w:sz w:val="22"/>
          <w:szCs w:val="22"/>
          <w:lang w:val="en-US"/>
        </w:rPr>
        <w:t>component, poverty component, economic activity component and institutional component</w:t>
      </w:r>
      <w:r w:rsidR="00BE1125" w:rsidRPr="00CF0A95">
        <w:rPr>
          <w:rFonts w:ascii="Arial" w:hAnsi="Arial" w:cs="Arial"/>
          <w:sz w:val="22"/>
          <w:szCs w:val="22"/>
          <w:lang w:val="en-US"/>
        </w:rPr>
        <w:t>. For the education component, Kwazulu-Natal receives the highest allocation of 22% followed by Gauteng at 18</w:t>
      </w:r>
      <w:r w:rsidR="00377D04" w:rsidRPr="00CF0A95">
        <w:rPr>
          <w:rFonts w:ascii="Arial" w:hAnsi="Arial" w:cs="Arial"/>
          <w:sz w:val="22"/>
          <w:szCs w:val="22"/>
          <w:lang w:val="en-US"/>
        </w:rPr>
        <w:t>.7</w:t>
      </w:r>
      <w:r w:rsidR="00BE1125" w:rsidRPr="00CF0A95">
        <w:rPr>
          <w:rFonts w:ascii="Arial" w:hAnsi="Arial" w:cs="Arial"/>
          <w:sz w:val="22"/>
          <w:szCs w:val="22"/>
          <w:lang w:val="en-US"/>
        </w:rPr>
        <w:t xml:space="preserve">%. </w:t>
      </w:r>
      <w:r w:rsidR="00A97081" w:rsidRPr="00CF0A95">
        <w:rPr>
          <w:rFonts w:ascii="Arial" w:hAnsi="Arial" w:cs="Arial"/>
          <w:sz w:val="22"/>
          <w:szCs w:val="22"/>
          <w:lang w:val="en-US"/>
        </w:rPr>
        <w:t>Gauteng</w:t>
      </w:r>
      <w:r w:rsidR="00BE1125" w:rsidRPr="00CF0A95">
        <w:rPr>
          <w:rFonts w:ascii="Arial" w:hAnsi="Arial" w:cs="Arial"/>
          <w:sz w:val="22"/>
          <w:szCs w:val="22"/>
          <w:lang w:val="en-US"/>
        </w:rPr>
        <w:t xml:space="preserve"> ranks highest on the </w:t>
      </w:r>
      <w:r w:rsidR="00A97081" w:rsidRPr="00CF0A95">
        <w:rPr>
          <w:rFonts w:ascii="Arial" w:hAnsi="Arial" w:cs="Arial"/>
          <w:sz w:val="22"/>
          <w:szCs w:val="22"/>
          <w:lang w:val="en-US"/>
        </w:rPr>
        <w:t xml:space="preserve">health component share, </w:t>
      </w:r>
      <w:r w:rsidR="00BE1125" w:rsidRPr="00CF0A95">
        <w:rPr>
          <w:rFonts w:ascii="Arial" w:hAnsi="Arial" w:cs="Arial"/>
          <w:sz w:val="22"/>
          <w:szCs w:val="22"/>
          <w:lang w:val="en-US"/>
        </w:rPr>
        <w:t>basic share component</w:t>
      </w:r>
      <w:r w:rsidR="00A97081" w:rsidRPr="00CF0A95">
        <w:rPr>
          <w:rFonts w:ascii="Arial" w:hAnsi="Arial" w:cs="Arial"/>
          <w:sz w:val="22"/>
          <w:szCs w:val="22"/>
          <w:lang w:val="en-US"/>
        </w:rPr>
        <w:t xml:space="preserve">, </w:t>
      </w:r>
      <w:r w:rsidR="00BE1125" w:rsidRPr="00CF0A95">
        <w:rPr>
          <w:rFonts w:ascii="Arial" w:hAnsi="Arial" w:cs="Arial"/>
          <w:sz w:val="22"/>
          <w:szCs w:val="22"/>
          <w:lang w:val="en-US"/>
        </w:rPr>
        <w:t xml:space="preserve">and the economic </w:t>
      </w:r>
      <w:r w:rsidR="00A97081" w:rsidRPr="00CF0A95">
        <w:rPr>
          <w:rFonts w:ascii="Arial" w:hAnsi="Arial" w:cs="Arial"/>
          <w:sz w:val="22"/>
          <w:szCs w:val="22"/>
          <w:lang w:val="en-US"/>
        </w:rPr>
        <w:t>activity share at 2</w:t>
      </w:r>
      <w:r w:rsidR="00377D04" w:rsidRPr="00CF0A95">
        <w:rPr>
          <w:rFonts w:ascii="Arial" w:hAnsi="Arial" w:cs="Arial"/>
          <w:sz w:val="22"/>
          <w:szCs w:val="22"/>
          <w:lang w:val="en-US"/>
        </w:rPr>
        <w:t>3.6</w:t>
      </w:r>
      <w:r w:rsidR="00A97081" w:rsidRPr="00CF0A95">
        <w:rPr>
          <w:rFonts w:ascii="Arial" w:hAnsi="Arial" w:cs="Arial"/>
          <w:sz w:val="22"/>
          <w:szCs w:val="22"/>
          <w:lang w:val="en-US"/>
        </w:rPr>
        <w:t xml:space="preserve">%,  </w:t>
      </w:r>
    </w:p>
    <w:p w:rsidR="00945EF0" w:rsidRPr="00CF0A95" w:rsidRDefault="00A97081" w:rsidP="00CE4652">
      <w:pPr>
        <w:autoSpaceDE w:val="0"/>
        <w:autoSpaceDN w:val="0"/>
        <w:adjustRightInd w:val="0"/>
        <w:spacing w:line="360" w:lineRule="auto"/>
        <w:ind w:left="360"/>
        <w:jc w:val="both"/>
        <w:rPr>
          <w:rFonts w:ascii="Arial" w:hAnsi="Arial" w:cs="Arial"/>
          <w:sz w:val="22"/>
          <w:szCs w:val="22"/>
          <w:lang w:val="en-US"/>
        </w:rPr>
      </w:pPr>
      <w:r w:rsidRPr="00CF0A95">
        <w:rPr>
          <w:rFonts w:ascii="Arial" w:hAnsi="Arial" w:cs="Arial"/>
          <w:sz w:val="22"/>
          <w:szCs w:val="22"/>
          <w:lang w:val="en-US"/>
        </w:rPr>
        <w:t>2</w:t>
      </w:r>
      <w:r w:rsidR="00377D04" w:rsidRPr="00CF0A95">
        <w:rPr>
          <w:rFonts w:ascii="Arial" w:hAnsi="Arial" w:cs="Arial"/>
          <w:sz w:val="22"/>
          <w:szCs w:val="22"/>
          <w:lang w:val="en-US"/>
        </w:rPr>
        <w:t>5.5</w:t>
      </w:r>
      <w:r w:rsidRPr="00CF0A95">
        <w:rPr>
          <w:rFonts w:ascii="Arial" w:hAnsi="Arial" w:cs="Arial"/>
          <w:sz w:val="22"/>
          <w:szCs w:val="22"/>
          <w:lang w:val="en-US"/>
        </w:rPr>
        <w:t>% and 34.</w:t>
      </w:r>
      <w:r w:rsidR="00377D04" w:rsidRPr="00CF0A95">
        <w:rPr>
          <w:rFonts w:ascii="Arial" w:hAnsi="Arial" w:cs="Arial"/>
          <w:sz w:val="22"/>
          <w:szCs w:val="22"/>
          <w:lang w:val="en-US"/>
        </w:rPr>
        <w:t>6</w:t>
      </w:r>
      <w:r w:rsidRPr="00CF0A95">
        <w:rPr>
          <w:rFonts w:ascii="Arial" w:hAnsi="Arial" w:cs="Arial"/>
          <w:sz w:val="22"/>
          <w:szCs w:val="22"/>
          <w:lang w:val="en-US"/>
        </w:rPr>
        <w:t xml:space="preserve">% respectively. </w:t>
      </w:r>
      <w:r w:rsidR="00945EF0" w:rsidRPr="00CF0A95">
        <w:rPr>
          <w:rFonts w:ascii="Arial" w:hAnsi="Arial" w:cs="Arial"/>
          <w:b/>
          <w:sz w:val="22"/>
          <w:szCs w:val="22"/>
          <w:lang w:val="en-ZA"/>
        </w:rPr>
        <w:t xml:space="preserve">The Portfolio Committee </w:t>
      </w:r>
      <w:r w:rsidRPr="00CF0A95">
        <w:rPr>
          <w:rFonts w:ascii="Arial" w:hAnsi="Arial" w:cs="Arial"/>
          <w:b/>
          <w:sz w:val="22"/>
          <w:szCs w:val="22"/>
          <w:lang w:val="en-ZA"/>
        </w:rPr>
        <w:t>welcomes the equitable share data updates and urges National Treasury to continuously update such data to ensure credible and reliable data which reflects the state of the province.</w:t>
      </w:r>
      <w:r w:rsidR="00E33166" w:rsidRPr="00CF0A95">
        <w:rPr>
          <w:rFonts w:ascii="Arial" w:hAnsi="Arial" w:cs="Arial"/>
          <w:b/>
          <w:sz w:val="22"/>
          <w:szCs w:val="22"/>
          <w:lang w:val="en-ZA"/>
        </w:rPr>
        <w:t xml:space="preserve"> </w:t>
      </w:r>
    </w:p>
    <w:p w:rsidR="00945EF0" w:rsidRPr="00CF0A95" w:rsidRDefault="00945EF0" w:rsidP="00CE4652">
      <w:pPr>
        <w:spacing w:line="360" w:lineRule="auto"/>
        <w:jc w:val="both"/>
        <w:rPr>
          <w:rFonts w:ascii="Arial" w:hAnsi="Arial" w:cs="Arial"/>
          <w:sz w:val="22"/>
          <w:szCs w:val="22"/>
        </w:rPr>
      </w:pPr>
    </w:p>
    <w:p w:rsidR="00260757" w:rsidRPr="00CF0A95" w:rsidRDefault="00EB001F" w:rsidP="00377D04">
      <w:pPr>
        <w:tabs>
          <w:tab w:val="num" w:pos="720"/>
          <w:tab w:val="num" w:pos="1440"/>
        </w:tabs>
        <w:spacing w:line="360" w:lineRule="auto"/>
        <w:ind w:left="360"/>
        <w:jc w:val="both"/>
        <w:rPr>
          <w:rFonts w:ascii="Arial" w:hAnsi="Arial" w:cs="Arial"/>
          <w:sz w:val="22"/>
          <w:szCs w:val="22"/>
          <w:lang w:val="en-ZA"/>
        </w:rPr>
      </w:pPr>
      <w:r w:rsidRPr="00CF0A95">
        <w:rPr>
          <w:rFonts w:ascii="Arial" w:hAnsi="Arial" w:cs="Arial"/>
          <w:b/>
          <w:sz w:val="22"/>
          <w:szCs w:val="22"/>
          <w:lang w:val="en-ZA"/>
        </w:rPr>
        <w:t xml:space="preserve">The </w:t>
      </w:r>
      <w:r w:rsidR="00377D04" w:rsidRPr="00CF0A95">
        <w:rPr>
          <w:rFonts w:ascii="Arial" w:hAnsi="Arial" w:cs="Arial"/>
          <w:b/>
          <w:sz w:val="22"/>
          <w:szCs w:val="22"/>
          <w:lang w:val="en-ZA"/>
        </w:rPr>
        <w:t xml:space="preserve">Portfolio Committee noted with appreciation that the provincial equitable share </w:t>
      </w:r>
      <w:r w:rsidRPr="00CF0A95">
        <w:rPr>
          <w:rFonts w:ascii="Arial" w:hAnsi="Arial" w:cs="Arial"/>
          <w:b/>
          <w:sz w:val="22"/>
          <w:szCs w:val="22"/>
          <w:lang w:val="en-ZA"/>
        </w:rPr>
        <w:t>formula continues to be reviewed in collaboration with provincial treasuries and the FFC (and taking account of recommendations from parliament and provincial legislatures and inputs from stakeholders, including NGOs)</w:t>
      </w:r>
      <w:r w:rsidR="00377D04" w:rsidRPr="00CF0A95">
        <w:rPr>
          <w:rFonts w:ascii="Arial" w:hAnsi="Arial" w:cs="Arial"/>
          <w:b/>
          <w:sz w:val="22"/>
          <w:szCs w:val="22"/>
          <w:lang w:val="en-ZA"/>
        </w:rPr>
        <w:t xml:space="preserve">. </w:t>
      </w:r>
      <w:r w:rsidR="00377D04" w:rsidRPr="00CF0A95">
        <w:rPr>
          <w:rFonts w:ascii="Arial" w:hAnsi="Arial" w:cs="Arial"/>
          <w:sz w:val="22"/>
          <w:szCs w:val="22"/>
          <w:lang w:val="en-ZA"/>
        </w:rPr>
        <w:t>To this effect, i</w:t>
      </w:r>
      <w:r w:rsidRPr="00CF0A95">
        <w:rPr>
          <w:rFonts w:ascii="Arial" w:hAnsi="Arial" w:cs="Arial"/>
          <w:sz w:val="22"/>
          <w:szCs w:val="22"/>
          <w:lang w:val="en-ZA"/>
        </w:rPr>
        <w:t xml:space="preserve">n the 2018 and 2019 MTEFs, major changes are being phased-in to improve the data in the education component (accounting </w:t>
      </w:r>
      <w:r w:rsidRPr="00CF0A95">
        <w:rPr>
          <w:rFonts w:ascii="Arial" w:hAnsi="Arial" w:cs="Arial"/>
          <w:sz w:val="22"/>
          <w:szCs w:val="22"/>
          <w:lang w:val="en-ZA"/>
        </w:rPr>
        <w:lastRenderedPageBreak/>
        <w:t>for nearly half the PES)</w:t>
      </w:r>
      <w:r w:rsidR="00377D04" w:rsidRPr="00CF0A95">
        <w:rPr>
          <w:rFonts w:ascii="Arial" w:hAnsi="Arial" w:cs="Arial"/>
          <w:sz w:val="22"/>
          <w:szCs w:val="22"/>
          <w:lang w:val="en-ZA"/>
        </w:rPr>
        <w:t xml:space="preserve">. </w:t>
      </w:r>
      <w:r w:rsidRPr="00CF0A95">
        <w:rPr>
          <w:rFonts w:ascii="Arial" w:hAnsi="Arial" w:cs="Arial"/>
          <w:sz w:val="22"/>
          <w:szCs w:val="22"/>
          <w:lang w:val="en-ZA"/>
        </w:rPr>
        <w:t>School enrolment data is now based on DBE’s new LURITS database which tracks learners through the education system and is more accurate than the previous surveys used</w:t>
      </w:r>
      <w:r w:rsidR="00377D04" w:rsidRPr="00CF0A95">
        <w:rPr>
          <w:rFonts w:ascii="Arial" w:hAnsi="Arial" w:cs="Arial"/>
          <w:sz w:val="22"/>
          <w:szCs w:val="22"/>
          <w:lang w:val="en-ZA"/>
        </w:rPr>
        <w:t xml:space="preserve">. </w:t>
      </w:r>
      <w:r w:rsidRPr="00CF0A95">
        <w:rPr>
          <w:rFonts w:ascii="Arial" w:hAnsi="Arial" w:cs="Arial"/>
          <w:sz w:val="22"/>
          <w:szCs w:val="22"/>
          <w:lang w:val="en-ZA"/>
        </w:rPr>
        <w:t>Data for the size of the school-aged population has been changed from the 2011 Census to the annually updated StatsSA Mid-Year Population Estimates</w:t>
      </w:r>
    </w:p>
    <w:p w:rsidR="00377D04" w:rsidRPr="00CF0A95" w:rsidRDefault="00377D04" w:rsidP="00CE4652">
      <w:pPr>
        <w:spacing w:line="360" w:lineRule="auto"/>
        <w:jc w:val="both"/>
        <w:rPr>
          <w:rFonts w:ascii="Arial" w:hAnsi="Arial" w:cs="Arial"/>
          <w:sz w:val="22"/>
          <w:szCs w:val="22"/>
        </w:rPr>
      </w:pPr>
    </w:p>
    <w:p w:rsidR="00742E8B" w:rsidRPr="00CF0A95" w:rsidRDefault="00D5318C" w:rsidP="00143D29">
      <w:pPr>
        <w:pStyle w:val="ListParagraph"/>
        <w:numPr>
          <w:ilvl w:val="1"/>
          <w:numId w:val="31"/>
        </w:numPr>
        <w:spacing w:line="360" w:lineRule="auto"/>
        <w:ind w:hanging="796"/>
        <w:jc w:val="both"/>
        <w:rPr>
          <w:rFonts w:ascii="Arial" w:hAnsi="Arial" w:cs="Arial"/>
          <w:b/>
          <w:sz w:val="22"/>
          <w:szCs w:val="22"/>
          <w:u w:val="single"/>
        </w:rPr>
      </w:pPr>
      <w:r w:rsidRPr="00CF0A95">
        <w:rPr>
          <w:rFonts w:ascii="Arial" w:hAnsi="Arial" w:cs="Arial"/>
          <w:b/>
          <w:sz w:val="22"/>
          <w:szCs w:val="22"/>
          <w:u w:val="single"/>
        </w:rPr>
        <w:t xml:space="preserve">MAJOR CHANGES TO </w:t>
      </w:r>
      <w:r w:rsidR="00742E8B" w:rsidRPr="00CF0A95">
        <w:rPr>
          <w:rFonts w:ascii="Arial" w:hAnsi="Arial" w:cs="Arial"/>
          <w:b/>
          <w:sz w:val="22"/>
          <w:szCs w:val="22"/>
          <w:u w:val="single"/>
        </w:rPr>
        <w:t>CONDITIONAL GRANTS</w:t>
      </w:r>
    </w:p>
    <w:p w:rsidR="00742E8B" w:rsidRPr="00CF0A95" w:rsidRDefault="00742E8B" w:rsidP="00CE4652">
      <w:pPr>
        <w:spacing w:line="360" w:lineRule="auto"/>
        <w:ind w:left="360"/>
        <w:jc w:val="both"/>
        <w:rPr>
          <w:rFonts w:ascii="Arial" w:hAnsi="Arial" w:cs="Arial"/>
          <w:sz w:val="22"/>
          <w:szCs w:val="22"/>
        </w:rPr>
      </w:pPr>
    </w:p>
    <w:p w:rsidR="00266B55" w:rsidRPr="00CF0A95" w:rsidRDefault="009F054F" w:rsidP="00CE4652">
      <w:pPr>
        <w:spacing w:line="360" w:lineRule="auto"/>
        <w:ind w:left="360"/>
        <w:jc w:val="both"/>
        <w:rPr>
          <w:rFonts w:ascii="Arial" w:hAnsi="Arial" w:cs="Arial"/>
          <w:sz w:val="22"/>
          <w:szCs w:val="22"/>
        </w:rPr>
      </w:pPr>
      <w:r w:rsidRPr="00CF0A95">
        <w:rPr>
          <w:rFonts w:ascii="Arial" w:hAnsi="Arial" w:cs="Arial"/>
          <w:b/>
          <w:sz w:val="22"/>
          <w:szCs w:val="22"/>
        </w:rPr>
        <w:t>The Portfolio Committee note</w:t>
      </w:r>
      <w:r w:rsidR="00E71BF8" w:rsidRPr="00CF0A95">
        <w:rPr>
          <w:rFonts w:ascii="Arial" w:hAnsi="Arial" w:cs="Arial"/>
          <w:b/>
          <w:sz w:val="22"/>
          <w:szCs w:val="22"/>
        </w:rPr>
        <w:t>d</w:t>
      </w:r>
      <w:r w:rsidRPr="00CF0A95">
        <w:rPr>
          <w:rFonts w:ascii="Arial" w:hAnsi="Arial" w:cs="Arial"/>
          <w:b/>
          <w:sz w:val="22"/>
          <w:szCs w:val="22"/>
        </w:rPr>
        <w:t xml:space="preserve"> that despite </w:t>
      </w:r>
      <w:r w:rsidR="00E71BF8" w:rsidRPr="00CF0A95">
        <w:rPr>
          <w:rFonts w:ascii="Arial" w:hAnsi="Arial" w:cs="Arial"/>
          <w:b/>
          <w:sz w:val="22"/>
          <w:szCs w:val="22"/>
        </w:rPr>
        <w:t>the government’s adjusted baseline expenditure</w:t>
      </w:r>
      <w:r w:rsidRPr="00CF0A95">
        <w:rPr>
          <w:rFonts w:ascii="Arial" w:hAnsi="Arial" w:cs="Arial"/>
          <w:b/>
          <w:sz w:val="22"/>
          <w:szCs w:val="22"/>
        </w:rPr>
        <w:t xml:space="preserve">, overall growth in direct conditional grants is </w:t>
      </w:r>
      <w:r w:rsidR="00E71BF8" w:rsidRPr="00CF0A95">
        <w:rPr>
          <w:rFonts w:ascii="Arial" w:hAnsi="Arial" w:cs="Arial"/>
          <w:b/>
          <w:sz w:val="22"/>
          <w:szCs w:val="22"/>
        </w:rPr>
        <w:t>strong</w:t>
      </w:r>
      <w:r w:rsidR="00CE4652" w:rsidRPr="00CF0A95">
        <w:rPr>
          <w:rFonts w:ascii="Arial" w:hAnsi="Arial" w:cs="Arial"/>
          <w:b/>
          <w:sz w:val="22"/>
          <w:szCs w:val="22"/>
        </w:rPr>
        <w:t xml:space="preserve">, averaging </w:t>
      </w:r>
      <w:r w:rsidR="00E71BF8" w:rsidRPr="00CF0A95">
        <w:rPr>
          <w:rFonts w:ascii="Arial" w:hAnsi="Arial" w:cs="Arial"/>
          <w:b/>
          <w:sz w:val="22"/>
          <w:szCs w:val="22"/>
        </w:rPr>
        <w:t>6.3</w:t>
      </w:r>
      <w:r w:rsidRPr="00CF0A95">
        <w:rPr>
          <w:rFonts w:ascii="Arial" w:hAnsi="Arial" w:cs="Arial"/>
          <w:b/>
          <w:sz w:val="22"/>
          <w:szCs w:val="22"/>
        </w:rPr>
        <w:t>% over the MTEF period.</w:t>
      </w:r>
      <w:r w:rsidRPr="00CF0A95">
        <w:rPr>
          <w:rFonts w:ascii="Arial" w:hAnsi="Arial" w:cs="Arial"/>
          <w:sz w:val="22"/>
          <w:szCs w:val="22"/>
        </w:rPr>
        <w:t xml:space="preserve"> Direct conditional grants baselines amount to R</w:t>
      </w:r>
      <w:r w:rsidR="00E71BF8" w:rsidRPr="00CF0A95">
        <w:rPr>
          <w:rFonts w:ascii="Arial" w:hAnsi="Arial" w:cs="Arial"/>
          <w:sz w:val="22"/>
          <w:szCs w:val="22"/>
        </w:rPr>
        <w:t>106.7</w:t>
      </w:r>
      <w:r w:rsidRPr="00CF0A95">
        <w:rPr>
          <w:rFonts w:ascii="Arial" w:hAnsi="Arial" w:cs="Arial"/>
          <w:sz w:val="22"/>
          <w:szCs w:val="22"/>
        </w:rPr>
        <w:t xml:space="preserve"> billion in </w:t>
      </w:r>
      <w:r w:rsidR="00072E25" w:rsidRPr="00CF0A95">
        <w:rPr>
          <w:rFonts w:ascii="Arial" w:hAnsi="Arial" w:cs="Arial"/>
          <w:sz w:val="22"/>
          <w:szCs w:val="22"/>
        </w:rPr>
        <w:t>201</w:t>
      </w:r>
      <w:r w:rsidR="00E71BF8" w:rsidRPr="00CF0A95">
        <w:rPr>
          <w:rFonts w:ascii="Arial" w:hAnsi="Arial" w:cs="Arial"/>
          <w:sz w:val="22"/>
          <w:szCs w:val="22"/>
        </w:rPr>
        <w:t>9/20</w:t>
      </w:r>
      <w:r w:rsidRPr="00CF0A95">
        <w:rPr>
          <w:rFonts w:ascii="Arial" w:hAnsi="Arial" w:cs="Arial"/>
          <w:sz w:val="22"/>
          <w:szCs w:val="22"/>
        </w:rPr>
        <w:t>, R1</w:t>
      </w:r>
      <w:r w:rsidR="00E71BF8" w:rsidRPr="00CF0A95">
        <w:rPr>
          <w:rFonts w:ascii="Arial" w:hAnsi="Arial" w:cs="Arial"/>
          <w:sz w:val="22"/>
          <w:szCs w:val="22"/>
        </w:rPr>
        <w:t>14.2 billion in 2020</w:t>
      </w:r>
      <w:r w:rsidRPr="00CF0A95">
        <w:rPr>
          <w:rFonts w:ascii="Arial" w:hAnsi="Arial" w:cs="Arial"/>
          <w:sz w:val="22"/>
          <w:szCs w:val="22"/>
        </w:rPr>
        <w:t>/</w:t>
      </w:r>
      <w:r w:rsidR="00E71BF8" w:rsidRPr="00CF0A95">
        <w:rPr>
          <w:rFonts w:ascii="Arial" w:hAnsi="Arial" w:cs="Arial"/>
          <w:sz w:val="22"/>
          <w:szCs w:val="22"/>
        </w:rPr>
        <w:t>2</w:t>
      </w:r>
      <w:r w:rsidRPr="00CF0A95">
        <w:rPr>
          <w:rFonts w:ascii="Arial" w:hAnsi="Arial" w:cs="Arial"/>
          <w:sz w:val="22"/>
          <w:szCs w:val="22"/>
        </w:rPr>
        <w:t>1</w:t>
      </w:r>
      <w:r w:rsidR="006A2D67" w:rsidRPr="00CF0A95">
        <w:rPr>
          <w:rFonts w:ascii="Arial" w:hAnsi="Arial" w:cs="Arial"/>
          <w:sz w:val="22"/>
          <w:szCs w:val="22"/>
        </w:rPr>
        <w:t xml:space="preserve"> and R1</w:t>
      </w:r>
      <w:r w:rsidR="00E71BF8" w:rsidRPr="00CF0A95">
        <w:rPr>
          <w:rFonts w:ascii="Arial" w:hAnsi="Arial" w:cs="Arial"/>
          <w:sz w:val="22"/>
          <w:szCs w:val="22"/>
        </w:rPr>
        <w:t>22.</w:t>
      </w:r>
      <w:r w:rsidR="006A2D67" w:rsidRPr="00CF0A95">
        <w:rPr>
          <w:rFonts w:ascii="Arial" w:hAnsi="Arial" w:cs="Arial"/>
          <w:sz w:val="22"/>
          <w:szCs w:val="22"/>
        </w:rPr>
        <w:t>4</w:t>
      </w:r>
      <w:r w:rsidR="00E71BF8" w:rsidRPr="00CF0A95">
        <w:rPr>
          <w:rFonts w:ascii="Arial" w:hAnsi="Arial" w:cs="Arial"/>
          <w:sz w:val="22"/>
          <w:szCs w:val="22"/>
        </w:rPr>
        <w:t xml:space="preserve"> billion in 2021</w:t>
      </w:r>
      <w:r w:rsidR="006A2D67" w:rsidRPr="00CF0A95">
        <w:rPr>
          <w:rFonts w:ascii="Arial" w:hAnsi="Arial" w:cs="Arial"/>
          <w:sz w:val="22"/>
          <w:szCs w:val="22"/>
        </w:rPr>
        <w:t>/2</w:t>
      </w:r>
      <w:r w:rsidR="00E71BF8" w:rsidRPr="00CF0A95">
        <w:rPr>
          <w:rFonts w:ascii="Arial" w:hAnsi="Arial" w:cs="Arial"/>
          <w:sz w:val="22"/>
          <w:szCs w:val="22"/>
        </w:rPr>
        <w:t>2</w:t>
      </w:r>
      <w:r w:rsidRPr="00CF0A95">
        <w:rPr>
          <w:rFonts w:ascii="Arial" w:hAnsi="Arial" w:cs="Arial"/>
          <w:sz w:val="22"/>
          <w:szCs w:val="22"/>
        </w:rPr>
        <w:t>. On the other hand, indirect conditional grants total R</w:t>
      </w:r>
      <w:r w:rsidR="006A2D67" w:rsidRPr="00CF0A95">
        <w:rPr>
          <w:rFonts w:ascii="Arial" w:hAnsi="Arial" w:cs="Arial"/>
          <w:sz w:val="22"/>
          <w:szCs w:val="22"/>
        </w:rPr>
        <w:t>4.</w:t>
      </w:r>
      <w:r w:rsidR="00E71BF8" w:rsidRPr="00CF0A95">
        <w:rPr>
          <w:rFonts w:ascii="Arial" w:hAnsi="Arial" w:cs="Arial"/>
          <w:sz w:val="22"/>
          <w:szCs w:val="22"/>
        </w:rPr>
        <w:t>6</w:t>
      </w:r>
      <w:r w:rsidRPr="00CF0A95">
        <w:rPr>
          <w:rFonts w:ascii="Arial" w:hAnsi="Arial" w:cs="Arial"/>
          <w:sz w:val="22"/>
          <w:szCs w:val="22"/>
        </w:rPr>
        <w:t xml:space="preserve"> billion, R</w:t>
      </w:r>
      <w:r w:rsidR="00E71BF8" w:rsidRPr="00CF0A95">
        <w:rPr>
          <w:rFonts w:ascii="Arial" w:hAnsi="Arial" w:cs="Arial"/>
          <w:sz w:val="22"/>
          <w:szCs w:val="22"/>
        </w:rPr>
        <w:t>5</w:t>
      </w:r>
      <w:r w:rsidR="006A2D67" w:rsidRPr="00CF0A95">
        <w:rPr>
          <w:rFonts w:ascii="Arial" w:hAnsi="Arial" w:cs="Arial"/>
          <w:sz w:val="22"/>
          <w:szCs w:val="22"/>
        </w:rPr>
        <w:t xml:space="preserve"> billion and R</w:t>
      </w:r>
      <w:r w:rsidR="00E71BF8" w:rsidRPr="00CF0A95">
        <w:rPr>
          <w:rFonts w:ascii="Arial" w:hAnsi="Arial" w:cs="Arial"/>
          <w:sz w:val="22"/>
          <w:szCs w:val="22"/>
        </w:rPr>
        <w:t>5.7</w:t>
      </w:r>
      <w:r w:rsidRPr="00CF0A95">
        <w:rPr>
          <w:rFonts w:ascii="Arial" w:hAnsi="Arial" w:cs="Arial"/>
          <w:sz w:val="22"/>
          <w:szCs w:val="22"/>
        </w:rPr>
        <w:t xml:space="preserve"> billion for each year of the MTEF</w:t>
      </w:r>
      <w:r w:rsidR="00E71BF8" w:rsidRPr="00CF0A95">
        <w:rPr>
          <w:rFonts w:ascii="Arial" w:hAnsi="Arial" w:cs="Arial"/>
          <w:sz w:val="22"/>
          <w:szCs w:val="22"/>
        </w:rPr>
        <w:t xml:space="preserve"> respectively</w:t>
      </w:r>
      <w:r w:rsidRPr="00CF0A95">
        <w:rPr>
          <w:rFonts w:ascii="Arial" w:hAnsi="Arial" w:cs="Arial"/>
          <w:sz w:val="22"/>
          <w:szCs w:val="22"/>
        </w:rPr>
        <w:t>.</w:t>
      </w:r>
    </w:p>
    <w:p w:rsidR="009F054F" w:rsidRPr="00CF0A95" w:rsidRDefault="009F054F" w:rsidP="00CE4652">
      <w:pPr>
        <w:spacing w:line="360" w:lineRule="auto"/>
        <w:ind w:left="360"/>
        <w:jc w:val="both"/>
        <w:rPr>
          <w:rFonts w:ascii="Arial" w:hAnsi="Arial" w:cs="Arial"/>
          <w:sz w:val="22"/>
          <w:szCs w:val="22"/>
        </w:rPr>
      </w:pPr>
    </w:p>
    <w:p w:rsidR="009F054F" w:rsidRPr="00CF0A95" w:rsidRDefault="009F054F" w:rsidP="00CE4652">
      <w:pPr>
        <w:spacing w:line="360" w:lineRule="auto"/>
        <w:ind w:firstLine="360"/>
        <w:jc w:val="both"/>
        <w:rPr>
          <w:rFonts w:ascii="Arial" w:hAnsi="Arial" w:cs="Arial"/>
          <w:sz w:val="22"/>
          <w:szCs w:val="22"/>
        </w:rPr>
      </w:pPr>
      <w:r w:rsidRPr="00CF0A95">
        <w:rPr>
          <w:rFonts w:ascii="Arial" w:hAnsi="Arial" w:cs="Arial"/>
          <w:sz w:val="22"/>
          <w:szCs w:val="22"/>
        </w:rPr>
        <w:t>The Portfolio Committee further noted the changes in the conditional grants as follows:</w:t>
      </w:r>
    </w:p>
    <w:p w:rsidR="009F5206" w:rsidRPr="00CF0A95" w:rsidRDefault="009F5206" w:rsidP="009F5206">
      <w:pPr>
        <w:autoSpaceDE w:val="0"/>
        <w:autoSpaceDN w:val="0"/>
        <w:adjustRightInd w:val="0"/>
        <w:rPr>
          <w:rFonts w:ascii="Arial" w:hAnsi="Arial" w:cs="Arial"/>
          <w:lang w:val="en-US"/>
        </w:rPr>
      </w:pPr>
    </w:p>
    <w:p w:rsidR="009F5206" w:rsidRPr="00CF0A95" w:rsidRDefault="009F5206" w:rsidP="009F5206">
      <w:pPr>
        <w:pStyle w:val="ListParagraph"/>
        <w:numPr>
          <w:ilvl w:val="0"/>
          <w:numId w:val="6"/>
        </w:numPr>
        <w:autoSpaceDE w:val="0"/>
        <w:autoSpaceDN w:val="0"/>
        <w:adjustRightInd w:val="0"/>
        <w:jc w:val="both"/>
        <w:rPr>
          <w:rFonts w:ascii="Arial" w:hAnsi="Arial" w:cs="Arial"/>
          <w:sz w:val="22"/>
          <w:szCs w:val="22"/>
          <w:lang w:val="en-US"/>
        </w:rPr>
      </w:pPr>
      <w:r w:rsidRPr="00CF0A95">
        <w:rPr>
          <w:rFonts w:ascii="Arial" w:hAnsi="Arial" w:cs="Arial"/>
          <w:sz w:val="22"/>
          <w:szCs w:val="22"/>
          <w:lang w:val="en-US"/>
        </w:rPr>
        <w:t xml:space="preserve">A new </w:t>
      </w:r>
      <w:r w:rsidRPr="00CF0A95">
        <w:rPr>
          <w:rFonts w:ascii="Arial" w:hAnsi="Arial" w:cs="Arial"/>
          <w:i/>
          <w:iCs/>
          <w:sz w:val="22"/>
          <w:szCs w:val="22"/>
          <w:lang w:val="en-US"/>
        </w:rPr>
        <w:t>Human Resources Capacitation Grant</w:t>
      </w:r>
      <w:r w:rsidRPr="00CF0A95">
        <w:rPr>
          <w:rFonts w:ascii="Arial" w:hAnsi="Arial" w:cs="Arial"/>
          <w:sz w:val="22"/>
          <w:szCs w:val="22"/>
          <w:lang w:val="en-US"/>
        </w:rPr>
        <w:t xml:space="preserve">, which was previously a component of the indirect </w:t>
      </w:r>
      <w:r w:rsidRPr="00CF0A95">
        <w:rPr>
          <w:rFonts w:ascii="Arial" w:hAnsi="Arial" w:cs="Arial"/>
          <w:i/>
          <w:iCs/>
          <w:sz w:val="22"/>
          <w:szCs w:val="22"/>
          <w:lang w:val="en-US"/>
        </w:rPr>
        <w:t xml:space="preserve">National Health Insurance Grant </w:t>
      </w:r>
      <w:r w:rsidRPr="00CF0A95">
        <w:rPr>
          <w:rFonts w:ascii="Arial" w:hAnsi="Arial" w:cs="Arial"/>
          <w:sz w:val="22"/>
          <w:szCs w:val="22"/>
          <w:lang w:val="en-US"/>
        </w:rPr>
        <w:t>will become a direct grant to enable provincial Health Departments to fill critical posts in health facilities. The total provincial transfer amounts to R2.8 billion over the MTEF period;</w:t>
      </w:r>
    </w:p>
    <w:p w:rsidR="009F5206" w:rsidRPr="00CF0A95" w:rsidRDefault="009F5206" w:rsidP="009F5206">
      <w:pPr>
        <w:pStyle w:val="ListParagraph"/>
        <w:autoSpaceDE w:val="0"/>
        <w:autoSpaceDN w:val="0"/>
        <w:adjustRightInd w:val="0"/>
        <w:ind w:left="1080"/>
        <w:jc w:val="both"/>
        <w:rPr>
          <w:rFonts w:ascii="Arial" w:hAnsi="Arial" w:cs="Arial"/>
          <w:sz w:val="22"/>
          <w:szCs w:val="22"/>
          <w:lang w:val="en-US"/>
        </w:rPr>
      </w:pPr>
    </w:p>
    <w:p w:rsidR="001E10A2" w:rsidRPr="00CF0A95" w:rsidRDefault="009F5206" w:rsidP="009F5206">
      <w:pPr>
        <w:pStyle w:val="ListParagraph"/>
        <w:numPr>
          <w:ilvl w:val="0"/>
          <w:numId w:val="6"/>
        </w:numPr>
        <w:autoSpaceDE w:val="0"/>
        <w:autoSpaceDN w:val="0"/>
        <w:adjustRightInd w:val="0"/>
        <w:jc w:val="both"/>
        <w:rPr>
          <w:rFonts w:ascii="Arial" w:hAnsi="Arial" w:cs="Arial"/>
          <w:sz w:val="22"/>
          <w:szCs w:val="22"/>
          <w:lang w:val="en-US"/>
        </w:rPr>
      </w:pPr>
      <w:r w:rsidRPr="00CF0A95">
        <w:rPr>
          <w:rFonts w:ascii="Arial" w:hAnsi="Arial" w:cs="Arial"/>
          <w:sz w:val="22"/>
          <w:szCs w:val="22"/>
          <w:lang w:val="en-US"/>
        </w:rPr>
        <w:t xml:space="preserve">An additional R2.8 billion is added over the medium term to the indirect </w:t>
      </w:r>
      <w:r w:rsidRPr="00CF0A95">
        <w:rPr>
          <w:rFonts w:ascii="Arial" w:hAnsi="Arial" w:cs="Arial"/>
          <w:i/>
          <w:iCs/>
          <w:sz w:val="22"/>
          <w:szCs w:val="22"/>
          <w:lang w:val="en-US"/>
        </w:rPr>
        <w:t xml:space="preserve">School Infrastructure Backlogs Grant </w:t>
      </w:r>
      <w:r w:rsidRPr="00CF0A95">
        <w:rPr>
          <w:rFonts w:ascii="Arial" w:hAnsi="Arial" w:cs="Arial"/>
          <w:sz w:val="22"/>
          <w:szCs w:val="22"/>
          <w:lang w:val="en-US"/>
        </w:rPr>
        <w:t>to provide for safe and appropriate sanitation at schools;</w:t>
      </w:r>
    </w:p>
    <w:p w:rsidR="009F5206" w:rsidRPr="00CF0A95" w:rsidRDefault="009F5206" w:rsidP="009F5206">
      <w:pPr>
        <w:pStyle w:val="ListParagraph"/>
        <w:jc w:val="both"/>
        <w:rPr>
          <w:rFonts w:ascii="Arial" w:hAnsi="Arial" w:cs="Arial"/>
          <w:sz w:val="22"/>
          <w:szCs w:val="22"/>
          <w:lang w:val="en-US"/>
        </w:rPr>
      </w:pPr>
    </w:p>
    <w:p w:rsidR="009F5206" w:rsidRPr="00CF0A95" w:rsidRDefault="009F5206" w:rsidP="009F5206">
      <w:pPr>
        <w:pStyle w:val="ListParagraph"/>
        <w:autoSpaceDE w:val="0"/>
        <w:autoSpaceDN w:val="0"/>
        <w:adjustRightInd w:val="0"/>
        <w:ind w:left="1080"/>
        <w:jc w:val="both"/>
        <w:rPr>
          <w:rFonts w:ascii="Arial" w:hAnsi="Arial" w:cs="Arial"/>
          <w:lang w:val="en-US"/>
        </w:rPr>
      </w:pPr>
    </w:p>
    <w:p w:rsidR="009F5206" w:rsidRPr="00CF0A95" w:rsidRDefault="009F5206" w:rsidP="009F5206">
      <w:pPr>
        <w:pStyle w:val="ListParagraph"/>
        <w:numPr>
          <w:ilvl w:val="0"/>
          <w:numId w:val="6"/>
        </w:numPr>
        <w:autoSpaceDE w:val="0"/>
        <w:autoSpaceDN w:val="0"/>
        <w:adjustRightInd w:val="0"/>
        <w:jc w:val="both"/>
        <w:rPr>
          <w:rFonts w:ascii="Arial" w:hAnsi="Arial" w:cs="Arial"/>
          <w:sz w:val="22"/>
          <w:szCs w:val="22"/>
          <w:lang w:val="en-US"/>
        </w:rPr>
      </w:pPr>
      <w:r w:rsidRPr="00CF0A95">
        <w:rPr>
          <w:rFonts w:ascii="Arial" w:hAnsi="Arial" w:cs="Arial"/>
          <w:sz w:val="22"/>
          <w:szCs w:val="22"/>
          <w:lang w:val="en-US"/>
        </w:rPr>
        <w:t xml:space="preserve">Two new components are added to the </w:t>
      </w:r>
      <w:r w:rsidRPr="00CF0A95">
        <w:rPr>
          <w:rFonts w:ascii="Arial" w:hAnsi="Arial" w:cs="Arial"/>
          <w:i/>
          <w:iCs/>
          <w:sz w:val="22"/>
          <w:szCs w:val="22"/>
          <w:lang w:val="en-US"/>
        </w:rPr>
        <w:t xml:space="preserve">Comprehensive HIV, AIDS and TB Grant. </w:t>
      </w:r>
      <w:r w:rsidRPr="00CF0A95">
        <w:rPr>
          <w:rFonts w:ascii="Arial" w:hAnsi="Arial" w:cs="Arial"/>
          <w:sz w:val="22"/>
          <w:szCs w:val="22"/>
          <w:lang w:val="en-US"/>
        </w:rPr>
        <w:t xml:space="preserve">The first component aims to strengthen the continued fight against malaria in three provinces and the second component enables the Health Department to monitor the activities and outcomes of the TB portion of the grant. The grant is now referred to as the </w:t>
      </w:r>
      <w:r w:rsidRPr="00CF0A95">
        <w:rPr>
          <w:rFonts w:ascii="Arial" w:hAnsi="Arial" w:cs="Arial"/>
          <w:i/>
          <w:iCs/>
          <w:sz w:val="22"/>
          <w:szCs w:val="22"/>
          <w:lang w:val="en-US"/>
        </w:rPr>
        <w:t>HIV,TB, Malaria and Community Outreach Grant;</w:t>
      </w:r>
    </w:p>
    <w:p w:rsidR="009F5206" w:rsidRPr="00CF0A95" w:rsidRDefault="009F5206" w:rsidP="009F5206">
      <w:pPr>
        <w:autoSpaceDE w:val="0"/>
        <w:autoSpaceDN w:val="0"/>
        <w:adjustRightInd w:val="0"/>
        <w:jc w:val="both"/>
        <w:rPr>
          <w:rFonts w:ascii="Arial" w:hAnsi="Arial" w:cs="Arial"/>
          <w:lang w:val="en-US"/>
        </w:rPr>
      </w:pPr>
    </w:p>
    <w:p w:rsidR="009F5206" w:rsidRPr="00CF0A95" w:rsidRDefault="009F5206" w:rsidP="009F5206">
      <w:pPr>
        <w:pStyle w:val="ListParagraph"/>
        <w:numPr>
          <w:ilvl w:val="0"/>
          <w:numId w:val="6"/>
        </w:numPr>
        <w:autoSpaceDE w:val="0"/>
        <w:autoSpaceDN w:val="0"/>
        <w:adjustRightInd w:val="0"/>
        <w:jc w:val="both"/>
        <w:rPr>
          <w:rFonts w:ascii="Arial" w:hAnsi="Arial" w:cs="Arial"/>
          <w:sz w:val="22"/>
          <w:szCs w:val="22"/>
          <w:lang w:val="en-US"/>
        </w:rPr>
      </w:pPr>
      <w:r w:rsidRPr="00CF0A95">
        <w:rPr>
          <w:rFonts w:ascii="Arial" w:hAnsi="Arial" w:cs="Arial"/>
          <w:sz w:val="22"/>
          <w:szCs w:val="22"/>
          <w:lang w:val="en-US"/>
        </w:rPr>
        <w:t xml:space="preserve">A window with specific conditions relating to informal settlement upgrading will be introduced in the </w:t>
      </w:r>
      <w:r w:rsidRPr="00CF0A95">
        <w:rPr>
          <w:rFonts w:ascii="Arial" w:hAnsi="Arial" w:cs="Arial"/>
          <w:i/>
          <w:iCs/>
          <w:sz w:val="22"/>
          <w:szCs w:val="22"/>
          <w:lang w:val="en-US"/>
        </w:rPr>
        <w:t xml:space="preserve">Human Settlements Development Grant </w:t>
      </w:r>
      <w:r w:rsidRPr="00CF0A95">
        <w:rPr>
          <w:rFonts w:ascii="Arial" w:hAnsi="Arial" w:cs="Arial"/>
          <w:sz w:val="22"/>
          <w:szCs w:val="22"/>
          <w:lang w:val="en-US"/>
        </w:rPr>
        <w:t xml:space="preserve">in 2019/20 to intensify efforts to upgrade informal settlements. This window will amount to 15 per cent of the formula-based grant allocation to each province. This window also serves as the planning and preparatory platform for the introduction of the new </w:t>
      </w:r>
      <w:r w:rsidRPr="00CF0A95">
        <w:rPr>
          <w:rFonts w:ascii="Arial" w:hAnsi="Arial" w:cs="Arial"/>
          <w:i/>
          <w:iCs/>
          <w:sz w:val="22"/>
          <w:szCs w:val="22"/>
          <w:lang w:val="en-US"/>
        </w:rPr>
        <w:t xml:space="preserve">Informal Settlements Upgrading Grant for Provinces </w:t>
      </w:r>
      <w:r w:rsidRPr="00CF0A95">
        <w:rPr>
          <w:rFonts w:ascii="Arial" w:hAnsi="Arial" w:cs="Arial"/>
          <w:sz w:val="22"/>
          <w:szCs w:val="22"/>
          <w:lang w:val="en-US"/>
        </w:rPr>
        <w:t xml:space="preserve">in 2020/21; </w:t>
      </w:r>
    </w:p>
    <w:p w:rsidR="009F5206" w:rsidRPr="00CF0A95" w:rsidRDefault="009F5206" w:rsidP="009F5206">
      <w:pPr>
        <w:autoSpaceDE w:val="0"/>
        <w:autoSpaceDN w:val="0"/>
        <w:adjustRightInd w:val="0"/>
        <w:jc w:val="both"/>
        <w:rPr>
          <w:rFonts w:ascii="Arial" w:hAnsi="Arial" w:cs="Arial"/>
          <w:lang w:val="en-US"/>
        </w:rPr>
      </w:pPr>
    </w:p>
    <w:p w:rsidR="009F5206" w:rsidRPr="00CF0A95" w:rsidRDefault="009F5206" w:rsidP="009F5206">
      <w:pPr>
        <w:pStyle w:val="ListParagraph"/>
        <w:numPr>
          <w:ilvl w:val="0"/>
          <w:numId w:val="6"/>
        </w:numPr>
        <w:autoSpaceDE w:val="0"/>
        <w:autoSpaceDN w:val="0"/>
        <w:adjustRightInd w:val="0"/>
        <w:jc w:val="both"/>
        <w:rPr>
          <w:rFonts w:ascii="Arial" w:hAnsi="Arial" w:cs="Arial"/>
          <w:sz w:val="22"/>
          <w:szCs w:val="22"/>
          <w:lang w:val="en-US"/>
        </w:rPr>
      </w:pPr>
      <w:r w:rsidRPr="00CF0A95">
        <w:rPr>
          <w:rFonts w:ascii="Arial" w:hAnsi="Arial" w:cs="Arial"/>
          <w:sz w:val="22"/>
          <w:szCs w:val="22"/>
          <w:lang w:val="en-US"/>
        </w:rPr>
        <w:t xml:space="preserve">The </w:t>
      </w:r>
      <w:r w:rsidRPr="00CF0A95">
        <w:rPr>
          <w:rFonts w:ascii="Arial" w:hAnsi="Arial" w:cs="Arial"/>
          <w:i/>
          <w:iCs/>
          <w:sz w:val="22"/>
          <w:szCs w:val="22"/>
          <w:lang w:val="en-US"/>
        </w:rPr>
        <w:t xml:space="preserve">Provincial Emergency Housing Grant’s </w:t>
      </w:r>
      <w:r w:rsidRPr="00CF0A95">
        <w:rPr>
          <w:rFonts w:ascii="Arial" w:hAnsi="Arial" w:cs="Arial"/>
          <w:sz w:val="22"/>
          <w:szCs w:val="22"/>
          <w:lang w:val="en-US"/>
        </w:rPr>
        <w:t xml:space="preserve">purpose is expanded in 2019/20 to include the funding of the repair of houses damaged by disasters, if the repairs is deemed to be more cost-efficient than relocating households to temporary shelters; </w:t>
      </w:r>
    </w:p>
    <w:p w:rsidR="009F5206" w:rsidRPr="00CF0A95" w:rsidRDefault="009F5206" w:rsidP="009F5206">
      <w:pPr>
        <w:pStyle w:val="ListParagraph"/>
        <w:autoSpaceDE w:val="0"/>
        <w:autoSpaceDN w:val="0"/>
        <w:adjustRightInd w:val="0"/>
        <w:ind w:left="1080"/>
        <w:jc w:val="both"/>
        <w:rPr>
          <w:rFonts w:ascii="Arial" w:hAnsi="Arial" w:cs="Arial"/>
          <w:lang w:val="en-US"/>
        </w:rPr>
      </w:pPr>
    </w:p>
    <w:p w:rsidR="009F5206" w:rsidRPr="00CF0A95" w:rsidRDefault="009F5206" w:rsidP="009F5206">
      <w:pPr>
        <w:pStyle w:val="ListParagraph"/>
        <w:numPr>
          <w:ilvl w:val="0"/>
          <w:numId w:val="6"/>
        </w:numPr>
        <w:autoSpaceDE w:val="0"/>
        <w:autoSpaceDN w:val="0"/>
        <w:adjustRightInd w:val="0"/>
        <w:jc w:val="both"/>
        <w:rPr>
          <w:rFonts w:ascii="Arial" w:hAnsi="Arial" w:cs="Arial"/>
          <w:sz w:val="22"/>
          <w:szCs w:val="22"/>
          <w:lang w:val="en-US"/>
        </w:rPr>
      </w:pPr>
      <w:r w:rsidRPr="00CF0A95">
        <w:rPr>
          <w:rFonts w:ascii="Arial" w:hAnsi="Arial" w:cs="Arial"/>
          <w:sz w:val="22"/>
          <w:szCs w:val="22"/>
          <w:lang w:val="en-US"/>
        </w:rPr>
        <w:t xml:space="preserve">Unallocated funds within the </w:t>
      </w:r>
      <w:r w:rsidRPr="00CF0A95">
        <w:rPr>
          <w:rFonts w:ascii="Arial" w:hAnsi="Arial" w:cs="Arial"/>
          <w:i/>
          <w:iCs/>
          <w:sz w:val="22"/>
          <w:szCs w:val="22"/>
          <w:lang w:val="en-US"/>
        </w:rPr>
        <w:t xml:space="preserve">Comprehensive Agricultural Support Programme Grant </w:t>
      </w:r>
      <w:r w:rsidRPr="00CF0A95">
        <w:rPr>
          <w:rFonts w:ascii="Arial" w:hAnsi="Arial" w:cs="Arial"/>
          <w:sz w:val="22"/>
          <w:szCs w:val="22"/>
          <w:lang w:val="en-US"/>
        </w:rPr>
        <w:t>amounting to R271.5 million in 2019/20, R295.8 million in 2020/21 and R320.1 million in 2021/22 has been reprioritized. The funds will be used for the implementation of a new blended finance mechanism developed by the Department of Agriculture, Forestry and Fisheries and the Land Bank to leverage both Government and private funds to extend more affordable credit to black farmers;</w:t>
      </w:r>
    </w:p>
    <w:p w:rsidR="009F5206" w:rsidRPr="00CF0A95" w:rsidRDefault="009F5206" w:rsidP="009F5206">
      <w:pPr>
        <w:pStyle w:val="ListParagraph"/>
        <w:autoSpaceDE w:val="0"/>
        <w:autoSpaceDN w:val="0"/>
        <w:adjustRightInd w:val="0"/>
        <w:ind w:left="1080"/>
        <w:rPr>
          <w:rFonts w:ascii="Arial" w:hAnsi="Arial" w:cs="Arial"/>
          <w:lang w:val="en-US"/>
        </w:rPr>
      </w:pPr>
    </w:p>
    <w:p w:rsidR="009F5206" w:rsidRPr="00CF0A95" w:rsidRDefault="009F5206" w:rsidP="009F5206">
      <w:pPr>
        <w:pStyle w:val="ListParagraph"/>
        <w:numPr>
          <w:ilvl w:val="0"/>
          <w:numId w:val="6"/>
        </w:numPr>
        <w:autoSpaceDE w:val="0"/>
        <w:autoSpaceDN w:val="0"/>
        <w:adjustRightInd w:val="0"/>
        <w:jc w:val="both"/>
        <w:rPr>
          <w:rFonts w:ascii="Arial" w:hAnsi="Arial" w:cs="Arial"/>
          <w:sz w:val="22"/>
          <w:szCs w:val="22"/>
          <w:lang w:val="en-US"/>
        </w:rPr>
      </w:pPr>
      <w:r w:rsidRPr="00CF0A95">
        <w:rPr>
          <w:rFonts w:ascii="Arial" w:hAnsi="Arial" w:cs="Arial"/>
          <w:sz w:val="22"/>
          <w:szCs w:val="22"/>
          <w:lang w:val="en-US"/>
        </w:rPr>
        <w:t xml:space="preserve">Due to slow spending in the personal services component of the indirect </w:t>
      </w:r>
      <w:r w:rsidRPr="00CF0A95">
        <w:rPr>
          <w:rFonts w:ascii="Arial" w:hAnsi="Arial" w:cs="Arial"/>
          <w:i/>
          <w:iCs/>
          <w:sz w:val="22"/>
          <w:szCs w:val="22"/>
          <w:lang w:val="en-US"/>
        </w:rPr>
        <w:t xml:space="preserve">National Health Insurance Grant, </w:t>
      </w:r>
      <w:r w:rsidRPr="00CF0A95">
        <w:rPr>
          <w:rFonts w:ascii="Arial" w:hAnsi="Arial" w:cs="Arial"/>
          <w:sz w:val="22"/>
          <w:szCs w:val="22"/>
          <w:lang w:val="en-US"/>
        </w:rPr>
        <w:t xml:space="preserve">R2.8 billion has been reprioritized from this component towards the new </w:t>
      </w:r>
      <w:r w:rsidRPr="00CF0A95">
        <w:rPr>
          <w:rFonts w:ascii="Arial" w:hAnsi="Arial" w:cs="Arial"/>
          <w:i/>
          <w:iCs/>
          <w:sz w:val="22"/>
          <w:szCs w:val="22"/>
          <w:lang w:val="en-US"/>
        </w:rPr>
        <w:t xml:space="preserve">Human Resources Capacitation Grant </w:t>
      </w:r>
      <w:r w:rsidRPr="00CF0A95">
        <w:rPr>
          <w:rFonts w:ascii="Arial" w:hAnsi="Arial" w:cs="Arial"/>
          <w:sz w:val="22"/>
          <w:szCs w:val="22"/>
          <w:lang w:val="en-US"/>
        </w:rPr>
        <w:t>over the 2019 MTEF period;</w:t>
      </w:r>
    </w:p>
    <w:p w:rsidR="009F5206" w:rsidRPr="00CF0A95" w:rsidRDefault="009F5206" w:rsidP="009F5206">
      <w:pPr>
        <w:autoSpaceDE w:val="0"/>
        <w:autoSpaceDN w:val="0"/>
        <w:adjustRightInd w:val="0"/>
        <w:rPr>
          <w:rFonts w:ascii="Arial" w:hAnsi="Arial" w:cs="Arial"/>
          <w:lang w:val="en-US"/>
        </w:rPr>
      </w:pPr>
    </w:p>
    <w:p w:rsidR="009F5206" w:rsidRPr="00CF0A95" w:rsidRDefault="009F5206" w:rsidP="009F5206">
      <w:pPr>
        <w:pStyle w:val="ListParagraph"/>
        <w:numPr>
          <w:ilvl w:val="0"/>
          <w:numId w:val="6"/>
        </w:numPr>
        <w:autoSpaceDE w:val="0"/>
        <w:autoSpaceDN w:val="0"/>
        <w:adjustRightInd w:val="0"/>
        <w:jc w:val="both"/>
        <w:rPr>
          <w:rFonts w:ascii="Arial" w:hAnsi="Arial" w:cs="Arial"/>
          <w:sz w:val="22"/>
          <w:szCs w:val="22"/>
          <w:lang w:val="en-US"/>
        </w:rPr>
      </w:pPr>
      <w:r w:rsidRPr="00CF0A95">
        <w:rPr>
          <w:rFonts w:ascii="Arial" w:hAnsi="Arial" w:cs="Arial"/>
          <w:i/>
          <w:iCs/>
          <w:sz w:val="22"/>
          <w:szCs w:val="22"/>
          <w:lang w:val="en-US"/>
        </w:rPr>
        <w:t xml:space="preserve">Human Settlements Development Grant </w:t>
      </w:r>
      <w:r w:rsidRPr="00CF0A95">
        <w:rPr>
          <w:rFonts w:ascii="Arial" w:hAnsi="Arial" w:cs="Arial"/>
          <w:sz w:val="22"/>
          <w:szCs w:val="22"/>
          <w:lang w:val="en-US"/>
        </w:rPr>
        <w:t>baseline is reduced by R3 billion over the MTEF period in order to stabilize the growth of national debt. The reduction amounts to R1 billion in 2020/21 and R2 billion in 2021/22;</w:t>
      </w:r>
    </w:p>
    <w:p w:rsidR="009F5206" w:rsidRPr="00CF0A95" w:rsidRDefault="009F5206" w:rsidP="009F5206">
      <w:pPr>
        <w:pStyle w:val="ListParagraph"/>
        <w:autoSpaceDE w:val="0"/>
        <w:autoSpaceDN w:val="0"/>
        <w:adjustRightInd w:val="0"/>
        <w:ind w:left="1080"/>
        <w:rPr>
          <w:rFonts w:ascii="Arial" w:hAnsi="Arial" w:cs="Arial"/>
          <w:lang w:val="en-US"/>
        </w:rPr>
      </w:pPr>
    </w:p>
    <w:p w:rsidR="009F5206" w:rsidRPr="00CF0A95" w:rsidRDefault="009F5206" w:rsidP="009F5206">
      <w:pPr>
        <w:pStyle w:val="ListParagraph"/>
        <w:numPr>
          <w:ilvl w:val="0"/>
          <w:numId w:val="6"/>
        </w:numPr>
        <w:autoSpaceDE w:val="0"/>
        <w:autoSpaceDN w:val="0"/>
        <w:adjustRightInd w:val="0"/>
        <w:rPr>
          <w:rFonts w:ascii="Arial" w:hAnsi="Arial" w:cs="Arial"/>
          <w:sz w:val="22"/>
          <w:szCs w:val="22"/>
          <w:lang w:val="en-US"/>
        </w:rPr>
      </w:pPr>
      <w:r w:rsidRPr="00CF0A95">
        <w:rPr>
          <w:rFonts w:ascii="Arial" w:hAnsi="Arial" w:cs="Arial"/>
          <w:sz w:val="22"/>
          <w:szCs w:val="22"/>
          <w:lang w:val="en-US"/>
        </w:rPr>
        <w:t xml:space="preserve">R2.5 billion of the </w:t>
      </w:r>
      <w:r w:rsidRPr="00CF0A95">
        <w:rPr>
          <w:rFonts w:ascii="Arial" w:hAnsi="Arial" w:cs="Arial"/>
          <w:i/>
          <w:iCs/>
          <w:sz w:val="22"/>
          <w:szCs w:val="22"/>
          <w:lang w:val="en-US"/>
        </w:rPr>
        <w:t xml:space="preserve">Human Settlements Development Grant </w:t>
      </w:r>
      <w:r w:rsidRPr="00CF0A95">
        <w:rPr>
          <w:rFonts w:ascii="Arial" w:hAnsi="Arial" w:cs="Arial"/>
          <w:sz w:val="22"/>
          <w:szCs w:val="22"/>
          <w:lang w:val="en-US"/>
        </w:rPr>
        <w:t>allocation is ring fenced over the MTEF period to upgrade human settlements in mining towns in six provinces. This R2.5 billion is in addition to the allocations determined through the formula;</w:t>
      </w:r>
    </w:p>
    <w:p w:rsidR="00D5318C" w:rsidRPr="00CF0A95" w:rsidRDefault="00D5318C" w:rsidP="00D5318C">
      <w:pPr>
        <w:pStyle w:val="ListParagraph"/>
        <w:autoSpaceDE w:val="0"/>
        <w:autoSpaceDN w:val="0"/>
        <w:adjustRightInd w:val="0"/>
        <w:ind w:left="1080"/>
        <w:rPr>
          <w:rFonts w:ascii="Arial" w:hAnsi="Arial" w:cs="Arial"/>
          <w:lang w:val="en-US"/>
        </w:rPr>
      </w:pPr>
    </w:p>
    <w:p w:rsidR="00D5318C" w:rsidRPr="00CF0A95" w:rsidRDefault="00D5318C" w:rsidP="00D5318C">
      <w:pPr>
        <w:pStyle w:val="ListParagraph"/>
        <w:numPr>
          <w:ilvl w:val="0"/>
          <w:numId w:val="6"/>
        </w:numPr>
        <w:autoSpaceDE w:val="0"/>
        <w:autoSpaceDN w:val="0"/>
        <w:adjustRightInd w:val="0"/>
        <w:rPr>
          <w:rFonts w:ascii="Arial" w:hAnsi="Arial" w:cs="Arial"/>
          <w:sz w:val="22"/>
          <w:szCs w:val="22"/>
          <w:lang w:val="en-US"/>
        </w:rPr>
      </w:pPr>
      <w:r w:rsidRPr="00CF0A95">
        <w:rPr>
          <w:rFonts w:ascii="Arial" w:hAnsi="Arial" w:cs="Arial"/>
          <w:sz w:val="22"/>
          <w:szCs w:val="22"/>
          <w:lang w:val="en-US"/>
        </w:rPr>
        <w:t xml:space="preserve">The </w:t>
      </w:r>
      <w:r w:rsidRPr="00CF0A95">
        <w:rPr>
          <w:rFonts w:ascii="Arial" w:hAnsi="Arial" w:cs="Arial"/>
          <w:i/>
          <w:iCs/>
          <w:sz w:val="22"/>
          <w:szCs w:val="22"/>
          <w:lang w:val="en-US"/>
        </w:rPr>
        <w:t xml:space="preserve">Substance Abuse Treatment Grant </w:t>
      </w:r>
      <w:r w:rsidRPr="00CF0A95">
        <w:rPr>
          <w:rFonts w:ascii="Arial" w:hAnsi="Arial" w:cs="Arial"/>
          <w:sz w:val="22"/>
          <w:szCs w:val="22"/>
          <w:lang w:val="en-US"/>
        </w:rPr>
        <w:t xml:space="preserve">and the </w:t>
      </w:r>
      <w:r w:rsidRPr="00CF0A95">
        <w:rPr>
          <w:rFonts w:ascii="Arial" w:hAnsi="Arial" w:cs="Arial"/>
          <w:i/>
          <w:iCs/>
          <w:sz w:val="22"/>
          <w:szCs w:val="22"/>
          <w:lang w:val="en-US"/>
        </w:rPr>
        <w:t xml:space="preserve">Social Worker Employment Grant </w:t>
      </w:r>
      <w:r w:rsidRPr="00CF0A95">
        <w:rPr>
          <w:rFonts w:ascii="Arial" w:hAnsi="Arial" w:cs="Arial"/>
          <w:sz w:val="22"/>
          <w:szCs w:val="22"/>
          <w:lang w:val="en-US"/>
        </w:rPr>
        <w:t>has been phased out. The grant funding has been incorporated into the provincial equitable share over the 2019 MTEF period. This will allow provinces to use their equitable share to start operating facilities that were built to address substance abuse and employ the social workers previously funded through these two respective grants;</w:t>
      </w:r>
    </w:p>
    <w:p w:rsidR="00D5318C" w:rsidRPr="00CF0A95" w:rsidRDefault="00D5318C" w:rsidP="00D5318C">
      <w:pPr>
        <w:pStyle w:val="ListParagraph"/>
        <w:autoSpaceDE w:val="0"/>
        <w:autoSpaceDN w:val="0"/>
        <w:adjustRightInd w:val="0"/>
        <w:ind w:left="1080"/>
        <w:rPr>
          <w:rFonts w:ascii="Arial" w:hAnsi="Arial" w:cs="Arial"/>
          <w:lang w:val="en-US"/>
        </w:rPr>
      </w:pPr>
    </w:p>
    <w:p w:rsidR="005A1ECD" w:rsidRPr="00CF0A95" w:rsidRDefault="00D5318C" w:rsidP="00D5318C">
      <w:pPr>
        <w:pStyle w:val="ListParagraph"/>
        <w:numPr>
          <w:ilvl w:val="0"/>
          <w:numId w:val="6"/>
        </w:numPr>
        <w:autoSpaceDE w:val="0"/>
        <w:autoSpaceDN w:val="0"/>
        <w:adjustRightInd w:val="0"/>
        <w:rPr>
          <w:rFonts w:ascii="Arial" w:hAnsi="Arial" w:cs="Arial"/>
          <w:sz w:val="22"/>
          <w:szCs w:val="22"/>
          <w:lang w:val="en-US"/>
        </w:rPr>
      </w:pPr>
      <w:r w:rsidRPr="00CF0A95">
        <w:rPr>
          <w:rFonts w:ascii="Arial" w:hAnsi="Arial" w:cs="Arial"/>
          <w:sz w:val="22"/>
          <w:szCs w:val="22"/>
          <w:lang w:val="en-US"/>
        </w:rPr>
        <w:t xml:space="preserve">The component within the </w:t>
      </w:r>
      <w:r w:rsidRPr="00CF0A95">
        <w:rPr>
          <w:rFonts w:ascii="Arial" w:hAnsi="Arial" w:cs="Arial"/>
          <w:i/>
          <w:iCs/>
          <w:sz w:val="22"/>
          <w:szCs w:val="22"/>
          <w:lang w:val="en-US"/>
        </w:rPr>
        <w:t>Provincial Roads Maintenance Grant</w:t>
      </w:r>
      <w:r w:rsidRPr="00CF0A95">
        <w:rPr>
          <w:rFonts w:ascii="Arial" w:hAnsi="Arial" w:cs="Arial"/>
          <w:sz w:val="22"/>
          <w:szCs w:val="22"/>
          <w:lang w:val="en-US"/>
        </w:rPr>
        <w:t>, which makes provision for the rehabilitation of roads that are heavily used in support of electricity production will come to an end in 2019/20. The funding of this component will form part of the grant’s incentive baseline as of 2020/21</w:t>
      </w:r>
      <w:r w:rsidR="005A1ECD" w:rsidRPr="00CF0A95">
        <w:rPr>
          <w:rFonts w:ascii="Arial" w:hAnsi="Arial" w:cs="Arial"/>
          <w:sz w:val="22"/>
          <w:szCs w:val="22"/>
          <w:lang w:val="en-US"/>
        </w:rPr>
        <w:t>; and</w:t>
      </w:r>
    </w:p>
    <w:p w:rsidR="005A1ECD" w:rsidRPr="00CF0A95" w:rsidRDefault="005A1ECD" w:rsidP="005A1ECD">
      <w:pPr>
        <w:autoSpaceDE w:val="0"/>
        <w:autoSpaceDN w:val="0"/>
        <w:adjustRightInd w:val="0"/>
        <w:rPr>
          <w:rFonts w:ascii="Arial" w:hAnsi="Arial" w:cs="Arial"/>
          <w:lang w:val="en-ZA"/>
        </w:rPr>
      </w:pPr>
    </w:p>
    <w:p w:rsidR="005A1ECD" w:rsidRPr="00CF0A95" w:rsidRDefault="005A1ECD" w:rsidP="005A1ECD">
      <w:pPr>
        <w:pStyle w:val="ListParagraph"/>
        <w:numPr>
          <w:ilvl w:val="0"/>
          <w:numId w:val="6"/>
        </w:numPr>
        <w:autoSpaceDE w:val="0"/>
        <w:autoSpaceDN w:val="0"/>
        <w:adjustRightInd w:val="0"/>
        <w:jc w:val="both"/>
        <w:rPr>
          <w:rFonts w:ascii="Arial" w:hAnsi="Arial" w:cs="Arial"/>
          <w:sz w:val="22"/>
          <w:szCs w:val="22"/>
          <w:lang w:val="en-ZA"/>
        </w:rPr>
      </w:pPr>
      <w:r w:rsidRPr="00CF0A95">
        <w:rPr>
          <w:rFonts w:ascii="Arial" w:hAnsi="Arial" w:cs="Arial"/>
          <w:sz w:val="22"/>
          <w:szCs w:val="22"/>
          <w:lang w:val="en-ZA"/>
        </w:rPr>
        <w:t xml:space="preserve">the </w:t>
      </w:r>
      <w:r w:rsidRPr="00CF0A95">
        <w:rPr>
          <w:rFonts w:ascii="Arial" w:hAnsi="Arial" w:cs="Arial"/>
          <w:i/>
          <w:iCs/>
          <w:sz w:val="22"/>
          <w:szCs w:val="22"/>
          <w:lang w:val="en-ZA"/>
        </w:rPr>
        <w:t xml:space="preserve">Public Transport Operations Grant </w:t>
      </w:r>
      <w:r w:rsidRPr="00CF0A95">
        <w:rPr>
          <w:rFonts w:ascii="Arial" w:hAnsi="Arial" w:cs="Arial"/>
          <w:sz w:val="22"/>
          <w:szCs w:val="22"/>
          <w:lang w:val="en-ZA"/>
        </w:rPr>
        <w:t xml:space="preserve">will be a direct transfer to certain metropolitan municipalities, if the public transport contracting and regulatory functions are assigned to municipalities in 2019/20 </w:t>
      </w:r>
    </w:p>
    <w:p w:rsidR="00CB36B5" w:rsidRPr="00CF0A95" w:rsidRDefault="00CB36B5" w:rsidP="00CE4652">
      <w:pPr>
        <w:spacing w:line="360" w:lineRule="auto"/>
        <w:ind w:left="360"/>
        <w:jc w:val="both"/>
        <w:rPr>
          <w:rFonts w:ascii="Arial" w:hAnsi="Arial" w:cs="Arial"/>
          <w:sz w:val="22"/>
          <w:szCs w:val="22"/>
        </w:rPr>
      </w:pPr>
    </w:p>
    <w:p w:rsidR="000C14CB" w:rsidRPr="00CF0A95" w:rsidRDefault="000C14CB" w:rsidP="00143D29">
      <w:pPr>
        <w:pStyle w:val="ListParagraph"/>
        <w:numPr>
          <w:ilvl w:val="1"/>
          <w:numId w:val="31"/>
        </w:numPr>
        <w:spacing w:line="360" w:lineRule="auto"/>
        <w:ind w:hanging="796"/>
        <w:jc w:val="both"/>
        <w:rPr>
          <w:rFonts w:ascii="Arial" w:hAnsi="Arial" w:cs="Arial"/>
          <w:b/>
          <w:sz w:val="22"/>
          <w:szCs w:val="22"/>
          <w:u w:val="single"/>
        </w:rPr>
      </w:pPr>
      <w:r w:rsidRPr="00CF0A95">
        <w:rPr>
          <w:rFonts w:ascii="Arial" w:hAnsi="Arial" w:cs="Arial"/>
          <w:b/>
          <w:sz w:val="22"/>
          <w:szCs w:val="22"/>
          <w:u w:val="single"/>
        </w:rPr>
        <w:t>GENERAL COMMENTS ON THE DIVISION OF REVENUE</w:t>
      </w:r>
    </w:p>
    <w:p w:rsidR="000C14CB" w:rsidRPr="00CF0A95" w:rsidRDefault="000C14CB" w:rsidP="00CE4652">
      <w:pPr>
        <w:pStyle w:val="ListParagraph"/>
        <w:spacing w:line="360" w:lineRule="auto"/>
        <w:jc w:val="both"/>
        <w:rPr>
          <w:rFonts w:ascii="Arial" w:hAnsi="Arial" w:cs="Arial"/>
          <w:b/>
          <w:sz w:val="22"/>
          <w:szCs w:val="22"/>
          <w:u w:val="single"/>
        </w:rPr>
      </w:pPr>
    </w:p>
    <w:p w:rsidR="000C14CB" w:rsidRPr="00CF0A95" w:rsidRDefault="000C14CB" w:rsidP="00CE4652">
      <w:pPr>
        <w:autoSpaceDE w:val="0"/>
        <w:autoSpaceDN w:val="0"/>
        <w:adjustRightInd w:val="0"/>
        <w:spacing w:line="360" w:lineRule="auto"/>
        <w:ind w:left="360"/>
        <w:jc w:val="both"/>
        <w:rPr>
          <w:rFonts w:ascii="Arial" w:hAnsi="Arial" w:cs="Arial"/>
          <w:sz w:val="22"/>
          <w:szCs w:val="22"/>
          <w:lang w:val="en-US"/>
        </w:rPr>
      </w:pPr>
      <w:r w:rsidRPr="00CF0A95">
        <w:rPr>
          <w:rFonts w:ascii="Arial" w:hAnsi="Arial" w:cs="Arial"/>
          <w:sz w:val="22"/>
          <w:szCs w:val="22"/>
          <w:lang w:val="en-US"/>
        </w:rPr>
        <w:t>A large part of the Division of Revenue Bill remains the same annually, however due to continuous change in the economic environment revisions are mainly to take into consideration specific policy adjustments.</w:t>
      </w:r>
    </w:p>
    <w:p w:rsidR="000C14CB" w:rsidRPr="00CF0A95" w:rsidRDefault="000C14CB" w:rsidP="00CE4652">
      <w:pPr>
        <w:pStyle w:val="ListParagraph"/>
        <w:autoSpaceDE w:val="0"/>
        <w:autoSpaceDN w:val="0"/>
        <w:adjustRightInd w:val="0"/>
        <w:spacing w:line="360" w:lineRule="auto"/>
        <w:jc w:val="both"/>
        <w:rPr>
          <w:rFonts w:ascii="Arial" w:hAnsi="Arial" w:cs="Arial"/>
          <w:sz w:val="22"/>
          <w:szCs w:val="22"/>
          <w:lang w:val="en-US"/>
        </w:rPr>
      </w:pPr>
    </w:p>
    <w:p w:rsidR="004131D1" w:rsidRPr="00CF0A95" w:rsidRDefault="000C14CB" w:rsidP="005A1ECD">
      <w:pPr>
        <w:autoSpaceDE w:val="0"/>
        <w:autoSpaceDN w:val="0"/>
        <w:adjustRightInd w:val="0"/>
        <w:spacing w:line="276" w:lineRule="auto"/>
        <w:ind w:left="360"/>
        <w:jc w:val="both"/>
        <w:rPr>
          <w:rFonts w:ascii="Arial" w:hAnsi="Arial" w:cs="Arial"/>
          <w:iCs/>
          <w:sz w:val="22"/>
          <w:szCs w:val="22"/>
          <w:lang w:val="en-US"/>
        </w:rPr>
      </w:pPr>
      <w:r w:rsidRPr="00CF0A95">
        <w:rPr>
          <w:rFonts w:ascii="Arial" w:hAnsi="Arial" w:cs="Arial"/>
          <w:b/>
          <w:sz w:val="22"/>
          <w:szCs w:val="22"/>
          <w:lang w:val="en-US"/>
        </w:rPr>
        <w:t xml:space="preserve">The Portfolio Committee </w:t>
      </w:r>
      <w:r w:rsidR="00D5318C" w:rsidRPr="00CF0A95">
        <w:rPr>
          <w:rFonts w:ascii="Arial" w:hAnsi="Arial" w:cs="Arial"/>
          <w:b/>
          <w:sz w:val="22"/>
          <w:szCs w:val="22"/>
          <w:lang w:val="en-US"/>
        </w:rPr>
        <w:t>noted the</w:t>
      </w:r>
      <w:r w:rsidR="00121F6C" w:rsidRPr="00CF0A95">
        <w:rPr>
          <w:rFonts w:ascii="Arial" w:hAnsi="Arial" w:cs="Arial"/>
          <w:b/>
          <w:iCs/>
          <w:sz w:val="22"/>
          <w:szCs w:val="22"/>
          <w:lang w:val="en-ZA"/>
        </w:rPr>
        <w:t xml:space="preserve"> successful management of conditional grants often requires the collaboration of several departments, but there is currently no binding requirement for the responsibilities placed on other national or provincial departments in a grant framework</w:t>
      </w:r>
      <w:r w:rsidR="00D5318C" w:rsidRPr="00CF0A95">
        <w:rPr>
          <w:rFonts w:ascii="Arial" w:hAnsi="Arial" w:cs="Arial"/>
          <w:b/>
          <w:iCs/>
          <w:sz w:val="22"/>
          <w:szCs w:val="22"/>
          <w:lang w:val="en-ZA"/>
        </w:rPr>
        <w:t>.</w:t>
      </w:r>
      <w:r w:rsidR="007B16D8" w:rsidRPr="00CF0A95">
        <w:rPr>
          <w:rFonts w:ascii="Arial" w:hAnsi="Arial" w:cs="Arial"/>
          <w:b/>
          <w:iCs/>
          <w:sz w:val="22"/>
          <w:szCs w:val="22"/>
          <w:lang w:val="en-ZA"/>
        </w:rPr>
        <w:t xml:space="preserve"> </w:t>
      </w:r>
      <w:r w:rsidR="00121F6C" w:rsidRPr="00CF0A95">
        <w:rPr>
          <w:rFonts w:ascii="Arial" w:hAnsi="Arial" w:cs="Arial"/>
          <w:iCs/>
          <w:sz w:val="22"/>
          <w:szCs w:val="22"/>
          <w:lang w:val="en-ZA"/>
        </w:rPr>
        <w:t>T</w:t>
      </w:r>
      <w:r w:rsidR="007B16D8" w:rsidRPr="00CF0A95">
        <w:rPr>
          <w:rFonts w:ascii="Arial" w:hAnsi="Arial" w:cs="Arial"/>
          <w:iCs/>
          <w:sz w:val="22"/>
          <w:szCs w:val="22"/>
          <w:lang w:val="en-ZA"/>
        </w:rPr>
        <w:t>o this end, t</w:t>
      </w:r>
      <w:r w:rsidR="00121F6C" w:rsidRPr="00CF0A95">
        <w:rPr>
          <w:rFonts w:ascii="Arial" w:hAnsi="Arial" w:cs="Arial"/>
          <w:iCs/>
          <w:sz w:val="22"/>
          <w:szCs w:val="22"/>
          <w:lang w:val="en-ZA"/>
        </w:rPr>
        <w:t>hese responsibilities are now formally provided</w:t>
      </w:r>
      <w:r w:rsidR="007B16D8" w:rsidRPr="00CF0A95">
        <w:rPr>
          <w:rFonts w:ascii="Arial" w:hAnsi="Arial" w:cs="Arial"/>
          <w:iCs/>
          <w:sz w:val="22"/>
          <w:szCs w:val="22"/>
          <w:lang w:val="en-ZA"/>
        </w:rPr>
        <w:t xml:space="preserve"> for in clauses 9(4) and 10(11). Furthermore, a</w:t>
      </w:r>
      <w:r w:rsidR="00121F6C" w:rsidRPr="00CF0A95">
        <w:rPr>
          <w:rFonts w:ascii="Arial" w:hAnsi="Arial" w:cs="Arial"/>
          <w:iCs/>
          <w:sz w:val="22"/>
          <w:szCs w:val="22"/>
          <w:lang w:val="en-ZA"/>
        </w:rPr>
        <w:t xml:space="preserve"> new clause 27(2</w:t>
      </w:r>
      <w:r w:rsidR="00CF0A95" w:rsidRPr="00CF0A95">
        <w:rPr>
          <w:rFonts w:ascii="Arial" w:hAnsi="Arial" w:cs="Arial"/>
          <w:iCs/>
          <w:sz w:val="22"/>
          <w:szCs w:val="22"/>
          <w:lang w:val="en-ZA"/>
        </w:rPr>
        <w:t>) (</w:t>
      </w:r>
      <w:r w:rsidR="00121F6C" w:rsidRPr="00CF0A95">
        <w:rPr>
          <w:rFonts w:ascii="Arial" w:hAnsi="Arial" w:cs="Arial"/>
          <w:iCs/>
          <w:sz w:val="22"/>
          <w:szCs w:val="22"/>
          <w:lang w:val="en-ZA"/>
        </w:rPr>
        <w:t>b) also requires that the transferring officer must consult any other department that has responsibilities listed in a grant, before submitting the draft framework to National Treasury</w:t>
      </w:r>
      <w:r w:rsidR="007B16D8" w:rsidRPr="00CF0A95">
        <w:rPr>
          <w:rFonts w:ascii="Arial" w:hAnsi="Arial" w:cs="Arial"/>
          <w:iCs/>
          <w:sz w:val="22"/>
          <w:szCs w:val="22"/>
          <w:lang w:val="en-US"/>
        </w:rPr>
        <w:t>.</w:t>
      </w:r>
    </w:p>
    <w:p w:rsidR="007B16D8" w:rsidRPr="00CF0A95" w:rsidRDefault="007B16D8" w:rsidP="007B16D8">
      <w:pPr>
        <w:autoSpaceDE w:val="0"/>
        <w:autoSpaceDN w:val="0"/>
        <w:adjustRightInd w:val="0"/>
        <w:spacing w:line="360" w:lineRule="auto"/>
        <w:ind w:left="360"/>
        <w:jc w:val="both"/>
        <w:rPr>
          <w:rFonts w:ascii="Arial" w:hAnsi="Arial" w:cs="Arial"/>
          <w:b/>
          <w:bCs/>
          <w:sz w:val="22"/>
          <w:szCs w:val="22"/>
          <w:u w:val="single"/>
          <w:lang w:val="en-ZA"/>
        </w:rPr>
      </w:pPr>
    </w:p>
    <w:p w:rsidR="00007066" w:rsidRPr="00CF0A95" w:rsidRDefault="00007066" w:rsidP="005A1ECD">
      <w:pPr>
        <w:spacing w:line="276" w:lineRule="auto"/>
        <w:ind w:left="284"/>
        <w:jc w:val="both"/>
        <w:rPr>
          <w:rFonts w:ascii="Arial" w:hAnsi="Arial" w:cs="Arial"/>
          <w:b/>
          <w:bCs/>
          <w:sz w:val="22"/>
          <w:szCs w:val="22"/>
          <w:lang w:val="en-ZA"/>
        </w:rPr>
      </w:pPr>
      <w:r w:rsidRPr="00CF0A95">
        <w:rPr>
          <w:rFonts w:ascii="Arial" w:hAnsi="Arial" w:cs="Arial"/>
          <w:b/>
          <w:bCs/>
          <w:sz w:val="22"/>
          <w:szCs w:val="22"/>
          <w:lang w:val="en-ZA"/>
        </w:rPr>
        <w:t>Technical changes to the Bill</w:t>
      </w:r>
    </w:p>
    <w:p w:rsidR="004131D1" w:rsidRPr="00CF0A95" w:rsidRDefault="004131D1" w:rsidP="005A1ECD">
      <w:pPr>
        <w:spacing w:line="276" w:lineRule="auto"/>
        <w:ind w:left="284"/>
        <w:jc w:val="both"/>
        <w:rPr>
          <w:rFonts w:ascii="Arial" w:hAnsi="Arial" w:cs="Arial"/>
          <w:sz w:val="22"/>
          <w:szCs w:val="22"/>
          <w:lang w:val="en-ZA"/>
        </w:rPr>
      </w:pPr>
    </w:p>
    <w:p w:rsidR="00D635DE" w:rsidRPr="00CF0A95" w:rsidRDefault="00D635DE" w:rsidP="00D635DE">
      <w:pPr>
        <w:pStyle w:val="ListParagraph"/>
        <w:numPr>
          <w:ilvl w:val="0"/>
          <w:numId w:val="29"/>
        </w:numPr>
        <w:autoSpaceDE w:val="0"/>
        <w:autoSpaceDN w:val="0"/>
        <w:adjustRightInd w:val="0"/>
        <w:ind w:left="1134" w:hanging="425"/>
        <w:jc w:val="both"/>
        <w:rPr>
          <w:rFonts w:ascii="Arial" w:hAnsi="Arial" w:cs="Arial"/>
          <w:sz w:val="22"/>
          <w:szCs w:val="22"/>
          <w:lang w:val="en-US"/>
        </w:rPr>
      </w:pPr>
      <w:r w:rsidRPr="00CF0A95">
        <w:rPr>
          <w:rFonts w:ascii="Arial" w:hAnsi="Arial" w:cs="Arial"/>
          <w:sz w:val="22"/>
          <w:szCs w:val="22"/>
          <w:lang w:val="en-US"/>
        </w:rPr>
        <w:t xml:space="preserve">R100 million is reprioritized over the MTEF period from </w:t>
      </w:r>
      <w:r w:rsidRPr="00CF0A95">
        <w:rPr>
          <w:rFonts w:ascii="Arial" w:hAnsi="Arial" w:cs="Arial"/>
          <w:i/>
          <w:iCs/>
          <w:sz w:val="22"/>
          <w:szCs w:val="22"/>
          <w:lang w:val="en-US"/>
        </w:rPr>
        <w:t xml:space="preserve">Comprehensive Agricultural Support Programme Grant </w:t>
      </w:r>
      <w:r w:rsidRPr="00CF0A95">
        <w:rPr>
          <w:rFonts w:ascii="Arial" w:hAnsi="Arial" w:cs="Arial"/>
          <w:sz w:val="22"/>
          <w:szCs w:val="22"/>
          <w:lang w:val="en-US"/>
        </w:rPr>
        <w:t>to the Agricultural Research Council for the construction of the foot and mouth disease vaccine production facility;</w:t>
      </w:r>
    </w:p>
    <w:p w:rsidR="005626C1" w:rsidRPr="00CF0A95" w:rsidRDefault="005626C1" w:rsidP="005626C1">
      <w:pPr>
        <w:pStyle w:val="ListParagraph"/>
        <w:autoSpaceDE w:val="0"/>
        <w:autoSpaceDN w:val="0"/>
        <w:adjustRightInd w:val="0"/>
        <w:ind w:left="1134"/>
        <w:jc w:val="both"/>
        <w:rPr>
          <w:rFonts w:ascii="Arial" w:hAnsi="Arial" w:cs="Arial"/>
          <w:sz w:val="22"/>
          <w:szCs w:val="22"/>
          <w:lang w:val="en-US"/>
        </w:rPr>
      </w:pPr>
    </w:p>
    <w:p w:rsidR="00D635DE" w:rsidRPr="00CF0A95" w:rsidRDefault="00D635DE" w:rsidP="00D635DE">
      <w:pPr>
        <w:pStyle w:val="ListParagraph"/>
        <w:numPr>
          <w:ilvl w:val="0"/>
          <w:numId w:val="29"/>
        </w:numPr>
        <w:autoSpaceDE w:val="0"/>
        <w:autoSpaceDN w:val="0"/>
        <w:adjustRightInd w:val="0"/>
        <w:ind w:left="1134" w:hanging="425"/>
        <w:jc w:val="both"/>
        <w:rPr>
          <w:rFonts w:ascii="Arial" w:hAnsi="Arial" w:cs="Arial"/>
          <w:sz w:val="22"/>
          <w:szCs w:val="22"/>
          <w:lang w:val="en-US"/>
        </w:rPr>
      </w:pPr>
      <w:r w:rsidRPr="00CF0A95">
        <w:rPr>
          <w:rFonts w:ascii="Arial" w:hAnsi="Arial" w:cs="Arial"/>
          <w:sz w:val="22"/>
          <w:szCs w:val="22"/>
          <w:lang w:val="en-US"/>
        </w:rPr>
        <w:lastRenderedPageBreak/>
        <w:t xml:space="preserve">Amounts of R30 million in the 2020/21 FY and the 2021/22 FY are  reprioritized </w:t>
      </w:r>
      <w:r w:rsidR="00EF11CE" w:rsidRPr="00CF0A95">
        <w:rPr>
          <w:rFonts w:ascii="Arial" w:hAnsi="Arial" w:cs="Arial"/>
          <w:sz w:val="22"/>
          <w:szCs w:val="22"/>
          <w:lang w:val="en-US"/>
        </w:rPr>
        <w:t xml:space="preserve">from the </w:t>
      </w:r>
      <w:r w:rsidR="00EF11CE" w:rsidRPr="00CF0A95">
        <w:rPr>
          <w:rFonts w:ascii="Arial" w:hAnsi="Arial" w:cs="Arial"/>
          <w:i/>
          <w:iCs/>
          <w:sz w:val="22"/>
          <w:szCs w:val="22"/>
          <w:lang w:val="en-US"/>
        </w:rPr>
        <w:t>Comprehensive HIV, AIDS and TB Grant</w:t>
      </w:r>
      <w:r w:rsidR="00EF11CE" w:rsidRPr="00CF0A95">
        <w:rPr>
          <w:rFonts w:ascii="Arial" w:hAnsi="Arial" w:cs="Arial"/>
          <w:iCs/>
          <w:sz w:val="22"/>
          <w:szCs w:val="22"/>
          <w:lang w:val="en-US"/>
        </w:rPr>
        <w:t xml:space="preserve"> and </w:t>
      </w:r>
      <w:r w:rsidR="00EF11CE" w:rsidRPr="00CF0A95">
        <w:rPr>
          <w:rFonts w:ascii="Arial" w:hAnsi="Arial" w:cs="Arial"/>
          <w:i/>
          <w:iCs/>
          <w:sz w:val="22"/>
          <w:szCs w:val="22"/>
          <w:lang w:val="en-US"/>
        </w:rPr>
        <w:t xml:space="preserve">Community Outreach </w:t>
      </w:r>
      <w:r w:rsidR="005626C1" w:rsidRPr="00CF0A95">
        <w:rPr>
          <w:rFonts w:ascii="Arial" w:hAnsi="Arial" w:cs="Arial"/>
          <w:i/>
          <w:iCs/>
          <w:sz w:val="22"/>
          <w:szCs w:val="22"/>
          <w:lang w:val="en-US"/>
        </w:rPr>
        <w:t>G</w:t>
      </w:r>
      <w:r w:rsidR="00EF11CE" w:rsidRPr="00CF0A95">
        <w:rPr>
          <w:rFonts w:ascii="Arial" w:hAnsi="Arial" w:cs="Arial"/>
          <w:i/>
          <w:iCs/>
          <w:sz w:val="22"/>
          <w:szCs w:val="22"/>
          <w:lang w:val="en-US"/>
        </w:rPr>
        <w:t>rant</w:t>
      </w:r>
      <w:r w:rsidR="00EF11CE" w:rsidRPr="00CF0A95">
        <w:rPr>
          <w:rFonts w:ascii="Arial" w:hAnsi="Arial" w:cs="Arial"/>
          <w:iCs/>
          <w:sz w:val="22"/>
          <w:szCs w:val="22"/>
          <w:lang w:val="en-US"/>
        </w:rPr>
        <w:t xml:space="preserve">  to support malaria control </w:t>
      </w:r>
      <w:r w:rsidR="005626C1" w:rsidRPr="00CF0A95">
        <w:rPr>
          <w:rFonts w:ascii="Arial" w:hAnsi="Arial" w:cs="Arial"/>
          <w:iCs/>
          <w:sz w:val="22"/>
          <w:szCs w:val="22"/>
          <w:lang w:val="en-US"/>
        </w:rPr>
        <w:t>projects in southern Mozambique;</w:t>
      </w:r>
    </w:p>
    <w:p w:rsidR="005626C1" w:rsidRPr="00CF0A95" w:rsidRDefault="005626C1" w:rsidP="005626C1">
      <w:pPr>
        <w:pStyle w:val="ListParagraph"/>
        <w:autoSpaceDE w:val="0"/>
        <w:autoSpaceDN w:val="0"/>
        <w:adjustRightInd w:val="0"/>
        <w:ind w:left="1134"/>
        <w:jc w:val="both"/>
        <w:rPr>
          <w:rFonts w:ascii="Arial" w:hAnsi="Arial" w:cs="Arial"/>
          <w:sz w:val="22"/>
          <w:szCs w:val="22"/>
          <w:lang w:val="en-US"/>
        </w:rPr>
      </w:pPr>
    </w:p>
    <w:p w:rsidR="00EF11CE" w:rsidRPr="00CF0A95" w:rsidRDefault="00EF11CE" w:rsidP="00D635DE">
      <w:pPr>
        <w:pStyle w:val="ListParagraph"/>
        <w:numPr>
          <w:ilvl w:val="0"/>
          <w:numId w:val="29"/>
        </w:numPr>
        <w:autoSpaceDE w:val="0"/>
        <w:autoSpaceDN w:val="0"/>
        <w:adjustRightInd w:val="0"/>
        <w:ind w:left="1134" w:hanging="425"/>
        <w:jc w:val="both"/>
        <w:rPr>
          <w:rFonts w:ascii="Arial" w:hAnsi="Arial" w:cs="Arial"/>
          <w:sz w:val="22"/>
          <w:szCs w:val="22"/>
          <w:lang w:val="en-US"/>
        </w:rPr>
      </w:pPr>
      <w:r w:rsidRPr="00CF0A95">
        <w:rPr>
          <w:rFonts w:ascii="Arial" w:hAnsi="Arial" w:cs="Arial"/>
          <w:sz w:val="22"/>
          <w:szCs w:val="22"/>
          <w:lang w:val="en-US"/>
        </w:rPr>
        <w:t xml:space="preserve">The </w:t>
      </w:r>
      <w:r w:rsidRPr="00CF0A95">
        <w:rPr>
          <w:rFonts w:ascii="Arial" w:hAnsi="Arial" w:cs="Arial"/>
          <w:i/>
          <w:sz w:val="22"/>
          <w:szCs w:val="22"/>
          <w:lang w:val="en-US"/>
        </w:rPr>
        <w:t>Education Infrastructure Grant</w:t>
      </w:r>
      <w:r w:rsidRPr="00CF0A95">
        <w:rPr>
          <w:rFonts w:ascii="Arial" w:hAnsi="Arial" w:cs="Arial"/>
          <w:sz w:val="22"/>
          <w:szCs w:val="22"/>
          <w:lang w:val="en-US"/>
        </w:rPr>
        <w:t xml:space="preserve">, </w:t>
      </w:r>
      <w:r w:rsidRPr="00CF0A95">
        <w:rPr>
          <w:rFonts w:ascii="Arial" w:hAnsi="Arial" w:cs="Arial"/>
          <w:i/>
          <w:sz w:val="22"/>
          <w:szCs w:val="22"/>
          <w:lang w:val="en-US"/>
        </w:rPr>
        <w:t xml:space="preserve">Human Settlements </w:t>
      </w:r>
      <w:r w:rsidR="005626C1" w:rsidRPr="00CF0A95">
        <w:rPr>
          <w:rFonts w:ascii="Arial" w:hAnsi="Arial" w:cs="Arial"/>
          <w:i/>
          <w:sz w:val="22"/>
          <w:szCs w:val="22"/>
          <w:lang w:val="en-US"/>
        </w:rPr>
        <w:t>Development</w:t>
      </w:r>
      <w:r w:rsidRPr="00CF0A95">
        <w:rPr>
          <w:rFonts w:ascii="Arial" w:hAnsi="Arial" w:cs="Arial"/>
          <w:i/>
          <w:sz w:val="22"/>
          <w:szCs w:val="22"/>
          <w:lang w:val="en-US"/>
        </w:rPr>
        <w:t xml:space="preserve"> Grant</w:t>
      </w:r>
      <w:r w:rsidRPr="00CF0A95">
        <w:rPr>
          <w:rFonts w:ascii="Arial" w:hAnsi="Arial" w:cs="Arial"/>
          <w:sz w:val="22"/>
          <w:szCs w:val="22"/>
          <w:lang w:val="en-US"/>
        </w:rPr>
        <w:t xml:space="preserve">, </w:t>
      </w:r>
      <w:r w:rsidRPr="00CF0A95">
        <w:rPr>
          <w:rFonts w:ascii="Arial" w:hAnsi="Arial" w:cs="Arial"/>
          <w:i/>
          <w:sz w:val="22"/>
          <w:szCs w:val="22"/>
          <w:lang w:val="en-US"/>
        </w:rPr>
        <w:t>Provincial Road Maintenance Grant</w:t>
      </w:r>
      <w:r w:rsidRPr="00CF0A95">
        <w:rPr>
          <w:rFonts w:ascii="Arial" w:hAnsi="Arial" w:cs="Arial"/>
          <w:sz w:val="22"/>
          <w:szCs w:val="22"/>
          <w:lang w:val="en-US"/>
        </w:rPr>
        <w:t xml:space="preserve"> and </w:t>
      </w:r>
      <w:r w:rsidRPr="00CF0A95">
        <w:rPr>
          <w:rFonts w:ascii="Arial" w:hAnsi="Arial" w:cs="Arial"/>
          <w:i/>
          <w:sz w:val="22"/>
          <w:szCs w:val="22"/>
          <w:lang w:val="en-US"/>
        </w:rPr>
        <w:t xml:space="preserve">Expanded Public Works Programme Integrated Grant for </w:t>
      </w:r>
      <w:r w:rsidR="005626C1" w:rsidRPr="00CF0A95">
        <w:rPr>
          <w:rFonts w:ascii="Arial" w:hAnsi="Arial" w:cs="Arial"/>
          <w:i/>
          <w:sz w:val="22"/>
          <w:szCs w:val="22"/>
          <w:lang w:val="en-US"/>
        </w:rPr>
        <w:t>P</w:t>
      </w:r>
      <w:r w:rsidRPr="00CF0A95">
        <w:rPr>
          <w:rFonts w:ascii="Arial" w:hAnsi="Arial" w:cs="Arial"/>
          <w:i/>
          <w:sz w:val="22"/>
          <w:szCs w:val="22"/>
          <w:lang w:val="en-US"/>
        </w:rPr>
        <w:t xml:space="preserve">rovinces </w:t>
      </w:r>
      <w:r w:rsidRPr="00CF0A95">
        <w:rPr>
          <w:rFonts w:ascii="Arial" w:hAnsi="Arial" w:cs="Arial"/>
          <w:sz w:val="22"/>
          <w:szCs w:val="22"/>
          <w:lang w:val="en-US"/>
        </w:rPr>
        <w:t xml:space="preserve">have been reduced by R600 million , R400 million, R199.5 million and R41.8 million respectively over the MTEF period. The Portfolio Committee noted that these reductions have been effected to assist with fiscal consolidation and to fund other government </w:t>
      </w:r>
      <w:r w:rsidR="005626C1" w:rsidRPr="00CF0A95">
        <w:rPr>
          <w:rFonts w:ascii="Arial" w:hAnsi="Arial" w:cs="Arial"/>
          <w:sz w:val="22"/>
          <w:szCs w:val="22"/>
          <w:lang w:val="en-US"/>
        </w:rPr>
        <w:t>priorities; and</w:t>
      </w:r>
    </w:p>
    <w:p w:rsidR="005626C1" w:rsidRPr="00CF0A95" w:rsidRDefault="005626C1" w:rsidP="005626C1">
      <w:pPr>
        <w:pStyle w:val="ListParagraph"/>
        <w:autoSpaceDE w:val="0"/>
        <w:autoSpaceDN w:val="0"/>
        <w:adjustRightInd w:val="0"/>
        <w:ind w:left="1134"/>
        <w:jc w:val="both"/>
        <w:rPr>
          <w:rFonts w:ascii="Arial" w:hAnsi="Arial" w:cs="Arial"/>
          <w:sz w:val="22"/>
          <w:szCs w:val="22"/>
          <w:lang w:val="en-US"/>
        </w:rPr>
      </w:pPr>
    </w:p>
    <w:p w:rsidR="00D635DE" w:rsidRPr="00CF0A95" w:rsidRDefault="00EF11CE" w:rsidP="00D635DE">
      <w:pPr>
        <w:pStyle w:val="ListParagraph"/>
        <w:numPr>
          <w:ilvl w:val="0"/>
          <w:numId w:val="29"/>
        </w:numPr>
        <w:autoSpaceDE w:val="0"/>
        <w:autoSpaceDN w:val="0"/>
        <w:adjustRightInd w:val="0"/>
        <w:ind w:left="1134" w:hanging="425"/>
        <w:jc w:val="both"/>
        <w:rPr>
          <w:rFonts w:ascii="Arial" w:hAnsi="Arial" w:cs="Arial"/>
          <w:sz w:val="22"/>
          <w:szCs w:val="22"/>
          <w:lang w:val="en-US"/>
        </w:rPr>
      </w:pPr>
      <w:r w:rsidRPr="00CF0A95">
        <w:rPr>
          <w:rFonts w:ascii="Arial" w:hAnsi="Arial" w:cs="Arial"/>
          <w:sz w:val="22"/>
          <w:szCs w:val="22"/>
          <w:lang w:val="en-US"/>
        </w:rPr>
        <w:t xml:space="preserve">The </w:t>
      </w:r>
      <w:r w:rsidRPr="00CF0A95">
        <w:rPr>
          <w:rFonts w:ascii="Arial" w:hAnsi="Arial" w:cs="Arial"/>
          <w:i/>
          <w:sz w:val="22"/>
          <w:szCs w:val="22"/>
          <w:lang w:val="en-US"/>
        </w:rPr>
        <w:t>School Infrastructure Backlogs Grant</w:t>
      </w:r>
      <w:r w:rsidRPr="00CF0A95">
        <w:rPr>
          <w:rFonts w:ascii="Arial" w:hAnsi="Arial" w:cs="Arial"/>
          <w:sz w:val="22"/>
          <w:szCs w:val="22"/>
          <w:lang w:val="en-US"/>
        </w:rPr>
        <w:t xml:space="preserve"> , which was due to merge with the </w:t>
      </w:r>
      <w:r w:rsidRPr="00CF0A95">
        <w:rPr>
          <w:rFonts w:ascii="Arial" w:hAnsi="Arial" w:cs="Arial"/>
          <w:i/>
          <w:sz w:val="22"/>
          <w:szCs w:val="22"/>
          <w:lang w:val="en-US"/>
        </w:rPr>
        <w:t>Education Infrastructure Grant</w:t>
      </w:r>
      <w:r w:rsidRPr="00CF0A95">
        <w:rPr>
          <w:rFonts w:ascii="Arial" w:hAnsi="Arial" w:cs="Arial"/>
          <w:sz w:val="22"/>
          <w:szCs w:val="22"/>
          <w:lang w:val="en-US"/>
        </w:rPr>
        <w:t xml:space="preserve"> in the 2018/19 FY , was extended and will continue over the 2019 MTEF period</w:t>
      </w:r>
    </w:p>
    <w:p w:rsidR="004131D1" w:rsidRPr="00CF0A95" w:rsidRDefault="004131D1" w:rsidP="00CE4652">
      <w:pPr>
        <w:spacing w:line="360" w:lineRule="auto"/>
        <w:ind w:hanging="731"/>
        <w:jc w:val="both"/>
        <w:rPr>
          <w:rFonts w:ascii="Arial" w:hAnsi="Arial" w:cs="Arial"/>
          <w:sz w:val="22"/>
          <w:szCs w:val="22"/>
          <w:u w:val="single"/>
        </w:rPr>
      </w:pPr>
    </w:p>
    <w:p w:rsidR="00780ECB" w:rsidRPr="00CF0A95" w:rsidRDefault="00780ECB" w:rsidP="00143D29">
      <w:pPr>
        <w:pStyle w:val="ListParagraph"/>
        <w:numPr>
          <w:ilvl w:val="1"/>
          <w:numId w:val="31"/>
        </w:numPr>
        <w:spacing w:line="360" w:lineRule="auto"/>
        <w:ind w:hanging="654"/>
        <w:jc w:val="both"/>
        <w:rPr>
          <w:rFonts w:ascii="Arial" w:hAnsi="Arial" w:cs="Arial"/>
          <w:b/>
          <w:sz w:val="22"/>
          <w:szCs w:val="22"/>
          <w:u w:val="single"/>
        </w:rPr>
      </w:pPr>
      <w:r w:rsidRPr="00CF0A95">
        <w:rPr>
          <w:rFonts w:ascii="Arial" w:hAnsi="Arial" w:cs="Arial"/>
          <w:b/>
          <w:sz w:val="22"/>
          <w:szCs w:val="22"/>
          <w:u w:val="single"/>
        </w:rPr>
        <w:t>SUMMARY OF SUBMISSIONS</w:t>
      </w:r>
    </w:p>
    <w:p w:rsidR="00780ECB" w:rsidRPr="00CF0A95" w:rsidRDefault="00780ECB" w:rsidP="00CE4652">
      <w:pPr>
        <w:spacing w:line="360" w:lineRule="auto"/>
        <w:ind w:left="360"/>
        <w:jc w:val="both"/>
        <w:rPr>
          <w:rFonts w:ascii="Arial" w:hAnsi="Arial" w:cs="Arial"/>
          <w:sz w:val="22"/>
          <w:szCs w:val="22"/>
        </w:rPr>
      </w:pPr>
    </w:p>
    <w:p w:rsidR="00667D95" w:rsidRPr="00CF0A95" w:rsidRDefault="00667D95" w:rsidP="00CE4652">
      <w:pPr>
        <w:spacing w:line="360" w:lineRule="auto"/>
        <w:ind w:left="360"/>
        <w:jc w:val="both"/>
        <w:rPr>
          <w:rFonts w:ascii="Arial" w:hAnsi="Arial" w:cs="Arial"/>
          <w:sz w:val="22"/>
          <w:szCs w:val="22"/>
        </w:rPr>
      </w:pPr>
      <w:r w:rsidRPr="00CF0A95">
        <w:rPr>
          <w:rFonts w:ascii="Arial" w:hAnsi="Arial" w:cs="Arial"/>
          <w:sz w:val="22"/>
          <w:szCs w:val="22"/>
        </w:rPr>
        <w:t>In line with the requirements of the Constitution of the Republic of South Africa, the Portfolio Committee invited key stakeholders to make submissions. Hereunder is the summary of submissions</w:t>
      </w:r>
      <w:r w:rsidR="004131D1" w:rsidRPr="00CF0A95">
        <w:rPr>
          <w:rFonts w:ascii="Arial" w:hAnsi="Arial" w:cs="Arial"/>
          <w:sz w:val="22"/>
          <w:szCs w:val="22"/>
        </w:rPr>
        <w:t xml:space="preserve"> relevant to the Division of Revenue Bill</w:t>
      </w:r>
      <w:r w:rsidRPr="00CF0A95">
        <w:rPr>
          <w:rFonts w:ascii="Arial" w:hAnsi="Arial" w:cs="Arial"/>
          <w:sz w:val="22"/>
          <w:szCs w:val="22"/>
        </w:rPr>
        <w:t>:</w:t>
      </w:r>
    </w:p>
    <w:p w:rsidR="00667D95" w:rsidRPr="00CF0A95" w:rsidRDefault="00667D95" w:rsidP="00CE4652">
      <w:pPr>
        <w:pStyle w:val="ListParagraph"/>
        <w:spacing w:line="360" w:lineRule="auto"/>
        <w:jc w:val="both"/>
        <w:rPr>
          <w:rFonts w:ascii="Arial" w:hAnsi="Arial" w:cs="Arial"/>
          <w:sz w:val="22"/>
          <w:szCs w:val="22"/>
          <w:lang w:val="en-ZA"/>
        </w:rPr>
      </w:pPr>
    </w:p>
    <w:p w:rsidR="00F45D59" w:rsidRPr="00CF0A95" w:rsidRDefault="000B30EE" w:rsidP="00F45D59">
      <w:pPr>
        <w:pStyle w:val="ListParagraph"/>
        <w:numPr>
          <w:ilvl w:val="0"/>
          <w:numId w:val="37"/>
        </w:numPr>
        <w:autoSpaceDE w:val="0"/>
        <w:autoSpaceDN w:val="0"/>
        <w:adjustRightInd w:val="0"/>
        <w:ind w:left="1134" w:hanging="425"/>
        <w:rPr>
          <w:rFonts w:ascii="Arial" w:hAnsi="Arial" w:cs="Arial"/>
          <w:sz w:val="22"/>
          <w:szCs w:val="22"/>
          <w:lang w:val="en-ZA"/>
        </w:rPr>
      </w:pPr>
      <w:r w:rsidRPr="00CF0A95">
        <w:rPr>
          <w:rFonts w:ascii="Arial" w:hAnsi="Arial" w:cs="Arial"/>
          <w:sz w:val="22"/>
          <w:szCs w:val="22"/>
          <w:lang w:val="en-ZA"/>
        </w:rPr>
        <w:t>T</w:t>
      </w:r>
      <w:r w:rsidR="00F45D59" w:rsidRPr="00CF0A95">
        <w:rPr>
          <w:rFonts w:ascii="Arial" w:hAnsi="Arial" w:cs="Arial"/>
          <w:sz w:val="22"/>
          <w:szCs w:val="22"/>
          <w:lang w:val="en-ZA"/>
        </w:rPr>
        <w:t>hat the consequences of the misappropriation of public funds should not impact on the</w:t>
      </w:r>
    </w:p>
    <w:p w:rsidR="00F45D59" w:rsidRPr="00CF0A95" w:rsidRDefault="00F45D59" w:rsidP="00F45D59">
      <w:pPr>
        <w:autoSpaceDE w:val="0"/>
        <w:autoSpaceDN w:val="0"/>
        <w:adjustRightInd w:val="0"/>
        <w:ind w:left="720" w:firstLine="414"/>
        <w:rPr>
          <w:rFonts w:ascii="Arial" w:hAnsi="Arial" w:cs="Arial"/>
          <w:sz w:val="22"/>
          <w:szCs w:val="22"/>
          <w:lang w:val="en-ZA"/>
        </w:rPr>
      </w:pPr>
      <w:r w:rsidRPr="00CF0A95">
        <w:rPr>
          <w:rFonts w:ascii="Arial" w:hAnsi="Arial" w:cs="Arial"/>
          <w:sz w:val="22"/>
          <w:szCs w:val="22"/>
          <w:lang w:val="en-ZA"/>
        </w:rPr>
        <w:t>constitutionally enshrined right of learners, to a quality basic education;</w:t>
      </w:r>
    </w:p>
    <w:p w:rsidR="00F45D59" w:rsidRPr="00CF0A95" w:rsidRDefault="00F45D59" w:rsidP="00F45D59">
      <w:pPr>
        <w:autoSpaceDE w:val="0"/>
        <w:autoSpaceDN w:val="0"/>
        <w:adjustRightInd w:val="0"/>
        <w:ind w:left="720" w:firstLine="414"/>
        <w:rPr>
          <w:rFonts w:ascii="Arial" w:hAnsi="Arial" w:cs="Arial"/>
          <w:sz w:val="22"/>
          <w:szCs w:val="22"/>
          <w:lang w:val="en-ZA"/>
        </w:rPr>
      </w:pPr>
    </w:p>
    <w:p w:rsidR="004131D1" w:rsidRPr="00CF0A95" w:rsidRDefault="00F45D59" w:rsidP="000E7DAB">
      <w:pPr>
        <w:pStyle w:val="ListParagraph"/>
        <w:numPr>
          <w:ilvl w:val="0"/>
          <w:numId w:val="37"/>
        </w:numPr>
        <w:autoSpaceDE w:val="0"/>
        <w:autoSpaceDN w:val="0"/>
        <w:adjustRightInd w:val="0"/>
        <w:ind w:left="1080" w:hanging="425"/>
        <w:jc w:val="both"/>
        <w:rPr>
          <w:rFonts w:ascii="Arial" w:hAnsi="Arial" w:cs="Arial"/>
          <w:sz w:val="22"/>
          <w:szCs w:val="22"/>
          <w:lang w:val="en-ZA"/>
        </w:rPr>
      </w:pPr>
      <w:r w:rsidRPr="00CF0A95">
        <w:rPr>
          <w:rFonts w:ascii="Arial" w:hAnsi="Arial" w:cs="Arial"/>
          <w:sz w:val="22"/>
          <w:szCs w:val="22"/>
          <w:lang w:val="en-ZA"/>
        </w:rPr>
        <w:t xml:space="preserve">Department of Education has to address </w:t>
      </w:r>
      <w:r w:rsidRPr="00CF0A95">
        <w:rPr>
          <w:rFonts w:ascii="Arial" w:hAnsi="Arial" w:cs="Arial"/>
          <w:iCs/>
          <w:sz w:val="22"/>
          <w:szCs w:val="22"/>
          <w:lang w:val="en-ZA"/>
        </w:rPr>
        <w:t xml:space="preserve">insufficient </w:t>
      </w:r>
      <w:r w:rsidRPr="00CF0A95">
        <w:rPr>
          <w:rFonts w:ascii="Arial" w:hAnsi="Arial" w:cs="Arial"/>
          <w:sz w:val="22"/>
          <w:szCs w:val="22"/>
          <w:lang w:val="en-ZA"/>
        </w:rPr>
        <w:t>access to sanitation facilities in public schools, as learners continue to have to use undignified and unhygienic toilets.</w:t>
      </w:r>
    </w:p>
    <w:p w:rsidR="00F45D59" w:rsidRPr="00CF0A95" w:rsidRDefault="00F45D59" w:rsidP="00F45D59">
      <w:pPr>
        <w:autoSpaceDE w:val="0"/>
        <w:autoSpaceDN w:val="0"/>
        <w:adjustRightInd w:val="0"/>
        <w:ind w:left="1080"/>
        <w:rPr>
          <w:rFonts w:ascii="Arial" w:hAnsi="Arial" w:cs="Arial"/>
          <w:sz w:val="22"/>
          <w:szCs w:val="22"/>
          <w:lang w:val="en-US"/>
        </w:rPr>
      </w:pPr>
    </w:p>
    <w:p w:rsidR="004131D1" w:rsidRPr="00CF0A95" w:rsidRDefault="004131D1" w:rsidP="00386385">
      <w:pPr>
        <w:pStyle w:val="ListParagraph"/>
        <w:numPr>
          <w:ilvl w:val="0"/>
          <w:numId w:val="2"/>
        </w:numPr>
        <w:autoSpaceDE w:val="0"/>
        <w:autoSpaceDN w:val="0"/>
        <w:adjustRightInd w:val="0"/>
        <w:spacing w:line="360" w:lineRule="auto"/>
        <w:jc w:val="both"/>
        <w:rPr>
          <w:rFonts w:ascii="Arial" w:hAnsi="Arial" w:cs="Arial"/>
          <w:sz w:val="22"/>
          <w:szCs w:val="22"/>
          <w:lang w:val="en-US"/>
        </w:rPr>
      </w:pPr>
      <w:r w:rsidRPr="00CF0A95">
        <w:rPr>
          <w:rFonts w:ascii="Arial" w:hAnsi="Arial" w:cs="Arial"/>
          <w:sz w:val="22"/>
          <w:szCs w:val="22"/>
          <w:lang w:val="en-ZA"/>
        </w:rPr>
        <w:t>That</w:t>
      </w:r>
      <w:r w:rsidR="00F45D59" w:rsidRPr="00CF0A95">
        <w:rPr>
          <w:rFonts w:ascii="Arial" w:hAnsi="Arial" w:cs="Arial"/>
          <w:sz w:val="22"/>
          <w:szCs w:val="22"/>
          <w:lang w:val="en-ZA"/>
        </w:rPr>
        <w:t xml:space="preserve"> government should ensure strict adherence to </w:t>
      </w:r>
      <w:r w:rsidRPr="00CF0A95">
        <w:rPr>
          <w:rFonts w:ascii="Arial" w:hAnsi="Arial" w:cs="Arial"/>
          <w:sz w:val="22"/>
          <w:szCs w:val="22"/>
          <w:lang w:val="en-ZA"/>
        </w:rPr>
        <w:t xml:space="preserve"> </w:t>
      </w:r>
      <w:r w:rsidR="00F45D59" w:rsidRPr="00CF0A95">
        <w:rPr>
          <w:rFonts w:ascii="Arial" w:hAnsi="Arial" w:cs="Arial"/>
          <w:iCs/>
          <w:sz w:val="22"/>
          <w:szCs w:val="22"/>
          <w:lang w:val="en-ZA"/>
        </w:rPr>
        <w:t>Regulations Relating to Minimum Uniform Norms and Standards for Public School Infrastructure</w:t>
      </w:r>
    </w:p>
    <w:p w:rsidR="00F45D59" w:rsidRPr="00CF0A95" w:rsidRDefault="00F45D59" w:rsidP="00803671">
      <w:pPr>
        <w:pStyle w:val="ListParagraph"/>
        <w:numPr>
          <w:ilvl w:val="0"/>
          <w:numId w:val="2"/>
        </w:numPr>
        <w:autoSpaceDE w:val="0"/>
        <w:autoSpaceDN w:val="0"/>
        <w:adjustRightInd w:val="0"/>
        <w:spacing w:line="360" w:lineRule="auto"/>
        <w:jc w:val="both"/>
        <w:rPr>
          <w:rFonts w:ascii="Arial" w:hAnsi="Arial" w:cs="Arial"/>
          <w:sz w:val="22"/>
          <w:szCs w:val="22"/>
          <w:lang w:val="en-US"/>
        </w:rPr>
      </w:pPr>
      <w:r w:rsidRPr="00CF0A95">
        <w:rPr>
          <w:rFonts w:ascii="Arial" w:hAnsi="Arial" w:cs="Arial"/>
          <w:sz w:val="22"/>
          <w:szCs w:val="22"/>
          <w:lang w:val="en-ZA"/>
        </w:rPr>
        <w:t>Concentrate on the maintenance of school infrastructure in the province specifically, and the country more broadly</w:t>
      </w:r>
    </w:p>
    <w:p w:rsidR="00F45D59" w:rsidRPr="00CF0A95" w:rsidRDefault="00F45D59" w:rsidP="00D608A4">
      <w:pPr>
        <w:pStyle w:val="ListParagraph"/>
        <w:numPr>
          <w:ilvl w:val="0"/>
          <w:numId w:val="2"/>
        </w:numPr>
        <w:autoSpaceDE w:val="0"/>
        <w:autoSpaceDN w:val="0"/>
        <w:adjustRightInd w:val="0"/>
        <w:spacing w:line="360" w:lineRule="auto"/>
        <w:jc w:val="both"/>
        <w:rPr>
          <w:rFonts w:ascii="Arial" w:hAnsi="Arial" w:cs="Arial"/>
          <w:sz w:val="22"/>
          <w:szCs w:val="22"/>
          <w:lang w:val="en-US"/>
        </w:rPr>
      </w:pPr>
      <w:r w:rsidRPr="00CF0A95">
        <w:rPr>
          <w:rFonts w:ascii="Arial" w:hAnsi="Arial" w:cs="Arial"/>
          <w:sz w:val="22"/>
          <w:szCs w:val="22"/>
          <w:lang w:val="en-ZA"/>
        </w:rPr>
        <w:t xml:space="preserve">The budget reduction </w:t>
      </w:r>
      <w:r w:rsidR="000B30EE" w:rsidRPr="00CF0A95">
        <w:rPr>
          <w:rFonts w:ascii="Arial" w:hAnsi="Arial" w:cs="Arial"/>
          <w:sz w:val="22"/>
          <w:szCs w:val="22"/>
          <w:lang w:val="en-ZA"/>
        </w:rPr>
        <w:t xml:space="preserve">regarding education infrastructure grant </w:t>
      </w:r>
      <w:r w:rsidRPr="00CF0A95">
        <w:rPr>
          <w:rFonts w:ascii="Arial" w:hAnsi="Arial" w:cs="Arial"/>
          <w:sz w:val="22"/>
          <w:szCs w:val="22"/>
          <w:lang w:val="en-ZA"/>
        </w:rPr>
        <w:t xml:space="preserve">has undoubtedly </w:t>
      </w:r>
      <w:r w:rsidR="000B30EE" w:rsidRPr="00CF0A95">
        <w:rPr>
          <w:rFonts w:ascii="Arial" w:hAnsi="Arial" w:cs="Arial"/>
          <w:sz w:val="22"/>
          <w:szCs w:val="22"/>
          <w:lang w:val="en-ZA"/>
        </w:rPr>
        <w:t>impacted</w:t>
      </w:r>
      <w:r w:rsidRPr="00CF0A95">
        <w:rPr>
          <w:rFonts w:ascii="Arial" w:hAnsi="Arial" w:cs="Arial"/>
          <w:sz w:val="22"/>
          <w:szCs w:val="22"/>
          <w:lang w:val="en-ZA"/>
        </w:rPr>
        <w:t xml:space="preserve"> on the GDE’s ability to deliver school</w:t>
      </w:r>
      <w:r w:rsidR="000B30EE" w:rsidRPr="00CF0A95">
        <w:rPr>
          <w:rFonts w:ascii="Arial" w:hAnsi="Arial" w:cs="Arial"/>
          <w:sz w:val="22"/>
          <w:szCs w:val="22"/>
          <w:lang w:val="en-ZA"/>
        </w:rPr>
        <w:t xml:space="preserve"> </w:t>
      </w:r>
      <w:r w:rsidRPr="00CF0A95">
        <w:rPr>
          <w:rFonts w:ascii="Arial" w:hAnsi="Arial" w:cs="Arial"/>
          <w:sz w:val="22"/>
          <w:szCs w:val="22"/>
          <w:lang w:val="en-ZA"/>
        </w:rPr>
        <w:t>infrastructure, reflected in the slow pace towards eradicating and replacing schools made of</w:t>
      </w:r>
      <w:r w:rsidR="000B30EE" w:rsidRPr="00CF0A95">
        <w:rPr>
          <w:rFonts w:ascii="Arial" w:hAnsi="Arial" w:cs="Arial"/>
          <w:sz w:val="22"/>
          <w:szCs w:val="22"/>
          <w:lang w:val="en-ZA"/>
        </w:rPr>
        <w:t xml:space="preserve"> </w:t>
      </w:r>
      <w:r w:rsidRPr="00CF0A95">
        <w:rPr>
          <w:rFonts w:ascii="Arial" w:hAnsi="Arial" w:cs="Arial"/>
          <w:sz w:val="22"/>
          <w:szCs w:val="22"/>
          <w:lang w:val="en-ZA"/>
        </w:rPr>
        <w:t>asbestos in the province.</w:t>
      </w:r>
    </w:p>
    <w:p w:rsidR="000B30EE" w:rsidRPr="00CF0A95" w:rsidRDefault="000B30EE" w:rsidP="00CE4652">
      <w:pPr>
        <w:pStyle w:val="ListParagraph"/>
        <w:numPr>
          <w:ilvl w:val="0"/>
          <w:numId w:val="2"/>
        </w:numPr>
        <w:spacing w:line="360" w:lineRule="auto"/>
        <w:jc w:val="both"/>
        <w:rPr>
          <w:rFonts w:ascii="Arial" w:hAnsi="Arial" w:cs="Arial"/>
          <w:sz w:val="22"/>
          <w:szCs w:val="22"/>
          <w:lang w:val="en-US"/>
        </w:rPr>
      </w:pPr>
      <w:r w:rsidRPr="00CF0A95">
        <w:rPr>
          <w:rFonts w:ascii="Arial" w:hAnsi="Arial" w:cs="Arial"/>
          <w:sz w:val="22"/>
          <w:szCs w:val="22"/>
          <w:lang w:val="en-ZA"/>
        </w:rPr>
        <w:t>That the frameworks for the Maths, Science and Technology Grant should be reviewed to include the building of Laboratories;</w:t>
      </w:r>
    </w:p>
    <w:p w:rsidR="000B30EE" w:rsidRPr="00CF0A95" w:rsidRDefault="000B30EE" w:rsidP="00CE4652">
      <w:pPr>
        <w:pStyle w:val="ListParagraph"/>
        <w:numPr>
          <w:ilvl w:val="0"/>
          <w:numId w:val="2"/>
        </w:numPr>
        <w:spacing w:line="360" w:lineRule="auto"/>
        <w:jc w:val="both"/>
        <w:rPr>
          <w:rFonts w:ascii="Arial" w:hAnsi="Arial" w:cs="Arial"/>
          <w:sz w:val="22"/>
          <w:szCs w:val="22"/>
          <w:lang w:val="en-US"/>
        </w:rPr>
      </w:pPr>
      <w:r w:rsidRPr="00CF0A95">
        <w:rPr>
          <w:rFonts w:ascii="Arial" w:hAnsi="Arial" w:cs="Arial"/>
          <w:sz w:val="22"/>
          <w:szCs w:val="22"/>
          <w:lang w:val="en-ZA"/>
        </w:rPr>
        <w:t>That national Treasury should consider allocating more money on roads infrastructure; and</w:t>
      </w:r>
    </w:p>
    <w:p w:rsidR="00DD7B56" w:rsidRPr="00CF0A95" w:rsidRDefault="000B30EE" w:rsidP="00CE4652">
      <w:pPr>
        <w:pStyle w:val="ListParagraph"/>
        <w:numPr>
          <w:ilvl w:val="0"/>
          <w:numId w:val="2"/>
        </w:numPr>
        <w:spacing w:line="360" w:lineRule="auto"/>
        <w:jc w:val="both"/>
        <w:rPr>
          <w:rFonts w:ascii="Arial" w:hAnsi="Arial" w:cs="Arial"/>
          <w:sz w:val="22"/>
          <w:szCs w:val="22"/>
          <w:lang w:val="en-US"/>
        </w:rPr>
      </w:pPr>
      <w:r w:rsidRPr="00CF0A95">
        <w:rPr>
          <w:rFonts w:ascii="Arial" w:hAnsi="Arial" w:cs="Arial"/>
          <w:sz w:val="22"/>
          <w:szCs w:val="22"/>
          <w:lang w:val="en-ZA"/>
        </w:rPr>
        <w:t>That the Budget should consider funding vocational education.</w:t>
      </w:r>
    </w:p>
    <w:p w:rsidR="003C02DB" w:rsidRPr="00CF0A95" w:rsidRDefault="003C02DB" w:rsidP="00CE4652">
      <w:pPr>
        <w:pStyle w:val="ListParagraph"/>
        <w:spacing w:line="360" w:lineRule="auto"/>
        <w:ind w:left="1080"/>
        <w:jc w:val="both"/>
        <w:rPr>
          <w:rFonts w:ascii="Arial" w:hAnsi="Arial" w:cs="Arial"/>
          <w:sz w:val="22"/>
          <w:szCs w:val="22"/>
          <w:lang w:val="en-US"/>
        </w:rPr>
      </w:pPr>
    </w:p>
    <w:p w:rsidR="000C14CB" w:rsidRPr="00CF0A95" w:rsidRDefault="00DD7B56" w:rsidP="00CE4652">
      <w:pPr>
        <w:spacing w:line="360" w:lineRule="auto"/>
        <w:ind w:left="420"/>
        <w:jc w:val="both"/>
        <w:rPr>
          <w:rFonts w:ascii="Arial" w:hAnsi="Arial" w:cs="Arial"/>
          <w:b/>
          <w:sz w:val="22"/>
          <w:szCs w:val="22"/>
          <w:lang w:val="en-US"/>
        </w:rPr>
      </w:pPr>
      <w:r w:rsidRPr="00CF0A95">
        <w:rPr>
          <w:rFonts w:ascii="Arial" w:hAnsi="Arial" w:cs="Arial"/>
          <w:b/>
          <w:sz w:val="22"/>
          <w:szCs w:val="22"/>
          <w:lang w:val="en-US"/>
        </w:rPr>
        <w:t>The Portfolio Committee notes that submissions from stakeholders will be forwarded to National Treasury for consideration.</w:t>
      </w:r>
    </w:p>
    <w:p w:rsidR="00667D95" w:rsidRPr="00CF0A95" w:rsidRDefault="00667D95" w:rsidP="00CE4652">
      <w:pPr>
        <w:pStyle w:val="ListParagraph"/>
        <w:spacing w:line="360" w:lineRule="auto"/>
        <w:ind w:left="1080"/>
        <w:jc w:val="both"/>
        <w:rPr>
          <w:rFonts w:ascii="Arial" w:hAnsi="Arial" w:cs="Arial"/>
          <w:b/>
          <w:sz w:val="22"/>
          <w:szCs w:val="22"/>
        </w:rPr>
      </w:pPr>
    </w:p>
    <w:p w:rsidR="00454B7E" w:rsidRPr="00CF0A95" w:rsidRDefault="00454B7E" w:rsidP="00143D29">
      <w:pPr>
        <w:pStyle w:val="ListParagraph"/>
        <w:numPr>
          <w:ilvl w:val="1"/>
          <w:numId w:val="31"/>
        </w:numPr>
        <w:spacing w:line="360" w:lineRule="auto"/>
        <w:ind w:hanging="654"/>
        <w:jc w:val="both"/>
        <w:rPr>
          <w:rFonts w:ascii="Arial" w:hAnsi="Arial" w:cs="Arial"/>
          <w:b/>
          <w:sz w:val="22"/>
          <w:szCs w:val="22"/>
          <w:u w:val="single"/>
        </w:rPr>
      </w:pPr>
      <w:r w:rsidRPr="00CF0A95">
        <w:rPr>
          <w:rFonts w:ascii="Arial" w:hAnsi="Arial" w:cs="Arial"/>
          <w:b/>
          <w:sz w:val="22"/>
          <w:szCs w:val="22"/>
          <w:u w:val="single"/>
        </w:rPr>
        <w:lastRenderedPageBreak/>
        <w:t>COMMITTEE RECOMMENDATIONS ON THE DIVISION OF REVENUE</w:t>
      </w:r>
    </w:p>
    <w:p w:rsidR="007E663A" w:rsidRPr="00CF0A95" w:rsidRDefault="007E663A" w:rsidP="00CE4652">
      <w:pPr>
        <w:spacing w:line="360" w:lineRule="auto"/>
        <w:ind w:left="1440"/>
        <w:jc w:val="both"/>
        <w:rPr>
          <w:rFonts w:ascii="Arial" w:hAnsi="Arial" w:cs="Arial"/>
          <w:b/>
          <w:sz w:val="22"/>
          <w:szCs w:val="22"/>
        </w:rPr>
      </w:pPr>
    </w:p>
    <w:p w:rsidR="00A62262" w:rsidRPr="00CF0A95" w:rsidRDefault="000B3FDB" w:rsidP="00143D29">
      <w:pPr>
        <w:pStyle w:val="ListParagraph"/>
        <w:numPr>
          <w:ilvl w:val="2"/>
          <w:numId w:val="31"/>
        </w:numPr>
        <w:spacing w:line="360" w:lineRule="auto"/>
        <w:ind w:hanging="1014"/>
        <w:jc w:val="both"/>
        <w:rPr>
          <w:rFonts w:ascii="Arial" w:hAnsi="Arial" w:cs="Arial"/>
          <w:b/>
          <w:sz w:val="22"/>
          <w:szCs w:val="22"/>
        </w:rPr>
      </w:pPr>
      <w:r w:rsidRPr="00CF0A95">
        <w:rPr>
          <w:rFonts w:ascii="Arial" w:hAnsi="Arial" w:cs="Arial"/>
          <w:b/>
          <w:sz w:val="22"/>
          <w:szCs w:val="22"/>
        </w:rPr>
        <w:t>T</w:t>
      </w:r>
      <w:r w:rsidR="00C8377D" w:rsidRPr="00CF0A95">
        <w:rPr>
          <w:rFonts w:ascii="Arial" w:hAnsi="Arial" w:cs="Arial"/>
          <w:b/>
          <w:sz w:val="22"/>
          <w:szCs w:val="22"/>
        </w:rPr>
        <w:t xml:space="preserve">hat </w:t>
      </w:r>
      <w:r w:rsidR="003C7B7E" w:rsidRPr="00CF0A95">
        <w:rPr>
          <w:rFonts w:ascii="Arial" w:hAnsi="Arial" w:cs="Arial"/>
          <w:b/>
          <w:sz w:val="22"/>
          <w:szCs w:val="22"/>
        </w:rPr>
        <w:t xml:space="preserve">National Treasury should maintain a delicate balance between government debt as a percentage of the GDP and fiscal policy targets without compromising </w:t>
      </w:r>
      <w:r w:rsidR="00A62262" w:rsidRPr="00CF0A95">
        <w:rPr>
          <w:rFonts w:ascii="Arial" w:hAnsi="Arial" w:cs="Arial"/>
          <w:b/>
          <w:sz w:val="22"/>
          <w:szCs w:val="22"/>
        </w:rPr>
        <w:t>service delivery; and</w:t>
      </w:r>
    </w:p>
    <w:p w:rsidR="007E663A" w:rsidRPr="00CF0A95" w:rsidRDefault="007E663A" w:rsidP="00CE4652">
      <w:pPr>
        <w:spacing w:line="360" w:lineRule="auto"/>
        <w:jc w:val="both"/>
        <w:rPr>
          <w:rFonts w:ascii="Arial" w:hAnsi="Arial" w:cs="Arial"/>
          <w:b/>
          <w:sz w:val="22"/>
          <w:szCs w:val="22"/>
          <w:lang w:val="en-US"/>
        </w:rPr>
      </w:pPr>
    </w:p>
    <w:p w:rsidR="004533D1" w:rsidRPr="00CF0A95" w:rsidRDefault="00A62262" w:rsidP="00143D29">
      <w:pPr>
        <w:pStyle w:val="ListParagraph"/>
        <w:numPr>
          <w:ilvl w:val="2"/>
          <w:numId w:val="31"/>
        </w:numPr>
        <w:spacing w:line="360" w:lineRule="auto"/>
        <w:ind w:hanging="1014"/>
        <w:jc w:val="both"/>
        <w:rPr>
          <w:rFonts w:ascii="Arial" w:hAnsi="Arial" w:cs="Arial"/>
          <w:b/>
          <w:sz w:val="22"/>
          <w:szCs w:val="22"/>
          <w:lang w:val="en-US"/>
        </w:rPr>
      </w:pPr>
      <w:r w:rsidRPr="00CF0A95">
        <w:rPr>
          <w:rFonts w:ascii="Arial" w:hAnsi="Arial" w:cs="Arial"/>
          <w:b/>
          <w:sz w:val="22"/>
          <w:szCs w:val="22"/>
          <w:lang w:val="en-US"/>
        </w:rPr>
        <w:t>That national Treasury should constantly update the provincial equitable share data to ensure validity and reliability of such data in making transfers to the provinces.</w:t>
      </w:r>
      <w:r w:rsidR="004C1020" w:rsidRPr="00CF0A95">
        <w:rPr>
          <w:rFonts w:ascii="Arial" w:hAnsi="Arial" w:cs="Arial"/>
          <w:b/>
          <w:sz w:val="22"/>
          <w:szCs w:val="22"/>
          <w:lang w:val="en-US"/>
        </w:rPr>
        <w:t xml:space="preserve"> </w:t>
      </w:r>
    </w:p>
    <w:p w:rsidR="00454B7E" w:rsidRPr="00CF0A95" w:rsidRDefault="00454B7E" w:rsidP="00CE4652">
      <w:pPr>
        <w:spacing w:line="360" w:lineRule="auto"/>
        <w:jc w:val="both"/>
        <w:rPr>
          <w:rFonts w:ascii="Arial" w:hAnsi="Arial" w:cs="Arial"/>
          <w:b/>
          <w:sz w:val="22"/>
          <w:szCs w:val="22"/>
        </w:rPr>
      </w:pPr>
    </w:p>
    <w:p w:rsidR="00B24538" w:rsidRPr="00CF0A95" w:rsidRDefault="00B24538" w:rsidP="00143D29">
      <w:pPr>
        <w:pStyle w:val="BodyTextIndent2"/>
        <w:numPr>
          <w:ilvl w:val="1"/>
          <w:numId w:val="31"/>
        </w:numPr>
        <w:spacing w:line="360" w:lineRule="auto"/>
        <w:ind w:hanging="654"/>
        <w:rPr>
          <w:b/>
          <w:sz w:val="22"/>
          <w:szCs w:val="22"/>
        </w:rPr>
      </w:pPr>
      <w:r w:rsidRPr="00CF0A95">
        <w:rPr>
          <w:b/>
          <w:sz w:val="22"/>
          <w:szCs w:val="22"/>
          <w:u w:val="single"/>
        </w:rPr>
        <w:t>FINAL POSITION ADOPTED BY COMMITTEE</w:t>
      </w:r>
    </w:p>
    <w:p w:rsidR="00A900AA" w:rsidRPr="00CF0A95" w:rsidRDefault="00A900AA" w:rsidP="00CE4652">
      <w:pPr>
        <w:pStyle w:val="BodyTextIndent2"/>
        <w:spacing w:line="360" w:lineRule="auto"/>
        <w:rPr>
          <w:b/>
          <w:sz w:val="22"/>
          <w:szCs w:val="22"/>
        </w:rPr>
      </w:pPr>
    </w:p>
    <w:p w:rsidR="00B24538" w:rsidRPr="00CF0A95" w:rsidRDefault="00B24538" w:rsidP="00CE4652">
      <w:pPr>
        <w:pStyle w:val="BodyTextIndent2"/>
        <w:spacing w:line="360" w:lineRule="auto"/>
        <w:rPr>
          <w:sz w:val="22"/>
          <w:szCs w:val="22"/>
        </w:rPr>
      </w:pPr>
      <w:r w:rsidRPr="00CF0A95">
        <w:rPr>
          <w:sz w:val="22"/>
          <w:szCs w:val="22"/>
        </w:rPr>
        <w:t>The Finance Portfolio Committee supports the principle and detail of the</w:t>
      </w:r>
      <w:r w:rsidRPr="00CF0A95">
        <w:rPr>
          <w:sz w:val="22"/>
          <w:szCs w:val="22"/>
          <w:lang w:val="en-US"/>
        </w:rPr>
        <w:t xml:space="preserve"> </w:t>
      </w:r>
      <w:r w:rsidRPr="00CF0A95">
        <w:rPr>
          <w:sz w:val="22"/>
          <w:szCs w:val="22"/>
        </w:rPr>
        <w:t xml:space="preserve">Division of Revenue Bill </w:t>
      </w:r>
      <w:r w:rsidR="00454B7E" w:rsidRPr="00CF0A95">
        <w:rPr>
          <w:i/>
          <w:sz w:val="22"/>
          <w:szCs w:val="22"/>
        </w:rPr>
        <w:t>[B</w:t>
      </w:r>
      <w:r w:rsidR="001E6385" w:rsidRPr="00CF0A95">
        <w:rPr>
          <w:i/>
          <w:sz w:val="22"/>
          <w:szCs w:val="22"/>
        </w:rPr>
        <w:t>5</w:t>
      </w:r>
      <w:r w:rsidRPr="00CF0A95">
        <w:rPr>
          <w:i/>
          <w:sz w:val="22"/>
          <w:szCs w:val="22"/>
        </w:rPr>
        <w:t xml:space="preserve"> </w:t>
      </w:r>
      <w:r w:rsidR="00546347" w:rsidRPr="00CF0A95">
        <w:rPr>
          <w:i/>
          <w:sz w:val="22"/>
          <w:szCs w:val="22"/>
        </w:rPr>
        <w:t>–</w:t>
      </w:r>
      <w:r w:rsidRPr="00CF0A95">
        <w:rPr>
          <w:i/>
          <w:sz w:val="22"/>
          <w:szCs w:val="22"/>
        </w:rPr>
        <w:t xml:space="preserve"> 201</w:t>
      </w:r>
      <w:r w:rsidR="001E6385" w:rsidRPr="00CF0A95">
        <w:rPr>
          <w:i/>
          <w:sz w:val="22"/>
          <w:szCs w:val="22"/>
        </w:rPr>
        <w:t>9</w:t>
      </w:r>
      <w:r w:rsidRPr="00CF0A95">
        <w:rPr>
          <w:i/>
          <w:sz w:val="22"/>
          <w:szCs w:val="22"/>
        </w:rPr>
        <w:t>]</w:t>
      </w:r>
      <w:r w:rsidRPr="00CF0A95">
        <w:rPr>
          <w:sz w:val="22"/>
          <w:szCs w:val="22"/>
        </w:rPr>
        <w:t xml:space="preserve"> - Section 76.</w:t>
      </w:r>
    </w:p>
    <w:p w:rsidR="00B24538" w:rsidRPr="00CF0A95" w:rsidRDefault="00B24538" w:rsidP="00CE4652">
      <w:pPr>
        <w:spacing w:line="360" w:lineRule="auto"/>
        <w:ind w:left="360"/>
        <w:jc w:val="both"/>
        <w:rPr>
          <w:rFonts w:ascii="Arial" w:hAnsi="Arial" w:cs="Arial"/>
          <w:sz w:val="22"/>
          <w:szCs w:val="22"/>
          <w:lang w:val="en-ZA"/>
        </w:rPr>
      </w:pPr>
    </w:p>
    <w:bookmarkEnd w:id="0"/>
    <w:bookmarkEnd w:id="1"/>
    <w:p w:rsidR="00B24538" w:rsidRPr="00CF0A95" w:rsidRDefault="00B24538" w:rsidP="00CE4652">
      <w:pPr>
        <w:spacing w:line="360" w:lineRule="auto"/>
        <w:rPr>
          <w:rFonts w:ascii="Arial" w:hAnsi="Arial" w:cs="Arial"/>
          <w:sz w:val="22"/>
          <w:szCs w:val="22"/>
          <w:lang w:val="en-ZA"/>
        </w:rPr>
      </w:pPr>
    </w:p>
    <w:sectPr w:rsidR="00B24538" w:rsidRPr="00CF0A95" w:rsidSect="00765C10">
      <w:headerReference w:type="default" r:id="rId9"/>
      <w:footerReference w:type="even"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50E" w:rsidRDefault="0075350E">
      <w:r>
        <w:separator/>
      </w:r>
    </w:p>
  </w:endnote>
  <w:endnote w:type="continuationSeparator" w:id="0">
    <w:p w:rsidR="0075350E" w:rsidRDefault="0075350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1B" w:rsidRDefault="001239FC">
    <w:pPr>
      <w:pStyle w:val="Footer"/>
      <w:framePr w:wrap="around" w:vAnchor="text" w:hAnchor="margin" w:xAlign="right" w:y="1"/>
      <w:rPr>
        <w:rStyle w:val="PageNumber"/>
      </w:rPr>
    </w:pPr>
    <w:r>
      <w:rPr>
        <w:rStyle w:val="PageNumber"/>
      </w:rPr>
      <w:fldChar w:fldCharType="begin"/>
    </w:r>
    <w:r w:rsidR="00AF1E1B">
      <w:rPr>
        <w:rStyle w:val="PageNumber"/>
      </w:rPr>
      <w:instrText xml:space="preserve">PAGE  </w:instrText>
    </w:r>
    <w:r>
      <w:rPr>
        <w:rStyle w:val="PageNumber"/>
      </w:rPr>
      <w:fldChar w:fldCharType="separate"/>
    </w:r>
    <w:r w:rsidR="00AF1E1B">
      <w:rPr>
        <w:rStyle w:val="PageNumber"/>
        <w:noProof/>
      </w:rPr>
      <w:t>5</w:t>
    </w:r>
    <w:r>
      <w:rPr>
        <w:rStyle w:val="PageNumber"/>
      </w:rPr>
      <w:fldChar w:fldCharType="end"/>
    </w:r>
  </w:p>
  <w:p w:rsidR="00AF1E1B" w:rsidRDefault="00AF1E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54044"/>
      <w:docPartObj>
        <w:docPartGallery w:val="Page Numbers (Bottom of Page)"/>
        <w:docPartUnique/>
      </w:docPartObj>
    </w:sdtPr>
    <w:sdtEndPr>
      <w:rPr>
        <w:noProof/>
      </w:rPr>
    </w:sdtEndPr>
    <w:sdtContent>
      <w:p w:rsidR="00AF1E1B" w:rsidRDefault="001239FC">
        <w:pPr>
          <w:pStyle w:val="Footer"/>
          <w:jc w:val="center"/>
        </w:pPr>
        <w:r>
          <w:fldChar w:fldCharType="begin"/>
        </w:r>
        <w:r w:rsidR="00AF1E1B">
          <w:instrText xml:space="preserve"> PAGE   \* MERGEFORMAT </w:instrText>
        </w:r>
        <w:r>
          <w:fldChar w:fldCharType="separate"/>
        </w:r>
        <w:r w:rsidR="00FA6D10">
          <w:rPr>
            <w:noProof/>
          </w:rPr>
          <w:t>2</w:t>
        </w:r>
        <w:r>
          <w:rPr>
            <w:noProof/>
          </w:rPr>
          <w:fldChar w:fldCharType="end"/>
        </w:r>
      </w:p>
    </w:sdtContent>
  </w:sdt>
  <w:p w:rsidR="00AF1E1B" w:rsidRDefault="00AF1E1B" w:rsidP="005C750E">
    <w:pPr>
      <w:pStyle w:val="Footer"/>
      <w:ind w:right="360"/>
      <w:jc w:val="both"/>
      <w:rPr>
        <w:rFonts w:ascii="Arial" w:hAnsi="Arial" w:cs="Arial"/>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50E" w:rsidRDefault="0075350E">
      <w:r>
        <w:separator/>
      </w:r>
    </w:p>
  </w:footnote>
  <w:footnote w:type="continuationSeparator" w:id="0">
    <w:p w:rsidR="0075350E" w:rsidRDefault="00753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1B" w:rsidRDefault="00AF1E1B">
    <w:pPr>
      <w:pStyle w:val="Header"/>
      <w:jc w:val="center"/>
      <w:rPr>
        <w:b/>
        <w:bCs/>
        <w:color w:val="808080"/>
        <w:sz w:val="18"/>
        <w:lang w:val="en-Z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CB3"/>
    <w:multiLevelType w:val="hybridMultilevel"/>
    <w:tmpl w:val="794259AA"/>
    <w:lvl w:ilvl="0" w:tplc="C6CAE652">
      <w:start w:val="1"/>
      <w:numFmt w:val="decimal"/>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nsid w:val="056C3160"/>
    <w:multiLevelType w:val="multilevel"/>
    <w:tmpl w:val="382A072C"/>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CE1EAA"/>
    <w:multiLevelType w:val="hybridMultilevel"/>
    <w:tmpl w:val="4C6C256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1180937"/>
    <w:multiLevelType w:val="hybridMultilevel"/>
    <w:tmpl w:val="513E4BD4"/>
    <w:lvl w:ilvl="0" w:tplc="1C09000B">
      <w:start w:val="1"/>
      <w:numFmt w:val="bullet"/>
      <w:lvlText w:val=""/>
      <w:lvlJc w:val="left"/>
      <w:pPr>
        <w:ind w:left="1473" w:hanging="360"/>
      </w:pPr>
      <w:rPr>
        <w:rFonts w:ascii="Wingdings" w:hAnsi="Wingdings" w:hint="default"/>
      </w:rPr>
    </w:lvl>
    <w:lvl w:ilvl="1" w:tplc="1C090003" w:tentative="1">
      <w:start w:val="1"/>
      <w:numFmt w:val="bullet"/>
      <w:lvlText w:val="o"/>
      <w:lvlJc w:val="left"/>
      <w:pPr>
        <w:ind w:left="2193" w:hanging="360"/>
      </w:pPr>
      <w:rPr>
        <w:rFonts w:ascii="Courier New" w:hAnsi="Courier New" w:cs="Courier New" w:hint="default"/>
      </w:rPr>
    </w:lvl>
    <w:lvl w:ilvl="2" w:tplc="1C090005" w:tentative="1">
      <w:start w:val="1"/>
      <w:numFmt w:val="bullet"/>
      <w:lvlText w:val=""/>
      <w:lvlJc w:val="left"/>
      <w:pPr>
        <w:ind w:left="2913" w:hanging="360"/>
      </w:pPr>
      <w:rPr>
        <w:rFonts w:ascii="Wingdings" w:hAnsi="Wingdings" w:hint="default"/>
      </w:rPr>
    </w:lvl>
    <w:lvl w:ilvl="3" w:tplc="1C090001" w:tentative="1">
      <w:start w:val="1"/>
      <w:numFmt w:val="bullet"/>
      <w:lvlText w:val=""/>
      <w:lvlJc w:val="left"/>
      <w:pPr>
        <w:ind w:left="3633" w:hanging="360"/>
      </w:pPr>
      <w:rPr>
        <w:rFonts w:ascii="Symbol" w:hAnsi="Symbol" w:hint="default"/>
      </w:rPr>
    </w:lvl>
    <w:lvl w:ilvl="4" w:tplc="1C090003" w:tentative="1">
      <w:start w:val="1"/>
      <w:numFmt w:val="bullet"/>
      <w:lvlText w:val="o"/>
      <w:lvlJc w:val="left"/>
      <w:pPr>
        <w:ind w:left="4353" w:hanging="360"/>
      </w:pPr>
      <w:rPr>
        <w:rFonts w:ascii="Courier New" w:hAnsi="Courier New" w:cs="Courier New" w:hint="default"/>
      </w:rPr>
    </w:lvl>
    <w:lvl w:ilvl="5" w:tplc="1C090005" w:tentative="1">
      <w:start w:val="1"/>
      <w:numFmt w:val="bullet"/>
      <w:lvlText w:val=""/>
      <w:lvlJc w:val="left"/>
      <w:pPr>
        <w:ind w:left="5073" w:hanging="360"/>
      </w:pPr>
      <w:rPr>
        <w:rFonts w:ascii="Wingdings" w:hAnsi="Wingdings" w:hint="default"/>
      </w:rPr>
    </w:lvl>
    <w:lvl w:ilvl="6" w:tplc="1C090001" w:tentative="1">
      <w:start w:val="1"/>
      <w:numFmt w:val="bullet"/>
      <w:lvlText w:val=""/>
      <w:lvlJc w:val="left"/>
      <w:pPr>
        <w:ind w:left="5793" w:hanging="360"/>
      </w:pPr>
      <w:rPr>
        <w:rFonts w:ascii="Symbol" w:hAnsi="Symbol" w:hint="default"/>
      </w:rPr>
    </w:lvl>
    <w:lvl w:ilvl="7" w:tplc="1C090003" w:tentative="1">
      <w:start w:val="1"/>
      <w:numFmt w:val="bullet"/>
      <w:lvlText w:val="o"/>
      <w:lvlJc w:val="left"/>
      <w:pPr>
        <w:ind w:left="6513" w:hanging="360"/>
      </w:pPr>
      <w:rPr>
        <w:rFonts w:ascii="Courier New" w:hAnsi="Courier New" w:cs="Courier New" w:hint="default"/>
      </w:rPr>
    </w:lvl>
    <w:lvl w:ilvl="8" w:tplc="1C090005" w:tentative="1">
      <w:start w:val="1"/>
      <w:numFmt w:val="bullet"/>
      <w:lvlText w:val=""/>
      <w:lvlJc w:val="left"/>
      <w:pPr>
        <w:ind w:left="7233" w:hanging="360"/>
      </w:pPr>
      <w:rPr>
        <w:rFonts w:ascii="Wingdings" w:hAnsi="Wingdings" w:hint="default"/>
      </w:rPr>
    </w:lvl>
  </w:abstractNum>
  <w:abstractNum w:abstractNumId="4">
    <w:nsid w:val="12A43EF1"/>
    <w:multiLevelType w:val="hybridMultilevel"/>
    <w:tmpl w:val="A830CAA0"/>
    <w:lvl w:ilvl="0" w:tplc="06449E3E">
      <w:start w:val="1"/>
      <w:numFmt w:val="bullet"/>
      <w:lvlText w:val="•"/>
      <w:lvlJc w:val="left"/>
      <w:pPr>
        <w:tabs>
          <w:tab w:val="num" w:pos="720"/>
        </w:tabs>
        <w:ind w:left="720" w:hanging="360"/>
      </w:pPr>
      <w:rPr>
        <w:rFonts w:ascii="Times New Roman" w:hAnsi="Times New Roman" w:hint="default"/>
      </w:rPr>
    </w:lvl>
    <w:lvl w:ilvl="1" w:tplc="4BAA1BF0">
      <w:start w:val="117"/>
      <w:numFmt w:val="bullet"/>
      <w:lvlText w:val="–"/>
      <w:lvlJc w:val="left"/>
      <w:pPr>
        <w:tabs>
          <w:tab w:val="num" w:pos="1440"/>
        </w:tabs>
        <w:ind w:left="1440" w:hanging="360"/>
      </w:pPr>
      <w:rPr>
        <w:rFonts w:ascii="Times New Roman" w:hAnsi="Times New Roman" w:hint="default"/>
      </w:rPr>
    </w:lvl>
    <w:lvl w:ilvl="2" w:tplc="10B68878" w:tentative="1">
      <w:start w:val="1"/>
      <w:numFmt w:val="bullet"/>
      <w:lvlText w:val="•"/>
      <w:lvlJc w:val="left"/>
      <w:pPr>
        <w:tabs>
          <w:tab w:val="num" w:pos="2160"/>
        </w:tabs>
        <w:ind w:left="2160" w:hanging="360"/>
      </w:pPr>
      <w:rPr>
        <w:rFonts w:ascii="Times New Roman" w:hAnsi="Times New Roman" w:hint="default"/>
      </w:rPr>
    </w:lvl>
    <w:lvl w:ilvl="3" w:tplc="FA0436C6" w:tentative="1">
      <w:start w:val="1"/>
      <w:numFmt w:val="bullet"/>
      <w:lvlText w:val="•"/>
      <w:lvlJc w:val="left"/>
      <w:pPr>
        <w:tabs>
          <w:tab w:val="num" w:pos="2880"/>
        </w:tabs>
        <w:ind w:left="2880" w:hanging="360"/>
      </w:pPr>
      <w:rPr>
        <w:rFonts w:ascii="Times New Roman" w:hAnsi="Times New Roman" w:hint="default"/>
      </w:rPr>
    </w:lvl>
    <w:lvl w:ilvl="4" w:tplc="C9A8E0B2" w:tentative="1">
      <w:start w:val="1"/>
      <w:numFmt w:val="bullet"/>
      <w:lvlText w:val="•"/>
      <w:lvlJc w:val="left"/>
      <w:pPr>
        <w:tabs>
          <w:tab w:val="num" w:pos="3600"/>
        </w:tabs>
        <w:ind w:left="3600" w:hanging="360"/>
      </w:pPr>
      <w:rPr>
        <w:rFonts w:ascii="Times New Roman" w:hAnsi="Times New Roman" w:hint="default"/>
      </w:rPr>
    </w:lvl>
    <w:lvl w:ilvl="5" w:tplc="98C06CEA" w:tentative="1">
      <w:start w:val="1"/>
      <w:numFmt w:val="bullet"/>
      <w:lvlText w:val="•"/>
      <w:lvlJc w:val="left"/>
      <w:pPr>
        <w:tabs>
          <w:tab w:val="num" w:pos="4320"/>
        </w:tabs>
        <w:ind w:left="4320" w:hanging="360"/>
      </w:pPr>
      <w:rPr>
        <w:rFonts w:ascii="Times New Roman" w:hAnsi="Times New Roman" w:hint="default"/>
      </w:rPr>
    </w:lvl>
    <w:lvl w:ilvl="6" w:tplc="BE90120E" w:tentative="1">
      <w:start w:val="1"/>
      <w:numFmt w:val="bullet"/>
      <w:lvlText w:val="•"/>
      <w:lvlJc w:val="left"/>
      <w:pPr>
        <w:tabs>
          <w:tab w:val="num" w:pos="5040"/>
        </w:tabs>
        <w:ind w:left="5040" w:hanging="360"/>
      </w:pPr>
      <w:rPr>
        <w:rFonts w:ascii="Times New Roman" w:hAnsi="Times New Roman" w:hint="default"/>
      </w:rPr>
    </w:lvl>
    <w:lvl w:ilvl="7" w:tplc="E7845A6C" w:tentative="1">
      <w:start w:val="1"/>
      <w:numFmt w:val="bullet"/>
      <w:lvlText w:val="•"/>
      <w:lvlJc w:val="left"/>
      <w:pPr>
        <w:tabs>
          <w:tab w:val="num" w:pos="5760"/>
        </w:tabs>
        <w:ind w:left="5760" w:hanging="360"/>
      </w:pPr>
      <w:rPr>
        <w:rFonts w:ascii="Times New Roman" w:hAnsi="Times New Roman" w:hint="default"/>
      </w:rPr>
    </w:lvl>
    <w:lvl w:ilvl="8" w:tplc="74520B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3C6FCC"/>
    <w:multiLevelType w:val="multilevel"/>
    <w:tmpl w:val="775C872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F64CC5"/>
    <w:multiLevelType w:val="hybridMultilevel"/>
    <w:tmpl w:val="BF0EED1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D1E475E"/>
    <w:multiLevelType w:val="hybridMultilevel"/>
    <w:tmpl w:val="4DE6F23A"/>
    <w:lvl w:ilvl="0" w:tplc="64BCED10">
      <w:start w:val="1"/>
      <w:numFmt w:val="decimal"/>
      <w:lvlText w:val="%1.1"/>
      <w:lvlJc w:val="right"/>
      <w:pPr>
        <w:ind w:left="1200" w:hanging="360"/>
      </w:pPr>
      <w:rPr>
        <w:rFonts w:hint="default"/>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8">
    <w:nsid w:val="1D573E9B"/>
    <w:multiLevelType w:val="hybridMultilevel"/>
    <w:tmpl w:val="2F68031E"/>
    <w:lvl w:ilvl="0" w:tplc="EE6C3EDA">
      <w:start w:val="12"/>
      <w:numFmt w:val="decimal"/>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DF6189C"/>
    <w:multiLevelType w:val="hybridMultilevel"/>
    <w:tmpl w:val="89BC797E"/>
    <w:lvl w:ilvl="0" w:tplc="04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10F673F"/>
    <w:multiLevelType w:val="hybridMultilevel"/>
    <w:tmpl w:val="41FCD88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75400DC"/>
    <w:multiLevelType w:val="hybridMultilevel"/>
    <w:tmpl w:val="3BBE4FFE"/>
    <w:lvl w:ilvl="0" w:tplc="1C09000B">
      <w:start w:val="1"/>
      <w:numFmt w:val="bullet"/>
      <w:lvlText w:val=""/>
      <w:lvlJc w:val="left"/>
      <w:pPr>
        <w:ind w:left="1473" w:hanging="360"/>
      </w:pPr>
      <w:rPr>
        <w:rFonts w:ascii="Wingdings" w:hAnsi="Wingdings" w:hint="default"/>
      </w:rPr>
    </w:lvl>
    <w:lvl w:ilvl="1" w:tplc="1C090003">
      <w:start w:val="1"/>
      <w:numFmt w:val="bullet"/>
      <w:lvlText w:val="o"/>
      <w:lvlJc w:val="left"/>
      <w:pPr>
        <w:ind w:left="2193" w:hanging="360"/>
      </w:pPr>
      <w:rPr>
        <w:rFonts w:ascii="Courier New" w:hAnsi="Courier New" w:cs="Courier New" w:hint="default"/>
      </w:rPr>
    </w:lvl>
    <w:lvl w:ilvl="2" w:tplc="1C090005" w:tentative="1">
      <w:start w:val="1"/>
      <w:numFmt w:val="bullet"/>
      <w:lvlText w:val=""/>
      <w:lvlJc w:val="left"/>
      <w:pPr>
        <w:ind w:left="2913" w:hanging="360"/>
      </w:pPr>
      <w:rPr>
        <w:rFonts w:ascii="Wingdings" w:hAnsi="Wingdings" w:hint="default"/>
      </w:rPr>
    </w:lvl>
    <w:lvl w:ilvl="3" w:tplc="1C090001" w:tentative="1">
      <w:start w:val="1"/>
      <w:numFmt w:val="bullet"/>
      <w:lvlText w:val=""/>
      <w:lvlJc w:val="left"/>
      <w:pPr>
        <w:ind w:left="3633" w:hanging="360"/>
      </w:pPr>
      <w:rPr>
        <w:rFonts w:ascii="Symbol" w:hAnsi="Symbol" w:hint="default"/>
      </w:rPr>
    </w:lvl>
    <w:lvl w:ilvl="4" w:tplc="1C090003" w:tentative="1">
      <w:start w:val="1"/>
      <w:numFmt w:val="bullet"/>
      <w:lvlText w:val="o"/>
      <w:lvlJc w:val="left"/>
      <w:pPr>
        <w:ind w:left="4353" w:hanging="360"/>
      </w:pPr>
      <w:rPr>
        <w:rFonts w:ascii="Courier New" w:hAnsi="Courier New" w:cs="Courier New" w:hint="default"/>
      </w:rPr>
    </w:lvl>
    <w:lvl w:ilvl="5" w:tplc="1C090005" w:tentative="1">
      <w:start w:val="1"/>
      <w:numFmt w:val="bullet"/>
      <w:lvlText w:val=""/>
      <w:lvlJc w:val="left"/>
      <w:pPr>
        <w:ind w:left="5073" w:hanging="360"/>
      </w:pPr>
      <w:rPr>
        <w:rFonts w:ascii="Wingdings" w:hAnsi="Wingdings" w:hint="default"/>
      </w:rPr>
    </w:lvl>
    <w:lvl w:ilvl="6" w:tplc="1C090001" w:tentative="1">
      <w:start w:val="1"/>
      <w:numFmt w:val="bullet"/>
      <w:lvlText w:val=""/>
      <w:lvlJc w:val="left"/>
      <w:pPr>
        <w:ind w:left="5793" w:hanging="360"/>
      </w:pPr>
      <w:rPr>
        <w:rFonts w:ascii="Symbol" w:hAnsi="Symbol" w:hint="default"/>
      </w:rPr>
    </w:lvl>
    <w:lvl w:ilvl="7" w:tplc="1C090003" w:tentative="1">
      <w:start w:val="1"/>
      <w:numFmt w:val="bullet"/>
      <w:lvlText w:val="o"/>
      <w:lvlJc w:val="left"/>
      <w:pPr>
        <w:ind w:left="6513" w:hanging="360"/>
      </w:pPr>
      <w:rPr>
        <w:rFonts w:ascii="Courier New" w:hAnsi="Courier New" w:cs="Courier New" w:hint="default"/>
      </w:rPr>
    </w:lvl>
    <w:lvl w:ilvl="8" w:tplc="1C090005" w:tentative="1">
      <w:start w:val="1"/>
      <w:numFmt w:val="bullet"/>
      <w:lvlText w:val=""/>
      <w:lvlJc w:val="left"/>
      <w:pPr>
        <w:ind w:left="7233" w:hanging="360"/>
      </w:pPr>
      <w:rPr>
        <w:rFonts w:ascii="Wingdings" w:hAnsi="Wingdings" w:hint="default"/>
      </w:rPr>
    </w:lvl>
  </w:abstractNum>
  <w:abstractNum w:abstractNumId="12">
    <w:nsid w:val="288405F7"/>
    <w:multiLevelType w:val="hybridMultilevel"/>
    <w:tmpl w:val="3DB4804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3E66E1"/>
    <w:multiLevelType w:val="hybridMultilevel"/>
    <w:tmpl w:val="080E6E1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2FAF7CE9"/>
    <w:multiLevelType w:val="hybridMultilevel"/>
    <w:tmpl w:val="79BCC850"/>
    <w:lvl w:ilvl="0" w:tplc="61383A2A">
      <w:start w:val="1"/>
      <w:numFmt w:val="bullet"/>
      <w:lvlText w:val="•"/>
      <w:lvlJc w:val="left"/>
      <w:pPr>
        <w:tabs>
          <w:tab w:val="num" w:pos="720"/>
        </w:tabs>
        <w:ind w:left="720" w:hanging="360"/>
      </w:pPr>
      <w:rPr>
        <w:rFonts w:ascii="Times New Roman" w:hAnsi="Times New Roman" w:hint="default"/>
      </w:rPr>
    </w:lvl>
    <w:lvl w:ilvl="1" w:tplc="EC9CAD2A" w:tentative="1">
      <w:start w:val="1"/>
      <w:numFmt w:val="bullet"/>
      <w:lvlText w:val="•"/>
      <w:lvlJc w:val="left"/>
      <w:pPr>
        <w:tabs>
          <w:tab w:val="num" w:pos="1440"/>
        </w:tabs>
        <w:ind w:left="1440" w:hanging="360"/>
      </w:pPr>
      <w:rPr>
        <w:rFonts w:ascii="Times New Roman" w:hAnsi="Times New Roman" w:hint="default"/>
      </w:rPr>
    </w:lvl>
    <w:lvl w:ilvl="2" w:tplc="8ED4C448" w:tentative="1">
      <w:start w:val="1"/>
      <w:numFmt w:val="bullet"/>
      <w:lvlText w:val="•"/>
      <w:lvlJc w:val="left"/>
      <w:pPr>
        <w:tabs>
          <w:tab w:val="num" w:pos="2160"/>
        </w:tabs>
        <w:ind w:left="2160" w:hanging="360"/>
      </w:pPr>
      <w:rPr>
        <w:rFonts w:ascii="Times New Roman" w:hAnsi="Times New Roman" w:hint="default"/>
      </w:rPr>
    </w:lvl>
    <w:lvl w:ilvl="3" w:tplc="8E92065A" w:tentative="1">
      <w:start w:val="1"/>
      <w:numFmt w:val="bullet"/>
      <w:lvlText w:val="•"/>
      <w:lvlJc w:val="left"/>
      <w:pPr>
        <w:tabs>
          <w:tab w:val="num" w:pos="2880"/>
        </w:tabs>
        <w:ind w:left="2880" w:hanging="360"/>
      </w:pPr>
      <w:rPr>
        <w:rFonts w:ascii="Times New Roman" w:hAnsi="Times New Roman" w:hint="default"/>
      </w:rPr>
    </w:lvl>
    <w:lvl w:ilvl="4" w:tplc="FBA6CB22" w:tentative="1">
      <w:start w:val="1"/>
      <w:numFmt w:val="bullet"/>
      <w:lvlText w:val="•"/>
      <w:lvlJc w:val="left"/>
      <w:pPr>
        <w:tabs>
          <w:tab w:val="num" w:pos="3600"/>
        </w:tabs>
        <w:ind w:left="3600" w:hanging="360"/>
      </w:pPr>
      <w:rPr>
        <w:rFonts w:ascii="Times New Roman" w:hAnsi="Times New Roman" w:hint="default"/>
      </w:rPr>
    </w:lvl>
    <w:lvl w:ilvl="5" w:tplc="75AE205A" w:tentative="1">
      <w:start w:val="1"/>
      <w:numFmt w:val="bullet"/>
      <w:lvlText w:val="•"/>
      <w:lvlJc w:val="left"/>
      <w:pPr>
        <w:tabs>
          <w:tab w:val="num" w:pos="4320"/>
        </w:tabs>
        <w:ind w:left="4320" w:hanging="360"/>
      </w:pPr>
      <w:rPr>
        <w:rFonts w:ascii="Times New Roman" w:hAnsi="Times New Roman" w:hint="default"/>
      </w:rPr>
    </w:lvl>
    <w:lvl w:ilvl="6" w:tplc="734E168C" w:tentative="1">
      <w:start w:val="1"/>
      <w:numFmt w:val="bullet"/>
      <w:lvlText w:val="•"/>
      <w:lvlJc w:val="left"/>
      <w:pPr>
        <w:tabs>
          <w:tab w:val="num" w:pos="5040"/>
        </w:tabs>
        <w:ind w:left="5040" w:hanging="360"/>
      </w:pPr>
      <w:rPr>
        <w:rFonts w:ascii="Times New Roman" w:hAnsi="Times New Roman" w:hint="default"/>
      </w:rPr>
    </w:lvl>
    <w:lvl w:ilvl="7" w:tplc="4C40B8FA" w:tentative="1">
      <w:start w:val="1"/>
      <w:numFmt w:val="bullet"/>
      <w:lvlText w:val="•"/>
      <w:lvlJc w:val="left"/>
      <w:pPr>
        <w:tabs>
          <w:tab w:val="num" w:pos="5760"/>
        </w:tabs>
        <w:ind w:left="5760" w:hanging="360"/>
      </w:pPr>
      <w:rPr>
        <w:rFonts w:ascii="Times New Roman" w:hAnsi="Times New Roman" w:hint="default"/>
      </w:rPr>
    </w:lvl>
    <w:lvl w:ilvl="8" w:tplc="C374CE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2D554C2"/>
    <w:multiLevelType w:val="hybridMultilevel"/>
    <w:tmpl w:val="FEF0CE3C"/>
    <w:lvl w:ilvl="0" w:tplc="839C93F0">
      <w:start w:val="1"/>
      <w:numFmt w:val="decimal"/>
      <w:lvlText w:val="%11.1"/>
      <w:lvlJc w:val="right"/>
      <w:pPr>
        <w:ind w:left="1560" w:hanging="360"/>
      </w:pPr>
      <w:rPr>
        <w:rFonts w:hint="default"/>
      </w:rPr>
    </w:lvl>
    <w:lvl w:ilvl="1" w:tplc="1C090019" w:tentative="1">
      <w:start w:val="1"/>
      <w:numFmt w:val="lowerLetter"/>
      <w:lvlText w:val="%2."/>
      <w:lvlJc w:val="left"/>
      <w:pPr>
        <w:ind w:left="2280" w:hanging="360"/>
      </w:pPr>
    </w:lvl>
    <w:lvl w:ilvl="2" w:tplc="1C09001B" w:tentative="1">
      <w:start w:val="1"/>
      <w:numFmt w:val="lowerRoman"/>
      <w:lvlText w:val="%3."/>
      <w:lvlJc w:val="right"/>
      <w:pPr>
        <w:ind w:left="3000" w:hanging="180"/>
      </w:pPr>
    </w:lvl>
    <w:lvl w:ilvl="3" w:tplc="1C09000F" w:tentative="1">
      <w:start w:val="1"/>
      <w:numFmt w:val="decimal"/>
      <w:lvlText w:val="%4."/>
      <w:lvlJc w:val="left"/>
      <w:pPr>
        <w:ind w:left="3720" w:hanging="360"/>
      </w:pPr>
    </w:lvl>
    <w:lvl w:ilvl="4" w:tplc="1C090019" w:tentative="1">
      <w:start w:val="1"/>
      <w:numFmt w:val="lowerLetter"/>
      <w:lvlText w:val="%5."/>
      <w:lvlJc w:val="left"/>
      <w:pPr>
        <w:ind w:left="4440" w:hanging="360"/>
      </w:pPr>
    </w:lvl>
    <w:lvl w:ilvl="5" w:tplc="1C09001B" w:tentative="1">
      <w:start w:val="1"/>
      <w:numFmt w:val="lowerRoman"/>
      <w:lvlText w:val="%6."/>
      <w:lvlJc w:val="right"/>
      <w:pPr>
        <w:ind w:left="5160" w:hanging="180"/>
      </w:pPr>
    </w:lvl>
    <w:lvl w:ilvl="6" w:tplc="1C09000F" w:tentative="1">
      <w:start w:val="1"/>
      <w:numFmt w:val="decimal"/>
      <w:lvlText w:val="%7."/>
      <w:lvlJc w:val="left"/>
      <w:pPr>
        <w:ind w:left="5880" w:hanging="360"/>
      </w:pPr>
    </w:lvl>
    <w:lvl w:ilvl="7" w:tplc="1C090019" w:tentative="1">
      <w:start w:val="1"/>
      <w:numFmt w:val="lowerLetter"/>
      <w:lvlText w:val="%8."/>
      <w:lvlJc w:val="left"/>
      <w:pPr>
        <w:ind w:left="6600" w:hanging="360"/>
      </w:pPr>
    </w:lvl>
    <w:lvl w:ilvl="8" w:tplc="1C09001B" w:tentative="1">
      <w:start w:val="1"/>
      <w:numFmt w:val="lowerRoman"/>
      <w:lvlText w:val="%9."/>
      <w:lvlJc w:val="right"/>
      <w:pPr>
        <w:ind w:left="7320" w:hanging="180"/>
      </w:pPr>
    </w:lvl>
  </w:abstractNum>
  <w:abstractNum w:abstractNumId="16">
    <w:nsid w:val="33946A59"/>
    <w:multiLevelType w:val="hybridMultilevel"/>
    <w:tmpl w:val="4850AE44"/>
    <w:lvl w:ilvl="0" w:tplc="D3B8D6C2">
      <w:start w:val="1"/>
      <w:numFmt w:val="bullet"/>
      <w:lvlText w:val="–"/>
      <w:lvlJc w:val="left"/>
      <w:pPr>
        <w:tabs>
          <w:tab w:val="num" w:pos="720"/>
        </w:tabs>
        <w:ind w:left="720" w:hanging="360"/>
      </w:pPr>
      <w:rPr>
        <w:rFonts w:ascii="Times New Roman" w:hAnsi="Times New Roman" w:hint="default"/>
      </w:rPr>
    </w:lvl>
    <w:lvl w:ilvl="1" w:tplc="8F0C2128">
      <w:start w:val="1"/>
      <w:numFmt w:val="bullet"/>
      <w:lvlText w:val="–"/>
      <w:lvlJc w:val="left"/>
      <w:pPr>
        <w:tabs>
          <w:tab w:val="num" w:pos="1440"/>
        </w:tabs>
        <w:ind w:left="1440" w:hanging="360"/>
      </w:pPr>
      <w:rPr>
        <w:rFonts w:ascii="Times New Roman" w:hAnsi="Times New Roman" w:hint="default"/>
      </w:rPr>
    </w:lvl>
    <w:lvl w:ilvl="2" w:tplc="40846730" w:tentative="1">
      <w:start w:val="1"/>
      <w:numFmt w:val="bullet"/>
      <w:lvlText w:val="–"/>
      <w:lvlJc w:val="left"/>
      <w:pPr>
        <w:tabs>
          <w:tab w:val="num" w:pos="2160"/>
        </w:tabs>
        <w:ind w:left="2160" w:hanging="360"/>
      </w:pPr>
      <w:rPr>
        <w:rFonts w:ascii="Times New Roman" w:hAnsi="Times New Roman" w:hint="default"/>
      </w:rPr>
    </w:lvl>
    <w:lvl w:ilvl="3" w:tplc="226E54F6" w:tentative="1">
      <w:start w:val="1"/>
      <w:numFmt w:val="bullet"/>
      <w:lvlText w:val="–"/>
      <w:lvlJc w:val="left"/>
      <w:pPr>
        <w:tabs>
          <w:tab w:val="num" w:pos="2880"/>
        </w:tabs>
        <w:ind w:left="2880" w:hanging="360"/>
      </w:pPr>
      <w:rPr>
        <w:rFonts w:ascii="Times New Roman" w:hAnsi="Times New Roman" w:hint="default"/>
      </w:rPr>
    </w:lvl>
    <w:lvl w:ilvl="4" w:tplc="E988C318" w:tentative="1">
      <w:start w:val="1"/>
      <w:numFmt w:val="bullet"/>
      <w:lvlText w:val="–"/>
      <w:lvlJc w:val="left"/>
      <w:pPr>
        <w:tabs>
          <w:tab w:val="num" w:pos="3600"/>
        </w:tabs>
        <w:ind w:left="3600" w:hanging="360"/>
      </w:pPr>
      <w:rPr>
        <w:rFonts w:ascii="Times New Roman" w:hAnsi="Times New Roman" w:hint="default"/>
      </w:rPr>
    </w:lvl>
    <w:lvl w:ilvl="5" w:tplc="20FAA2F0" w:tentative="1">
      <w:start w:val="1"/>
      <w:numFmt w:val="bullet"/>
      <w:lvlText w:val="–"/>
      <w:lvlJc w:val="left"/>
      <w:pPr>
        <w:tabs>
          <w:tab w:val="num" w:pos="4320"/>
        </w:tabs>
        <w:ind w:left="4320" w:hanging="360"/>
      </w:pPr>
      <w:rPr>
        <w:rFonts w:ascii="Times New Roman" w:hAnsi="Times New Roman" w:hint="default"/>
      </w:rPr>
    </w:lvl>
    <w:lvl w:ilvl="6" w:tplc="81169BA8" w:tentative="1">
      <w:start w:val="1"/>
      <w:numFmt w:val="bullet"/>
      <w:lvlText w:val="–"/>
      <w:lvlJc w:val="left"/>
      <w:pPr>
        <w:tabs>
          <w:tab w:val="num" w:pos="5040"/>
        </w:tabs>
        <w:ind w:left="5040" w:hanging="360"/>
      </w:pPr>
      <w:rPr>
        <w:rFonts w:ascii="Times New Roman" w:hAnsi="Times New Roman" w:hint="default"/>
      </w:rPr>
    </w:lvl>
    <w:lvl w:ilvl="7" w:tplc="10C23A9A" w:tentative="1">
      <w:start w:val="1"/>
      <w:numFmt w:val="bullet"/>
      <w:lvlText w:val="–"/>
      <w:lvlJc w:val="left"/>
      <w:pPr>
        <w:tabs>
          <w:tab w:val="num" w:pos="5760"/>
        </w:tabs>
        <w:ind w:left="5760" w:hanging="360"/>
      </w:pPr>
      <w:rPr>
        <w:rFonts w:ascii="Times New Roman" w:hAnsi="Times New Roman" w:hint="default"/>
      </w:rPr>
    </w:lvl>
    <w:lvl w:ilvl="8" w:tplc="89786A4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B556A37"/>
    <w:multiLevelType w:val="hybridMultilevel"/>
    <w:tmpl w:val="7CE27C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40BF4"/>
    <w:multiLevelType w:val="multilevel"/>
    <w:tmpl w:val="A04E53A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DC7E69"/>
    <w:multiLevelType w:val="hybridMultilevel"/>
    <w:tmpl w:val="C8643B2A"/>
    <w:lvl w:ilvl="0" w:tplc="1FFE9DE0">
      <w:start w:val="1"/>
      <w:numFmt w:val="bullet"/>
      <w:lvlText w:val="•"/>
      <w:lvlJc w:val="left"/>
      <w:pPr>
        <w:tabs>
          <w:tab w:val="num" w:pos="720"/>
        </w:tabs>
        <w:ind w:left="720" w:hanging="360"/>
      </w:pPr>
      <w:rPr>
        <w:rFonts w:ascii="Times New Roman" w:hAnsi="Times New Roman" w:hint="default"/>
      </w:rPr>
    </w:lvl>
    <w:lvl w:ilvl="1" w:tplc="3A960C8E" w:tentative="1">
      <w:start w:val="1"/>
      <w:numFmt w:val="bullet"/>
      <w:lvlText w:val="•"/>
      <w:lvlJc w:val="left"/>
      <w:pPr>
        <w:tabs>
          <w:tab w:val="num" w:pos="1440"/>
        </w:tabs>
        <w:ind w:left="1440" w:hanging="360"/>
      </w:pPr>
      <w:rPr>
        <w:rFonts w:ascii="Times New Roman" w:hAnsi="Times New Roman" w:hint="default"/>
      </w:rPr>
    </w:lvl>
    <w:lvl w:ilvl="2" w:tplc="1B54CC9A">
      <w:start w:val="1"/>
      <w:numFmt w:val="bullet"/>
      <w:lvlText w:val="•"/>
      <w:lvlJc w:val="left"/>
      <w:pPr>
        <w:tabs>
          <w:tab w:val="num" w:pos="2160"/>
        </w:tabs>
        <w:ind w:left="2160" w:hanging="360"/>
      </w:pPr>
      <w:rPr>
        <w:rFonts w:ascii="Times New Roman" w:hAnsi="Times New Roman" w:hint="default"/>
      </w:rPr>
    </w:lvl>
    <w:lvl w:ilvl="3" w:tplc="A53214A0" w:tentative="1">
      <w:start w:val="1"/>
      <w:numFmt w:val="bullet"/>
      <w:lvlText w:val="•"/>
      <w:lvlJc w:val="left"/>
      <w:pPr>
        <w:tabs>
          <w:tab w:val="num" w:pos="2880"/>
        </w:tabs>
        <w:ind w:left="2880" w:hanging="360"/>
      </w:pPr>
      <w:rPr>
        <w:rFonts w:ascii="Times New Roman" w:hAnsi="Times New Roman" w:hint="default"/>
      </w:rPr>
    </w:lvl>
    <w:lvl w:ilvl="4" w:tplc="AEBA9548" w:tentative="1">
      <w:start w:val="1"/>
      <w:numFmt w:val="bullet"/>
      <w:lvlText w:val="•"/>
      <w:lvlJc w:val="left"/>
      <w:pPr>
        <w:tabs>
          <w:tab w:val="num" w:pos="3600"/>
        </w:tabs>
        <w:ind w:left="3600" w:hanging="360"/>
      </w:pPr>
      <w:rPr>
        <w:rFonts w:ascii="Times New Roman" w:hAnsi="Times New Roman" w:hint="default"/>
      </w:rPr>
    </w:lvl>
    <w:lvl w:ilvl="5" w:tplc="87369198" w:tentative="1">
      <w:start w:val="1"/>
      <w:numFmt w:val="bullet"/>
      <w:lvlText w:val="•"/>
      <w:lvlJc w:val="left"/>
      <w:pPr>
        <w:tabs>
          <w:tab w:val="num" w:pos="4320"/>
        </w:tabs>
        <w:ind w:left="4320" w:hanging="360"/>
      </w:pPr>
      <w:rPr>
        <w:rFonts w:ascii="Times New Roman" w:hAnsi="Times New Roman" w:hint="default"/>
      </w:rPr>
    </w:lvl>
    <w:lvl w:ilvl="6" w:tplc="1B0E3792" w:tentative="1">
      <w:start w:val="1"/>
      <w:numFmt w:val="bullet"/>
      <w:lvlText w:val="•"/>
      <w:lvlJc w:val="left"/>
      <w:pPr>
        <w:tabs>
          <w:tab w:val="num" w:pos="5040"/>
        </w:tabs>
        <w:ind w:left="5040" w:hanging="360"/>
      </w:pPr>
      <w:rPr>
        <w:rFonts w:ascii="Times New Roman" w:hAnsi="Times New Roman" w:hint="default"/>
      </w:rPr>
    </w:lvl>
    <w:lvl w:ilvl="7" w:tplc="630675D2" w:tentative="1">
      <w:start w:val="1"/>
      <w:numFmt w:val="bullet"/>
      <w:lvlText w:val="•"/>
      <w:lvlJc w:val="left"/>
      <w:pPr>
        <w:tabs>
          <w:tab w:val="num" w:pos="5760"/>
        </w:tabs>
        <w:ind w:left="5760" w:hanging="360"/>
      </w:pPr>
      <w:rPr>
        <w:rFonts w:ascii="Times New Roman" w:hAnsi="Times New Roman" w:hint="default"/>
      </w:rPr>
    </w:lvl>
    <w:lvl w:ilvl="8" w:tplc="7F4CFCD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495508B"/>
    <w:multiLevelType w:val="multilevel"/>
    <w:tmpl w:val="050273F0"/>
    <w:lvl w:ilvl="0">
      <w:start w:val="1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nsid w:val="44BC1467"/>
    <w:multiLevelType w:val="hybridMultilevel"/>
    <w:tmpl w:val="045CA8E6"/>
    <w:lvl w:ilvl="0" w:tplc="04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46725387"/>
    <w:multiLevelType w:val="multilevel"/>
    <w:tmpl w:val="10E0C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47A13DDE"/>
    <w:multiLevelType w:val="hybridMultilevel"/>
    <w:tmpl w:val="46A6A46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4AD92BF5"/>
    <w:multiLevelType w:val="hybridMultilevel"/>
    <w:tmpl w:val="BE24F8FE"/>
    <w:lvl w:ilvl="0" w:tplc="DD0EFFCA">
      <w:start w:val="1"/>
      <w:numFmt w:val="bullet"/>
      <w:lvlText w:val="•"/>
      <w:lvlJc w:val="left"/>
      <w:pPr>
        <w:tabs>
          <w:tab w:val="num" w:pos="720"/>
        </w:tabs>
        <w:ind w:left="720" w:hanging="360"/>
      </w:pPr>
      <w:rPr>
        <w:rFonts w:ascii="Times New Roman" w:hAnsi="Times New Roman" w:hint="default"/>
      </w:rPr>
    </w:lvl>
    <w:lvl w:ilvl="1" w:tplc="B05E8B7A" w:tentative="1">
      <w:start w:val="1"/>
      <w:numFmt w:val="bullet"/>
      <w:lvlText w:val="•"/>
      <w:lvlJc w:val="left"/>
      <w:pPr>
        <w:tabs>
          <w:tab w:val="num" w:pos="1440"/>
        </w:tabs>
        <w:ind w:left="1440" w:hanging="360"/>
      </w:pPr>
      <w:rPr>
        <w:rFonts w:ascii="Times New Roman" w:hAnsi="Times New Roman" w:hint="default"/>
      </w:rPr>
    </w:lvl>
    <w:lvl w:ilvl="2" w:tplc="62B63DCA" w:tentative="1">
      <w:start w:val="1"/>
      <w:numFmt w:val="bullet"/>
      <w:lvlText w:val="•"/>
      <w:lvlJc w:val="left"/>
      <w:pPr>
        <w:tabs>
          <w:tab w:val="num" w:pos="2160"/>
        </w:tabs>
        <w:ind w:left="2160" w:hanging="360"/>
      </w:pPr>
      <w:rPr>
        <w:rFonts w:ascii="Times New Roman" w:hAnsi="Times New Roman" w:hint="default"/>
      </w:rPr>
    </w:lvl>
    <w:lvl w:ilvl="3" w:tplc="BCE89E62" w:tentative="1">
      <w:start w:val="1"/>
      <w:numFmt w:val="bullet"/>
      <w:lvlText w:val="•"/>
      <w:lvlJc w:val="left"/>
      <w:pPr>
        <w:tabs>
          <w:tab w:val="num" w:pos="2880"/>
        </w:tabs>
        <w:ind w:left="2880" w:hanging="360"/>
      </w:pPr>
      <w:rPr>
        <w:rFonts w:ascii="Times New Roman" w:hAnsi="Times New Roman" w:hint="default"/>
      </w:rPr>
    </w:lvl>
    <w:lvl w:ilvl="4" w:tplc="9C028A82" w:tentative="1">
      <w:start w:val="1"/>
      <w:numFmt w:val="bullet"/>
      <w:lvlText w:val="•"/>
      <w:lvlJc w:val="left"/>
      <w:pPr>
        <w:tabs>
          <w:tab w:val="num" w:pos="3600"/>
        </w:tabs>
        <w:ind w:left="3600" w:hanging="360"/>
      </w:pPr>
      <w:rPr>
        <w:rFonts w:ascii="Times New Roman" w:hAnsi="Times New Roman" w:hint="default"/>
      </w:rPr>
    </w:lvl>
    <w:lvl w:ilvl="5" w:tplc="06B242CE" w:tentative="1">
      <w:start w:val="1"/>
      <w:numFmt w:val="bullet"/>
      <w:lvlText w:val="•"/>
      <w:lvlJc w:val="left"/>
      <w:pPr>
        <w:tabs>
          <w:tab w:val="num" w:pos="4320"/>
        </w:tabs>
        <w:ind w:left="4320" w:hanging="360"/>
      </w:pPr>
      <w:rPr>
        <w:rFonts w:ascii="Times New Roman" w:hAnsi="Times New Roman" w:hint="default"/>
      </w:rPr>
    </w:lvl>
    <w:lvl w:ilvl="6" w:tplc="30EC1E8E" w:tentative="1">
      <w:start w:val="1"/>
      <w:numFmt w:val="bullet"/>
      <w:lvlText w:val="•"/>
      <w:lvlJc w:val="left"/>
      <w:pPr>
        <w:tabs>
          <w:tab w:val="num" w:pos="5040"/>
        </w:tabs>
        <w:ind w:left="5040" w:hanging="360"/>
      </w:pPr>
      <w:rPr>
        <w:rFonts w:ascii="Times New Roman" w:hAnsi="Times New Roman" w:hint="default"/>
      </w:rPr>
    </w:lvl>
    <w:lvl w:ilvl="7" w:tplc="B4C8E9CA" w:tentative="1">
      <w:start w:val="1"/>
      <w:numFmt w:val="bullet"/>
      <w:lvlText w:val="•"/>
      <w:lvlJc w:val="left"/>
      <w:pPr>
        <w:tabs>
          <w:tab w:val="num" w:pos="5760"/>
        </w:tabs>
        <w:ind w:left="5760" w:hanging="360"/>
      </w:pPr>
      <w:rPr>
        <w:rFonts w:ascii="Times New Roman" w:hAnsi="Times New Roman" w:hint="default"/>
      </w:rPr>
    </w:lvl>
    <w:lvl w:ilvl="8" w:tplc="A2CAA96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8DB0409"/>
    <w:multiLevelType w:val="hybridMultilevel"/>
    <w:tmpl w:val="1B9CAFB2"/>
    <w:lvl w:ilvl="0" w:tplc="1C09000B">
      <w:start w:val="1"/>
      <w:numFmt w:val="bullet"/>
      <w:lvlText w:val=""/>
      <w:lvlJc w:val="left"/>
      <w:pPr>
        <w:ind w:left="1473" w:hanging="360"/>
      </w:pPr>
      <w:rPr>
        <w:rFonts w:ascii="Wingdings" w:hAnsi="Wingdings" w:hint="default"/>
      </w:rPr>
    </w:lvl>
    <w:lvl w:ilvl="1" w:tplc="1C09000B">
      <w:start w:val="1"/>
      <w:numFmt w:val="bullet"/>
      <w:lvlText w:val=""/>
      <w:lvlJc w:val="left"/>
      <w:pPr>
        <w:ind w:left="2193" w:hanging="360"/>
      </w:pPr>
      <w:rPr>
        <w:rFonts w:ascii="Wingdings" w:hAnsi="Wingdings" w:hint="default"/>
      </w:rPr>
    </w:lvl>
    <w:lvl w:ilvl="2" w:tplc="1C090005">
      <w:start w:val="1"/>
      <w:numFmt w:val="bullet"/>
      <w:lvlText w:val=""/>
      <w:lvlJc w:val="left"/>
      <w:pPr>
        <w:ind w:left="2913" w:hanging="360"/>
      </w:pPr>
      <w:rPr>
        <w:rFonts w:ascii="Wingdings" w:hAnsi="Wingdings" w:hint="default"/>
      </w:rPr>
    </w:lvl>
    <w:lvl w:ilvl="3" w:tplc="1C090001" w:tentative="1">
      <w:start w:val="1"/>
      <w:numFmt w:val="bullet"/>
      <w:lvlText w:val=""/>
      <w:lvlJc w:val="left"/>
      <w:pPr>
        <w:ind w:left="3633" w:hanging="360"/>
      </w:pPr>
      <w:rPr>
        <w:rFonts w:ascii="Symbol" w:hAnsi="Symbol" w:hint="default"/>
      </w:rPr>
    </w:lvl>
    <w:lvl w:ilvl="4" w:tplc="1C090003" w:tentative="1">
      <w:start w:val="1"/>
      <w:numFmt w:val="bullet"/>
      <w:lvlText w:val="o"/>
      <w:lvlJc w:val="left"/>
      <w:pPr>
        <w:ind w:left="4353" w:hanging="360"/>
      </w:pPr>
      <w:rPr>
        <w:rFonts w:ascii="Courier New" w:hAnsi="Courier New" w:cs="Courier New" w:hint="default"/>
      </w:rPr>
    </w:lvl>
    <w:lvl w:ilvl="5" w:tplc="1C090005" w:tentative="1">
      <w:start w:val="1"/>
      <w:numFmt w:val="bullet"/>
      <w:lvlText w:val=""/>
      <w:lvlJc w:val="left"/>
      <w:pPr>
        <w:ind w:left="5073" w:hanging="360"/>
      </w:pPr>
      <w:rPr>
        <w:rFonts w:ascii="Wingdings" w:hAnsi="Wingdings" w:hint="default"/>
      </w:rPr>
    </w:lvl>
    <w:lvl w:ilvl="6" w:tplc="1C090001" w:tentative="1">
      <w:start w:val="1"/>
      <w:numFmt w:val="bullet"/>
      <w:lvlText w:val=""/>
      <w:lvlJc w:val="left"/>
      <w:pPr>
        <w:ind w:left="5793" w:hanging="360"/>
      </w:pPr>
      <w:rPr>
        <w:rFonts w:ascii="Symbol" w:hAnsi="Symbol" w:hint="default"/>
      </w:rPr>
    </w:lvl>
    <w:lvl w:ilvl="7" w:tplc="1C090003" w:tentative="1">
      <w:start w:val="1"/>
      <w:numFmt w:val="bullet"/>
      <w:lvlText w:val="o"/>
      <w:lvlJc w:val="left"/>
      <w:pPr>
        <w:ind w:left="6513" w:hanging="360"/>
      </w:pPr>
      <w:rPr>
        <w:rFonts w:ascii="Courier New" w:hAnsi="Courier New" w:cs="Courier New" w:hint="default"/>
      </w:rPr>
    </w:lvl>
    <w:lvl w:ilvl="8" w:tplc="1C090005" w:tentative="1">
      <w:start w:val="1"/>
      <w:numFmt w:val="bullet"/>
      <w:lvlText w:val=""/>
      <w:lvlJc w:val="left"/>
      <w:pPr>
        <w:ind w:left="7233" w:hanging="360"/>
      </w:pPr>
      <w:rPr>
        <w:rFonts w:ascii="Wingdings" w:hAnsi="Wingdings" w:hint="default"/>
      </w:rPr>
    </w:lvl>
  </w:abstractNum>
  <w:abstractNum w:abstractNumId="26">
    <w:nsid w:val="5B46663D"/>
    <w:multiLevelType w:val="hybridMultilevel"/>
    <w:tmpl w:val="07F4696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0090F1C"/>
    <w:multiLevelType w:val="hybridMultilevel"/>
    <w:tmpl w:val="8B2241E6"/>
    <w:lvl w:ilvl="0" w:tplc="641ACC00">
      <w:start w:val="1"/>
      <w:numFmt w:val="bullet"/>
      <w:lvlText w:val="–"/>
      <w:lvlJc w:val="left"/>
      <w:pPr>
        <w:tabs>
          <w:tab w:val="num" w:pos="720"/>
        </w:tabs>
        <w:ind w:left="720" w:hanging="360"/>
      </w:pPr>
      <w:rPr>
        <w:rFonts w:ascii="Times New Roman" w:hAnsi="Times New Roman" w:hint="default"/>
      </w:rPr>
    </w:lvl>
    <w:lvl w:ilvl="1" w:tplc="AF68A88C">
      <w:start w:val="1"/>
      <w:numFmt w:val="bullet"/>
      <w:lvlText w:val="–"/>
      <w:lvlJc w:val="left"/>
      <w:pPr>
        <w:tabs>
          <w:tab w:val="num" w:pos="1440"/>
        </w:tabs>
        <w:ind w:left="1440" w:hanging="360"/>
      </w:pPr>
      <w:rPr>
        <w:rFonts w:ascii="Times New Roman" w:hAnsi="Times New Roman" w:hint="default"/>
      </w:rPr>
    </w:lvl>
    <w:lvl w:ilvl="2" w:tplc="A3DE1EEC" w:tentative="1">
      <w:start w:val="1"/>
      <w:numFmt w:val="bullet"/>
      <w:lvlText w:val="–"/>
      <w:lvlJc w:val="left"/>
      <w:pPr>
        <w:tabs>
          <w:tab w:val="num" w:pos="2160"/>
        </w:tabs>
        <w:ind w:left="2160" w:hanging="360"/>
      </w:pPr>
      <w:rPr>
        <w:rFonts w:ascii="Times New Roman" w:hAnsi="Times New Roman" w:hint="default"/>
      </w:rPr>
    </w:lvl>
    <w:lvl w:ilvl="3" w:tplc="9786868C" w:tentative="1">
      <w:start w:val="1"/>
      <w:numFmt w:val="bullet"/>
      <w:lvlText w:val="–"/>
      <w:lvlJc w:val="left"/>
      <w:pPr>
        <w:tabs>
          <w:tab w:val="num" w:pos="2880"/>
        </w:tabs>
        <w:ind w:left="2880" w:hanging="360"/>
      </w:pPr>
      <w:rPr>
        <w:rFonts w:ascii="Times New Roman" w:hAnsi="Times New Roman" w:hint="default"/>
      </w:rPr>
    </w:lvl>
    <w:lvl w:ilvl="4" w:tplc="377AA50A" w:tentative="1">
      <w:start w:val="1"/>
      <w:numFmt w:val="bullet"/>
      <w:lvlText w:val="–"/>
      <w:lvlJc w:val="left"/>
      <w:pPr>
        <w:tabs>
          <w:tab w:val="num" w:pos="3600"/>
        </w:tabs>
        <w:ind w:left="3600" w:hanging="360"/>
      </w:pPr>
      <w:rPr>
        <w:rFonts w:ascii="Times New Roman" w:hAnsi="Times New Roman" w:hint="default"/>
      </w:rPr>
    </w:lvl>
    <w:lvl w:ilvl="5" w:tplc="0EA8BF92" w:tentative="1">
      <w:start w:val="1"/>
      <w:numFmt w:val="bullet"/>
      <w:lvlText w:val="–"/>
      <w:lvlJc w:val="left"/>
      <w:pPr>
        <w:tabs>
          <w:tab w:val="num" w:pos="4320"/>
        </w:tabs>
        <w:ind w:left="4320" w:hanging="360"/>
      </w:pPr>
      <w:rPr>
        <w:rFonts w:ascii="Times New Roman" w:hAnsi="Times New Roman" w:hint="default"/>
      </w:rPr>
    </w:lvl>
    <w:lvl w:ilvl="6" w:tplc="BA78210E" w:tentative="1">
      <w:start w:val="1"/>
      <w:numFmt w:val="bullet"/>
      <w:lvlText w:val="–"/>
      <w:lvlJc w:val="left"/>
      <w:pPr>
        <w:tabs>
          <w:tab w:val="num" w:pos="5040"/>
        </w:tabs>
        <w:ind w:left="5040" w:hanging="360"/>
      </w:pPr>
      <w:rPr>
        <w:rFonts w:ascii="Times New Roman" w:hAnsi="Times New Roman" w:hint="default"/>
      </w:rPr>
    </w:lvl>
    <w:lvl w:ilvl="7" w:tplc="6C32201E" w:tentative="1">
      <w:start w:val="1"/>
      <w:numFmt w:val="bullet"/>
      <w:lvlText w:val="–"/>
      <w:lvlJc w:val="left"/>
      <w:pPr>
        <w:tabs>
          <w:tab w:val="num" w:pos="5760"/>
        </w:tabs>
        <w:ind w:left="5760" w:hanging="360"/>
      </w:pPr>
      <w:rPr>
        <w:rFonts w:ascii="Times New Roman" w:hAnsi="Times New Roman" w:hint="default"/>
      </w:rPr>
    </w:lvl>
    <w:lvl w:ilvl="8" w:tplc="859AE1D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59043B"/>
    <w:multiLevelType w:val="hybridMultilevel"/>
    <w:tmpl w:val="FA3467C2"/>
    <w:lvl w:ilvl="0" w:tplc="DA301D38">
      <w:start w:val="1"/>
      <w:numFmt w:val="bullet"/>
      <w:lvlText w:val="–"/>
      <w:lvlJc w:val="left"/>
      <w:pPr>
        <w:tabs>
          <w:tab w:val="num" w:pos="720"/>
        </w:tabs>
        <w:ind w:left="720" w:hanging="360"/>
      </w:pPr>
      <w:rPr>
        <w:rFonts w:ascii="Arial" w:hAnsi="Arial" w:hint="default"/>
      </w:rPr>
    </w:lvl>
    <w:lvl w:ilvl="1" w:tplc="39107F06">
      <w:start w:val="1"/>
      <w:numFmt w:val="bullet"/>
      <w:lvlText w:val="–"/>
      <w:lvlJc w:val="left"/>
      <w:pPr>
        <w:tabs>
          <w:tab w:val="num" w:pos="1440"/>
        </w:tabs>
        <w:ind w:left="1440" w:hanging="360"/>
      </w:pPr>
      <w:rPr>
        <w:rFonts w:ascii="Arial" w:hAnsi="Arial" w:hint="default"/>
      </w:rPr>
    </w:lvl>
    <w:lvl w:ilvl="2" w:tplc="788C1F48" w:tentative="1">
      <w:start w:val="1"/>
      <w:numFmt w:val="bullet"/>
      <w:lvlText w:val="–"/>
      <w:lvlJc w:val="left"/>
      <w:pPr>
        <w:tabs>
          <w:tab w:val="num" w:pos="2160"/>
        </w:tabs>
        <w:ind w:left="2160" w:hanging="360"/>
      </w:pPr>
      <w:rPr>
        <w:rFonts w:ascii="Arial" w:hAnsi="Arial" w:hint="default"/>
      </w:rPr>
    </w:lvl>
    <w:lvl w:ilvl="3" w:tplc="8668C324" w:tentative="1">
      <w:start w:val="1"/>
      <w:numFmt w:val="bullet"/>
      <w:lvlText w:val="–"/>
      <w:lvlJc w:val="left"/>
      <w:pPr>
        <w:tabs>
          <w:tab w:val="num" w:pos="2880"/>
        </w:tabs>
        <w:ind w:left="2880" w:hanging="360"/>
      </w:pPr>
      <w:rPr>
        <w:rFonts w:ascii="Arial" w:hAnsi="Arial" w:hint="default"/>
      </w:rPr>
    </w:lvl>
    <w:lvl w:ilvl="4" w:tplc="E7F0860A" w:tentative="1">
      <w:start w:val="1"/>
      <w:numFmt w:val="bullet"/>
      <w:lvlText w:val="–"/>
      <w:lvlJc w:val="left"/>
      <w:pPr>
        <w:tabs>
          <w:tab w:val="num" w:pos="3600"/>
        </w:tabs>
        <w:ind w:left="3600" w:hanging="360"/>
      </w:pPr>
      <w:rPr>
        <w:rFonts w:ascii="Arial" w:hAnsi="Arial" w:hint="default"/>
      </w:rPr>
    </w:lvl>
    <w:lvl w:ilvl="5" w:tplc="D43C9206" w:tentative="1">
      <w:start w:val="1"/>
      <w:numFmt w:val="bullet"/>
      <w:lvlText w:val="–"/>
      <w:lvlJc w:val="left"/>
      <w:pPr>
        <w:tabs>
          <w:tab w:val="num" w:pos="4320"/>
        </w:tabs>
        <w:ind w:left="4320" w:hanging="360"/>
      </w:pPr>
      <w:rPr>
        <w:rFonts w:ascii="Arial" w:hAnsi="Arial" w:hint="default"/>
      </w:rPr>
    </w:lvl>
    <w:lvl w:ilvl="6" w:tplc="86642CAC" w:tentative="1">
      <w:start w:val="1"/>
      <w:numFmt w:val="bullet"/>
      <w:lvlText w:val="–"/>
      <w:lvlJc w:val="left"/>
      <w:pPr>
        <w:tabs>
          <w:tab w:val="num" w:pos="5040"/>
        </w:tabs>
        <w:ind w:left="5040" w:hanging="360"/>
      </w:pPr>
      <w:rPr>
        <w:rFonts w:ascii="Arial" w:hAnsi="Arial" w:hint="default"/>
      </w:rPr>
    </w:lvl>
    <w:lvl w:ilvl="7" w:tplc="1B5E2BE8" w:tentative="1">
      <w:start w:val="1"/>
      <w:numFmt w:val="bullet"/>
      <w:lvlText w:val="–"/>
      <w:lvlJc w:val="left"/>
      <w:pPr>
        <w:tabs>
          <w:tab w:val="num" w:pos="5760"/>
        </w:tabs>
        <w:ind w:left="5760" w:hanging="360"/>
      </w:pPr>
      <w:rPr>
        <w:rFonts w:ascii="Arial" w:hAnsi="Arial" w:hint="default"/>
      </w:rPr>
    </w:lvl>
    <w:lvl w:ilvl="8" w:tplc="C7F207A2" w:tentative="1">
      <w:start w:val="1"/>
      <w:numFmt w:val="bullet"/>
      <w:lvlText w:val="–"/>
      <w:lvlJc w:val="left"/>
      <w:pPr>
        <w:tabs>
          <w:tab w:val="num" w:pos="6480"/>
        </w:tabs>
        <w:ind w:left="6480" w:hanging="360"/>
      </w:pPr>
      <w:rPr>
        <w:rFonts w:ascii="Arial" w:hAnsi="Arial" w:hint="default"/>
      </w:rPr>
    </w:lvl>
  </w:abstractNum>
  <w:abstractNum w:abstractNumId="29">
    <w:nsid w:val="62744568"/>
    <w:multiLevelType w:val="hybridMultilevel"/>
    <w:tmpl w:val="13C61626"/>
    <w:lvl w:ilvl="0" w:tplc="0409000B">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694A1786"/>
    <w:multiLevelType w:val="hybridMultilevel"/>
    <w:tmpl w:val="D100863A"/>
    <w:lvl w:ilvl="0" w:tplc="0409000B">
      <w:start w:val="1"/>
      <w:numFmt w:val="bullet"/>
      <w:lvlText w:val=""/>
      <w:lvlJc w:val="left"/>
      <w:pPr>
        <w:ind w:left="1080" w:hanging="360"/>
      </w:pPr>
      <w:rPr>
        <w:rFonts w:ascii="Wingdings" w:hAnsi="Wingdings" w:hint="default"/>
      </w:rPr>
    </w:lvl>
    <w:lvl w:ilvl="1" w:tplc="1C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466BDE"/>
    <w:multiLevelType w:val="multilevel"/>
    <w:tmpl w:val="60E6E8B0"/>
    <w:lvl w:ilvl="0">
      <w:start w:val="1"/>
      <w:numFmt w:val="bullet"/>
      <w:lvlText w:val=""/>
      <w:lvlJc w:val="left"/>
      <w:pPr>
        <w:tabs>
          <w:tab w:val="num" w:pos="431"/>
        </w:tabs>
        <w:ind w:left="431" w:hanging="431"/>
      </w:pPr>
      <w:rPr>
        <w:rFonts w:ascii="Symbol" w:hAnsi="Symbol" w:hint="default"/>
        <w:sz w:val="22"/>
        <w:szCs w:val="22"/>
      </w:rPr>
    </w:lvl>
    <w:lvl w:ilvl="1">
      <w:start w:val="1"/>
      <w:numFmt w:val="decimal"/>
      <w:pStyle w:val="Heading2"/>
      <w:lvlText w:val="%1.%2"/>
      <w:lvlJc w:val="left"/>
      <w:pPr>
        <w:tabs>
          <w:tab w:val="num" w:pos="431"/>
        </w:tabs>
        <w:ind w:left="431" w:hanging="431"/>
      </w:pPr>
      <w:rPr>
        <w:rFonts w:hint="default"/>
      </w:rPr>
    </w:lvl>
    <w:lvl w:ilvl="2">
      <w:start w:val="1"/>
      <w:numFmt w:val="decimal"/>
      <w:pStyle w:val="Heading3"/>
      <w:lvlText w:val="%1.%2.%3"/>
      <w:lvlJc w:val="left"/>
      <w:pPr>
        <w:tabs>
          <w:tab w:val="num" w:pos="1582"/>
        </w:tabs>
        <w:ind w:left="1032" w:hanging="170"/>
      </w:pPr>
      <w:rPr>
        <w:rFonts w:hint="default"/>
      </w:rPr>
    </w:lvl>
    <w:lvl w:ilvl="3">
      <w:start w:val="1"/>
      <w:numFmt w:val="decimal"/>
      <w:pStyle w:val="Heading4"/>
      <w:lvlText w:val="%1.%2.%3.%4"/>
      <w:lvlJc w:val="left"/>
      <w:pPr>
        <w:tabs>
          <w:tab w:val="num" w:pos="1726"/>
        </w:tabs>
        <w:ind w:left="1726" w:hanging="864"/>
      </w:pPr>
      <w:rPr>
        <w:rFonts w:hint="default"/>
      </w:rPr>
    </w:lvl>
    <w:lvl w:ilvl="4">
      <w:start w:val="1"/>
      <w:numFmt w:val="decimal"/>
      <w:pStyle w:val="Heading5"/>
      <w:lvlText w:val="%1.%2.%3.%4.%5"/>
      <w:lvlJc w:val="left"/>
      <w:pPr>
        <w:tabs>
          <w:tab w:val="num" w:pos="1870"/>
        </w:tabs>
        <w:ind w:left="1870" w:hanging="1008"/>
      </w:pPr>
      <w:rPr>
        <w:rFonts w:hint="default"/>
      </w:rPr>
    </w:lvl>
    <w:lvl w:ilvl="5">
      <w:start w:val="1"/>
      <w:numFmt w:val="decimal"/>
      <w:pStyle w:val="Heading6"/>
      <w:lvlText w:val="%1.%2.%3.%4.%5.%6"/>
      <w:lvlJc w:val="left"/>
      <w:pPr>
        <w:tabs>
          <w:tab w:val="num" w:pos="2014"/>
        </w:tabs>
        <w:ind w:left="2014" w:hanging="1152"/>
      </w:pPr>
      <w:rPr>
        <w:rFonts w:hint="default"/>
      </w:rPr>
    </w:lvl>
    <w:lvl w:ilvl="6">
      <w:start w:val="1"/>
      <w:numFmt w:val="decimal"/>
      <w:pStyle w:val="Heading7"/>
      <w:lvlText w:val="%1.%2.%3.%4.%5.%6.%7"/>
      <w:lvlJc w:val="left"/>
      <w:pPr>
        <w:tabs>
          <w:tab w:val="num" w:pos="2158"/>
        </w:tabs>
        <w:ind w:left="2158" w:hanging="1296"/>
      </w:pPr>
      <w:rPr>
        <w:rFonts w:hint="default"/>
      </w:rPr>
    </w:lvl>
    <w:lvl w:ilvl="7">
      <w:start w:val="1"/>
      <w:numFmt w:val="decimal"/>
      <w:pStyle w:val="Heading8"/>
      <w:lvlText w:val="%1.%2.%3.%4.%5.%6.%7.%8"/>
      <w:lvlJc w:val="left"/>
      <w:pPr>
        <w:tabs>
          <w:tab w:val="num" w:pos="2302"/>
        </w:tabs>
        <w:ind w:left="2302" w:hanging="1440"/>
      </w:pPr>
      <w:rPr>
        <w:rFonts w:hint="default"/>
      </w:rPr>
    </w:lvl>
    <w:lvl w:ilvl="8">
      <w:start w:val="1"/>
      <w:numFmt w:val="decimal"/>
      <w:pStyle w:val="Heading9"/>
      <w:lvlText w:val="%1.%2.%3.%4.%5.%6.%7.%8.%9"/>
      <w:lvlJc w:val="left"/>
      <w:pPr>
        <w:tabs>
          <w:tab w:val="num" w:pos="2446"/>
        </w:tabs>
        <w:ind w:left="2446" w:hanging="1584"/>
      </w:pPr>
      <w:rPr>
        <w:rFonts w:hint="default"/>
      </w:rPr>
    </w:lvl>
  </w:abstractNum>
  <w:abstractNum w:abstractNumId="32">
    <w:nsid w:val="6E9A5C1F"/>
    <w:multiLevelType w:val="multilevel"/>
    <w:tmpl w:val="22EC210C"/>
    <w:lvl w:ilvl="0">
      <w:start w:val="1"/>
      <w:numFmt w:val="decimal"/>
      <w:lvlText w:val="%1"/>
      <w:lvlJc w:val="left"/>
      <w:pPr>
        <w:ind w:left="780"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80" w:hanging="1800"/>
      </w:pPr>
      <w:rPr>
        <w:rFonts w:hint="default"/>
      </w:rPr>
    </w:lvl>
  </w:abstractNum>
  <w:abstractNum w:abstractNumId="33">
    <w:nsid w:val="6EED485A"/>
    <w:multiLevelType w:val="multilevel"/>
    <w:tmpl w:val="A04E53A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D41AAF"/>
    <w:multiLevelType w:val="hybridMultilevel"/>
    <w:tmpl w:val="44A00404"/>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C44083D"/>
    <w:multiLevelType w:val="multilevel"/>
    <w:tmpl w:val="7E4CA174"/>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nsid w:val="7D364DA3"/>
    <w:multiLevelType w:val="hybridMultilevel"/>
    <w:tmpl w:val="C50E52E0"/>
    <w:lvl w:ilvl="0" w:tplc="743825E4">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91362ADA" w:tentative="1">
      <w:start w:val="1"/>
      <w:numFmt w:val="bullet"/>
      <w:lvlText w:val="–"/>
      <w:lvlJc w:val="left"/>
      <w:pPr>
        <w:tabs>
          <w:tab w:val="num" w:pos="2160"/>
        </w:tabs>
        <w:ind w:left="2160" w:hanging="360"/>
      </w:pPr>
      <w:rPr>
        <w:rFonts w:ascii="Times New Roman" w:hAnsi="Times New Roman" w:hint="default"/>
      </w:rPr>
    </w:lvl>
    <w:lvl w:ilvl="3" w:tplc="4EE075BA" w:tentative="1">
      <w:start w:val="1"/>
      <w:numFmt w:val="bullet"/>
      <w:lvlText w:val="–"/>
      <w:lvlJc w:val="left"/>
      <w:pPr>
        <w:tabs>
          <w:tab w:val="num" w:pos="2880"/>
        </w:tabs>
        <w:ind w:left="2880" w:hanging="360"/>
      </w:pPr>
      <w:rPr>
        <w:rFonts w:ascii="Times New Roman" w:hAnsi="Times New Roman" w:hint="default"/>
      </w:rPr>
    </w:lvl>
    <w:lvl w:ilvl="4" w:tplc="BF00E4DA" w:tentative="1">
      <w:start w:val="1"/>
      <w:numFmt w:val="bullet"/>
      <w:lvlText w:val="–"/>
      <w:lvlJc w:val="left"/>
      <w:pPr>
        <w:tabs>
          <w:tab w:val="num" w:pos="3600"/>
        </w:tabs>
        <w:ind w:left="3600" w:hanging="360"/>
      </w:pPr>
      <w:rPr>
        <w:rFonts w:ascii="Times New Roman" w:hAnsi="Times New Roman" w:hint="default"/>
      </w:rPr>
    </w:lvl>
    <w:lvl w:ilvl="5" w:tplc="2DD0E306" w:tentative="1">
      <w:start w:val="1"/>
      <w:numFmt w:val="bullet"/>
      <w:lvlText w:val="–"/>
      <w:lvlJc w:val="left"/>
      <w:pPr>
        <w:tabs>
          <w:tab w:val="num" w:pos="4320"/>
        </w:tabs>
        <w:ind w:left="4320" w:hanging="360"/>
      </w:pPr>
      <w:rPr>
        <w:rFonts w:ascii="Times New Roman" w:hAnsi="Times New Roman" w:hint="default"/>
      </w:rPr>
    </w:lvl>
    <w:lvl w:ilvl="6" w:tplc="067861FC" w:tentative="1">
      <w:start w:val="1"/>
      <w:numFmt w:val="bullet"/>
      <w:lvlText w:val="–"/>
      <w:lvlJc w:val="left"/>
      <w:pPr>
        <w:tabs>
          <w:tab w:val="num" w:pos="5040"/>
        </w:tabs>
        <w:ind w:left="5040" w:hanging="360"/>
      </w:pPr>
      <w:rPr>
        <w:rFonts w:ascii="Times New Roman" w:hAnsi="Times New Roman" w:hint="default"/>
      </w:rPr>
    </w:lvl>
    <w:lvl w:ilvl="7" w:tplc="6598EEC4" w:tentative="1">
      <w:start w:val="1"/>
      <w:numFmt w:val="bullet"/>
      <w:lvlText w:val="–"/>
      <w:lvlJc w:val="left"/>
      <w:pPr>
        <w:tabs>
          <w:tab w:val="num" w:pos="5760"/>
        </w:tabs>
        <w:ind w:left="5760" w:hanging="360"/>
      </w:pPr>
      <w:rPr>
        <w:rFonts w:ascii="Times New Roman" w:hAnsi="Times New Roman" w:hint="default"/>
      </w:rPr>
    </w:lvl>
    <w:lvl w:ilvl="8" w:tplc="74903248"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30"/>
  </w:num>
  <w:num w:numId="3">
    <w:abstractNumId w:val="33"/>
  </w:num>
  <w:num w:numId="4">
    <w:abstractNumId w:val="26"/>
  </w:num>
  <w:num w:numId="5">
    <w:abstractNumId w:val="9"/>
  </w:num>
  <w:num w:numId="6">
    <w:abstractNumId w:val="29"/>
  </w:num>
  <w:num w:numId="7">
    <w:abstractNumId w:val="21"/>
  </w:num>
  <w:num w:numId="8">
    <w:abstractNumId w:val="36"/>
  </w:num>
  <w:num w:numId="9">
    <w:abstractNumId w:val="17"/>
  </w:num>
  <w:num w:numId="10">
    <w:abstractNumId w:val="18"/>
  </w:num>
  <w:num w:numId="11">
    <w:abstractNumId w:val="20"/>
  </w:num>
  <w:num w:numId="12">
    <w:abstractNumId w:val="6"/>
  </w:num>
  <w:num w:numId="13">
    <w:abstractNumId w:val="2"/>
  </w:num>
  <w:num w:numId="14">
    <w:abstractNumId w:val="0"/>
  </w:num>
  <w:num w:numId="15">
    <w:abstractNumId w:val="7"/>
  </w:num>
  <w:num w:numId="16">
    <w:abstractNumId w:val="15"/>
  </w:num>
  <w:num w:numId="17">
    <w:abstractNumId w:val="5"/>
  </w:num>
  <w:num w:numId="18">
    <w:abstractNumId w:val="35"/>
  </w:num>
  <w:num w:numId="19">
    <w:abstractNumId w:val="32"/>
  </w:num>
  <w:num w:numId="20">
    <w:abstractNumId w:val="24"/>
  </w:num>
  <w:num w:numId="21">
    <w:abstractNumId w:val="14"/>
  </w:num>
  <w:num w:numId="22">
    <w:abstractNumId w:val="3"/>
  </w:num>
  <w:num w:numId="23">
    <w:abstractNumId w:val="10"/>
  </w:num>
  <w:num w:numId="24">
    <w:abstractNumId w:val="28"/>
  </w:num>
  <w:num w:numId="25">
    <w:abstractNumId w:val="11"/>
  </w:num>
  <w:num w:numId="26">
    <w:abstractNumId w:val="25"/>
  </w:num>
  <w:num w:numId="27">
    <w:abstractNumId w:val="27"/>
  </w:num>
  <w:num w:numId="28">
    <w:abstractNumId w:val="16"/>
  </w:num>
  <w:num w:numId="29">
    <w:abstractNumId w:val="34"/>
  </w:num>
  <w:num w:numId="30">
    <w:abstractNumId w:val="13"/>
  </w:num>
  <w:num w:numId="31">
    <w:abstractNumId w:val="1"/>
  </w:num>
  <w:num w:numId="32">
    <w:abstractNumId w:val="8"/>
  </w:num>
  <w:num w:numId="33">
    <w:abstractNumId w:val="22"/>
  </w:num>
  <w:num w:numId="34">
    <w:abstractNumId w:val="19"/>
  </w:num>
  <w:num w:numId="35">
    <w:abstractNumId w:val="4"/>
  </w:num>
  <w:num w:numId="36">
    <w:abstractNumId w:val="23"/>
  </w:num>
  <w:num w:numId="3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CC3721"/>
    <w:rsid w:val="000020DB"/>
    <w:rsid w:val="0000585F"/>
    <w:rsid w:val="00007066"/>
    <w:rsid w:val="00007072"/>
    <w:rsid w:val="00010544"/>
    <w:rsid w:val="00011E3A"/>
    <w:rsid w:val="00012BC8"/>
    <w:rsid w:val="00012E20"/>
    <w:rsid w:val="00013231"/>
    <w:rsid w:val="000138F9"/>
    <w:rsid w:val="000146A4"/>
    <w:rsid w:val="0002296B"/>
    <w:rsid w:val="00025B68"/>
    <w:rsid w:val="000301C7"/>
    <w:rsid w:val="000376D0"/>
    <w:rsid w:val="00041D10"/>
    <w:rsid w:val="00041EAD"/>
    <w:rsid w:val="00061AA1"/>
    <w:rsid w:val="0006425F"/>
    <w:rsid w:val="00064C76"/>
    <w:rsid w:val="000672D3"/>
    <w:rsid w:val="00070A2C"/>
    <w:rsid w:val="00071A41"/>
    <w:rsid w:val="00072E25"/>
    <w:rsid w:val="000762F3"/>
    <w:rsid w:val="00076D36"/>
    <w:rsid w:val="00077F6D"/>
    <w:rsid w:val="00082906"/>
    <w:rsid w:val="00082D3A"/>
    <w:rsid w:val="00085284"/>
    <w:rsid w:val="000878BA"/>
    <w:rsid w:val="00090CA3"/>
    <w:rsid w:val="000951E6"/>
    <w:rsid w:val="00095EE3"/>
    <w:rsid w:val="00095F05"/>
    <w:rsid w:val="0009637D"/>
    <w:rsid w:val="000A0F52"/>
    <w:rsid w:val="000A3DCC"/>
    <w:rsid w:val="000A7A68"/>
    <w:rsid w:val="000B30EE"/>
    <w:rsid w:val="000B3FDB"/>
    <w:rsid w:val="000B63DA"/>
    <w:rsid w:val="000B6554"/>
    <w:rsid w:val="000C14CB"/>
    <w:rsid w:val="000C5ED2"/>
    <w:rsid w:val="000D03A7"/>
    <w:rsid w:val="000D135D"/>
    <w:rsid w:val="000D3096"/>
    <w:rsid w:val="000D37FE"/>
    <w:rsid w:val="000D3BB6"/>
    <w:rsid w:val="000D497E"/>
    <w:rsid w:val="000D5830"/>
    <w:rsid w:val="000D721D"/>
    <w:rsid w:val="000E0596"/>
    <w:rsid w:val="000E3C47"/>
    <w:rsid w:val="000F4B8F"/>
    <w:rsid w:val="00103E44"/>
    <w:rsid w:val="00104DCE"/>
    <w:rsid w:val="0010655F"/>
    <w:rsid w:val="001065F3"/>
    <w:rsid w:val="00110429"/>
    <w:rsid w:val="001124EB"/>
    <w:rsid w:val="00113AA7"/>
    <w:rsid w:val="001148DD"/>
    <w:rsid w:val="00115470"/>
    <w:rsid w:val="00115DE2"/>
    <w:rsid w:val="0012084D"/>
    <w:rsid w:val="00121F6C"/>
    <w:rsid w:val="001239FC"/>
    <w:rsid w:val="00125EC0"/>
    <w:rsid w:val="00126F04"/>
    <w:rsid w:val="001275D7"/>
    <w:rsid w:val="001320A8"/>
    <w:rsid w:val="00133F89"/>
    <w:rsid w:val="0013646D"/>
    <w:rsid w:val="0013688D"/>
    <w:rsid w:val="00136C42"/>
    <w:rsid w:val="00137D07"/>
    <w:rsid w:val="00140AFD"/>
    <w:rsid w:val="00142F17"/>
    <w:rsid w:val="0014319A"/>
    <w:rsid w:val="00143D29"/>
    <w:rsid w:val="0014579A"/>
    <w:rsid w:val="001462CA"/>
    <w:rsid w:val="00147B80"/>
    <w:rsid w:val="00147F57"/>
    <w:rsid w:val="00150F74"/>
    <w:rsid w:val="001512CD"/>
    <w:rsid w:val="0015163F"/>
    <w:rsid w:val="001545D1"/>
    <w:rsid w:val="001560C8"/>
    <w:rsid w:val="00160232"/>
    <w:rsid w:val="00161EB9"/>
    <w:rsid w:val="00163F15"/>
    <w:rsid w:val="00165B8F"/>
    <w:rsid w:val="00167256"/>
    <w:rsid w:val="00167B42"/>
    <w:rsid w:val="001728E7"/>
    <w:rsid w:val="0017424A"/>
    <w:rsid w:val="00174326"/>
    <w:rsid w:val="00177EBF"/>
    <w:rsid w:val="001833E4"/>
    <w:rsid w:val="001844DF"/>
    <w:rsid w:val="0018453F"/>
    <w:rsid w:val="0018482B"/>
    <w:rsid w:val="001851BB"/>
    <w:rsid w:val="001864E7"/>
    <w:rsid w:val="00194FB4"/>
    <w:rsid w:val="001A0B7E"/>
    <w:rsid w:val="001A2044"/>
    <w:rsid w:val="001A3B52"/>
    <w:rsid w:val="001A5144"/>
    <w:rsid w:val="001A5ED1"/>
    <w:rsid w:val="001B1E23"/>
    <w:rsid w:val="001B43DA"/>
    <w:rsid w:val="001B4F24"/>
    <w:rsid w:val="001B6A34"/>
    <w:rsid w:val="001C10F2"/>
    <w:rsid w:val="001C2B6F"/>
    <w:rsid w:val="001C34A3"/>
    <w:rsid w:val="001C5A9B"/>
    <w:rsid w:val="001C6DD4"/>
    <w:rsid w:val="001D195F"/>
    <w:rsid w:val="001D3564"/>
    <w:rsid w:val="001D4D6E"/>
    <w:rsid w:val="001D7921"/>
    <w:rsid w:val="001E10A2"/>
    <w:rsid w:val="001E6385"/>
    <w:rsid w:val="001E6D40"/>
    <w:rsid w:val="001E7245"/>
    <w:rsid w:val="001F27C4"/>
    <w:rsid w:val="001F57D6"/>
    <w:rsid w:val="001F7585"/>
    <w:rsid w:val="002057BB"/>
    <w:rsid w:val="002062A7"/>
    <w:rsid w:val="0021123A"/>
    <w:rsid w:val="00212C28"/>
    <w:rsid w:val="002134A2"/>
    <w:rsid w:val="00215DDD"/>
    <w:rsid w:val="00222B7C"/>
    <w:rsid w:val="00222F3E"/>
    <w:rsid w:val="00226137"/>
    <w:rsid w:val="0022748D"/>
    <w:rsid w:val="002278F6"/>
    <w:rsid w:val="00233D33"/>
    <w:rsid w:val="002350F1"/>
    <w:rsid w:val="00235D99"/>
    <w:rsid w:val="00236747"/>
    <w:rsid w:val="0025078B"/>
    <w:rsid w:val="00251E7E"/>
    <w:rsid w:val="00252362"/>
    <w:rsid w:val="00252A3B"/>
    <w:rsid w:val="00260757"/>
    <w:rsid w:val="00261420"/>
    <w:rsid w:val="00265F54"/>
    <w:rsid w:val="00266B55"/>
    <w:rsid w:val="00277A49"/>
    <w:rsid w:val="00281A76"/>
    <w:rsid w:val="002826A3"/>
    <w:rsid w:val="00283297"/>
    <w:rsid w:val="002852D0"/>
    <w:rsid w:val="00286B12"/>
    <w:rsid w:val="002878A7"/>
    <w:rsid w:val="002908CE"/>
    <w:rsid w:val="00290FC7"/>
    <w:rsid w:val="00292960"/>
    <w:rsid w:val="002933A0"/>
    <w:rsid w:val="002935BD"/>
    <w:rsid w:val="00295518"/>
    <w:rsid w:val="00295C0C"/>
    <w:rsid w:val="00295F07"/>
    <w:rsid w:val="00296316"/>
    <w:rsid w:val="002A3DBC"/>
    <w:rsid w:val="002A50D3"/>
    <w:rsid w:val="002C36E5"/>
    <w:rsid w:val="002C4DA6"/>
    <w:rsid w:val="002C57ED"/>
    <w:rsid w:val="002D1966"/>
    <w:rsid w:val="002D310B"/>
    <w:rsid w:val="002D4445"/>
    <w:rsid w:val="002D620D"/>
    <w:rsid w:val="002E2B96"/>
    <w:rsid w:val="002E3DA2"/>
    <w:rsid w:val="002E4DB9"/>
    <w:rsid w:val="002F0A9A"/>
    <w:rsid w:val="002F0DD6"/>
    <w:rsid w:val="002F0F5D"/>
    <w:rsid w:val="002F1260"/>
    <w:rsid w:val="002F3341"/>
    <w:rsid w:val="002F3D01"/>
    <w:rsid w:val="002F615D"/>
    <w:rsid w:val="002F793E"/>
    <w:rsid w:val="003009DF"/>
    <w:rsid w:val="003011C7"/>
    <w:rsid w:val="00303325"/>
    <w:rsid w:val="00304999"/>
    <w:rsid w:val="0031039C"/>
    <w:rsid w:val="00311119"/>
    <w:rsid w:val="00311314"/>
    <w:rsid w:val="00311A97"/>
    <w:rsid w:val="00311D0F"/>
    <w:rsid w:val="00313315"/>
    <w:rsid w:val="00314E93"/>
    <w:rsid w:val="00320F6F"/>
    <w:rsid w:val="00331A1D"/>
    <w:rsid w:val="00332958"/>
    <w:rsid w:val="00332D60"/>
    <w:rsid w:val="00334757"/>
    <w:rsid w:val="003348B9"/>
    <w:rsid w:val="003373D5"/>
    <w:rsid w:val="0034193B"/>
    <w:rsid w:val="00343165"/>
    <w:rsid w:val="00346720"/>
    <w:rsid w:val="00350552"/>
    <w:rsid w:val="00354DD5"/>
    <w:rsid w:val="00362549"/>
    <w:rsid w:val="00362B1B"/>
    <w:rsid w:val="00363377"/>
    <w:rsid w:val="00364DBE"/>
    <w:rsid w:val="0036538C"/>
    <w:rsid w:val="00367DB3"/>
    <w:rsid w:val="00370580"/>
    <w:rsid w:val="00373866"/>
    <w:rsid w:val="00374B78"/>
    <w:rsid w:val="00377D04"/>
    <w:rsid w:val="00377DEB"/>
    <w:rsid w:val="0038343C"/>
    <w:rsid w:val="00383885"/>
    <w:rsid w:val="0038752E"/>
    <w:rsid w:val="00391DB2"/>
    <w:rsid w:val="00392214"/>
    <w:rsid w:val="00393180"/>
    <w:rsid w:val="00396FBA"/>
    <w:rsid w:val="00397100"/>
    <w:rsid w:val="003979F0"/>
    <w:rsid w:val="003A13D6"/>
    <w:rsid w:val="003A1BCD"/>
    <w:rsid w:val="003A5502"/>
    <w:rsid w:val="003B46B3"/>
    <w:rsid w:val="003B61B3"/>
    <w:rsid w:val="003B6BA1"/>
    <w:rsid w:val="003B74F4"/>
    <w:rsid w:val="003C02DB"/>
    <w:rsid w:val="003C2646"/>
    <w:rsid w:val="003C4A54"/>
    <w:rsid w:val="003C4C20"/>
    <w:rsid w:val="003C5D5C"/>
    <w:rsid w:val="003C7B7E"/>
    <w:rsid w:val="003D11FF"/>
    <w:rsid w:val="003D2765"/>
    <w:rsid w:val="003D2EC2"/>
    <w:rsid w:val="003D338A"/>
    <w:rsid w:val="003D65B2"/>
    <w:rsid w:val="003D7B5B"/>
    <w:rsid w:val="003E075D"/>
    <w:rsid w:val="003E0A1B"/>
    <w:rsid w:val="003E5135"/>
    <w:rsid w:val="003E616D"/>
    <w:rsid w:val="003E68FD"/>
    <w:rsid w:val="003E6D49"/>
    <w:rsid w:val="003E72EC"/>
    <w:rsid w:val="003E7878"/>
    <w:rsid w:val="003F0902"/>
    <w:rsid w:val="003F166A"/>
    <w:rsid w:val="003F6FBB"/>
    <w:rsid w:val="003F7500"/>
    <w:rsid w:val="003F76E9"/>
    <w:rsid w:val="00400968"/>
    <w:rsid w:val="00400FFE"/>
    <w:rsid w:val="00402FB4"/>
    <w:rsid w:val="00404E66"/>
    <w:rsid w:val="00407190"/>
    <w:rsid w:val="0040799D"/>
    <w:rsid w:val="004103FC"/>
    <w:rsid w:val="0041208B"/>
    <w:rsid w:val="004131D1"/>
    <w:rsid w:val="0041651A"/>
    <w:rsid w:val="00417E78"/>
    <w:rsid w:val="0042154E"/>
    <w:rsid w:val="00425158"/>
    <w:rsid w:val="00425D8F"/>
    <w:rsid w:val="00430109"/>
    <w:rsid w:val="00432CC1"/>
    <w:rsid w:val="00433084"/>
    <w:rsid w:val="00434BAA"/>
    <w:rsid w:val="0043786B"/>
    <w:rsid w:val="004379E4"/>
    <w:rsid w:val="004461E0"/>
    <w:rsid w:val="00447C84"/>
    <w:rsid w:val="00450B62"/>
    <w:rsid w:val="004533D1"/>
    <w:rsid w:val="00454541"/>
    <w:rsid w:val="00454B7E"/>
    <w:rsid w:val="0046125E"/>
    <w:rsid w:val="00462EAB"/>
    <w:rsid w:val="0046493E"/>
    <w:rsid w:val="004651E5"/>
    <w:rsid w:val="00467C3A"/>
    <w:rsid w:val="00474CBC"/>
    <w:rsid w:val="00476F29"/>
    <w:rsid w:val="00477A3A"/>
    <w:rsid w:val="00481A84"/>
    <w:rsid w:val="0048254F"/>
    <w:rsid w:val="00483205"/>
    <w:rsid w:val="004847A4"/>
    <w:rsid w:val="0048501F"/>
    <w:rsid w:val="00492302"/>
    <w:rsid w:val="00493EF5"/>
    <w:rsid w:val="00494DF1"/>
    <w:rsid w:val="00495073"/>
    <w:rsid w:val="004A1413"/>
    <w:rsid w:val="004A25A5"/>
    <w:rsid w:val="004B1075"/>
    <w:rsid w:val="004B1AC1"/>
    <w:rsid w:val="004B2B00"/>
    <w:rsid w:val="004B2D8C"/>
    <w:rsid w:val="004B418D"/>
    <w:rsid w:val="004B6AC6"/>
    <w:rsid w:val="004B73FE"/>
    <w:rsid w:val="004B7934"/>
    <w:rsid w:val="004C0175"/>
    <w:rsid w:val="004C1020"/>
    <w:rsid w:val="004C10E3"/>
    <w:rsid w:val="004C179D"/>
    <w:rsid w:val="004C1A2C"/>
    <w:rsid w:val="004C1F1E"/>
    <w:rsid w:val="004C251C"/>
    <w:rsid w:val="004C45D5"/>
    <w:rsid w:val="004C7F59"/>
    <w:rsid w:val="004D287C"/>
    <w:rsid w:val="004E4FD3"/>
    <w:rsid w:val="004F29EF"/>
    <w:rsid w:val="004F4ABB"/>
    <w:rsid w:val="004F51DA"/>
    <w:rsid w:val="004F7A2D"/>
    <w:rsid w:val="00504D81"/>
    <w:rsid w:val="0050597F"/>
    <w:rsid w:val="00505AF5"/>
    <w:rsid w:val="0051056F"/>
    <w:rsid w:val="00511197"/>
    <w:rsid w:val="0051261B"/>
    <w:rsid w:val="00512C2D"/>
    <w:rsid w:val="005171B9"/>
    <w:rsid w:val="0052100B"/>
    <w:rsid w:val="00524DFF"/>
    <w:rsid w:val="00524FAC"/>
    <w:rsid w:val="00527B24"/>
    <w:rsid w:val="00527CED"/>
    <w:rsid w:val="00530D45"/>
    <w:rsid w:val="00533137"/>
    <w:rsid w:val="00540455"/>
    <w:rsid w:val="00544760"/>
    <w:rsid w:val="005453A9"/>
    <w:rsid w:val="00546347"/>
    <w:rsid w:val="0054704F"/>
    <w:rsid w:val="00547F79"/>
    <w:rsid w:val="00552150"/>
    <w:rsid w:val="005528D8"/>
    <w:rsid w:val="00553253"/>
    <w:rsid w:val="00556D0D"/>
    <w:rsid w:val="00556EF7"/>
    <w:rsid w:val="00557024"/>
    <w:rsid w:val="00557A58"/>
    <w:rsid w:val="00561BBE"/>
    <w:rsid w:val="005626C1"/>
    <w:rsid w:val="00562A1C"/>
    <w:rsid w:val="00563C09"/>
    <w:rsid w:val="005655A6"/>
    <w:rsid w:val="00566172"/>
    <w:rsid w:val="0057311B"/>
    <w:rsid w:val="005815B1"/>
    <w:rsid w:val="00582C55"/>
    <w:rsid w:val="005834CD"/>
    <w:rsid w:val="0058394C"/>
    <w:rsid w:val="00585C61"/>
    <w:rsid w:val="00593451"/>
    <w:rsid w:val="00594E49"/>
    <w:rsid w:val="005964EA"/>
    <w:rsid w:val="00596B74"/>
    <w:rsid w:val="00597D8C"/>
    <w:rsid w:val="005A0BE0"/>
    <w:rsid w:val="005A1ECD"/>
    <w:rsid w:val="005A754B"/>
    <w:rsid w:val="005B15C0"/>
    <w:rsid w:val="005B1943"/>
    <w:rsid w:val="005B1C1E"/>
    <w:rsid w:val="005B2D02"/>
    <w:rsid w:val="005B5C25"/>
    <w:rsid w:val="005C1125"/>
    <w:rsid w:val="005C12DB"/>
    <w:rsid w:val="005C2D30"/>
    <w:rsid w:val="005C5729"/>
    <w:rsid w:val="005C750E"/>
    <w:rsid w:val="005C783D"/>
    <w:rsid w:val="005D58A5"/>
    <w:rsid w:val="005D68DC"/>
    <w:rsid w:val="005D77A1"/>
    <w:rsid w:val="005E41EC"/>
    <w:rsid w:val="005E4EC3"/>
    <w:rsid w:val="005E59C6"/>
    <w:rsid w:val="005E6806"/>
    <w:rsid w:val="005E73FA"/>
    <w:rsid w:val="005F260B"/>
    <w:rsid w:val="005F661E"/>
    <w:rsid w:val="005F6816"/>
    <w:rsid w:val="0060028B"/>
    <w:rsid w:val="00600C88"/>
    <w:rsid w:val="00601F7E"/>
    <w:rsid w:val="00603360"/>
    <w:rsid w:val="00610058"/>
    <w:rsid w:val="00611092"/>
    <w:rsid w:val="0061300A"/>
    <w:rsid w:val="00620057"/>
    <w:rsid w:val="0062152B"/>
    <w:rsid w:val="00622530"/>
    <w:rsid w:val="006226D6"/>
    <w:rsid w:val="00623197"/>
    <w:rsid w:val="006251FD"/>
    <w:rsid w:val="00631E32"/>
    <w:rsid w:val="00632690"/>
    <w:rsid w:val="00632846"/>
    <w:rsid w:val="00633245"/>
    <w:rsid w:val="00637473"/>
    <w:rsid w:val="0064245C"/>
    <w:rsid w:val="0065043C"/>
    <w:rsid w:val="00653EB1"/>
    <w:rsid w:val="00656001"/>
    <w:rsid w:val="006629BC"/>
    <w:rsid w:val="00663EEA"/>
    <w:rsid w:val="006670DF"/>
    <w:rsid w:val="006676B3"/>
    <w:rsid w:val="00667D95"/>
    <w:rsid w:val="00670B19"/>
    <w:rsid w:val="006725BC"/>
    <w:rsid w:val="006729C2"/>
    <w:rsid w:val="00674186"/>
    <w:rsid w:val="0067492E"/>
    <w:rsid w:val="00681FF1"/>
    <w:rsid w:val="00683949"/>
    <w:rsid w:val="0069046D"/>
    <w:rsid w:val="0069787C"/>
    <w:rsid w:val="006A2D67"/>
    <w:rsid w:val="006A353E"/>
    <w:rsid w:val="006A36F1"/>
    <w:rsid w:val="006A3BFD"/>
    <w:rsid w:val="006A5819"/>
    <w:rsid w:val="006B0592"/>
    <w:rsid w:val="006B2681"/>
    <w:rsid w:val="006B4A2F"/>
    <w:rsid w:val="006B75B8"/>
    <w:rsid w:val="006C06D4"/>
    <w:rsid w:val="006C1667"/>
    <w:rsid w:val="006C1CAA"/>
    <w:rsid w:val="006D11F3"/>
    <w:rsid w:val="006D1E5A"/>
    <w:rsid w:val="006D4608"/>
    <w:rsid w:val="006D54BB"/>
    <w:rsid w:val="006D680C"/>
    <w:rsid w:val="006D6A00"/>
    <w:rsid w:val="006D6C2A"/>
    <w:rsid w:val="006E0EE3"/>
    <w:rsid w:val="006E5764"/>
    <w:rsid w:val="006E7FE4"/>
    <w:rsid w:val="006F4773"/>
    <w:rsid w:val="006F4E96"/>
    <w:rsid w:val="006F4EF9"/>
    <w:rsid w:val="006F5C26"/>
    <w:rsid w:val="007023C7"/>
    <w:rsid w:val="007067B8"/>
    <w:rsid w:val="00706863"/>
    <w:rsid w:val="00707677"/>
    <w:rsid w:val="007114DD"/>
    <w:rsid w:val="00713004"/>
    <w:rsid w:val="00715608"/>
    <w:rsid w:val="007177D8"/>
    <w:rsid w:val="00720CAE"/>
    <w:rsid w:val="007248E7"/>
    <w:rsid w:val="0072561F"/>
    <w:rsid w:val="0072624A"/>
    <w:rsid w:val="00731D38"/>
    <w:rsid w:val="0073296B"/>
    <w:rsid w:val="00732EF4"/>
    <w:rsid w:val="0073534C"/>
    <w:rsid w:val="00735768"/>
    <w:rsid w:val="00735891"/>
    <w:rsid w:val="00736D54"/>
    <w:rsid w:val="007376A6"/>
    <w:rsid w:val="00742E8B"/>
    <w:rsid w:val="00742F45"/>
    <w:rsid w:val="0074431E"/>
    <w:rsid w:val="00750D2E"/>
    <w:rsid w:val="0075165A"/>
    <w:rsid w:val="0075350E"/>
    <w:rsid w:val="007565D2"/>
    <w:rsid w:val="007574B8"/>
    <w:rsid w:val="00760E1F"/>
    <w:rsid w:val="00762798"/>
    <w:rsid w:val="007632AE"/>
    <w:rsid w:val="00763CDA"/>
    <w:rsid w:val="00763E6E"/>
    <w:rsid w:val="00763E8C"/>
    <w:rsid w:val="007640F3"/>
    <w:rsid w:val="00765C10"/>
    <w:rsid w:val="007668C3"/>
    <w:rsid w:val="007717C1"/>
    <w:rsid w:val="00773F54"/>
    <w:rsid w:val="00777748"/>
    <w:rsid w:val="00777F31"/>
    <w:rsid w:val="00780ECB"/>
    <w:rsid w:val="00781452"/>
    <w:rsid w:val="0079126A"/>
    <w:rsid w:val="007935AC"/>
    <w:rsid w:val="00794A54"/>
    <w:rsid w:val="00796E6D"/>
    <w:rsid w:val="007A2295"/>
    <w:rsid w:val="007A2532"/>
    <w:rsid w:val="007A53E4"/>
    <w:rsid w:val="007A76D9"/>
    <w:rsid w:val="007B16D8"/>
    <w:rsid w:val="007B26BD"/>
    <w:rsid w:val="007B406F"/>
    <w:rsid w:val="007B62AC"/>
    <w:rsid w:val="007B77CD"/>
    <w:rsid w:val="007C09D3"/>
    <w:rsid w:val="007C56D6"/>
    <w:rsid w:val="007C6FA7"/>
    <w:rsid w:val="007D07A8"/>
    <w:rsid w:val="007D4F1F"/>
    <w:rsid w:val="007D5080"/>
    <w:rsid w:val="007D6726"/>
    <w:rsid w:val="007D72B0"/>
    <w:rsid w:val="007D7A94"/>
    <w:rsid w:val="007E1FB0"/>
    <w:rsid w:val="007E663A"/>
    <w:rsid w:val="007E7081"/>
    <w:rsid w:val="007E78C6"/>
    <w:rsid w:val="007F3855"/>
    <w:rsid w:val="00800CE2"/>
    <w:rsid w:val="00802320"/>
    <w:rsid w:val="008026D4"/>
    <w:rsid w:val="00803969"/>
    <w:rsid w:val="00804840"/>
    <w:rsid w:val="00807A68"/>
    <w:rsid w:val="00813F80"/>
    <w:rsid w:val="008170F8"/>
    <w:rsid w:val="008173D9"/>
    <w:rsid w:val="0082122B"/>
    <w:rsid w:val="00822F45"/>
    <w:rsid w:val="00823781"/>
    <w:rsid w:val="00824A4F"/>
    <w:rsid w:val="0082606B"/>
    <w:rsid w:val="00833C9A"/>
    <w:rsid w:val="0083588A"/>
    <w:rsid w:val="00836A56"/>
    <w:rsid w:val="00840D48"/>
    <w:rsid w:val="008445CE"/>
    <w:rsid w:val="00855BEE"/>
    <w:rsid w:val="0085760B"/>
    <w:rsid w:val="008607AF"/>
    <w:rsid w:val="00864A22"/>
    <w:rsid w:val="008662BE"/>
    <w:rsid w:val="00867075"/>
    <w:rsid w:val="00870262"/>
    <w:rsid w:val="008717FF"/>
    <w:rsid w:val="00873907"/>
    <w:rsid w:val="008745B1"/>
    <w:rsid w:val="00874D68"/>
    <w:rsid w:val="00875812"/>
    <w:rsid w:val="0087795B"/>
    <w:rsid w:val="00877A5B"/>
    <w:rsid w:val="00881891"/>
    <w:rsid w:val="00881981"/>
    <w:rsid w:val="008837D3"/>
    <w:rsid w:val="00892308"/>
    <w:rsid w:val="008A080D"/>
    <w:rsid w:val="008A238E"/>
    <w:rsid w:val="008A2F56"/>
    <w:rsid w:val="008A3862"/>
    <w:rsid w:val="008A6E18"/>
    <w:rsid w:val="008B0A77"/>
    <w:rsid w:val="008B0B59"/>
    <w:rsid w:val="008B2294"/>
    <w:rsid w:val="008B2F2C"/>
    <w:rsid w:val="008B6FCC"/>
    <w:rsid w:val="008B7BFF"/>
    <w:rsid w:val="008C1DBC"/>
    <w:rsid w:val="008C4B98"/>
    <w:rsid w:val="008C5CCB"/>
    <w:rsid w:val="008D025B"/>
    <w:rsid w:val="008D047E"/>
    <w:rsid w:val="008D0D24"/>
    <w:rsid w:val="008D1D2B"/>
    <w:rsid w:val="008D22EF"/>
    <w:rsid w:val="008E0DE2"/>
    <w:rsid w:val="008E548E"/>
    <w:rsid w:val="008E5FA2"/>
    <w:rsid w:val="008F2024"/>
    <w:rsid w:val="008F53DB"/>
    <w:rsid w:val="0090171A"/>
    <w:rsid w:val="00902679"/>
    <w:rsid w:val="00902693"/>
    <w:rsid w:val="009041AA"/>
    <w:rsid w:val="009042AC"/>
    <w:rsid w:val="009106DA"/>
    <w:rsid w:val="00912025"/>
    <w:rsid w:val="00913986"/>
    <w:rsid w:val="009211AB"/>
    <w:rsid w:val="0093038F"/>
    <w:rsid w:val="00930D3F"/>
    <w:rsid w:val="00935B47"/>
    <w:rsid w:val="00937C92"/>
    <w:rsid w:val="00937FF3"/>
    <w:rsid w:val="00941EEE"/>
    <w:rsid w:val="00944196"/>
    <w:rsid w:val="00944F23"/>
    <w:rsid w:val="00945EF0"/>
    <w:rsid w:val="00946646"/>
    <w:rsid w:val="00950501"/>
    <w:rsid w:val="0095203F"/>
    <w:rsid w:val="00952046"/>
    <w:rsid w:val="009527F0"/>
    <w:rsid w:val="009544E8"/>
    <w:rsid w:val="00960851"/>
    <w:rsid w:val="00964D4A"/>
    <w:rsid w:val="009657C2"/>
    <w:rsid w:val="009659E7"/>
    <w:rsid w:val="0097134A"/>
    <w:rsid w:val="00972386"/>
    <w:rsid w:val="00973D8D"/>
    <w:rsid w:val="00973FC0"/>
    <w:rsid w:val="00974AC4"/>
    <w:rsid w:val="009754B6"/>
    <w:rsid w:val="00976CE6"/>
    <w:rsid w:val="009778E9"/>
    <w:rsid w:val="009824F5"/>
    <w:rsid w:val="00985975"/>
    <w:rsid w:val="00992AD7"/>
    <w:rsid w:val="00997E7A"/>
    <w:rsid w:val="009A0CB7"/>
    <w:rsid w:val="009A51E0"/>
    <w:rsid w:val="009B0014"/>
    <w:rsid w:val="009B0195"/>
    <w:rsid w:val="009B08B5"/>
    <w:rsid w:val="009B231F"/>
    <w:rsid w:val="009B5B53"/>
    <w:rsid w:val="009B6203"/>
    <w:rsid w:val="009C017E"/>
    <w:rsid w:val="009D0843"/>
    <w:rsid w:val="009D4E92"/>
    <w:rsid w:val="009D7F97"/>
    <w:rsid w:val="009E0A8C"/>
    <w:rsid w:val="009E1B8D"/>
    <w:rsid w:val="009E1C17"/>
    <w:rsid w:val="009F054F"/>
    <w:rsid w:val="009F5206"/>
    <w:rsid w:val="00A02BB8"/>
    <w:rsid w:val="00A10EFF"/>
    <w:rsid w:val="00A1189F"/>
    <w:rsid w:val="00A150B1"/>
    <w:rsid w:val="00A15B53"/>
    <w:rsid w:val="00A2108A"/>
    <w:rsid w:val="00A211FB"/>
    <w:rsid w:val="00A21834"/>
    <w:rsid w:val="00A22A32"/>
    <w:rsid w:val="00A24EBE"/>
    <w:rsid w:val="00A31840"/>
    <w:rsid w:val="00A31B86"/>
    <w:rsid w:val="00A33573"/>
    <w:rsid w:val="00A351D7"/>
    <w:rsid w:val="00A372C5"/>
    <w:rsid w:val="00A417BA"/>
    <w:rsid w:val="00A42C9D"/>
    <w:rsid w:val="00A44147"/>
    <w:rsid w:val="00A4670D"/>
    <w:rsid w:val="00A502B3"/>
    <w:rsid w:val="00A5281D"/>
    <w:rsid w:val="00A528A4"/>
    <w:rsid w:val="00A52BE2"/>
    <w:rsid w:val="00A5461D"/>
    <w:rsid w:val="00A62262"/>
    <w:rsid w:val="00A63028"/>
    <w:rsid w:val="00A65391"/>
    <w:rsid w:val="00A6671F"/>
    <w:rsid w:val="00A7135D"/>
    <w:rsid w:val="00A729B1"/>
    <w:rsid w:val="00A7636A"/>
    <w:rsid w:val="00A7778F"/>
    <w:rsid w:val="00A77B51"/>
    <w:rsid w:val="00A84898"/>
    <w:rsid w:val="00A8611B"/>
    <w:rsid w:val="00A900AA"/>
    <w:rsid w:val="00A923A3"/>
    <w:rsid w:val="00A9619F"/>
    <w:rsid w:val="00A97081"/>
    <w:rsid w:val="00AA0D90"/>
    <w:rsid w:val="00AA1CBE"/>
    <w:rsid w:val="00AA4ADB"/>
    <w:rsid w:val="00AA635C"/>
    <w:rsid w:val="00AA646D"/>
    <w:rsid w:val="00AB0245"/>
    <w:rsid w:val="00AB21E2"/>
    <w:rsid w:val="00AB22FA"/>
    <w:rsid w:val="00AB3764"/>
    <w:rsid w:val="00AC103E"/>
    <w:rsid w:val="00AC2589"/>
    <w:rsid w:val="00AC33FD"/>
    <w:rsid w:val="00AC4D98"/>
    <w:rsid w:val="00AC7467"/>
    <w:rsid w:val="00AD5A78"/>
    <w:rsid w:val="00AD710D"/>
    <w:rsid w:val="00AD79D9"/>
    <w:rsid w:val="00AE289F"/>
    <w:rsid w:val="00AE36DE"/>
    <w:rsid w:val="00AE44F9"/>
    <w:rsid w:val="00AE7C99"/>
    <w:rsid w:val="00AF1E1B"/>
    <w:rsid w:val="00AF3059"/>
    <w:rsid w:val="00AF343C"/>
    <w:rsid w:val="00B01621"/>
    <w:rsid w:val="00B029B9"/>
    <w:rsid w:val="00B045CE"/>
    <w:rsid w:val="00B11F5E"/>
    <w:rsid w:val="00B15535"/>
    <w:rsid w:val="00B16601"/>
    <w:rsid w:val="00B20FAD"/>
    <w:rsid w:val="00B222B1"/>
    <w:rsid w:val="00B230E5"/>
    <w:rsid w:val="00B242BC"/>
    <w:rsid w:val="00B24538"/>
    <w:rsid w:val="00B24D25"/>
    <w:rsid w:val="00B27DCA"/>
    <w:rsid w:val="00B358D9"/>
    <w:rsid w:val="00B36150"/>
    <w:rsid w:val="00B40D6B"/>
    <w:rsid w:val="00B41485"/>
    <w:rsid w:val="00B43795"/>
    <w:rsid w:val="00B441F4"/>
    <w:rsid w:val="00B44B80"/>
    <w:rsid w:val="00B45652"/>
    <w:rsid w:val="00B45D5B"/>
    <w:rsid w:val="00B47CD4"/>
    <w:rsid w:val="00B50984"/>
    <w:rsid w:val="00B537EE"/>
    <w:rsid w:val="00B54051"/>
    <w:rsid w:val="00B57180"/>
    <w:rsid w:val="00B57AD0"/>
    <w:rsid w:val="00B61463"/>
    <w:rsid w:val="00B62587"/>
    <w:rsid w:val="00B66078"/>
    <w:rsid w:val="00B6676C"/>
    <w:rsid w:val="00B722EE"/>
    <w:rsid w:val="00B74113"/>
    <w:rsid w:val="00B75E20"/>
    <w:rsid w:val="00B77D57"/>
    <w:rsid w:val="00B802C3"/>
    <w:rsid w:val="00B808D5"/>
    <w:rsid w:val="00B8163C"/>
    <w:rsid w:val="00B84A16"/>
    <w:rsid w:val="00B868EB"/>
    <w:rsid w:val="00B92330"/>
    <w:rsid w:val="00B9393D"/>
    <w:rsid w:val="00B948BD"/>
    <w:rsid w:val="00B96B9D"/>
    <w:rsid w:val="00B976CC"/>
    <w:rsid w:val="00BA0091"/>
    <w:rsid w:val="00BA4103"/>
    <w:rsid w:val="00BA7406"/>
    <w:rsid w:val="00BB2AC4"/>
    <w:rsid w:val="00BB3F97"/>
    <w:rsid w:val="00BB563D"/>
    <w:rsid w:val="00BB62A8"/>
    <w:rsid w:val="00BB66F3"/>
    <w:rsid w:val="00BC000C"/>
    <w:rsid w:val="00BC0BD3"/>
    <w:rsid w:val="00BC2CAC"/>
    <w:rsid w:val="00BC404C"/>
    <w:rsid w:val="00BC498E"/>
    <w:rsid w:val="00BD5855"/>
    <w:rsid w:val="00BE078F"/>
    <w:rsid w:val="00BE1125"/>
    <w:rsid w:val="00BE6C2F"/>
    <w:rsid w:val="00BF09F6"/>
    <w:rsid w:val="00BF3F17"/>
    <w:rsid w:val="00BF7410"/>
    <w:rsid w:val="00C00046"/>
    <w:rsid w:val="00C05BE3"/>
    <w:rsid w:val="00C11D3A"/>
    <w:rsid w:val="00C12931"/>
    <w:rsid w:val="00C13DBD"/>
    <w:rsid w:val="00C13F27"/>
    <w:rsid w:val="00C14C49"/>
    <w:rsid w:val="00C14DA3"/>
    <w:rsid w:val="00C17A3D"/>
    <w:rsid w:val="00C20B9E"/>
    <w:rsid w:val="00C23482"/>
    <w:rsid w:val="00C348B5"/>
    <w:rsid w:val="00C44264"/>
    <w:rsid w:val="00C45D4A"/>
    <w:rsid w:val="00C50984"/>
    <w:rsid w:val="00C51040"/>
    <w:rsid w:val="00C52DD0"/>
    <w:rsid w:val="00C55EED"/>
    <w:rsid w:val="00C65421"/>
    <w:rsid w:val="00C72237"/>
    <w:rsid w:val="00C74277"/>
    <w:rsid w:val="00C75649"/>
    <w:rsid w:val="00C769E3"/>
    <w:rsid w:val="00C7723E"/>
    <w:rsid w:val="00C77CDC"/>
    <w:rsid w:val="00C8377D"/>
    <w:rsid w:val="00C949C2"/>
    <w:rsid w:val="00C94AC0"/>
    <w:rsid w:val="00CA3C6C"/>
    <w:rsid w:val="00CB1315"/>
    <w:rsid w:val="00CB36B5"/>
    <w:rsid w:val="00CB3B24"/>
    <w:rsid w:val="00CB5AE7"/>
    <w:rsid w:val="00CB6008"/>
    <w:rsid w:val="00CB6BAB"/>
    <w:rsid w:val="00CB6F67"/>
    <w:rsid w:val="00CB72E7"/>
    <w:rsid w:val="00CC0E53"/>
    <w:rsid w:val="00CC3721"/>
    <w:rsid w:val="00CD0194"/>
    <w:rsid w:val="00CD4831"/>
    <w:rsid w:val="00CD5441"/>
    <w:rsid w:val="00CD67D8"/>
    <w:rsid w:val="00CD68D0"/>
    <w:rsid w:val="00CE0BE9"/>
    <w:rsid w:val="00CE4652"/>
    <w:rsid w:val="00CE5D0D"/>
    <w:rsid w:val="00CE73EC"/>
    <w:rsid w:val="00CF0718"/>
    <w:rsid w:val="00CF0A95"/>
    <w:rsid w:val="00CF314F"/>
    <w:rsid w:val="00CF4B86"/>
    <w:rsid w:val="00D01965"/>
    <w:rsid w:val="00D042D8"/>
    <w:rsid w:val="00D10DA7"/>
    <w:rsid w:val="00D11663"/>
    <w:rsid w:val="00D13A90"/>
    <w:rsid w:val="00D15A3A"/>
    <w:rsid w:val="00D177C6"/>
    <w:rsid w:val="00D17982"/>
    <w:rsid w:val="00D17BEA"/>
    <w:rsid w:val="00D2210E"/>
    <w:rsid w:val="00D257EF"/>
    <w:rsid w:val="00D35324"/>
    <w:rsid w:val="00D458BD"/>
    <w:rsid w:val="00D46563"/>
    <w:rsid w:val="00D47D46"/>
    <w:rsid w:val="00D5318C"/>
    <w:rsid w:val="00D55566"/>
    <w:rsid w:val="00D608CD"/>
    <w:rsid w:val="00D60994"/>
    <w:rsid w:val="00D635DE"/>
    <w:rsid w:val="00D63A95"/>
    <w:rsid w:val="00D63BFF"/>
    <w:rsid w:val="00D648AC"/>
    <w:rsid w:val="00D6503E"/>
    <w:rsid w:val="00D67425"/>
    <w:rsid w:val="00D700EA"/>
    <w:rsid w:val="00D727C1"/>
    <w:rsid w:val="00D72F7C"/>
    <w:rsid w:val="00D752E7"/>
    <w:rsid w:val="00D7609D"/>
    <w:rsid w:val="00D81DE1"/>
    <w:rsid w:val="00D84BBB"/>
    <w:rsid w:val="00D84EEA"/>
    <w:rsid w:val="00D85A5C"/>
    <w:rsid w:val="00D86A42"/>
    <w:rsid w:val="00D86C04"/>
    <w:rsid w:val="00D91989"/>
    <w:rsid w:val="00D93750"/>
    <w:rsid w:val="00D95AC8"/>
    <w:rsid w:val="00D95C16"/>
    <w:rsid w:val="00D9602A"/>
    <w:rsid w:val="00DA3034"/>
    <w:rsid w:val="00DA69A7"/>
    <w:rsid w:val="00DA6AD0"/>
    <w:rsid w:val="00DA716E"/>
    <w:rsid w:val="00DB125E"/>
    <w:rsid w:val="00DB47CB"/>
    <w:rsid w:val="00DB6317"/>
    <w:rsid w:val="00DB6E78"/>
    <w:rsid w:val="00DC339F"/>
    <w:rsid w:val="00DC5F91"/>
    <w:rsid w:val="00DC62E9"/>
    <w:rsid w:val="00DD03B6"/>
    <w:rsid w:val="00DD52A7"/>
    <w:rsid w:val="00DD6E7E"/>
    <w:rsid w:val="00DD7B56"/>
    <w:rsid w:val="00DE058E"/>
    <w:rsid w:val="00DE121A"/>
    <w:rsid w:val="00DE67EA"/>
    <w:rsid w:val="00DE7798"/>
    <w:rsid w:val="00DE7E1C"/>
    <w:rsid w:val="00DE7F48"/>
    <w:rsid w:val="00DF1BE2"/>
    <w:rsid w:val="00DF302D"/>
    <w:rsid w:val="00DF33FE"/>
    <w:rsid w:val="00DF5583"/>
    <w:rsid w:val="00DF5D98"/>
    <w:rsid w:val="00DF6090"/>
    <w:rsid w:val="00DF78F4"/>
    <w:rsid w:val="00E04C5C"/>
    <w:rsid w:val="00E07307"/>
    <w:rsid w:val="00E10A47"/>
    <w:rsid w:val="00E12D91"/>
    <w:rsid w:val="00E13306"/>
    <w:rsid w:val="00E13318"/>
    <w:rsid w:val="00E145FD"/>
    <w:rsid w:val="00E14A1D"/>
    <w:rsid w:val="00E15D6C"/>
    <w:rsid w:val="00E24868"/>
    <w:rsid w:val="00E26C86"/>
    <w:rsid w:val="00E3067C"/>
    <w:rsid w:val="00E30DBA"/>
    <w:rsid w:val="00E33166"/>
    <w:rsid w:val="00E33467"/>
    <w:rsid w:val="00E3388E"/>
    <w:rsid w:val="00E33F77"/>
    <w:rsid w:val="00E34271"/>
    <w:rsid w:val="00E34C83"/>
    <w:rsid w:val="00E36233"/>
    <w:rsid w:val="00E3704A"/>
    <w:rsid w:val="00E40D0F"/>
    <w:rsid w:val="00E420CE"/>
    <w:rsid w:val="00E44B2A"/>
    <w:rsid w:val="00E45C8D"/>
    <w:rsid w:val="00E575BD"/>
    <w:rsid w:val="00E718E7"/>
    <w:rsid w:val="00E71BF8"/>
    <w:rsid w:val="00E72E5C"/>
    <w:rsid w:val="00E736CF"/>
    <w:rsid w:val="00E75E8A"/>
    <w:rsid w:val="00E76699"/>
    <w:rsid w:val="00E83BFA"/>
    <w:rsid w:val="00E845AC"/>
    <w:rsid w:val="00E85734"/>
    <w:rsid w:val="00E85CE7"/>
    <w:rsid w:val="00E861F7"/>
    <w:rsid w:val="00E86B94"/>
    <w:rsid w:val="00E912D6"/>
    <w:rsid w:val="00E974C2"/>
    <w:rsid w:val="00EA64DA"/>
    <w:rsid w:val="00EB001F"/>
    <w:rsid w:val="00EB115B"/>
    <w:rsid w:val="00EB1C73"/>
    <w:rsid w:val="00EB39A7"/>
    <w:rsid w:val="00EB7784"/>
    <w:rsid w:val="00EC03A1"/>
    <w:rsid w:val="00EC25C2"/>
    <w:rsid w:val="00EC7B66"/>
    <w:rsid w:val="00ED60E2"/>
    <w:rsid w:val="00ED691F"/>
    <w:rsid w:val="00EE1CB0"/>
    <w:rsid w:val="00EE34A0"/>
    <w:rsid w:val="00EE5028"/>
    <w:rsid w:val="00EE664E"/>
    <w:rsid w:val="00EF0001"/>
    <w:rsid w:val="00EF0D08"/>
    <w:rsid w:val="00EF11CE"/>
    <w:rsid w:val="00EF2980"/>
    <w:rsid w:val="00EF3BF7"/>
    <w:rsid w:val="00EF3E15"/>
    <w:rsid w:val="00EF4779"/>
    <w:rsid w:val="00EF76BD"/>
    <w:rsid w:val="00F02A7B"/>
    <w:rsid w:val="00F034D1"/>
    <w:rsid w:val="00F07A9F"/>
    <w:rsid w:val="00F109BB"/>
    <w:rsid w:val="00F1164C"/>
    <w:rsid w:val="00F11FA4"/>
    <w:rsid w:val="00F1395D"/>
    <w:rsid w:val="00F13A2C"/>
    <w:rsid w:val="00F1546A"/>
    <w:rsid w:val="00F160D9"/>
    <w:rsid w:val="00F231EF"/>
    <w:rsid w:val="00F31BAC"/>
    <w:rsid w:val="00F32ECE"/>
    <w:rsid w:val="00F404B1"/>
    <w:rsid w:val="00F430BA"/>
    <w:rsid w:val="00F45D59"/>
    <w:rsid w:val="00F4732F"/>
    <w:rsid w:val="00F607D8"/>
    <w:rsid w:val="00F60F4F"/>
    <w:rsid w:val="00F6151D"/>
    <w:rsid w:val="00F61E58"/>
    <w:rsid w:val="00F634C9"/>
    <w:rsid w:val="00F63AC6"/>
    <w:rsid w:val="00F65CBE"/>
    <w:rsid w:val="00F6629B"/>
    <w:rsid w:val="00F709E1"/>
    <w:rsid w:val="00F715D9"/>
    <w:rsid w:val="00F73108"/>
    <w:rsid w:val="00F7733B"/>
    <w:rsid w:val="00F80443"/>
    <w:rsid w:val="00F80971"/>
    <w:rsid w:val="00F819DA"/>
    <w:rsid w:val="00F827A9"/>
    <w:rsid w:val="00F82D9D"/>
    <w:rsid w:val="00F84451"/>
    <w:rsid w:val="00F84AAA"/>
    <w:rsid w:val="00F90DAC"/>
    <w:rsid w:val="00F91E19"/>
    <w:rsid w:val="00F924FA"/>
    <w:rsid w:val="00FA05F6"/>
    <w:rsid w:val="00FA2C84"/>
    <w:rsid w:val="00FA2CC4"/>
    <w:rsid w:val="00FA3B29"/>
    <w:rsid w:val="00FA6D10"/>
    <w:rsid w:val="00FB0BD9"/>
    <w:rsid w:val="00FB43EE"/>
    <w:rsid w:val="00FC0279"/>
    <w:rsid w:val="00FC0F99"/>
    <w:rsid w:val="00FC109F"/>
    <w:rsid w:val="00FC1C94"/>
    <w:rsid w:val="00FC24B4"/>
    <w:rsid w:val="00FC32B2"/>
    <w:rsid w:val="00FC6815"/>
    <w:rsid w:val="00FD056E"/>
    <w:rsid w:val="00FD060C"/>
    <w:rsid w:val="00FD1A3E"/>
    <w:rsid w:val="00FD3510"/>
    <w:rsid w:val="00FE3B64"/>
    <w:rsid w:val="00FF1D16"/>
    <w:rsid w:val="00FF1E8B"/>
    <w:rsid w:val="00FF251B"/>
    <w:rsid w:val="00FF2991"/>
    <w:rsid w:val="00FF34B0"/>
    <w:rsid w:val="00FF3B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C2"/>
    <w:rPr>
      <w:sz w:val="24"/>
      <w:szCs w:val="24"/>
      <w:lang w:val="en-GB"/>
    </w:rPr>
  </w:style>
  <w:style w:type="paragraph" w:styleId="Heading1">
    <w:name w:val="heading 1"/>
    <w:basedOn w:val="Normal"/>
    <w:qFormat/>
    <w:rsid w:val="006729C2"/>
    <w:pPr>
      <w:keepNext/>
      <w:spacing w:before="240" w:after="60"/>
      <w:outlineLvl w:val="0"/>
    </w:pPr>
    <w:rPr>
      <w:rFonts w:ascii="Arial" w:hAnsi="Arial" w:cs="Arial"/>
      <w:b/>
      <w:bCs/>
      <w:kern w:val="32"/>
      <w:szCs w:val="32"/>
    </w:rPr>
  </w:style>
  <w:style w:type="paragraph" w:styleId="Heading2">
    <w:name w:val="heading 2"/>
    <w:basedOn w:val="Normal"/>
    <w:qFormat/>
    <w:rsid w:val="006729C2"/>
    <w:pPr>
      <w:keepNext/>
      <w:numPr>
        <w:ilvl w:val="1"/>
        <w:numId w:val="1"/>
      </w:numPr>
      <w:spacing w:before="240" w:after="60"/>
      <w:outlineLvl w:val="1"/>
    </w:pPr>
    <w:rPr>
      <w:rFonts w:ascii="Arial" w:hAnsi="Arial" w:cs="Arial"/>
      <w:b/>
      <w:bCs/>
      <w:iCs/>
      <w:sz w:val="20"/>
      <w:szCs w:val="28"/>
      <w:lang w:val="en-ZA"/>
    </w:rPr>
  </w:style>
  <w:style w:type="paragraph" w:styleId="Heading3">
    <w:name w:val="heading 3"/>
    <w:basedOn w:val="Normal"/>
    <w:next w:val="Normal"/>
    <w:qFormat/>
    <w:rsid w:val="006729C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729C2"/>
    <w:pPr>
      <w:keepNext/>
      <w:numPr>
        <w:ilvl w:val="3"/>
        <w:numId w:val="1"/>
      </w:numPr>
      <w:spacing w:before="240" w:after="60"/>
      <w:outlineLvl w:val="3"/>
    </w:pPr>
    <w:rPr>
      <w:b/>
      <w:bCs/>
      <w:sz w:val="28"/>
      <w:szCs w:val="28"/>
    </w:rPr>
  </w:style>
  <w:style w:type="paragraph" w:styleId="Heading5">
    <w:name w:val="heading 5"/>
    <w:basedOn w:val="Normal"/>
    <w:next w:val="Normal"/>
    <w:qFormat/>
    <w:rsid w:val="006729C2"/>
    <w:pPr>
      <w:numPr>
        <w:ilvl w:val="4"/>
        <w:numId w:val="1"/>
      </w:numPr>
      <w:spacing w:before="240" w:after="60"/>
      <w:outlineLvl w:val="4"/>
    </w:pPr>
    <w:rPr>
      <w:b/>
      <w:bCs/>
      <w:i/>
      <w:iCs/>
      <w:sz w:val="26"/>
      <w:szCs w:val="26"/>
    </w:rPr>
  </w:style>
  <w:style w:type="paragraph" w:styleId="Heading6">
    <w:name w:val="heading 6"/>
    <w:basedOn w:val="Normal"/>
    <w:next w:val="Normal"/>
    <w:qFormat/>
    <w:rsid w:val="006729C2"/>
    <w:pPr>
      <w:numPr>
        <w:ilvl w:val="5"/>
        <w:numId w:val="1"/>
      </w:numPr>
      <w:spacing w:before="240" w:after="60"/>
      <w:outlineLvl w:val="5"/>
    </w:pPr>
    <w:rPr>
      <w:b/>
      <w:bCs/>
      <w:sz w:val="22"/>
      <w:szCs w:val="22"/>
    </w:rPr>
  </w:style>
  <w:style w:type="paragraph" w:styleId="Heading7">
    <w:name w:val="heading 7"/>
    <w:basedOn w:val="Normal"/>
    <w:next w:val="Normal"/>
    <w:qFormat/>
    <w:rsid w:val="006729C2"/>
    <w:pPr>
      <w:numPr>
        <w:ilvl w:val="6"/>
        <w:numId w:val="1"/>
      </w:numPr>
      <w:spacing w:before="240" w:after="60"/>
      <w:outlineLvl w:val="6"/>
    </w:pPr>
  </w:style>
  <w:style w:type="paragraph" w:styleId="Heading8">
    <w:name w:val="heading 8"/>
    <w:basedOn w:val="Normal"/>
    <w:next w:val="Normal"/>
    <w:qFormat/>
    <w:rsid w:val="006729C2"/>
    <w:pPr>
      <w:numPr>
        <w:ilvl w:val="7"/>
        <w:numId w:val="1"/>
      </w:numPr>
      <w:spacing w:before="240" w:after="60"/>
      <w:outlineLvl w:val="7"/>
    </w:pPr>
    <w:rPr>
      <w:i/>
      <w:iCs/>
    </w:rPr>
  </w:style>
  <w:style w:type="paragraph" w:styleId="Heading9">
    <w:name w:val="heading 9"/>
    <w:basedOn w:val="Normal"/>
    <w:next w:val="Normal"/>
    <w:qFormat/>
    <w:rsid w:val="006729C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29C2"/>
    <w:pPr>
      <w:ind w:left="431"/>
      <w:jc w:val="both"/>
    </w:pPr>
    <w:rPr>
      <w:lang w:val="en-ZA"/>
    </w:rPr>
  </w:style>
  <w:style w:type="paragraph" w:styleId="BodyTextIndent2">
    <w:name w:val="Body Text Indent 2"/>
    <w:basedOn w:val="Normal"/>
    <w:rsid w:val="006729C2"/>
    <w:pPr>
      <w:ind w:left="431"/>
      <w:jc w:val="both"/>
    </w:pPr>
    <w:rPr>
      <w:rFonts w:ascii="Arial" w:hAnsi="Arial" w:cs="Arial"/>
      <w:sz w:val="20"/>
    </w:rPr>
  </w:style>
  <w:style w:type="paragraph" w:styleId="Header">
    <w:name w:val="header"/>
    <w:basedOn w:val="Normal"/>
    <w:rsid w:val="006729C2"/>
    <w:pPr>
      <w:tabs>
        <w:tab w:val="center" w:pos="4153"/>
        <w:tab w:val="right" w:pos="8306"/>
      </w:tabs>
    </w:pPr>
  </w:style>
  <w:style w:type="paragraph" w:styleId="Footer">
    <w:name w:val="footer"/>
    <w:basedOn w:val="Normal"/>
    <w:link w:val="FooterChar"/>
    <w:uiPriority w:val="99"/>
    <w:rsid w:val="006729C2"/>
    <w:pPr>
      <w:tabs>
        <w:tab w:val="center" w:pos="4153"/>
        <w:tab w:val="right" w:pos="8306"/>
      </w:tabs>
    </w:pPr>
  </w:style>
  <w:style w:type="character" w:styleId="PageNumber">
    <w:name w:val="page number"/>
    <w:basedOn w:val="DefaultParagraphFont"/>
    <w:rsid w:val="006729C2"/>
  </w:style>
  <w:style w:type="paragraph" w:styleId="BodyText">
    <w:name w:val="Body Text"/>
    <w:basedOn w:val="Normal"/>
    <w:rsid w:val="006729C2"/>
    <w:pPr>
      <w:jc w:val="both"/>
    </w:pPr>
    <w:rPr>
      <w:rFonts w:ascii="Arial" w:hAnsi="Arial" w:cs="Arial"/>
      <w:sz w:val="22"/>
      <w:szCs w:val="22"/>
      <w:lang w:val="en-ZA"/>
    </w:rPr>
  </w:style>
  <w:style w:type="paragraph" w:styleId="BalloonText">
    <w:name w:val="Balloon Text"/>
    <w:basedOn w:val="Normal"/>
    <w:semiHidden/>
    <w:rsid w:val="006729C2"/>
    <w:rPr>
      <w:rFonts w:ascii="Tahoma" w:hAnsi="Tahoma" w:cs="Tahoma"/>
      <w:sz w:val="16"/>
      <w:szCs w:val="16"/>
    </w:rPr>
  </w:style>
  <w:style w:type="paragraph" w:styleId="BodyTextIndent3">
    <w:name w:val="Body Text Indent 3"/>
    <w:basedOn w:val="Normal"/>
    <w:rsid w:val="006729C2"/>
    <w:pPr>
      <w:ind w:left="431"/>
      <w:jc w:val="both"/>
    </w:pPr>
    <w:rPr>
      <w:rFonts w:ascii="Arial" w:hAnsi="Arial" w:cs="Arial"/>
      <w:b/>
      <w:bCs/>
      <w:sz w:val="20"/>
      <w:szCs w:val="20"/>
      <w:lang w:val="en-ZA"/>
    </w:rPr>
  </w:style>
  <w:style w:type="paragraph" w:styleId="Subtitle">
    <w:name w:val="Subtitle"/>
    <w:basedOn w:val="Normal"/>
    <w:qFormat/>
    <w:rsid w:val="006F4EF9"/>
    <w:pPr>
      <w:jc w:val="center"/>
    </w:pPr>
    <w:rPr>
      <w:rFonts w:ascii="Arial" w:hAnsi="Arial"/>
      <w:b/>
      <w:szCs w:val="20"/>
    </w:rPr>
  </w:style>
  <w:style w:type="paragraph" w:styleId="ListParagraph">
    <w:name w:val="List Paragraph"/>
    <w:basedOn w:val="Normal"/>
    <w:uiPriority w:val="34"/>
    <w:qFormat/>
    <w:rsid w:val="00512C2D"/>
    <w:pPr>
      <w:ind w:left="720"/>
    </w:pPr>
  </w:style>
  <w:style w:type="paragraph" w:customStyle="1" w:styleId="Default">
    <w:name w:val="Default"/>
    <w:rsid w:val="00557024"/>
    <w:pPr>
      <w:widowControl w:val="0"/>
      <w:autoSpaceDE w:val="0"/>
      <w:autoSpaceDN w:val="0"/>
      <w:adjustRightInd w:val="0"/>
    </w:pPr>
    <w:rPr>
      <w:rFonts w:ascii="Times" w:hAnsi="Times" w:cs="Times"/>
      <w:color w:val="000000"/>
      <w:sz w:val="24"/>
      <w:szCs w:val="24"/>
    </w:rPr>
  </w:style>
  <w:style w:type="table" w:styleId="TableGrid">
    <w:name w:val="Table Grid"/>
    <w:basedOn w:val="TableNormal"/>
    <w:rsid w:val="00794A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gal1">
    <w:name w:val="Legal 1"/>
    <w:basedOn w:val="Normal"/>
    <w:rsid w:val="00D85A5C"/>
    <w:pPr>
      <w:widowControl w:val="0"/>
    </w:pPr>
    <w:rPr>
      <w:lang w:val="en-US" w:eastAsia="en-ZA"/>
    </w:rPr>
  </w:style>
  <w:style w:type="paragraph" w:styleId="FootnoteText">
    <w:name w:val="footnote text"/>
    <w:basedOn w:val="Normal"/>
    <w:link w:val="FootnoteTextChar"/>
    <w:rsid w:val="00D85A5C"/>
    <w:rPr>
      <w:rFonts w:ascii="Arial" w:hAnsi="Arial"/>
      <w:bCs/>
      <w:sz w:val="20"/>
      <w:szCs w:val="20"/>
      <w:lang w:val="en-ZA"/>
    </w:rPr>
  </w:style>
  <w:style w:type="character" w:customStyle="1" w:styleId="FootnoteTextChar">
    <w:name w:val="Footnote Text Char"/>
    <w:basedOn w:val="DefaultParagraphFont"/>
    <w:link w:val="FootnoteText"/>
    <w:rsid w:val="00D85A5C"/>
    <w:rPr>
      <w:rFonts w:ascii="Arial" w:hAnsi="Arial"/>
      <w:bCs/>
      <w:lang w:val="en-ZA"/>
    </w:rPr>
  </w:style>
  <w:style w:type="character" w:styleId="FootnoteReference">
    <w:name w:val="footnote reference"/>
    <w:basedOn w:val="DefaultParagraphFont"/>
    <w:rsid w:val="00D85A5C"/>
    <w:rPr>
      <w:vertAlign w:val="superscript"/>
    </w:rPr>
  </w:style>
  <w:style w:type="character" w:customStyle="1" w:styleId="FooterChar">
    <w:name w:val="Footer Char"/>
    <w:basedOn w:val="DefaultParagraphFont"/>
    <w:link w:val="Footer"/>
    <w:uiPriority w:val="99"/>
    <w:rsid w:val="00E26C86"/>
    <w:rPr>
      <w:sz w:val="24"/>
      <w:szCs w:val="24"/>
      <w:lang w:val="en-GB"/>
    </w:rPr>
  </w:style>
  <w:style w:type="character" w:styleId="CommentReference">
    <w:name w:val="annotation reference"/>
    <w:basedOn w:val="DefaultParagraphFont"/>
    <w:rsid w:val="0082122B"/>
    <w:rPr>
      <w:sz w:val="16"/>
      <w:szCs w:val="16"/>
    </w:rPr>
  </w:style>
  <w:style w:type="paragraph" w:styleId="CommentText">
    <w:name w:val="annotation text"/>
    <w:basedOn w:val="Normal"/>
    <w:link w:val="CommentTextChar"/>
    <w:rsid w:val="0082122B"/>
    <w:rPr>
      <w:sz w:val="20"/>
      <w:szCs w:val="20"/>
    </w:rPr>
  </w:style>
  <w:style w:type="character" w:customStyle="1" w:styleId="CommentTextChar">
    <w:name w:val="Comment Text Char"/>
    <w:basedOn w:val="DefaultParagraphFont"/>
    <w:link w:val="CommentText"/>
    <w:rsid w:val="0082122B"/>
    <w:rPr>
      <w:lang w:val="en-GB"/>
    </w:rPr>
  </w:style>
  <w:style w:type="paragraph" w:styleId="CommentSubject">
    <w:name w:val="annotation subject"/>
    <w:basedOn w:val="CommentText"/>
    <w:next w:val="CommentText"/>
    <w:link w:val="CommentSubjectChar"/>
    <w:rsid w:val="0082122B"/>
    <w:rPr>
      <w:b/>
      <w:bCs/>
    </w:rPr>
  </w:style>
  <w:style w:type="character" w:customStyle="1" w:styleId="CommentSubjectChar">
    <w:name w:val="Comment Subject Char"/>
    <w:basedOn w:val="CommentTextChar"/>
    <w:link w:val="CommentSubject"/>
    <w:rsid w:val="0082122B"/>
    <w:rPr>
      <w:b/>
      <w:bCs/>
      <w:lang w:val="en-GB"/>
    </w:rPr>
  </w:style>
  <w:style w:type="character" w:customStyle="1" w:styleId="BodyTextIndentChar">
    <w:name w:val="Body Text Indent Char"/>
    <w:basedOn w:val="DefaultParagraphFont"/>
    <w:link w:val="BodyTextIndent"/>
    <w:rsid w:val="006E7FE4"/>
    <w:rPr>
      <w:sz w:val="24"/>
      <w:szCs w:val="24"/>
      <w:lang w:val="en-ZA"/>
    </w:rPr>
  </w:style>
  <w:style w:type="character" w:styleId="Emphasis">
    <w:name w:val="Emphasis"/>
    <w:basedOn w:val="DefaultParagraphFont"/>
    <w:uiPriority w:val="20"/>
    <w:qFormat/>
    <w:rsid w:val="00DD7B56"/>
    <w:rPr>
      <w:b/>
      <w:bCs/>
      <w:i w:val="0"/>
      <w:iCs w:val="0"/>
    </w:rPr>
  </w:style>
  <w:style w:type="character" w:customStyle="1" w:styleId="st1">
    <w:name w:val="st1"/>
    <w:basedOn w:val="DefaultParagraphFont"/>
    <w:rsid w:val="00DD7B56"/>
  </w:style>
</w:styles>
</file>

<file path=word/webSettings.xml><?xml version="1.0" encoding="utf-8"?>
<w:webSettings xmlns:r="http://schemas.openxmlformats.org/officeDocument/2006/relationships" xmlns:w="http://schemas.openxmlformats.org/wordprocessingml/2006/main">
  <w:divs>
    <w:div w:id="60325386">
      <w:bodyDiv w:val="1"/>
      <w:marLeft w:val="0"/>
      <w:marRight w:val="0"/>
      <w:marTop w:val="0"/>
      <w:marBottom w:val="0"/>
      <w:divBdr>
        <w:top w:val="none" w:sz="0" w:space="0" w:color="auto"/>
        <w:left w:val="none" w:sz="0" w:space="0" w:color="auto"/>
        <w:bottom w:val="none" w:sz="0" w:space="0" w:color="auto"/>
        <w:right w:val="none" w:sz="0" w:space="0" w:color="auto"/>
      </w:divBdr>
      <w:divsChild>
        <w:div w:id="192768378">
          <w:marLeft w:val="547"/>
          <w:marRight w:val="0"/>
          <w:marTop w:val="86"/>
          <w:marBottom w:val="0"/>
          <w:divBdr>
            <w:top w:val="none" w:sz="0" w:space="0" w:color="auto"/>
            <w:left w:val="none" w:sz="0" w:space="0" w:color="auto"/>
            <w:bottom w:val="none" w:sz="0" w:space="0" w:color="auto"/>
            <w:right w:val="none" w:sz="0" w:space="0" w:color="auto"/>
          </w:divBdr>
        </w:div>
        <w:div w:id="946349522">
          <w:marLeft w:val="547"/>
          <w:marRight w:val="0"/>
          <w:marTop w:val="86"/>
          <w:marBottom w:val="0"/>
          <w:divBdr>
            <w:top w:val="none" w:sz="0" w:space="0" w:color="auto"/>
            <w:left w:val="none" w:sz="0" w:space="0" w:color="auto"/>
            <w:bottom w:val="none" w:sz="0" w:space="0" w:color="auto"/>
            <w:right w:val="none" w:sz="0" w:space="0" w:color="auto"/>
          </w:divBdr>
        </w:div>
        <w:div w:id="1424646731">
          <w:marLeft w:val="547"/>
          <w:marRight w:val="0"/>
          <w:marTop w:val="86"/>
          <w:marBottom w:val="0"/>
          <w:divBdr>
            <w:top w:val="none" w:sz="0" w:space="0" w:color="auto"/>
            <w:left w:val="none" w:sz="0" w:space="0" w:color="auto"/>
            <w:bottom w:val="none" w:sz="0" w:space="0" w:color="auto"/>
            <w:right w:val="none" w:sz="0" w:space="0" w:color="auto"/>
          </w:divBdr>
        </w:div>
        <w:div w:id="1494905289">
          <w:marLeft w:val="1166"/>
          <w:marRight w:val="0"/>
          <w:marTop w:val="77"/>
          <w:marBottom w:val="0"/>
          <w:divBdr>
            <w:top w:val="none" w:sz="0" w:space="0" w:color="auto"/>
            <w:left w:val="none" w:sz="0" w:space="0" w:color="auto"/>
            <w:bottom w:val="none" w:sz="0" w:space="0" w:color="auto"/>
            <w:right w:val="none" w:sz="0" w:space="0" w:color="auto"/>
          </w:divBdr>
        </w:div>
        <w:div w:id="664404378">
          <w:marLeft w:val="1166"/>
          <w:marRight w:val="0"/>
          <w:marTop w:val="77"/>
          <w:marBottom w:val="0"/>
          <w:divBdr>
            <w:top w:val="none" w:sz="0" w:space="0" w:color="auto"/>
            <w:left w:val="none" w:sz="0" w:space="0" w:color="auto"/>
            <w:bottom w:val="none" w:sz="0" w:space="0" w:color="auto"/>
            <w:right w:val="none" w:sz="0" w:space="0" w:color="auto"/>
          </w:divBdr>
        </w:div>
      </w:divsChild>
    </w:div>
    <w:div w:id="148863082">
      <w:bodyDiv w:val="1"/>
      <w:marLeft w:val="0"/>
      <w:marRight w:val="0"/>
      <w:marTop w:val="0"/>
      <w:marBottom w:val="0"/>
      <w:divBdr>
        <w:top w:val="none" w:sz="0" w:space="0" w:color="auto"/>
        <w:left w:val="none" w:sz="0" w:space="0" w:color="auto"/>
        <w:bottom w:val="none" w:sz="0" w:space="0" w:color="auto"/>
        <w:right w:val="none" w:sz="0" w:space="0" w:color="auto"/>
      </w:divBdr>
      <w:divsChild>
        <w:div w:id="1137406864">
          <w:marLeft w:val="446"/>
          <w:marRight w:val="0"/>
          <w:marTop w:val="86"/>
          <w:marBottom w:val="0"/>
          <w:divBdr>
            <w:top w:val="none" w:sz="0" w:space="0" w:color="auto"/>
            <w:left w:val="none" w:sz="0" w:space="0" w:color="auto"/>
            <w:bottom w:val="none" w:sz="0" w:space="0" w:color="auto"/>
            <w:right w:val="none" w:sz="0" w:space="0" w:color="auto"/>
          </w:divBdr>
        </w:div>
        <w:div w:id="1943413431">
          <w:marLeft w:val="1166"/>
          <w:marRight w:val="0"/>
          <w:marTop w:val="77"/>
          <w:marBottom w:val="0"/>
          <w:divBdr>
            <w:top w:val="none" w:sz="0" w:space="0" w:color="auto"/>
            <w:left w:val="none" w:sz="0" w:space="0" w:color="auto"/>
            <w:bottom w:val="none" w:sz="0" w:space="0" w:color="auto"/>
            <w:right w:val="none" w:sz="0" w:space="0" w:color="auto"/>
          </w:divBdr>
        </w:div>
        <w:div w:id="79764737">
          <w:marLeft w:val="1166"/>
          <w:marRight w:val="0"/>
          <w:marTop w:val="77"/>
          <w:marBottom w:val="0"/>
          <w:divBdr>
            <w:top w:val="none" w:sz="0" w:space="0" w:color="auto"/>
            <w:left w:val="none" w:sz="0" w:space="0" w:color="auto"/>
            <w:bottom w:val="none" w:sz="0" w:space="0" w:color="auto"/>
            <w:right w:val="none" w:sz="0" w:space="0" w:color="auto"/>
          </w:divBdr>
        </w:div>
        <w:div w:id="47923792">
          <w:marLeft w:val="1166"/>
          <w:marRight w:val="0"/>
          <w:marTop w:val="77"/>
          <w:marBottom w:val="0"/>
          <w:divBdr>
            <w:top w:val="none" w:sz="0" w:space="0" w:color="auto"/>
            <w:left w:val="none" w:sz="0" w:space="0" w:color="auto"/>
            <w:bottom w:val="none" w:sz="0" w:space="0" w:color="auto"/>
            <w:right w:val="none" w:sz="0" w:space="0" w:color="auto"/>
          </w:divBdr>
        </w:div>
      </w:divsChild>
    </w:div>
    <w:div w:id="306397221">
      <w:bodyDiv w:val="1"/>
      <w:marLeft w:val="0"/>
      <w:marRight w:val="0"/>
      <w:marTop w:val="0"/>
      <w:marBottom w:val="0"/>
      <w:divBdr>
        <w:top w:val="none" w:sz="0" w:space="0" w:color="auto"/>
        <w:left w:val="none" w:sz="0" w:space="0" w:color="auto"/>
        <w:bottom w:val="none" w:sz="0" w:space="0" w:color="auto"/>
        <w:right w:val="none" w:sz="0" w:space="0" w:color="auto"/>
      </w:divBdr>
    </w:div>
    <w:div w:id="671614838">
      <w:bodyDiv w:val="1"/>
      <w:marLeft w:val="0"/>
      <w:marRight w:val="0"/>
      <w:marTop w:val="0"/>
      <w:marBottom w:val="0"/>
      <w:divBdr>
        <w:top w:val="none" w:sz="0" w:space="0" w:color="auto"/>
        <w:left w:val="none" w:sz="0" w:space="0" w:color="auto"/>
        <w:bottom w:val="none" w:sz="0" w:space="0" w:color="auto"/>
        <w:right w:val="none" w:sz="0" w:space="0" w:color="auto"/>
      </w:divBdr>
    </w:div>
    <w:div w:id="735469173">
      <w:bodyDiv w:val="1"/>
      <w:marLeft w:val="0"/>
      <w:marRight w:val="0"/>
      <w:marTop w:val="0"/>
      <w:marBottom w:val="0"/>
      <w:divBdr>
        <w:top w:val="none" w:sz="0" w:space="0" w:color="auto"/>
        <w:left w:val="none" w:sz="0" w:space="0" w:color="auto"/>
        <w:bottom w:val="none" w:sz="0" w:space="0" w:color="auto"/>
        <w:right w:val="none" w:sz="0" w:space="0" w:color="auto"/>
      </w:divBdr>
      <w:divsChild>
        <w:div w:id="1546525469">
          <w:marLeft w:val="547"/>
          <w:marRight w:val="0"/>
          <w:marTop w:val="0"/>
          <w:marBottom w:val="0"/>
          <w:divBdr>
            <w:top w:val="none" w:sz="0" w:space="0" w:color="auto"/>
            <w:left w:val="none" w:sz="0" w:space="0" w:color="auto"/>
            <w:bottom w:val="none" w:sz="0" w:space="0" w:color="auto"/>
            <w:right w:val="none" w:sz="0" w:space="0" w:color="auto"/>
          </w:divBdr>
        </w:div>
        <w:div w:id="659624532">
          <w:marLeft w:val="547"/>
          <w:marRight w:val="0"/>
          <w:marTop w:val="0"/>
          <w:marBottom w:val="0"/>
          <w:divBdr>
            <w:top w:val="none" w:sz="0" w:space="0" w:color="auto"/>
            <w:left w:val="none" w:sz="0" w:space="0" w:color="auto"/>
            <w:bottom w:val="none" w:sz="0" w:space="0" w:color="auto"/>
            <w:right w:val="none" w:sz="0" w:space="0" w:color="auto"/>
          </w:divBdr>
        </w:div>
      </w:divsChild>
    </w:div>
    <w:div w:id="757747070">
      <w:bodyDiv w:val="1"/>
      <w:marLeft w:val="0"/>
      <w:marRight w:val="0"/>
      <w:marTop w:val="0"/>
      <w:marBottom w:val="0"/>
      <w:divBdr>
        <w:top w:val="none" w:sz="0" w:space="0" w:color="auto"/>
        <w:left w:val="none" w:sz="0" w:space="0" w:color="auto"/>
        <w:bottom w:val="none" w:sz="0" w:space="0" w:color="auto"/>
        <w:right w:val="none" w:sz="0" w:space="0" w:color="auto"/>
      </w:divBdr>
      <w:divsChild>
        <w:div w:id="1962883124">
          <w:marLeft w:val="0"/>
          <w:marRight w:val="0"/>
          <w:marTop w:val="0"/>
          <w:marBottom w:val="0"/>
          <w:divBdr>
            <w:top w:val="none" w:sz="0" w:space="0" w:color="auto"/>
            <w:left w:val="none" w:sz="0" w:space="0" w:color="auto"/>
            <w:bottom w:val="none" w:sz="0" w:space="0" w:color="auto"/>
            <w:right w:val="none" w:sz="0" w:space="0" w:color="auto"/>
          </w:divBdr>
        </w:div>
      </w:divsChild>
    </w:div>
    <w:div w:id="759645103">
      <w:bodyDiv w:val="1"/>
      <w:marLeft w:val="0"/>
      <w:marRight w:val="0"/>
      <w:marTop w:val="0"/>
      <w:marBottom w:val="0"/>
      <w:divBdr>
        <w:top w:val="none" w:sz="0" w:space="0" w:color="auto"/>
        <w:left w:val="none" w:sz="0" w:space="0" w:color="auto"/>
        <w:bottom w:val="none" w:sz="0" w:space="0" w:color="auto"/>
        <w:right w:val="none" w:sz="0" w:space="0" w:color="auto"/>
      </w:divBdr>
    </w:div>
    <w:div w:id="820776577">
      <w:bodyDiv w:val="1"/>
      <w:marLeft w:val="0"/>
      <w:marRight w:val="0"/>
      <w:marTop w:val="0"/>
      <w:marBottom w:val="0"/>
      <w:divBdr>
        <w:top w:val="none" w:sz="0" w:space="0" w:color="auto"/>
        <w:left w:val="none" w:sz="0" w:space="0" w:color="auto"/>
        <w:bottom w:val="none" w:sz="0" w:space="0" w:color="auto"/>
        <w:right w:val="none" w:sz="0" w:space="0" w:color="auto"/>
      </w:divBdr>
      <w:divsChild>
        <w:div w:id="196238922">
          <w:marLeft w:val="1166"/>
          <w:marRight w:val="0"/>
          <w:marTop w:val="86"/>
          <w:marBottom w:val="0"/>
          <w:divBdr>
            <w:top w:val="none" w:sz="0" w:space="0" w:color="auto"/>
            <w:left w:val="none" w:sz="0" w:space="0" w:color="auto"/>
            <w:bottom w:val="none" w:sz="0" w:space="0" w:color="auto"/>
            <w:right w:val="none" w:sz="0" w:space="0" w:color="auto"/>
          </w:divBdr>
        </w:div>
        <w:div w:id="174809087">
          <w:marLeft w:val="1166"/>
          <w:marRight w:val="0"/>
          <w:marTop w:val="86"/>
          <w:marBottom w:val="0"/>
          <w:divBdr>
            <w:top w:val="none" w:sz="0" w:space="0" w:color="auto"/>
            <w:left w:val="none" w:sz="0" w:space="0" w:color="auto"/>
            <w:bottom w:val="none" w:sz="0" w:space="0" w:color="auto"/>
            <w:right w:val="none" w:sz="0" w:space="0" w:color="auto"/>
          </w:divBdr>
        </w:div>
        <w:div w:id="784425729">
          <w:marLeft w:val="1166"/>
          <w:marRight w:val="0"/>
          <w:marTop w:val="86"/>
          <w:marBottom w:val="0"/>
          <w:divBdr>
            <w:top w:val="none" w:sz="0" w:space="0" w:color="auto"/>
            <w:left w:val="none" w:sz="0" w:space="0" w:color="auto"/>
            <w:bottom w:val="none" w:sz="0" w:space="0" w:color="auto"/>
            <w:right w:val="none" w:sz="0" w:space="0" w:color="auto"/>
          </w:divBdr>
        </w:div>
      </w:divsChild>
    </w:div>
    <w:div w:id="856850059">
      <w:bodyDiv w:val="1"/>
      <w:marLeft w:val="0"/>
      <w:marRight w:val="0"/>
      <w:marTop w:val="0"/>
      <w:marBottom w:val="0"/>
      <w:divBdr>
        <w:top w:val="none" w:sz="0" w:space="0" w:color="auto"/>
        <w:left w:val="none" w:sz="0" w:space="0" w:color="auto"/>
        <w:bottom w:val="none" w:sz="0" w:space="0" w:color="auto"/>
        <w:right w:val="none" w:sz="0" w:space="0" w:color="auto"/>
      </w:divBdr>
    </w:div>
    <w:div w:id="879785474">
      <w:bodyDiv w:val="1"/>
      <w:marLeft w:val="0"/>
      <w:marRight w:val="0"/>
      <w:marTop w:val="0"/>
      <w:marBottom w:val="0"/>
      <w:divBdr>
        <w:top w:val="none" w:sz="0" w:space="0" w:color="auto"/>
        <w:left w:val="none" w:sz="0" w:space="0" w:color="auto"/>
        <w:bottom w:val="none" w:sz="0" w:space="0" w:color="auto"/>
        <w:right w:val="none" w:sz="0" w:space="0" w:color="auto"/>
      </w:divBdr>
      <w:divsChild>
        <w:div w:id="1665817054">
          <w:marLeft w:val="0"/>
          <w:marRight w:val="0"/>
          <w:marTop w:val="0"/>
          <w:marBottom w:val="0"/>
          <w:divBdr>
            <w:top w:val="none" w:sz="0" w:space="0" w:color="auto"/>
            <w:left w:val="none" w:sz="0" w:space="0" w:color="auto"/>
            <w:bottom w:val="none" w:sz="0" w:space="0" w:color="auto"/>
            <w:right w:val="none" w:sz="0" w:space="0" w:color="auto"/>
          </w:divBdr>
          <w:divsChild>
            <w:div w:id="6875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819">
      <w:bodyDiv w:val="1"/>
      <w:marLeft w:val="0"/>
      <w:marRight w:val="0"/>
      <w:marTop w:val="0"/>
      <w:marBottom w:val="0"/>
      <w:divBdr>
        <w:top w:val="none" w:sz="0" w:space="0" w:color="auto"/>
        <w:left w:val="none" w:sz="0" w:space="0" w:color="auto"/>
        <w:bottom w:val="none" w:sz="0" w:space="0" w:color="auto"/>
        <w:right w:val="none" w:sz="0" w:space="0" w:color="auto"/>
      </w:divBdr>
      <w:divsChild>
        <w:div w:id="620575930">
          <w:marLeft w:val="1166"/>
          <w:marRight w:val="0"/>
          <w:marTop w:val="77"/>
          <w:marBottom w:val="0"/>
          <w:divBdr>
            <w:top w:val="none" w:sz="0" w:space="0" w:color="auto"/>
            <w:left w:val="none" w:sz="0" w:space="0" w:color="auto"/>
            <w:bottom w:val="none" w:sz="0" w:space="0" w:color="auto"/>
            <w:right w:val="none" w:sz="0" w:space="0" w:color="auto"/>
          </w:divBdr>
        </w:div>
        <w:div w:id="1668822925">
          <w:marLeft w:val="1166"/>
          <w:marRight w:val="0"/>
          <w:marTop w:val="77"/>
          <w:marBottom w:val="0"/>
          <w:divBdr>
            <w:top w:val="none" w:sz="0" w:space="0" w:color="auto"/>
            <w:left w:val="none" w:sz="0" w:space="0" w:color="auto"/>
            <w:bottom w:val="none" w:sz="0" w:space="0" w:color="auto"/>
            <w:right w:val="none" w:sz="0" w:space="0" w:color="auto"/>
          </w:divBdr>
        </w:div>
        <w:div w:id="439497489">
          <w:marLeft w:val="1166"/>
          <w:marRight w:val="0"/>
          <w:marTop w:val="77"/>
          <w:marBottom w:val="0"/>
          <w:divBdr>
            <w:top w:val="none" w:sz="0" w:space="0" w:color="auto"/>
            <w:left w:val="none" w:sz="0" w:space="0" w:color="auto"/>
            <w:bottom w:val="none" w:sz="0" w:space="0" w:color="auto"/>
            <w:right w:val="none" w:sz="0" w:space="0" w:color="auto"/>
          </w:divBdr>
        </w:div>
      </w:divsChild>
    </w:div>
    <w:div w:id="928197507">
      <w:bodyDiv w:val="1"/>
      <w:marLeft w:val="0"/>
      <w:marRight w:val="0"/>
      <w:marTop w:val="0"/>
      <w:marBottom w:val="0"/>
      <w:divBdr>
        <w:top w:val="none" w:sz="0" w:space="0" w:color="auto"/>
        <w:left w:val="none" w:sz="0" w:space="0" w:color="auto"/>
        <w:bottom w:val="none" w:sz="0" w:space="0" w:color="auto"/>
        <w:right w:val="none" w:sz="0" w:space="0" w:color="auto"/>
      </w:divBdr>
      <w:divsChild>
        <w:div w:id="1800805403">
          <w:marLeft w:val="0"/>
          <w:marRight w:val="0"/>
          <w:marTop w:val="0"/>
          <w:marBottom w:val="0"/>
          <w:divBdr>
            <w:top w:val="none" w:sz="0" w:space="0" w:color="auto"/>
            <w:left w:val="none" w:sz="0" w:space="0" w:color="auto"/>
            <w:bottom w:val="none" w:sz="0" w:space="0" w:color="auto"/>
            <w:right w:val="none" w:sz="0" w:space="0" w:color="auto"/>
          </w:divBdr>
        </w:div>
      </w:divsChild>
    </w:div>
    <w:div w:id="965351846">
      <w:bodyDiv w:val="1"/>
      <w:marLeft w:val="0"/>
      <w:marRight w:val="0"/>
      <w:marTop w:val="0"/>
      <w:marBottom w:val="0"/>
      <w:divBdr>
        <w:top w:val="none" w:sz="0" w:space="0" w:color="auto"/>
        <w:left w:val="none" w:sz="0" w:space="0" w:color="auto"/>
        <w:bottom w:val="none" w:sz="0" w:space="0" w:color="auto"/>
        <w:right w:val="none" w:sz="0" w:space="0" w:color="auto"/>
      </w:divBdr>
      <w:divsChild>
        <w:div w:id="1265459974">
          <w:marLeft w:val="1166"/>
          <w:marRight w:val="0"/>
          <w:marTop w:val="77"/>
          <w:marBottom w:val="0"/>
          <w:divBdr>
            <w:top w:val="none" w:sz="0" w:space="0" w:color="auto"/>
            <w:left w:val="none" w:sz="0" w:space="0" w:color="auto"/>
            <w:bottom w:val="none" w:sz="0" w:space="0" w:color="auto"/>
            <w:right w:val="none" w:sz="0" w:space="0" w:color="auto"/>
          </w:divBdr>
        </w:div>
        <w:div w:id="967784687">
          <w:marLeft w:val="1166"/>
          <w:marRight w:val="0"/>
          <w:marTop w:val="77"/>
          <w:marBottom w:val="0"/>
          <w:divBdr>
            <w:top w:val="none" w:sz="0" w:space="0" w:color="auto"/>
            <w:left w:val="none" w:sz="0" w:space="0" w:color="auto"/>
            <w:bottom w:val="none" w:sz="0" w:space="0" w:color="auto"/>
            <w:right w:val="none" w:sz="0" w:space="0" w:color="auto"/>
          </w:divBdr>
        </w:div>
        <w:div w:id="917057400">
          <w:marLeft w:val="1166"/>
          <w:marRight w:val="0"/>
          <w:marTop w:val="77"/>
          <w:marBottom w:val="0"/>
          <w:divBdr>
            <w:top w:val="none" w:sz="0" w:space="0" w:color="auto"/>
            <w:left w:val="none" w:sz="0" w:space="0" w:color="auto"/>
            <w:bottom w:val="none" w:sz="0" w:space="0" w:color="auto"/>
            <w:right w:val="none" w:sz="0" w:space="0" w:color="auto"/>
          </w:divBdr>
        </w:div>
        <w:div w:id="403067371">
          <w:marLeft w:val="1166"/>
          <w:marRight w:val="0"/>
          <w:marTop w:val="77"/>
          <w:marBottom w:val="0"/>
          <w:divBdr>
            <w:top w:val="none" w:sz="0" w:space="0" w:color="auto"/>
            <w:left w:val="none" w:sz="0" w:space="0" w:color="auto"/>
            <w:bottom w:val="none" w:sz="0" w:space="0" w:color="auto"/>
            <w:right w:val="none" w:sz="0" w:space="0" w:color="auto"/>
          </w:divBdr>
        </w:div>
        <w:div w:id="974410819">
          <w:marLeft w:val="1166"/>
          <w:marRight w:val="0"/>
          <w:marTop w:val="77"/>
          <w:marBottom w:val="0"/>
          <w:divBdr>
            <w:top w:val="none" w:sz="0" w:space="0" w:color="auto"/>
            <w:left w:val="none" w:sz="0" w:space="0" w:color="auto"/>
            <w:bottom w:val="none" w:sz="0" w:space="0" w:color="auto"/>
            <w:right w:val="none" w:sz="0" w:space="0" w:color="auto"/>
          </w:divBdr>
        </w:div>
        <w:div w:id="1985234254">
          <w:marLeft w:val="1166"/>
          <w:marRight w:val="0"/>
          <w:marTop w:val="77"/>
          <w:marBottom w:val="0"/>
          <w:divBdr>
            <w:top w:val="none" w:sz="0" w:space="0" w:color="auto"/>
            <w:left w:val="none" w:sz="0" w:space="0" w:color="auto"/>
            <w:bottom w:val="none" w:sz="0" w:space="0" w:color="auto"/>
            <w:right w:val="none" w:sz="0" w:space="0" w:color="auto"/>
          </w:divBdr>
        </w:div>
        <w:div w:id="1209413793">
          <w:marLeft w:val="1166"/>
          <w:marRight w:val="0"/>
          <w:marTop w:val="77"/>
          <w:marBottom w:val="0"/>
          <w:divBdr>
            <w:top w:val="none" w:sz="0" w:space="0" w:color="auto"/>
            <w:left w:val="none" w:sz="0" w:space="0" w:color="auto"/>
            <w:bottom w:val="none" w:sz="0" w:space="0" w:color="auto"/>
            <w:right w:val="none" w:sz="0" w:space="0" w:color="auto"/>
          </w:divBdr>
        </w:div>
        <w:div w:id="1130172438">
          <w:marLeft w:val="1166"/>
          <w:marRight w:val="0"/>
          <w:marTop w:val="77"/>
          <w:marBottom w:val="0"/>
          <w:divBdr>
            <w:top w:val="none" w:sz="0" w:space="0" w:color="auto"/>
            <w:left w:val="none" w:sz="0" w:space="0" w:color="auto"/>
            <w:bottom w:val="none" w:sz="0" w:space="0" w:color="auto"/>
            <w:right w:val="none" w:sz="0" w:space="0" w:color="auto"/>
          </w:divBdr>
        </w:div>
      </w:divsChild>
    </w:div>
    <w:div w:id="1131366837">
      <w:bodyDiv w:val="1"/>
      <w:marLeft w:val="0"/>
      <w:marRight w:val="0"/>
      <w:marTop w:val="0"/>
      <w:marBottom w:val="0"/>
      <w:divBdr>
        <w:top w:val="none" w:sz="0" w:space="0" w:color="auto"/>
        <w:left w:val="none" w:sz="0" w:space="0" w:color="auto"/>
        <w:bottom w:val="none" w:sz="0" w:space="0" w:color="auto"/>
        <w:right w:val="none" w:sz="0" w:space="0" w:color="auto"/>
      </w:divBdr>
      <w:divsChild>
        <w:div w:id="1133669916">
          <w:marLeft w:val="994"/>
          <w:marRight w:val="0"/>
          <w:marTop w:val="77"/>
          <w:marBottom w:val="0"/>
          <w:divBdr>
            <w:top w:val="none" w:sz="0" w:space="0" w:color="auto"/>
            <w:left w:val="none" w:sz="0" w:space="0" w:color="auto"/>
            <w:bottom w:val="none" w:sz="0" w:space="0" w:color="auto"/>
            <w:right w:val="none" w:sz="0" w:space="0" w:color="auto"/>
          </w:divBdr>
        </w:div>
        <w:div w:id="517617363">
          <w:marLeft w:val="994"/>
          <w:marRight w:val="0"/>
          <w:marTop w:val="77"/>
          <w:marBottom w:val="0"/>
          <w:divBdr>
            <w:top w:val="none" w:sz="0" w:space="0" w:color="auto"/>
            <w:left w:val="none" w:sz="0" w:space="0" w:color="auto"/>
            <w:bottom w:val="none" w:sz="0" w:space="0" w:color="auto"/>
            <w:right w:val="none" w:sz="0" w:space="0" w:color="auto"/>
          </w:divBdr>
        </w:div>
        <w:div w:id="1606108099">
          <w:marLeft w:val="994"/>
          <w:marRight w:val="0"/>
          <w:marTop w:val="77"/>
          <w:marBottom w:val="0"/>
          <w:divBdr>
            <w:top w:val="none" w:sz="0" w:space="0" w:color="auto"/>
            <w:left w:val="none" w:sz="0" w:space="0" w:color="auto"/>
            <w:bottom w:val="none" w:sz="0" w:space="0" w:color="auto"/>
            <w:right w:val="none" w:sz="0" w:space="0" w:color="auto"/>
          </w:divBdr>
        </w:div>
        <w:div w:id="1001663713">
          <w:marLeft w:val="994"/>
          <w:marRight w:val="0"/>
          <w:marTop w:val="77"/>
          <w:marBottom w:val="0"/>
          <w:divBdr>
            <w:top w:val="none" w:sz="0" w:space="0" w:color="auto"/>
            <w:left w:val="none" w:sz="0" w:space="0" w:color="auto"/>
            <w:bottom w:val="none" w:sz="0" w:space="0" w:color="auto"/>
            <w:right w:val="none" w:sz="0" w:space="0" w:color="auto"/>
          </w:divBdr>
        </w:div>
      </w:divsChild>
    </w:div>
    <w:div w:id="1173766244">
      <w:bodyDiv w:val="1"/>
      <w:marLeft w:val="0"/>
      <w:marRight w:val="0"/>
      <w:marTop w:val="0"/>
      <w:marBottom w:val="0"/>
      <w:divBdr>
        <w:top w:val="none" w:sz="0" w:space="0" w:color="auto"/>
        <w:left w:val="none" w:sz="0" w:space="0" w:color="auto"/>
        <w:bottom w:val="none" w:sz="0" w:space="0" w:color="auto"/>
        <w:right w:val="none" w:sz="0" w:space="0" w:color="auto"/>
      </w:divBdr>
      <w:divsChild>
        <w:div w:id="2133862365">
          <w:marLeft w:val="547"/>
          <w:marRight w:val="0"/>
          <w:marTop w:val="96"/>
          <w:marBottom w:val="0"/>
          <w:divBdr>
            <w:top w:val="none" w:sz="0" w:space="0" w:color="auto"/>
            <w:left w:val="none" w:sz="0" w:space="0" w:color="auto"/>
            <w:bottom w:val="none" w:sz="0" w:space="0" w:color="auto"/>
            <w:right w:val="none" w:sz="0" w:space="0" w:color="auto"/>
          </w:divBdr>
        </w:div>
        <w:div w:id="1415131518">
          <w:marLeft w:val="547"/>
          <w:marRight w:val="0"/>
          <w:marTop w:val="82"/>
          <w:marBottom w:val="0"/>
          <w:divBdr>
            <w:top w:val="none" w:sz="0" w:space="0" w:color="auto"/>
            <w:left w:val="none" w:sz="0" w:space="0" w:color="auto"/>
            <w:bottom w:val="none" w:sz="0" w:space="0" w:color="auto"/>
            <w:right w:val="none" w:sz="0" w:space="0" w:color="auto"/>
          </w:divBdr>
        </w:div>
        <w:div w:id="621762204">
          <w:marLeft w:val="547"/>
          <w:marRight w:val="0"/>
          <w:marTop w:val="96"/>
          <w:marBottom w:val="0"/>
          <w:divBdr>
            <w:top w:val="none" w:sz="0" w:space="0" w:color="auto"/>
            <w:left w:val="none" w:sz="0" w:space="0" w:color="auto"/>
            <w:bottom w:val="none" w:sz="0" w:space="0" w:color="auto"/>
            <w:right w:val="none" w:sz="0" w:space="0" w:color="auto"/>
          </w:divBdr>
        </w:div>
        <w:div w:id="584414518">
          <w:marLeft w:val="547"/>
          <w:marRight w:val="0"/>
          <w:marTop w:val="82"/>
          <w:marBottom w:val="0"/>
          <w:divBdr>
            <w:top w:val="none" w:sz="0" w:space="0" w:color="auto"/>
            <w:left w:val="none" w:sz="0" w:space="0" w:color="auto"/>
            <w:bottom w:val="none" w:sz="0" w:space="0" w:color="auto"/>
            <w:right w:val="none" w:sz="0" w:space="0" w:color="auto"/>
          </w:divBdr>
        </w:div>
        <w:div w:id="719942895">
          <w:marLeft w:val="547"/>
          <w:marRight w:val="0"/>
          <w:marTop w:val="82"/>
          <w:marBottom w:val="0"/>
          <w:divBdr>
            <w:top w:val="none" w:sz="0" w:space="0" w:color="auto"/>
            <w:left w:val="none" w:sz="0" w:space="0" w:color="auto"/>
            <w:bottom w:val="none" w:sz="0" w:space="0" w:color="auto"/>
            <w:right w:val="none" w:sz="0" w:space="0" w:color="auto"/>
          </w:divBdr>
        </w:div>
        <w:div w:id="470902472">
          <w:marLeft w:val="547"/>
          <w:marRight w:val="0"/>
          <w:marTop w:val="96"/>
          <w:marBottom w:val="0"/>
          <w:divBdr>
            <w:top w:val="none" w:sz="0" w:space="0" w:color="auto"/>
            <w:left w:val="none" w:sz="0" w:space="0" w:color="auto"/>
            <w:bottom w:val="none" w:sz="0" w:space="0" w:color="auto"/>
            <w:right w:val="none" w:sz="0" w:space="0" w:color="auto"/>
          </w:divBdr>
        </w:div>
        <w:div w:id="1370885006">
          <w:marLeft w:val="547"/>
          <w:marRight w:val="0"/>
          <w:marTop w:val="82"/>
          <w:marBottom w:val="0"/>
          <w:divBdr>
            <w:top w:val="none" w:sz="0" w:space="0" w:color="auto"/>
            <w:left w:val="none" w:sz="0" w:space="0" w:color="auto"/>
            <w:bottom w:val="none" w:sz="0" w:space="0" w:color="auto"/>
            <w:right w:val="none" w:sz="0" w:space="0" w:color="auto"/>
          </w:divBdr>
        </w:div>
        <w:div w:id="1092747382">
          <w:marLeft w:val="547"/>
          <w:marRight w:val="0"/>
          <w:marTop w:val="82"/>
          <w:marBottom w:val="0"/>
          <w:divBdr>
            <w:top w:val="none" w:sz="0" w:space="0" w:color="auto"/>
            <w:left w:val="none" w:sz="0" w:space="0" w:color="auto"/>
            <w:bottom w:val="none" w:sz="0" w:space="0" w:color="auto"/>
            <w:right w:val="none" w:sz="0" w:space="0" w:color="auto"/>
          </w:divBdr>
        </w:div>
      </w:divsChild>
    </w:div>
    <w:div w:id="1208906221">
      <w:bodyDiv w:val="1"/>
      <w:marLeft w:val="0"/>
      <w:marRight w:val="0"/>
      <w:marTop w:val="0"/>
      <w:marBottom w:val="0"/>
      <w:divBdr>
        <w:top w:val="none" w:sz="0" w:space="0" w:color="auto"/>
        <w:left w:val="none" w:sz="0" w:space="0" w:color="auto"/>
        <w:bottom w:val="none" w:sz="0" w:space="0" w:color="auto"/>
        <w:right w:val="none" w:sz="0" w:space="0" w:color="auto"/>
      </w:divBdr>
      <w:divsChild>
        <w:div w:id="2138333449">
          <w:marLeft w:val="0"/>
          <w:marRight w:val="0"/>
          <w:marTop w:val="0"/>
          <w:marBottom w:val="0"/>
          <w:divBdr>
            <w:top w:val="none" w:sz="0" w:space="0" w:color="auto"/>
            <w:left w:val="none" w:sz="0" w:space="0" w:color="auto"/>
            <w:bottom w:val="none" w:sz="0" w:space="0" w:color="auto"/>
            <w:right w:val="none" w:sz="0" w:space="0" w:color="auto"/>
          </w:divBdr>
          <w:divsChild>
            <w:div w:id="4840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8201">
      <w:bodyDiv w:val="1"/>
      <w:marLeft w:val="0"/>
      <w:marRight w:val="0"/>
      <w:marTop w:val="0"/>
      <w:marBottom w:val="0"/>
      <w:divBdr>
        <w:top w:val="none" w:sz="0" w:space="0" w:color="auto"/>
        <w:left w:val="none" w:sz="0" w:space="0" w:color="auto"/>
        <w:bottom w:val="none" w:sz="0" w:space="0" w:color="auto"/>
        <w:right w:val="none" w:sz="0" w:space="0" w:color="auto"/>
      </w:divBdr>
      <w:divsChild>
        <w:div w:id="1946687955">
          <w:marLeft w:val="0"/>
          <w:marRight w:val="0"/>
          <w:marTop w:val="0"/>
          <w:marBottom w:val="0"/>
          <w:divBdr>
            <w:top w:val="none" w:sz="0" w:space="0" w:color="auto"/>
            <w:left w:val="none" w:sz="0" w:space="0" w:color="auto"/>
            <w:bottom w:val="none" w:sz="0" w:space="0" w:color="auto"/>
            <w:right w:val="none" w:sz="0" w:space="0" w:color="auto"/>
          </w:divBdr>
          <w:divsChild>
            <w:div w:id="1719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2096">
      <w:bodyDiv w:val="1"/>
      <w:marLeft w:val="0"/>
      <w:marRight w:val="0"/>
      <w:marTop w:val="0"/>
      <w:marBottom w:val="0"/>
      <w:divBdr>
        <w:top w:val="none" w:sz="0" w:space="0" w:color="auto"/>
        <w:left w:val="none" w:sz="0" w:space="0" w:color="auto"/>
        <w:bottom w:val="none" w:sz="0" w:space="0" w:color="auto"/>
        <w:right w:val="none" w:sz="0" w:space="0" w:color="auto"/>
      </w:divBdr>
      <w:divsChild>
        <w:div w:id="559481995">
          <w:marLeft w:val="0"/>
          <w:marRight w:val="0"/>
          <w:marTop w:val="0"/>
          <w:marBottom w:val="0"/>
          <w:divBdr>
            <w:top w:val="none" w:sz="0" w:space="0" w:color="auto"/>
            <w:left w:val="none" w:sz="0" w:space="0" w:color="auto"/>
            <w:bottom w:val="none" w:sz="0" w:space="0" w:color="auto"/>
            <w:right w:val="none" w:sz="0" w:space="0" w:color="auto"/>
          </w:divBdr>
        </w:div>
      </w:divsChild>
    </w:div>
    <w:div w:id="1579628004">
      <w:bodyDiv w:val="1"/>
      <w:marLeft w:val="0"/>
      <w:marRight w:val="0"/>
      <w:marTop w:val="0"/>
      <w:marBottom w:val="0"/>
      <w:divBdr>
        <w:top w:val="none" w:sz="0" w:space="0" w:color="auto"/>
        <w:left w:val="none" w:sz="0" w:space="0" w:color="auto"/>
        <w:bottom w:val="none" w:sz="0" w:space="0" w:color="auto"/>
        <w:right w:val="none" w:sz="0" w:space="0" w:color="auto"/>
      </w:divBdr>
      <w:divsChild>
        <w:div w:id="1184320133">
          <w:marLeft w:val="0"/>
          <w:marRight w:val="0"/>
          <w:marTop w:val="0"/>
          <w:marBottom w:val="0"/>
          <w:divBdr>
            <w:top w:val="none" w:sz="0" w:space="0" w:color="auto"/>
            <w:left w:val="none" w:sz="0" w:space="0" w:color="auto"/>
            <w:bottom w:val="none" w:sz="0" w:space="0" w:color="auto"/>
            <w:right w:val="none" w:sz="0" w:space="0" w:color="auto"/>
          </w:divBdr>
        </w:div>
      </w:divsChild>
    </w:div>
    <w:div w:id="1611352547">
      <w:bodyDiv w:val="1"/>
      <w:marLeft w:val="0"/>
      <w:marRight w:val="0"/>
      <w:marTop w:val="0"/>
      <w:marBottom w:val="0"/>
      <w:divBdr>
        <w:top w:val="none" w:sz="0" w:space="0" w:color="auto"/>
        <w:left w:val="none" w:sz="0" w:space="0" w:color="auto"/>
        <w:bottom w:val="none" w:sz="0" w:space="0" w:color="auto"/>
        <w:right w:val="none" w:sz="0" w:space="0" w:color="auto"/>
      </w:divBdr>
      <w:divsChild>
        <w:div w:id="691998807">
          <w:marLeft w:val="547"/>
          <w:marRight w:val="0"/>
          <w:marTop w:val="96"/>
          <w:marBottom w:val="0"/>
          <w:divBdr>
            <w:top w:val="none" w:sz="0" w:space="0" w:color="auto"/>
            <w:left w:val="none" w:sz="0" w:space="0" w:color="auto"/>
            <w:bottom w:val="none" w:sz="0" w:space="0" w:color="auto"/>
            <w:right w:val="none" w:sz="0" w:space="0" w:color="auto"/>
          </w:divBdr>
        </w:div>
        <w:div w:id="1695156424">
          <w:marLeft w:val="1166"/>
          <w:marRight w:val="0"/>
          <w:marTop w:val="86"/>
          <w:marBottom w:val="0"/>
          <w:divBdr>
            <w:top w:val="none" w:sz="0" w:space="0" w:color="auto"/>
            <w:left w:val="none" w:sz="0" w:space="0" w:color="auto"/>
            <w:bottom w:val="none" w:sz="0" w:space="0" w:color="auto"/>
            <w:right w:val="none" w:sz="0" w:space="0" w:color="auto"/>
          </w:divBdr>
        </w:div>
      </w:divsChild>
    </w:div>
    <w:div w:id="1622952533">
      <w:bodyDiv w:val="1"/>
      <w:marLeft w:val="0"/>
      <w:marRight w:val="0"/>
      <w:marTop w:val="0"/>
      <w:marBottom w:val="0"/>
      <w:divBdr>
        <w:top w:val="none" w:sz="0" w:space="0" w:color="auto"/>
        <w:left w:val="none" w:sz="0" w:space="0" w:color="auto"/>
        <w:bottom w:val="none" w:sz="0" w:space="0" w:color="auto"/>
        <w:right w:val="none" w:sz="0" w:space="0" w:color="auto"/>
      </w:divBdr>
      <w:divsChild>
        <w:div w:id="1448961534">
          <w:marLeft w:val="446"/>
          <w:marRight w:val="0"/>
          <w:marTop w:val="86"/>
          <w:marBottom w:val="0"/>
          <w:divBdr>
            <w:top w:val="none" w:sz="0" w:space="0" w:color="auto"/>
            <w:left w:val="none" w:sz="0" w:space="0" w:color="auto"/>
            <w:bottom w:val="none" w:sz="0" w:space="0" w:color="auto"/>
            <w:right w:val="none" w:sz="0" w:space="0" w:color="auto"/>
          </w:divBdr>
        </w:div>
        <w:div w:id="381711610">
          <w:marLeft w:val="446"/>
          <w:marRight w:val="0"/>
          <w:marTop w:val="86"/>
          <w:marBottom w:val="0"/>
          <w:divBdr>
            <w:top w:val="none" w:sz="0" w:space="0" w:color="auto"/>
            <w:left w:val="none" w:sz="0" w:space="0" w:color="auto"/>
            <w:bottom w:val="none" w:sz="0" w:space="0" w:color="auto"/>
            <w:right w:val="none" w:sz="0" w:space="0" w:color="auto"/>
          </w:divBdr>
        </w:div>
        <w:div w:id="161940669">
          <w:marLeft w:val="446"/>
          <w:marRight w:val="0"/>
          <w:marTop w:val="86"/>
          <w:marBottom w:val="0"/>
          <w:divBdr>
            <w:top w:val="none" w:sz="0" w:space="0" w:color="auto"/>
            <w:left w:val="none" w:sz="0" w:space="0" w:color="auto"/>
            <w:bottom w:val="none" w:sz="0" w:space="0" w:color="auto"/>
            <w:right w:val="none" w:sz="0" w:space="0" w:color="auto"/>
          </w:divBdr>
        </w:div>
        <w:div w:id="2002469200">
          <w:marLeft w:val="446"/>
          <w:marRight w:val="0"/>
          <w:marTop w:val="86"/>
          <w:marBottom w:val="0"/>
          <w:divBdr>
            <w:top w:val="none" w:sz="0" w:space="0" w:color="auto"/>
            <w:left w:val="none" w:sz="0" w:space="0" w:color="auto"/>
            <w:bottom w:val="none" w:sz="0" w:space="0" w:color="auto"/>
            <w:right w:val="none" w:sz="0" w:space="0" w:color="auto"/>
          </w:divBdr>
        </w:div>
        <w:div w:id="694573902">
          <w:marLeft w:val="446"/>
          <w:marRight w:val="0"/>
          <w:marTop w:val="86"/>
          <w:marBottom w:val="0"/>
          <w:divBdr>
            <w:top w:val="none" w:sz="0" w:space="0" w:color="auto"/>
            <w:left w:val="none" w:sz="0" w:space="0" w:color="auto"/>
            <w:bottom w:val="none" w:sz="0" w:space="0" w:color="auto"/>
            <w:right w:val="none" w:sz="0" w:space="0" w:color="auto"/>
          </w:divBdr>
        </w:div>
        <w:div w:id="875848805">
          <w:marLeft w:val="446"/>
          <w:marRight w:val="0"/>
          <w:marTop w:val="86"/>
          <w:marBottom w:val="0"/>
          <w:divBdr>
            <w:top w:val="none" w:sz="0" w:space="0" w:color="auto"/>
            <w:left w:val="none" w:sz="0" w:space="0" w:color="auto"/>
            <w:bottom w:val="none" w:sz="0" w:space="0" w:color="auto"/>
            <w:right w:val="none" w:sz="0" w:space="0" w:color="auto"/>
          </w:divBdr>
        </w:div>
        <w:div w:id="1713458631">
          <w:marLeft w:val="446"/>
          <w:marRight w:val="0"/>
          <w:marTop w:val="86"/>
          <w:marBottom w:val="0"/>
          <w:divBdr>
            <w:top w:val="none" w:sz="0" w:space="0" w:color="auto"/>
            <w:left w:val="none" w:sz="0" w:space="0" w:color="auto"/>
            <w:bottom w:val="none" w:sz="0" w:space="0" w:color="auto"/>
            <w:right w:val="none" w:sz="0" w:space="0" w:color="auto"/>
          </w:divBdr>
        </w:div>
      </w:divsChild>
    </w:div>
    <w:div w:id="1798334173">
      <w:bodyDiv w:val="1"/>
      <w:marLeft w:val="0"/>
      <w:marRight w:val="0"/>
      <w:marTop w:val="0"/>
      <w:marBottom w:val="0"/>
      <w:divBdr>
        <w:top w:val="none" w:sz="0" w:space="0" w:color="auto"/>
        <w:left w:val="none" w:sz="0" w:space="0" w:color="auto"/>
        <w:bottom w:val="none" w:sz="0" w:space="0" w:color="auto"/>
        <w:right w:val="none" w:sz="0" w:space="0" w:color="auto"/>
      </w:divBdr>
      <w:divsChild>
        <w:div w:id="970593154">
          <w:marLeft w:val="806"/>
          <w:marRight w:val="0"/>
          <w:marTop w:val="160"/>
          <w:marBottom w:val="0"/>
          <w:divBdr>
            <w:top w:val="none" w:sz="0" w:space="0" w:color="auto"/>
            <w:left w:val="none" w:sz="0" w:space="0" w:color="auto"/>
            <w:bottom w:val="none" w:sz="0" w:space="0" w:color="auto"/>
            <w:right w:val="none" w:sz="0" w:space="0" w:color="auto"/>
          </w:divBdr>
        </w:div>
        <w:div w:id="1852719068">
          <w:marLeft w:val="806"/>
          <w:marRight w:val="0"/>
          <w:marTop w:val="160"/>
          <w:marBottom w:val="0"/>
          <w:divBdr>
            <w:top w:val="none" w:sz="0" w:space="0" w:color="auto"/>
            <w:left w:val="none" w:sz="0" w:space="0" w:color="auto"/>
            <w:bottom w:val="none" w:sz="0" w:space="0" w:color="auto"/>
            <w:right w:val="none" w:sz="0" w:space="0" w:color="auto"/>
          </w:divBdr>
        </w:div>
        <w:div w:id="1985427667">
          <w:marLeft w:val="806"/>
          <w:marRight w:val="0"/>
          <w:marTop w:val="160"/>
          <w:marBottom w:val="0"/>
          <w:divBdr>
            <w:top w:val="none" w:sz="0" w:space="0" w:color="auto"/>
            <w:left w:val="none" w:sz="0" w:space="0" w:color="auto"/>
            <w:bottom w:val="none" w:sz="0" w:space="0" w:color="auto"/>
            <w:right w:val="none" w:sz="0" w:space="0" w:color="auto"/>
          </w:divBdr>
        </w:div>
        <w:div w:id="1246037613">
          <w:marLeft w:val="806"/>
          <w:marRight w:val="0"/>
          <w:marTop w:val="160"/>
          <w:marBottom w:val="0"/>
          <w:divBdr>
            <w:top w:val="none" w:sz="0" w:space="0" w:color="auto"/>
            <w:left w:val="none" w:sz="0" w:space="0" w:color="auto"/>
            <w:bottom w:val="none" w:sz="0" w:space="0" w:color="auto"/>
            <w:right w:val="none" w:sz="0" w:space="0" w:color="auto"/>
          </w:divBdr>
        </w:div>
        <w:div w:id="1274947332">
          <w:marLeft w:val="806"/>
          <w:marRight w:val="0"/>
          <w:marTop w:val="160"/>
          <w:marBottom w:val="0"/>
          <w:divBdr>
            <w:top w:val="none" w:sz="0" w:space="0" w:color="auto"/>
            <w:left w:val="none" w:sz="0" w:space="0" w:color="auto"/>
            <w:bottom w:val="none" w:sz="0" w:space="0" w:color="auto"/>
            <w:right w:val="none" w:sz="0" w:space="0" w:color="auto"/>
          </w:divBdr>
        </w:div>
      </w:divsChild>
    </w:div>
    <w:div w:id="1808082085">
      <w:bodyDiv w:val="1"/>
      <w:marLeft w:val="0"/>
      <w:marRight w:val="0"/>
      <w:marTop w:val="0"/>
      <w:marBottom w:val="0"/>
      <w:divBdr>
        <w:top w:val="none" w:sz="0" w:space="0" w:color="auto"/>
        <w:left w:val="none" w:sz="0" w:space="0" w:color="auto"/>
        <w:bottom w:val="none" w:sz="0" w:space="0" w:color="auto"/>
        <w:right w:val="none" w:sz="0" w:space="0" w:color="auto"/>
      </w:divBdr>
      <w:divsChild>
        <w:div w:id="66268736">
          <w:marLeft w:val="0"/>
          <w:marRight w:val="0"/>
          <w:marTop w:val="0"/>
          <w:marBottom w:val="0"/>
          <w:divBdr>
            <w:top w:val="none" w:sz="0" w:space="0" w:color="auto"/>
            <w:left w:val="none" w:sz="0" w:space="0" w:color="auto"/>
            <w:bottom w:val="none" w:sz="0" w:space="0" w:color="auto"/>
            <w:right w:val="none" w:sz="0" w:space="0" w:color="auto"/>
          </w:divBdr>
          <w:divsChild>
            <w:div w:id="449252773">
              <w:marLeft w:val="0"/>
              <w:marRight w:val="0"/>
              <w:marTop w:val="0"/>
              <w:marBottom w:val="0"/>
              <w:divBdr>
                <w:top w:val="none" w:sz="0" w:space="0" w:color="auto"/>
                <w:left w:val="none" w:sz="0" w:space="0" w:color="auto"/>
                <w:bottom w:val="none" w:sz="0" w:space="0" w:color="auto"/>
                <w:right w:val="none" w:sz="0" w:space="0" w:color="auto"/>
              </w:divBdr>
            </w:div>
            <w:div w:id="5035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2677">
      <w:bodyDiv w:val="1"/>
      <w:marLeft w:val="0"/>
      <w:marRight w:val="0"/>
      <w:marTop w:val="0"/>
      <w:marBottom w:val="0"/>
      <w:divBdr>
        <w:top w:val="none" w:sz="0" w:space="0" w:color="auto"/>
        <w:left w:val="none" w:sz="0" w:space="0" w:color="auto"/>
        <w:bottom w:val="none" w:sz="0" w:space="0" w:color="auto"/>
        <w:right w:val="none" w:sz="0" w:space="0" w:color="auto"/>
      </w:divBdr>
      <w:divsChild>
        <w:div w:id="818614046">
          <w:marLeft w:val="0"/>
          <w:marRight w:val="0"/>
          <w:marTop w:val="0"/>
          <w:marBottom w:val="0"/>
          <w:divBdr>
            <w:top w:val="none" w:sz="0" w:space="0" w:color="auto"/>
            <w:left w:val="none" w:sz="0" w:space="0" w:color="auto"/>
            <w:bottom w:val="none" w:sz="0" w:space="0" w:color="auto"/>
            <w:right w:val="none" w:sz="0" w:space="0" w:color="auto"/>
          </w:divBdr>
        </w:div>
      </w:divsChild>
    </w:div>
    <w:div w:id="1857114654">
      <w:bodyDiv w:val="1"/>
      <w:marLeft w:val="0"/>
      <w:marRight w:val="0"/>
      <w:marTop w:val="0"/>
      <w:marBottom w:val="0"/>
      <w:divBdr>
        <w:top w:val="none" w:sz="0" w:space="0" w:color="auto"/>
        <w:left w:val="none" w:sz="0" w:space="0" w:color="auto"/>
        <w:bottom w:val="none" w:sz="0" w:space="0" w:color="auto"/>
        <w:right w:val="none" w:sz="0" w:space="0" w:color="auto"/>
      </w:divBdr>
      <w:divsChild>
        <w:div w:id="110514661">
          <w:marLeft w:val="1166"/>
          <w:marRight w:val="0"/>
          <w:marTop w:val="91"/>
          <w:marBottom w:val="0"/>
          <w:divBdr>
            <w:top w:val="none" w:sz="0" w:space="0" w:color="auto"/>
            <w:left w:val="none" w:sz="0" w:space="0" w:color="auto"/>
            <w:bottom w:val="none" w:sz="0" w:space="0" w:color="auto"/>
            <w:right w:val="none" w:sz="0" w:space="0" w:color="auto"/>
          </w:divBdr>
        </w:div>
        <w:div w:id="936133545">
          <w:marLeft w:val="1800"/>
          <w:marRight w:val="0"/>
          <w:marTop w:val="77"/>
          <w:marBottom w:val="0"/>
          <w:divBdr>
            <w:top w:val="none" w:sz="0" w:space="0" w:color="auto"/>
            <w:left w:val="none" w:sz="0" w:space="0" w:color="auto"/>
            <w:bottom w:val="none" w:sz="0" w:space="0" w:color="auto"/>
            <w:right w:val="none" w:sz="0" w:space="0" w:color="auto"/>
          </w:divBdr>
        </w:div>
        <w:div w:id="1076439740">
          <w:marLeft w:val="1800"/>
          <w:marRight w:val="0"/>
          <w:marTop w:val="77"/>
          <w:marBottom w:val="0"/>
          <w:divBdr>
            <w:top w:val="none" w:sz="0" w:space="0" w:color="auto"/>
            <w:left w:val="none" w:sz="0" w:space="0" w:color="auto"/>
            <w:bottom w:val="none" w:sz="0" w:space="0" w:color="auto"/>
            <w:right w:val="none" w:sz="0" w:space="0" w:color="auto"/>
          </w:divBdr>
        </w:div>
        <w:div w:id="1269191671">
          <w:marLeft w:val="1166"/>
          <w:marRight w:val="0"/>
          <w:marTop w:val="91"/>
          <w:marBottom w:val="0"/>
          <w:divBdr>
            <w:top w:val="none" w:sz="0" w:space="0" w:color="auto"/>
            <w:left w:val="none" w:sz="0" w:space="0" w:color="auto"/>
            <w:bottom w:val="none" w:sz="0" w:space="0" w:color="auto"/>
            <w:right w:val="none" w:sz="0" w:space="0" w:color="auto"/>
          </w:divBdr>
        </w:div>
        <w:div w:id="1276015441">
          <w:marLeft w:val="547"/>
          <w:marRight w:val="0"/>
          <w:marTop w:val="115"/>
          <w:marBottom w:val="0"/>
          <w:divBdr>
            <w:top w:val="none" w:sz="0" w:space="0" w:color="auto"/>
            <w:left w:val="none" w:sz="0" w:space="0" w:color="auto"/>
            <w:bottom w:val="none" w:sz="0" w:space="0" w:color="auto"/>
            <w:right w:val="none" w:sz="0" w:space="0" w:color="auto"/>
          </w:divBdr>
        </w:div>
        <w:div w:id="1345745530">
          <w:marLeft w:val="1166"/>
          <w:marRight w:val="0"/>
          <w:marTop w:val="91"/>
          <w:marBottom w:val="0"/>
          <w:divBdr>
            <w:top w:val="none" w:sz="0" w:space="0" w:color="auto"/>
            <w:left w:val="none" w:sz="0" w:space="0" w:color="auto"/>
            <w:bottom w:val="none" w:sz="0" w:space="0" w:color="auto"/>
            <w:right w:val="none" w:sz="0" w:space="0" w:color="auto"/>
          </w:divBdr>
        </w:div>
        <w:div w:id="1519614633">
          <w:marLeft w:val="1166"/>
          <w:marRight w:val="0"/>
          <w:marTop w:val="91"/>
          <w:marBottom w:val="0"/>
          <w:divBdr>
            <w:top w:val="none" w:sz="0" w:space="0" w:color="auto"/>
            <w:left w:val="none" w:sz="0" w:space="0" w:color="auto"/>
            <w:bottom w:val="none" w:sz="0" w:space="0" w:color="auto"/>
            <w:right w:val="none" w:sz="0" w:space="0" w:color="auto"/>
          </w:divBdr>
        </w:div>
        <w:div w:id="1534534458">
          <w:marLeft w:val="1800"/>
          <w:marRight w:val="0"/>
          <w:marTop w:val="77"/>
          <w:marBottom w:val="0"/>
          <w:divBdr>
            <w:top w:val="none" w:sz="0" w:space="0" w:color="auto"/>
            <w:left w:val="none" w:sz="0" w:space="0" w:color="auto"/>
            <w:bottom w:val="none" w:sz="0" w:space="0" w:color="auto"/>
            <w:right w:val="none" w:sz="0" w:space="0" w:color="auto"/>
          </w:divBdr>
        </w:div>
        <w:div w:id="1821187937">
          <w:marLeft w:val="1800"/>
          <w:marRight w:val="0"/>
          <w:marTop w:val="77"/>
          <w:marBottom w:val="0"/>
          <w:divBdr>
            <w:top w:val="none" w:sz="0" w:space="0" w:color="auto"/>
            <w:left w:val="none" w:sz="0" w:space="0" w:color="auto"/>
            <w:bottom w:val="none" w:sz="0" w:space="0" w:color="auto"/>
            <w:right w:val="none" w:sz="0" w:space="0" w:color="auto"/>
          </w:divBdr>
        </w:div>
        <w:div w:id="1914897947">
          <w:marLeft w:val="1166"/>
          <w:marRight w:val="0"/>
          <w:marTop w:val="91"/>
          <w:marBottom w:val="0"/>
          <w:divBdr>
            <w:top w:val="none" w:sz="0" w:space="0" w:color="auto"/>
            <w:left w:val="none" w:sz="0" w:space="0" w:color="auto"/>
            <w:bottom w:val="none" w:sz="0" w:space="0" w:color="auto"/>
            <w:right w:val="none" w:sz="0" w:space="0" w:color="auto"/>
          </w:divBdr>
        </w:div>
      </w:divsChild>
    </w:div>
    <w:div w:id="1895191563">
      <w:bodyDiv w:val="1"/>
      <w:marLeft w:val="0"/>
      <w:marRight w:val="0"/>
      <w:marTop w:val="0"/>
      <w:marBottom w:val="0"/>
      <w:divBdr>
        <w:top w:val="none" w:sz="0" w:space="0" w:color="auto"/>
        <w:left w:val="none" w:sz="0" w:space="0" w:color="auto"/>
        <w:bottom w:val="none" w:sz="0" w:space="0" w:color="auto"/>
        <w:right w:val="none" w:sz="0" w:space="0" w:color="auto"/>
      </w:divBdr>
      <w:divsChild>
        <w:div w:id="1018965500">
          <w:marLeft w:val="547"/>
          <w:marRight w:val="0"/>
          <w:marTop w:val="0"/>
          <w:marBottom w:val="0"/>
          <w:divBdr>
            <w:top w:val="none" w:sz="0" w:space="0" w:color="auto"/>
            <w:left w:val="none" w:sz="0" w:space="0" w:color="auto"/>
            <w:bottom w:val="none" w:sz="0" w:space="0" w:color="auto"/>
            <w:right w:val="none" w:sz="0" w:space="0" w:color="auto"/>
          </w:divBdr>
        </w:div>
        <w:div w:id="489949384">
          <w:marLeft w:val="547"/>
          <w:marRight w:val="0"/>
          <w:marTop w:val="0"/>
          <w:marBottom w:val="0"/>
          <w:divBdr>
            <w:top w:val="none" w:sz="0" w:space="0" w:color="auto"/>
            <w:left w:val="none" w:sz="0" w:space="0" w:color="auto"/>
            <w:bottom w:val="none" w:sz="0" w:space="0" w:color="auto"/>
            <w:right w:val="none" w:sz="0" w:space="0" w:color="auto"/>
          </w:divBdr>
        </w:div>
      </w:divsChild>
    </w:div>
    <w:div w:id="2008900347">
      <w:bodyDiv w:val="1"/>
      <w:marLeft w:val="0"/>
      <w:marRight w:val="0"/>
      <w:marTop w:val="0"/>
      <w:marBottom w:val="0"/>
      <w:divBdr>
        <w:top w:val="none" w:sz="0" w:space="0" w:color="auto"/>
        <w:left w:val="none" w:sz="0" w:space="0" w:color="auto"/>
        <w:bottom w:val="none" w:sz="0" w:space="0" w:color="auto"/>
        <w:right w:val="none" w:sz="0" w:space="0" w:color="auto"/>
      </w:divBdr>
      <w:divsChild>
        <w:div w:id="1182472517">
          <w:marLeft w:val="1166"/>
          <w:marRight w:val="0"/>
          <w:marTop w:val="86"/>
          <w:marBottom w:val="0"/>
          <w:divBdr>
            <w:top w:val="none" w:sz="0" w:space="0" w:color="auto"/>
            <w:left w:val="none" w:sz="0" w:space="0" w:color="auto"/>
            <w:bottom w:val="none" w:sz="0" w:space="0" w:color="auto"/>
            <w:right w:val="none" w:sz="0" w:space="0" w:color="auto"/>
          </w:divBdr>
        </w:div>
        <w:div w:id="481195589">
          <w:marLeft w:val="1166"/>
          <w:marRight w:val="0"/>
          <w:marTop w:val="86"/>
          <w:marBottom w:val="0"/>
          <w:divBdr>
            <w:top w:val="none" w:sz="0" w:space="0" w:color="auto"/>
            <w:left w:val="none" w:sz="0" w:space="0" w:color="auto"/>
            <w:bottom w:val="none" w:sz="0" w:space="0" w:color="auto"/>
            <w:right w:val="none" w:sz="0" w:space="0" w:color="auto"/>
          </w:divBdr>
        </w:div>
        <w:div w:id="1115171549">
          <w:marLeft w:val="1166"/>
          <w:marRight w:val="0"/>
          <w:marTop w:val="86"/>
          <w:marBottom w:val="0"/>
          <w:divBdr>
            <w:top w:val="none" w:sz="0" w:space="0" w:color="auto"/>
            <w:left w:val="none" w:sz="0" w:space="0" w:color="auto"/>
            <w:bottom w:val="none" w:sz="0" w:space="0" w:color="auto"/>
            <w:right w:val="none" w:sz="0" w:space="0" w:color="auto"/>
          </w:divBdr>
        </w:div>
      </w:divsChild>
    </w:div>
    <w:div w:id="2073768873">
      <w:bodyDiv w:val="1"/>
      <w:marLeft w:val="0"/>
      <w:marRight w:val="0"/>
      <w:marTop w:val="0"/>
      <w:marBottom w:val="0"/>
      <w:divBdr>
        <w:top w:val="none" w:sz="0" w:space="0" w:color="auto"/>
        <w:left w:val="none" w:sz="0" w:space="0" w:color="auto"/>
        <w:bottom w:val="none" w:sz="0" w:space="0" w:color="auto"/>
        <w:right w:val="none" w:sz="0" w:space="0" w:color="auto"/>
      </w:divBdr>
      <w:divsChild>
        <w:div w:id="97995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DBC4-9328-47BC-ACCE-757DAAF3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1</vt:lpstr>
    </vt:vector>
  </TitlesOfParts>
  <Company>gautengleg</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Hlanganani Ngobeni</dc:creator>
  <cp:lastModifiedBy>PUMZA</cp:lastModifiedBy>
  <cp:revision>2</cp:revision>
  <cp:lastPrinted>2017-04-20T05:49:00Z</cp:lastPrinted>
  <dcterms:created xsi:type="dcterms:W3CDTF">2019-03-27T10:38:00Z</dcterms:created>
  <dcterms:modified xsi:type="dcterms:W3CDTF">2019-03-27T10:38:00Z</dcterms:modified>
</cp:coreProperties>
</file>