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144F" w:rsidRPr="00DC144F" w:rsidRDefault="00DC144F" w:rsidP="00DC144F">
      <w:pPr>
        <w:jc w:val="center"/>
        <w:rPr>
          <w:rFonts w:ascii="Arial" w:hAnsi="Arial"/>
          <w:b/>
          <w:color w:val="262626"/>
          <w:sz w:val="24"/>
          <w:szCs w:val="24"/>
        </w:rPr>
      </w:pPr>
    </w:p>
    <w:p w:rsidR="00DC144F" w:rsidRPr="00DC144F" w:rsidRDefault="00DC144F" w:rsidP="00DC144F">
      <w:pPr>
        <w:jc w:val="center"/>
        <w:rPr>
          <w:rFonts w:ascii="Arial" w:hAnsi="Arial"/>
          <w:b/>
          <w:color w:val="262626"/>
          <w:sz w:val="24"/>
          <w:szCs w:val="24"/>
        </w:rPr>
      </w:pPr>
    </w:p>
    <w:p w:rsidR="00DC144F" w:rsidRPr="00DC144F" w:rsidRDefault="00DC144F" w:rsidP="00DC144F">
      <w:pPr>
        <w:jc w:val="center"/>
        <w:rPr>
          <w:rFonts w:ascii="Arial" w:hAnsi="Arial"/>
          <w:b/>
          <w:color w:val="262626"/>
          <w:sz w:val="24"/>
          <w:szCs w:val="24"/>
        </w:rPr>
      </w:pPr>
    </w:p>
    <w:p w:rsidR="00DC144F" w:rsidRPr="00DC144F" w:rsidRDefault="00DC144F" w:rsidP="00DC144F">
      <w:pPr>
        <w:jc w:val="center"/>
        <w:rPr>
          <w:rFonts w:ascii="Arial" w:hAnsi="Arial"/>
          <w:b/>
          <w:color w:val="262626"/>
          <w:sz w:val="24"/>
          <w:szCs w:val="24"/>
        </w:rPr>
      </w:pPr>
    </w:p>
    <w:p w:rsidR="00DC144F" w:rsidRPr="00DC144F" w:rsidRDefault="00DC144F" w:rsidP="00DC144F">
      <w:pPr>
        <w:jc w:val="center"/>
        <w:rPr>
          <w:rFonts w:ascii="Arial" w:hAnsi="Arial"/>
          <w:b/>
          <w:color w:val="262626"/>
          <w:sz w:val="24"/>
          <w:szCs w:val="24"/>
        </w:rPr>
      </w:pPr>
    </w:p>
    <w:p w:rsidR="002C2624" w:rsidRPr="00E73AF6" w:rsidRDefault="002C2624" w:rsidP="002C2624">
      <w:pPr>
        <w:tabs>
          <w:tab w:val="left" w:pos="6520"/>
        </w:tabs>
      </w:pPr>
      <w:r w:rsidRPr="002E5860">
        <w:rPr>
          <w:sz w:val="16"/>
          <w:szCs w:val="16"/>
        </w:rPr>
        <w:t xml:space="preserve">                                    </w:t>
      </w:r>
      <w:r>
        <w:rPr>
          <w:sz w:val="16"/>
          <w:szCs w:val="16"/>
        </w:rPr>
        <w:tab/>
      </w:r>
      <w:r>
        <w:rPr>
          <w:sz w:val="16"/>
          <w:szCs w:val="16"/>
        </w:rPr>
        <w:tab/>
      </w:r>
    </w:p>
    <w:p w:rsidR="00141848" w:rsidRPr="00E379BA" w:rsidRDefault="00141848" w:rsidP="00141848">
      <w:pPr>
        <w:rPr>
          <w:rFonts w:ascii="Arial" w:hAnsi="Arial" w:cs="Arial"/>
          <w:sz w:val="24"/>
          <w:szCs w:val="24"/>
          <w:u w:val="single"/>
        </w:rPr>
      </w:pPr>
      <w:r w:rsidRPr="00E379BA">
        <w:rPr>
          <w:rFonts w:ascii="Arial" w:hAnsi="Arial" w:cs="Arial"/>
          <w:sz w:val="24"/>
          <w:szCs w:val="24"/>
          <w:u w:val="single"/>
        </w:rPr>
        <w:t>BRIEFING NOTE: FOLLOW-UP MEETING ON STEINHOFF AT STANDING COMMITTEE ON FINANCE, JOINTLY WITH OTHER RELEVANT COMMITTEES - 19 MARCH 2019</w:t>
      </w:r>
    </w:p>
    <w:p w:rsidR="00141848" w:rsidRDefault="00141848" w:rsidP="00141848">
      <w:pPr>
        <w:rPr>
          <w:u w:val="single"/>
        </w:rPr>
      </w:pPr>
    </w:p>
    <w:p w:rsidR="00141848" w:rsidRPr="00E379BA" w:rsidRDefault="00141848" w:rsidP="00141848">
      <w:pPr>
        <w:rPr>
          <w:rFonts w:ascii="Arial" w:hAnsi="Arial" w:cs="Arial"/>
          <w:b/>
          <w:sz w:val="24"/>
          <w:szCs w:val="24"/>
          <w:u w:val="single"/>
        </w:rPr>
      </w:pPr>
      <w:r w:rsidRPr="00E379BA">
        <w:rPr>
          <w:rFonts w:ascii="Arial" w:hAnsi="Arial" w:cs="Arial"/>
          <w:b/>
          <w:sz w:val="24"/>
          <w:szCs w:val="24"/>
          <w:u w:val="single"/>
        </w:rPr>
        <w:t xml:space="preserve">Compliance Notice to Steinhoff International Holdings N.V:  </w:t>
      </w:r>
    </w:p>
    <w:p w:rsidR="00141848" w:rsidRPr="00E379BA" w:rsidRDefault="00141848" w:rsidP="00141848">
      <w:pPr>
        <w:rPr>
          <w:rFonts w:ascii="Arial" w:hAnsi="Arial" w:cs="Arial"/>
          <w:sz w:val="24"/>
          <w:szCs w:val="24"/>
        </w:rPr>
      </w:pPr>
    </w:p>
    <w:p w:rsidR="00141848" w:rsidRDefault="00141848" w:rsidP="00141848">
      <w:pPr>
        <w:pStyle w:val="ListParagraph"/>
        <w:numPr>
          <w:ilvl w:val="0"/>
          <w:numId w:val="2"/>
        </w:numPr>
        <w:spacing w:after="160" w:line="259" w:lineRule="auto"/>
        <w:rPr>
          <w:rFonts w:ascii="Arial" w:hAnsi="Arial" w:cs="Arial"/>
          <w:sz w:val="24"/>
          <w:szCs w:val="24"/>
        </w:rPr>
      </w:pPr>
      <w:r w:rsidRPr="00E379BA">
        <w:rPr>
          <w:rFonts w:ascii="Arial" w:hAnsi="Arial" w:cs="Arial"/>
          <w:sz w:val="24"/>
          <w:szCs w:val="24"/>
        </w:rPr>
        <w:t>The Companies and Intellectual Commission (“</w:t>
      </w:r>
      <w:r w:rsidRPr="00E379BA">
        <w:rPr>
          <w:rFonts w:ascii="Arial" w:hAnsi="Arial" w:cs="Arial"/>
          <w:b/>
          <w:sz w:val="24"/>
          <w:szCs w:val="24"/>
        </w:rPr>
        <w:t>CIPC</w:t>
      </w:r>
      <w:r w:rsidRPr="00E379BA">
        <w:rPr>
          <w:rFonts w:ascii="Arial" w:hAnsi="Arial" w:cs="Arial"/>
          <w:sz w:val="24"/>
          <w:szCs w:val="24"/>
        </w:rPr>
        <w:t xml:space="preserve">”) issued  </w:t>
      </w:r>
      <w:r w:rsidRPr="00E379BA">
        <w:rPr>
          <w:rFonts w:ascii="Arial" w:hAnsi="Arial" w:cs="Arial"/>
          <w:b/>
          <w:sz w:val="24"/>
          <w:szCs w:val="24"/>
        </w:rPr>
        <w:t>STEINHOFF INTERNATIONAL HOLDINGS N.V. (“S</w:t>
      </w:r>
      <w:r w:rsidR="001A30B2">
        <w:rPr>
          <w:rFonts w:ascii="Arial" w:hAnsi="Arial" w:cs="Arial"/>
          <w:b/>
          <w:sz w:val="24"/>
          <w:szCs w:val="24"/>
        </w:rPr>
        <w:t>t</w:t>
      </w:r>
      <w:r w:rsidRPr="00E379BA">
        <w:rPr>
          <w:rFonts w:ascii="Arial" w:hAnsi="Arial" w:cs="Arial"/>
          <w:b/>
          <w:sz w:val="24"/>
          <w:szCs w:val="24"/>
        </w:rPr>
        <w:t xml:space="preserve">einhoff”) </w:t>
      </w:r>
      <w:r w:rsidRPr="00E379BA">
        <w:rPr>
          <w:rFonts w:ascii="Arial" w:hAnsi="Arial" w:cs="Arial"/>
          <w:sz w:val="24"/>
          <w:szCs w:val="24"/>
        </w:rPr>
        <w:t>with a</w:t>
      </w:r>
      <w:r w:rsidRPr="00E379BA">
        <w:rPr>
          <w:rFonts w:ascii="Arial" w:hAnsi="Arial" w:cs="Arial"/>
          <w:b/>
          <w:sz w:val="24"/>
          <w:szCs w:val="24"/>
        </w:rPr>
        <w:t xml:space="preserve"> </w:t>
      </w:r>
      <w:r w:rsidRPr="00E379BA">
        <w:rPr>
          <w:rFonts w:ascii="Arial" w:hAnsi="Arial" w:cs="Arial"/>
          <w:sz w:val="24"/>
          <w:szCs w:val="24"/>
        </w:rPr>
        <w:t>Compliance Notice on 29 January 2018, requiring the following:</w:t>
      </w:r>
    </w:p>
    <w:p w:rsidR="001A30B2" w:rsidRPr="00E379BA" w:rsidRDefault="001A30B2" w:rsidP="001A30B2">
      <w:pPr>
        <w:pStyle w:val="ListParagraph"/>
        <w:spacing w:after="160" w:line="259" w:lineRule="auto"/>
        <w:rPr>
          <w:rFonts w:ascii="Arial" w:hAnsi="Arial" w:cs="Arial"/>
          <w:sz w:val="24"/>
          <w:szCs w:val="24"/>
        </w:rPr>
      </w:pPr>
    </w:p>
    <w:p w:rsidR="00141848" w:rsidRPr="00E379BA" w:rsidRDefault="00141848" w:rsidP="00141848">
      <w:pPr>
        <w:pStyle w:val="PlainText"/>
        <w:numPr>
          <w:ilvl w:val="1"/>
          <w:numId w:val="2"/>
        </w:numPr>
        <w:jc w:val="both"/>
        <w:rPr>
          <w:rFonts w:ascii="Arial" w:hAnsi="Arial" w:cs="Arial"/>
          <w:sz w:val="24"/>
          <w:szCs w:val="24"/>
        </w:rPr>
      </w:pPr>
      <w:r w:rsidRPr="00E379BA">
        <w:rPr>
          <w:rFonts w:ascii="Arial" w:hAnsi="Arial" w:cs="Arial"/>
          <w:sz w:val="24"/>
          <w:szCs w:val="24"/>
        </w:rPr>
        <w:t xml:space="preserve">Within 6 months from the date of the Compliance Notice (29/01/2018), the Board of Directors of Steinhoff </w:t>
      </w:r>
      <w:r w:rsidRPr="00E379BA">
        <w:rPr>
          <w:rFonts w:ascii="Arial" w:hAnsi="Arial" w:cs="Arial"/>
          <w:b/>
          <w:sz w:val="24"/>
          <w:szCs w:val="24"/>
        </w:rPr>
        <w:t>must identify individuals</w:t>
      </w:r>
      <w:r w:rsidRPr="00E379BA">
        <w:rPr>
          <w:rFonts w:ascii="Arial" w:hAnsi="Arial" w:cs="Arial"/>
          <w:sz w:val="24"/>
          <w:szCs w:val="24"/>
        </w:rPr>
        <w:t xml:space="preserve"> that were involved in the falsification of any accounting records of Steinhoff and/or any related or interrelated business unit(s); division(s); associate companies; joint venture companies and/or subsidiaries of Steinhoff.</w:t>
      </w:r>
    </w:p>
    <w:p w:rsidR="00141848" w:rsidRPr="00E379BA" w:rsidRDefault="00141848" w:rsidP="00141848">
      <w:pPr>
        <w:pStyle w:val="PlainText"/>
        <w:rPr>
          <w:rFonts w:ascii="Arial" w:hAnsi="Arial" w:cs="Arial"/>
          <w:sz w:val="24"/>
          <w:szCs w:val="24"/>
        </w:rPr>
      </w:pPr>
    </w:p>
    <w:p w:rsidR="00141848" w:rsidRPr="00E379BA" w:rsidRDefault="00141848" w:rsidP="00141848">
      <w:pPr>
        <w:pStyle w:val="PlainText"/>
        <w:numPr>
          <w:ilvl w:val="1"/>
          <w:numId w:val="2"/>
        </w:numPr>
        <w:jc w:val="both"/>
        <w:rPr>
          <w:rFonts w:ascii="Arial" w:hAnsi="Arial" w:cs="Arial"/>
          <w:sz w:val="24"/>
          <w:szCs w:val="24"/>
        </w:rPr>
      </w:pPr>
      <w:r w:rsidRPr="00E379BA">
        <w:rPr>
          <w:rFonts w:ascii="Arial" w:hAnsi="Arial" w:cs="Arial"/>
          <w:sz w:val="24"/>
          <w:szCs w:val="24"/>
        </w:rPr>
        <w:t xml:space="preserve">Within 6 months from the date of the Compliance Notice, the Board of Directors of Steinhoff must </w:t>
      </w:r>
      <w:r w:rsidRPr="00E379BA">
        <w:rPr>
          <w:rFonts w:ascii="Arial" w:hAnsi="Arial" w:cs="Arial"/>
          <w:b/>
          <w:sz w:val="24"/>
          <w:szCs w:val="24"/>
        </w:rPr>
        <w:t>institute criminal action, by opening criminal cases,</w:t>
      </w:r>
      <w:r w:rsidRPr="00E379BA">
        <w:rPr>
          <w:rFonts w:ascii="Arial" w:hAnsi="Arial" w:cs="Arial"/>
          <w:sz w:val="24"/>
          <w:szCs w:val="24"/>
        </w:rPr>
        <w:t xml:space="preserve"> irrespective of geographic location, against those individuals identified in paragraph 1 above.</w:t>
      </w:r>
    </w:p>
    <w:p w:rsidR="00141848" w:rsidRPr="00E379BA" w:rsidRDefault="00141848" w:rsidP="00141848">
      <w:pPr>
        <w:pStyle w:val="PlainText"/>
        <w:rPr>
          <w:rFonts w:ascii="Arial" w:hAnsi="Arial" w:cs="Arial"/>
          <w:sz w:val="24"/>
          <w:szCs w:val="24"/>
        </w:rPr>
      </w:pPr>
    </w:p>
    <w:p w:rsidR="00141848" w:rsidRPr="00E379BA" w:rsidRDefault="00141848" w:rsidP="00141848">
      <w:pPr>
        <w:pStyle w:val="PlainText"/>
        <w:numPr>
          <w:ilvl w:val="1"/>
          <w:numId w:val="2"/>
        </w:numPr>
        <w:jc w:val="both"/>
        <w:rPr>
          <w:rFonts w:ascii="Arial" w:hAnsi="Arial" w:cs="Arial"/>
          <w:sz w:val="24"/>
          <w:szCs w:val="24"/>
        </w:rPr>
      </w:pPr>
      <w:r w:rsidRPr="00E379BA">
        <w:rPr>
          <w:rFonts w:ascii="Arial" w:hAnsi="Arial" w:cs="Arial"/>
          <w:sz w:val="24"/>
          <w:szCs w:val="24"/>
        </w:rPr>
        <w:t xml:space="preserve">Within 6 months from the date of this Compliance Notice, the Board of Directors of Steinhoff must </w:t>
      </w:r>
      <w:r w:rsidRPr="00E379BA">
        <w:rPr>
          <w:rFonts w:ascii="Arial" w:hAnsi="Arial" w:cs="Arial"/>
          <w:b/>
          <w:sz w:val="24"/>
          <w:szCs w:val="24"/>
        </w:rPr>
        <w:t xml:space="preserve">institute civil action </w:t>
      </w:r>
      <w:r w:rsidRPr="00E379BA">
        <w:rPr>
          <w:rFonts w:ascii="Arial" w:hAnsi="Arial" w:cs="Arial"/>
          <w:sz w:val="24"/>
          <w:szCs w:val="24"/>
        </w:rPr>
        <w:t>as per section 77 and section 162(2) read with section 162 (5) (a) to (c) of the Act in the Republic of South Africa and the equivalent of this action in other jurisdictions where Steinhoff and/or any related or interrelated business units; divisions; associate companies; joint venture companies and/or subsidiaries of Steinhoff operates, against those individuals involved in the falsification of the accounting records as per paragraph 1 above.</w:t>
      </w:r>
    </w:p>
    <w:p w:rsidR="00141848" w:rsidRPr="00E379BA" w:rsidRDefault="00141848" w:rsidP="00141848">
      <w:pPr>
        <w:pStyle w:val="ListParagraph"/>
        <w:rPr>
          <w:rFonts w:ascii="Arial" w:hAnsi="Arial" w:cs="Arial"/>
          <w:sz w:val="24"/>
          <w:szCs w:val="24"/>
        </w:rPr>
      </w:pPr>
    </w:p>
    <w:p w:rsidR="00141848" w:rsidRPr="00E379BA" w:rsidRDefault="00141848" w:rsidP="00141848">
      <w:pPr>
        <w:pStyle w:val="PlainText"/>
        <w:numPr>
          <w:ilvl w:val="1"/>
          <w:numId w:val="2"/>
        </w:numPr>
        <w:jc w:val="both"/>
        <w:rPr>
          <w:rFonts w:ascii="Arial" w:hAnsi="Arial" w:cs="Arial"/>
          <w:sz w:val="24"/>
          <w:szCs w:val="24"/>
        </w:rPr>
      </w:pPr>
      <w:r w:rsidRPr="00E379BA">
        <w:rPr>
          <w:rFonts w:ascii="Arial" w:hAnsi="Arial" w:cs="Arial"/>
          <w:sz w:val="24"/>
          <w:szCs w:val="24"/>
        </w:rPr>
        <w:t xml:space="preserve">Provide </w:t>
      </w:r>
      <w:r w:rsidRPr="00E379BA">
        <w:rPr>
          <w:rFonts w:ascii="Arial" w:hAnsi="Arial" w:cs="Arial"/>
          <w:b/>
          <w:sz w:val="24"/>
          <w:szCs w:val="24"/>
        </w:rPr>
        <w:t>monthly reports to the CIPC</w:t>
      </w:r>
      <w:r w:rsidRPr="00E379BA">
        <w:rPr>
          <w:rFonts w:ascii="Arial" w:hAnsi="Arial" w:cs="Arial"/>
          <w:sz w:val="24"/>
          <w:szCs w:val="24"/>
        </w:rPr>
        <w:t xml:space="preserve"> on the progress and implementation of paragraphs 1; 2 and 3 above.</w:t>
      </w:r>
    </w:p>
    <w:p w:rsidR="00141848" w:rsidRPr="00E379BA" w:rsidRDefault="00141848" w:rsidP="00141848">
      <w:pPr>
        <w:pStyle w:val="ListParagraph"/>
        <w:rPr>
          <w:rFonts w:ascii="Arial" w:hAnsi="Arial" w:cs="Arial"/>
          <w:sz w:val="24"/>
          <w:szCs w:val="24"/>
        </w:rPr>
      </w:pPr>
    </w:p>
    <w:p w:rsidR="00141848" w:rsidRPr="00E379BA" w:rsidRDefault="00141848" w:rsidP="00141848">
      <w:pPr>
        <w:pStyle w:val="PlainText"/>
        <w:numPr>
          <w:ilvl w:val="1"/>
          <w:numId w:val="2"/>
        </w:numPr>
        <w:jc w:val="both"/>
        <w:rPr>
          <w:rFonts w:ascii="Arial" w:hAnsi="Arial" w:cs="Arial"/>
          <w:sz w:val="24"/>
          <w:szCs w:val="24"/>
        </w:rPr>
      </w:pPr>
      <w:r w:rsidRPr="00E379BA">
        <w:rPr>
          <w:rFonts w:ascii="Arial" w:hAnsi="Arial" w:cs="Arial"/>
          <w:b/>
          <w:sz w:val="24"/>
          <w:szCs w:val="24"/>
        </w:rPr>
        <w:t>Publish on the Johannesburg Stock Exchange News Service</w:t>
      </w:r>
      <w:r w:rsidRPr="00E379BA">
        <w:rPr>
          <w:rFonts w:ascii="Arial" w:hAnsi="Arial" w:cs="Arial"/>
          <w:sz w:val="24"/>
          <w:szCs w:val="24"/>
        </w:rPr>
        <w:t xml:space="preserve"> (“JSE SENS”) the contents of this Compliance Notice within 24 hours of receipt.</w:t>
      </w:r>
    </w:p>
    <w:p w:rsidR="00141848" w:rsidRPr="00E379BA" w:rsidRDefault="00141848" w:rsidP="00141848">
      <w:pPr>
        <w:pStyle w:val="PlainText"/>
        <w:rPr>
          <w:rFonts w:ascii="Arial" w:hAnsi="Arial" w:cs="Arial"/>
          <w:sz w:val="24"/>
          <w:szCs w:val="24"/>
        </w:rPr>
      </w:pPr>
    </w:p>
    <w:p w:rsidR="00141848" w:rsidRDefault="00141848" w:rsidP="00141848">
      <w:pPr>
        <w:rPr>
          <w:rFonts w:ascii="Arial" w:hAnsi="Arial" w:cs="Arial"/>
          <w:sz w:val="24"/>
          <w:szCs w:val="24"/>
        </w:rPr>
      </w:pPr>
      <w:r w:rsidRPr="00E379BA">
        <w:rPr>
          <w:rFonts w:ascii="Arial" w:hAnsi="Arial" w:cs="Arial"/>
          <w:sz w:val="24"/>
          <w:szCs w:val="24"/>
        </w:rPr>
        <w:br w:type="page"/>
      </w:r>
    </w:p>
    <w:p w:rsidR="00E523C7" w:rsidRDefault="00E523C7" w:rsidP="00141848">
      <w:pPr>
        <w:rPr>
          <w:rFonts w:ascii="Arial" w:hAnsi="Arial" w:cs="Arial"/>
          <w:sz w:val="24"/>
          <w:szCs w:val="24"/>
        </w:rPr>
      </w:pPr>
    </w:p>
    <w:p w:rsidR="00E523C7" w:rsidRDefault="00E523C7" w:rsidP="00141848">
      <w:pPr>
        <w:rPr>
          <w:rFonts w:ascii="Arial" w:hAnsi="Arial" w:cs="Arial"/>
          <w:sz w:val="24"/>
          <w:szCs w:val="24"/>
        </w:rPr>
      </w:pPr>
    </w:p>
    <w:p w:rsidR="00E523C7" w:rsidRDefault="00E523C7" w:rsidP="00141848">
      <w:pPr>
        <w:rPr>
          <w:rFonts w:ascii="Arial" w:hAnsi="Arial" w:cs="Arial"/>
          <w:sz w:val="24"/>
          <w:szCs w:val="24"/>
        </w:rPr>
      </w:pPr>
    </w:p>
    <w:p w:rsidR="00E523C7" w:rsidRPr="00E379BA" w:rsidRDefault="00E523C7" w:rsidP="00141848">
      <w:pPr>
        <w:rPr>
          <w:rFonts w:ascii="Arial" w:hAnsi="Arial" w:cs="Arial"/>
          <w:sz w:val="24"/>
          <w:szCs w:val="24"/>
        </w:rPr>
      </w:pPr>
    </w:p>
    <w:p w:rsidR="00141848" w:rsidRPr="00E379BA" w:rsidRDefault="00141848" w:rsidP="00141848">
      <w:pPr>
        <w:rPr>
          <w:rFonts w:ascii="Arial" w:hAnsi="Arial" w:cs="Arial"/>
          <w:sz w:val="24"/>
          <w:szCs w:val="24"/>
        </w:rPr>
      </w:pPr>
      <w:r w:rsidRPr="00E379BA">
        <w:rPr>
          <w:rFonts w:ascii="Arial" w:hAnsi="Arial" w:cs="Arial"/>
          <w:sz w:val="24"/>
          <w:szCs w:val="24"/>
        </w:rPr>
        <w:t xml:space="preserve">  </w:t>
      </w:r>
    </w:p>
    <w:p w:rsidR="007E066C" w:rsidRDefault="00141848" w:rsidP="00141848">
      <w:pPr>
        <w:pStyle w:val="ListParagraph"/>
        <w:numPr>
          <w:ilvl w:val="0"/>
          <w:numId w:val="2"/>
        </w:numPr>
        <w:spacing w:after="160" w:line="259" w:lineRule="auto"/>
        <w:jc w:val="both"/>
        <w:rPr>
          <w:rFonts w:ascii="Arial" w:hAnsi="Arial" w:cs="Arial"/>
          <w:sz w:val="24"/>
          <w:szCs w:val="24"/>
        </w:rPr>
      </w:pPr>
      <w:r w:rsidRPr="00E379BA">
        <w:rPr>
          <w:rFonts w:ascii="Arial" w:hAnsi="Arial" w:cs="Arial"/>
          <w:sz w:val="24"/>
          <w:szCs w:val="24"/>
        </w:rPr>
        <w:t xml:space="preserve">During the period of the Compliance Notice the CIPC held monthly meetings with Steinhoff to ascertain the progress in respect of the Compliance Notice.  It was also during these discussions that the establishment of a </w:t>
      </w:r>
      <w:r w:rsidRPr="00E379BA">
        <w:rPr>
          <w:rFonts w:ascii="Arial" w:hAnsi="Arial" w:cs="Arial"/>
          <w:b/>
          <w:sz w:val="24"/>
          <w:szCs w:val="24"/>
        </w:rPr>
        <w:t>Social and Ethics Committee</w:t>
      </w:r>
      <w:r w:rsidRPr="00E379BA">
        <w:rPr>
          <w:rFonts w:ascii="Arial" w:hAnsi="Arial" w:cs="Arial"/>
          <w:sz w:val="24"/>
          <w:szCs w:val="24"/>
        </w:rPr>
        <w:t xml:space="preserve"> was discussed and Steinhoff, albeit an external company, established a Social and Ethics Committee. </w:t>
      </w:r>
    </w:p>
    <w:p w:rsidR="007E066C" w:rsidRDefault="007E066C" w:rsidP="007E066C">
      <w:pPr>
        <w:pStyle w:val="ListParagraph"/>
        <w:spacing w:after="160" w:line="259" w:lineRule="auto"/>
        <w:jc w:val="both"/>
        <w:rPr>
          <w:rFonts w:ascii="Arial" w:hAnsi="Arial" w:cs="Arial"/>
          <w:sz w:val="24"/>
          <w:szCs w:val="24"/>
        </w:rPr>
      </w:pPr>
    </w:p>
    <w:p w:rsidR="00141848" w:rsidRPr="00E379BA" w:rsidRDefault="00141848" w:rsidP="00141848">
      <w:pPr>
        <w:pStyle w:val="ListParagraph"/>
        <w:numPr>
          <w:ilvl w:val="0"/>
          <w:numId w:val="2"/>
        </w:numPr>
        <w:spacing w:after="160" w:line="259" w:lineRule="auto"/>
        <w:jc w:val="both"/>
        <w:rPr>
          <w:rFonts w:ascii="Arial" w:hAnsi="Arial" w:cs="Arial"/>
          <w:sz w:val="24"/>
          <w:szCs w:val="24"/>
        </w:rPr>
      </w:pPr>
      <w:r w:rsidRPr="00E379BA">
        <w:rPr>
          <w:rFonts w:ascii="Arial" w:hAnsi="Arial" w:cs="Arial"/>
          <w:sz w:val="24"/>
          <w:szCs w:val="24"/>
        </w:rPr>
        <w:t>At this point in time an external company is not required to establish a Social and Ethic</w:t>
      </w:r>
      <w:r w:rsidR="004E3D8C">
        <w:rPr>
          <w:rFonts w:ascii="Arial" w:hAnsi="Arial" w:cs="Arial"/>
          <w:sz w:val="24"/>
          <w:szCs w:val="24"/>
        </w:rPr>
        <w:t>s</w:t>
      </w:r>
      <w:r w:rsidRPr="00E379BA">
        <w:rPr>
          <w:rFonts w:ascii="Arial" w:hAnsi="Arial" w:cs="Arial"/>
          <w:sz w:val="24"/>
          <w:szCs w:val="24"/>
        </w:rPr>
        <w:t xml:space="preserve"> Committee in term of </w:t>
      </w:r>
      <w:r w:rsidR="004E3D8C">
        <w:rPr>
          <w:rFonts w:ascii="Arial" w:hAnsi="Arial" w:cs="Arial"/>
          <w:sz w:val="24"/>
          <w:szCs w:val="24"/>
        </w:rPr>
        <w:t xml:space="preserve">Regulation 43 of </w:t>
      </w:r>
      <w:r w:rsidRPr="00E379BA">
        <w:rPr>
          <w:rFonts w:ascii="Arial" w:hAnsi="Arial" w:cs="Arial"/>
          <w:sz w:val="24"/>
          <w:szCs w:val="24"/>
        </w:rPr>
        <w:t>the Companies Act No</w:t>
      </w:r>
      <w:r w:rsidR="004E3D8C">
        <w:rPr>
          <w:rFonts w:ascii="Arial" w:hAnsi="Arial" w:cs="Arial"/>
          <w:sz w:val="24"/>
          <w:szCs w:val="24"/>
        </w:rPr>
        <w:t>.</w:t>
      </w:r>
      <w:r w:rsidRPr="00E379BA">
        <w:rPr>
          <w:rFonts w:ascii="Arial" w:hAnsi="Arial" w:cs="Arial"/>
          <w:sz w:val="24"/>
          <w:szCs w:val="24"/>
        </w:rPr>
        <w:t xml:space="preserve"> 71 of 2008, as amended. </w:t>
      </w:r>
      <w:r w:rsidR="00E523C7">
        <w:rPr>
          <w:rFonts w:ascii="Arial" w:hAnsi="Arial" w:cs="Arial"/>
          <w:sz w:val="24"/>
          <w:szCs w:val="24"/>
        </w:rPr>
        <w:t>Steinhoff’s example of establishing a Social and Ethics Committee proves that it is not an insurmountable barrier for an external company to comply with Regulation 43</w:t>
      </w:r>
      <w:r w:rsidR="004E3D8C">
        <w:rPr>
          <w:rFonts w:ascii="Arial" w:hAnsi="Arial" w:cs="Arial"/>
          <w:sz w:val="24"/>
          <w:szCs w:val="24"/>
        </w:rPr>
        <w:t>.</w:t>
      </w:r>
      <w:r w:rsidR="00E523C7">
        <w:rPr>
          <w:rFonts w:ascii="Arial" w:hAnsi="Arial" w:cs="Arial"/>
          <w:sz w:val="24"/>
          <w:szCs w:val="24"/>
        </w:rPr>
        <w:t xml:space="preserve"> </w:t>
      </w:r>
    </w:p>
    <w:p w:rsidR="00141848" w:rsidRPr="00E379BA" w:rsidRDefault="00141848" w:rsidP="00141848">
      <w:pPr>
        <w:jc w:val="both"/>
        <w:rPr>
          <w:rFonts w:ascii="Arial" w:hAnsi="Arial" w:cs="Arial"/>
          <w:sz w:val="24"/>
          <w:szCs w:val="24"/>
        </w:rPr>
      </w:pPr>
    </w:p>
    <w:p w:rsidR="00141848" w:rsidRPr="00E379BA" w:rsidRDefault="00141848" w:rsidP="00141848">
      <w:pPr>
        <w:jc w:val="both"/>
        <w:rPr>
          <w:rFonts w:ascii="Arial" w:hAnsi="Arial" w:cs="Arial"/>
          <w:b/>
          <w:sz w:val="24"/>
          <w:szCs w:val="24"/>
          <w:u w:val="single"/>
        </w:rPr>
      </w:pPr>
      <w:r w:rsidRPr="00E379BA">
        <w:rPr>
          <w:rFonts w:ascii="Arial" w:hAnsi="Arial" w:cs="Arial"/>
          <w:b/>
          <w:sz w:val="24"/>
          <w:szCs w:val="24"/>
          <w:u w:val="single"/>
        </w:rPr>
        <w:t xml:space="preserve">Compliance Certificate to Steinhoff International Holdings N.V:  </w:t>
      </w:r>
    </w:p>
    <w:p w:rsidR="00141848" w:rsidRPr="00E379BA" w:rsidRDefault="00141848" w:rsidP="00141848">
      <w:pPr>
        <w:jc w:val="both"/>
        <w:rPr>
          <w:rFonts w:ascii="Arial" w:hAnsi="Arial" w:cs="Arial"/>
          <w:sz w:val="24"/>
          <w:szCs w:val="24"/>
        </w:rPr>
      </w:pPr>
    </w:p>
    <w:p w:rsidR="00141848" w:rsidRPr="005C7245" w:rsidRDefault="00141848" w:rsidP="00141848">
      <w:pPr>
        <w:pStyle w:val="ListParagraph"/>
        <w:numPr>
          <w:ilvl w:val="0"/>
          <w:numId w:val="2"/>
        </w:numPr>
        <w:spacing w:after="160" w:line="259" w:lineRule="auto"/>
        <w:jc w:val="both"/>
        <w:rPr>
          <w:rFonts w:ascii="Arial" w:hAnsi="Arial" w:cs="Arial"/>
          <w:i/>
          <w:sz w:val="24"/>
          <w:szCs w:val="24"/>
        </w:rPr>
      </w:pPr>
      <w:r w:rsidRPr="00E379BA">
        <w:rPr>
          <w:rFonts w:ascii="Arial" w:hAnsi="Arial" w:cs="Arial"/>
          <w:sz w:val="24"/>
          <w:szCs w:val="24"/>
        </w:rPr>
        <w:t>On 11 September 2018, the CIPC issued a Compliance Certificate to Steinhoff stating that the CIPC is satisfied that the requirements set out in the Compliance Notice have been met on 24 July 2018.</w:t>
      </w:r>
      <w:r w:rsidR="007E066C">
        <w:rPr>
          <w:rFonts w:ascii="Arial" w:hAnsi="Arial" w:cs="Arial"/>
          <w:sz w:val="24"/>
          <w:szCs w:val="24"/>
        </w:rPr>
        <w:t xml:space="preserve"> Specifically:  </w:t>
      </w:r>
    </w:p>
    <w:p w:rsidR="005C7245" w:rsidRDefault="005C7245" w:rsidP="005C7245">
      <w:pPr>
        <w:pStyle w:val="ListParagraph"/>
        <w:spacing w:after="160" w:line="259" w:lineRule="auto"/>
        <w:jc w:val="both"/>
        <w:rPr>
          <w:rFonts w:ascii="Arial" w:hAnsi="Arial" w:cs="Arial"/>
          <w:sz w:val="24"/>
          <w:szCs w:val="24"/>
        </w:rPr>
      </w:pPr>
    </w:p>
    <w:p w:rsidR="005C7245" w:rsidRPr="006F4F2D" w:rsidRDefault="005C7245" w:rsidP="007E066C">
      <w:pPr>
        <w:pStyle w:val="ListParagraph"/>
        <w:numPr>
          <w:ilvl w:val="1"/>
          <w:numId w:val="2"/>
        </w:numPr>
        <w:spacing w:after="160" w:line="256" w:lineRule="auto"/>
        <w:ind w:left="709"/>
        <w:jc w:val="both"/>
        <w:rPr>
          <w:rFonts w:ascii="Arial" w:hAnsi="Arial" w:cs="Arial"/>
          <w:sz w:val="24"/>
          <w:szCs w:val="24"/>
        </w:rPr>
      </w:pPr>
      <w:r w:rsidRPr="006F4F2D">
        <w:rPr>
          <w:rFonts w:ascii="Arial" w:hAnsi="Arial" w:cs="Arial"/>
          <w:sz w:val="24"/>
          <w:szCs w:val="24"/>
        </w:rPr>
        <w:t xml:space="preserve">Steinhoff has identified </w:t>
      </w:r>
      <w:r w:rsidR="007E066C" w:rsidRPr="006F4F2D">
        <w:rPr>
          <w:rFonts w:ascii="Arial" w:hAnsi="Arial" w:cs="Arial"/>
          <w:sz w:val="24"/>
          <w:szCs w:val="24"/>
        </w:rPr>
        <w:t xml:space="preserve">certain </w:t>
      </w:r>
      <w:r w:rsidRPr="006F4F2D">
        <w:rPr>
          <w:rFonts w:ascii="Arial" w:hAnsi="Arial" w:cs="Arial"/>
          <w:sz w:val="24"/>
          <w:szCs w:val="24"/>
        </w:rPr>
        <w:t>individuals that have been directly involved in the falsification of the accounting records of the Group.</w:t>
      </w:r>
    </w:p>
    <w:p w:rsidR="005C7245" w:rsidRPr="006F4F2D" w:rsidRDefault="005C7245" w:rsidP="007E066C">
      <w:pPr>
        <w:pStyle w:val="ListParagraph"/>
        <w:spacing w:after="160" w:line="256" w:lineRule="auto"/>
        <w:ind w:left="567"/>
        <w:jc w:val="both"/>
        <w:rPr>
          <w:rFonts w:ascii="Arial" w:hAnsi="Arial" w:cs="Arial"/>
          <w:sz w:val="24"/>
          <w:szCs w:val="24"/>
        </w:rPr>
      </w:pPr>
    </w:p>
    <w:p w:rsidR="005C7245" w:rsidRPr="006F4F2D" w:rsidRDefault="005C7245" w:rsidP="007E066C">
      <w:pPr>
        <w:pStyle w:val="ListParagraph"/>
        <w:numPr>
          <w:ilvl w:val="1"/>
          <w:numId w:val="2"/>
        </w:numPr>
        <w:spacing w:after="160" w:line="256" w:lineRule="auto"/>
        <w:ind w:left="709"/>
        <w:jc w:val="both"/>
        <w:rPr>
          <w:rFonts w:ascii="Arial" w:hAnsi="Arial" w:cs="Arial"/>
          <w:sz w:val="24"/>
          <w:szCs w:val="24"/>
        </w:rPr>
      </w:pPr>
      <w:r w:rsidRPr="006F4F2D">
        <w:rPr>
          <w:rFonts w:ascii="Arial" w:hAnsi="Arial" w:cs="Arial"/>
          <w:sz w:val="24"/>
          <w:szCs w:val="24"/>
        </w:rPr>
        <w:t>A specific criminal case has been opened against these individuals.</w:t>
      </w:r>
    </w:p>
    <w:p w:rsidR="005C7245" w:rsidRPr="006F4F2D" w:rsidRDefault="005C7245" w:rsidP="007E066C">
      <w:pPr>
        <w:pStyle w:val="ListParagraph"/>
        <w:spacing w:after="160" w:line="256" w:lineRule="auto"/>
        <w:ind w:left="567"/>
        <w:jc w:val="both"/>
        <w:rPr>
          <w:rFonts w:ascii="Arial" w:hAnsi="Arial" w:cs="Arial"/>
          <w:sz w:val="24"/>
          <w:szCs w:val="24"/>
        </w:rPr>
      </w:pPr>
    </w:p>
    <w:p w:rsidR="005C7245" w:rsidRPr="006F4F2D" w:rsidRDefault="005C7245" w:rsidP="007E066C">
      <w:pPr>
        <w:pStyle w:val="ListParagraph"/>
        <w:spacing w:after="160" w:line="256" w:lineRule="auto"/>
        <w:ind w:left="567"/>
        <w:jc w:val="both"/>
        <w:rPr>
          <w:rFonts w:ascii="Arial" w:hAnsi="Arial" w:cs="Arial"/>
          <w:sz w:val="24"/>
          <w:szCs w:val="24"/>
        </w:rPr>
      </w:pPr>
    </w:p>
    <w:p w:rsidR="005C7245" w:rsidRPr="006F4F2D" w:rsidRDefault="005C7245" w:rsidP="007E066C">
      <w:pPr>
        <w:pStyle w:val="ListParagraph"/>
        <w:numPr>
          <w:ilvl w:val="1"/>
          <w:numId w:val="2"/>
        </w:numPr>
        <w:spacing w:after="160" w:line="259" w:lineRule="auto"/>
        <w:ind w:left="709"/>
        <w:jc w:val="both"/>
        <w:rPr>
          <w:rFonts w:ascii="Arial" w:hAnsi="Arial" w:cs="Arial"/>
          <w:sz w:val="24"/>
          <w:szCs w:val="24"/>
        </w:rPr>
      </w:pPr>
      <w:r w:rsidRPr="006F4F2D">
        <w:rPr>
          <w:rFonts w:ascii="Arial" w:hAnsi="Arial" w:cs="Arial"/>
          <w:sz w:val="24"/>
          <w:szCs w:val="24"/>
        </w:rPr>
        <w:t>On the civil action front Steinhoff has a statutory cause of action against directors who have caused it harm.</w:t>
      </w:r>
    </w:p>
    <w:p w:rsidR="005C7245" w:rsidRPr="006F4F2D" w:rsidRDefault="005C7245" w:rsidP="007E066C">
      <w:pPr>
        <w:pStyle w:val="ListParagraph"/>
        <w:spacing w:after="160" w:line="259" w:lineRule="auto"/>
        <w:ind w:left="567"/>
        <w:jc w:val="both"/>
        <w:rPr>
          <w:rFonts w:ascii="Arial" w:hAnsi="Arial" w:cs="Arial"/>
          <w:sz w:val="24"/>
          <w:szCs w:val="24"/>
        </w:rPr>
      </w:pPr>
    </w:p>
    <w:p w:rsidR="005C7245" w:rsidRPr="006F4F2D" w:rsidRDefault="005C7245" w:rsidP="007E066C">
      <w:pPr>
        <w:pStyle w:val="ListParagraph"/>
        <w:spacing w:after="160" w:line="259" w:lineRule="auto"/>
        <w:ind w:left="567"/>
        <w:jc w:val="both"/>
        <w:rPr>
          <w:rFonts w:ascii="Arial" w:hAnsi="Arial" w:cs="Arial"/>
          <w:sz w:val="24"/>
          <w:szCs w:val="24"/>
        </w:rPr>
      </w:pPr>
    </w:p>
    <w:p w:rsidR="007E066C" w:rsidRDefault="007E066C" w:rsidP="007E066C">
      <w:pPr>
        <w:pStyle w:val="ListParagraph"/>
        <w:numPr>
          <w:ilvl w:val="1"/>
          <w:numId w:val="2"/>
        </w:numPr>
        <w:spacing w:after="160" w:line="256" w:lineRule="auto"/>
        <w:ind w:left="709"/>
        <w:jc w:val="both"/>
        <w:rPr>
          <w:rFonts w:ascii="Arial" w:hAnsi="Arial" w:cs="Arial"/>
          <w:sz w:val="24"/>
          <w:szCs w:val="24"/>
        </w:rPr>
      </w:pPr>
      <w:r w:rsidRPr="006F4F2D">
        <w:rPr>
          <w:rFonts w:ascii="Arial" w:hAnsi="Arial" w:cs="Arial"/>
          <w:sz w:val="24"/>
          <w:szCs w:val="24"/>
        </w:rPr>
        <w:t xml:space="preserve">Please note that the names of these individuals, as well as, the monthly reports that have been received by the CIPC have been provided to the CIPC under cover of confidentiality as provided for by section 212 of the Companies Act. The CIPC has accepted the confidentiality claim on the basis that the disclosure of the identities of the specific individuals as well as the monthly reports at this stage may jeopardize the criminal investigation by the SAPS. </w:t>
      </w:r>
    </w:p>
    <w:p w:rsidR="003F3660" w:rsidRDefault="003F3660" w:rsidP="003F3660">
      <w:pPr>
        <w:pStyle w:val="ListParagraph"/>
        <w:spacing w:after="160" w:line="256" w:lineRule="auto"/>
        <w:ind w:left="709"/>
        <w:jc w:val="both"/>
        <w:rPr>
          <w:rFonts w:ascii="Arial" w:hAnsi="Arial" w:cs="Arial"/>
          <w:sz w:val="24"/>
          <w:szCs w:val="24"/>
        </w:rPr>
      </w:pPr>
    </w:p>
    <w:p w:rsidR="003F3660" w:rsidRDefault="003F3660" w:rsidP="003F3660">
      <w:pPr>
        <w:pStyle w:val="ListParagraph"/>
        <w:spacing w:after="160" w:line="256" w:lineRule="auto"/>
        <w:ind w:left="709"/>
        <w:jc w:val="both"/>
        <w:rPr>
          <w:rFonts w:ascii="Arial" w:hAnsi="Arial" w:cs="Arial"/>
          <w:sz w:val="24"/>
          <w:szCs w:val="24"/>
        </w:rPr>
      </w:pPr>
    </w:p>
    <w:p w:rsidR="008F2F47" w:rsidRPr="008F2F47" w:rsidRDefault="008F2F47" w:rsidP="003F3660">
      <w:pPr>
        <w:pStyle w:val="ListParagraph"/>
        <w:spacing w:after="160" w:line="256" w:lineRule="auto"/>
        <w:ind w:left="709"/>
        <w:jc w:val="both"/>
        <w:rPr>
          <w:rFonts w:ascii="Arial" w:hAnsi="Arial" w:cs="Arial"/>
          <w:b/>
          <w:sz w:val="24"/>
          <w:szCs w:val="24"/>
          <w:u w:val="single"/>
        </w:rPr>
      </w:pPr>
      <w:r w:rsidRPr="008F2F47">
        <w:rPr>
          <w:rFonts w:ascii="Arial" w:hAnsi="Arial" w:cs="Arial"/>
          <w:b/>
          <w:sz w:val="24"/>
          <w:szCs w:val="24"/>
          <w:u w:val="single"/>
        </w:rPr>
        <w:t>S69 of the Companies Act</w:t>
      </w:r>
    </w:p>
    <w:p w:rsidR="005C7245" w:rsidRDefault="005C7245" w:rsidP="007E066C">
      <w:pPr>
        <w:pStyle w:val="ListParagraph"/>
        <w:spacing w:after="160" w:line="259" w:lineRule="auto"/>
        <w:ind w:left="567"/>
        <w:jc w:val="both"/>
        <w:rPr>
          <w:rFonts w:ascii="Arial" w:hAnsi="Arial" w:cs="Arial"/>
          <w:sz w:val="24"/>
          <w:szCs w:val="24"/>
        </w:rPr>
      </w:pPr>
    </w:p>
    <w:p w:rsidR="008F2F47" w:rsidRDefault="008F2F47" w:rsidP="007E066C">
      <w:pPr>
        <w:pStyle w:val="ListParagraph"/>
        <w:spacing w:after="160" w:line="259" w:lineRule="auto"/>
        <w:ind w:left="567"/>
        <w:jc w:val="both"/>
        <w:rPr>
          <w:rFonts w:ascii="Arial" w:hAnsi="Arial" w:cs="Arial"/>
          <w:sz w:val="24"/>
          <w:szCs w:val="24"/>
        </w:rPr>
      </w:pPr>
      <w:r>
        <w:rPr>
          <w:rFonts w:ascii="Arial" w:hAnsi="Arial" w:cs="Arial"/>
          <w:sz w:val="24"/>
          <w:szCs w:val="24"/>
        </w:rPr>
        <w:t>The CIPC is watching closely the unfolding investigations on the Civil and Criminal side and will be looking at S69 in terms of Director Delinquency applications being instituted.</w:t>
      </w:r>
    </w:p>
    <w:p w:rsidR="005C7245" w:rsidRDefault="005C7245" w:rsidP="007E066C">
      <w:pPr>
        <w:pStyle w:val="ListParagraph"/>
        <w:spacing w:after="160" w:line="259" w:lineRule="auto"/>
        <w:ind w:left="567"/>
        <w:jc w:val="both"/>
        <w:rPr>
          <w:rFonts w:ascii="Arial" w:hAnsi="Arial" w:cs="Arial"/>
          <w:sz w:val="24"/>
          <w:szCs w:val="24"/>
        </w:rPr>
      </w:pPr>
    </w:p>
    <w:p w:rsidR="005C7245" w:rsidRDefault="005C7245" w:rsidP="005C7245">
      <w:pPr>
        <w:pStyle w:val="ListParagraph"/>
        <w:spacing w:after="160" w:line="259" w:lineRule="auto"/>
        <w:jc w:val="both"/>
        <w:rPr>
          <w:rFonts w:ascii="Arial" w:hAnsi="Arial" w:cs="Arial"/>
          <w:i/>
          <w:sz w:val="24"/>
          <w:szCs w:val="24"/>
        </w:rPr>
      </w:pPr>
    </w:p>
    <w:p w:rsidR="005C7245" w:rsidRDefault="005C7245" w:rsidP="005C7245">
      <w:pPr>
        <w:pStyle w:val="ListParagraph"/>
        <w:spacing w:after="160" w:line="259" w:lineRule="auto"/>
        <w:jc w:val="both"/>
        <w:rPr>
          <w:rFonts w:ascii="Arial" w:hAnsi="Arial" w:cs="Arial"/>
          <w:i/>
          <w:sz w:val="24"/>
          <w:szCs w:val="24"/>
        </w:rPr>
      </w:pPr>
    </w:p>
    <w:p w:rsidR="005C7245" w:rsidRDefault="005C7245" w:rsidP="005C7245">
      <w:pPr>
        <w:pStyle w:val="ListParagraph"/>
        <w:spacing w:after="160" w:line="259" w:lineRule="auto"/>
        <w:jc w:val="both"/>
        <w:rPr>
          <w:rFonts w:ascii="Arial" w:hAnsi="Arial" w:cs="Arial"/>
          <w:i/>
          <w:sz w:val="24"/>
          <w:szCs w:val="24"/>
        </w:rPr>
      </w:pPr>
    </w:p>
    <w:p w:rsidR="005C7245" w:rsidRDefault="005C7245" w:rsidP="005C7245">
      <w:pPr>
        <w:pStyle w:val="ListParagraph"/>
        <w:spacing w:after="160" w:line="259" w:lineRule="auto"/>
        <w:jc w:val="both"/>
        <w:rPr>
          <w:rFonts w:ascii="Arial" w:hAnsi="Arial" w:cs="Arial"/>
          <w:i/>
          <w:sz w:val="24"/>
          <w:szCs w:val="24"/>
        </w:rPr>
      </w:pPr>
    </w:p>
    <w:p w:rsidR="005C7245" w:rsidRDefault="005C7245" w:rsidP="005C7245">
      <w:pPr>
        <w:pStyle w:val="ListParagraph"/>
        <w:spacing w:after="160" w:line="259" w:lineRule="auto"/>
        <w:jc w:val="both"/>
        <w:rPr>
          <w:rFonts w:ascii="Arial" w:hAnsi="Arial" w:cs="Arial"/>
          <w:i/>
          <w:sz w:val="24"/>
          <w:szCs w:val="24"/>
        </w:rPr>
      </w:pPr>
    </w:p>
    <w:p w:rsidR="005C7245" w:rsidRDefault="005C7245" w:rsidP="005C7245">
      <w:pPr>
        <w:pStyle w:val="ListParagraph"/>
        <w:spacing w:after="160" w:line="259" w:lineRule="auto"/>
        <w:jc w:val="both"/>
        <w:rPr>
          <w:rFonts w:ascii="Arial" w:hAnsi="Arial" w:cs="Arial"/>
          <w:i/>
          <w:sz w:val="24"/>
          <w:szCs w:val="24"/>
        </w:rPr>
      </w:pPr>
    </w:p>
    <w:p w:rsidR="005C7245" w:rsidRDefault="005C7245" w:rsidP="005C7245">
      <w:pPr>
        <w:pStyle w:val="ListParagraph"/>
        <w:spacing w:after="160" w:line="259" w:lineRule="auto"/>
        <w:jc w:val="both"/>
        <w:rPr>
          <w:rFonts w:ascii="Arial" w:hAnsi="Arial" w:cs="Arial"/>
          <w:i/>
          <w:sz w:val="24"/>
          <w:szCs w:val="24"/>
        </w:rPr>
      </w:pPr>
    </w:p>
    <w:p w:rsidR="005C7245" w:rsidRDefault="005C7245" w:rsidP="005C7245">
      <w:pPr>
        <w:pStyle w:val="ListParagraph"/>
        <w:spacing w:after="160" w:line="259" w:lineRule="auto"/>
        <w:jc w:val="both"/>
        <w:rPr>
          <w:rFonts w:ascii="Arial" w:hAnsi="Arial" w:cs="Arial"/>
          <w:i/>
          <w:sz w:val="24"/>
          <w:szCs w:val="24"/>
        </w:rPr>
      </w:pPr>
    </w:p>
    <w:p w:rsidR="005C7245" w:rsidRDefault="005C7245" w:rsidP="005C7245">
      <w:pPr>
        <w:pStyle w:val="ListParagraph"/>
        <w:spacing w:after="160" w:line="259" w:lineRule="auto"/>
        <w:jc w:val="both"/>
        <w:rPr>
          <w:rFonts w:ascii="Arial" w:hAnsi="Arial" w:cs="Arial"/>
          <w:i/>
          <w:sz w:val="24"/>
          <w:szCs w:val="24"/>
        </w:rPr>
      </w:pPr>
    </w:p>
    <w:p w:rsidR="005C7245" w:rsidRDefault="005C7245" w:rsidP="005C7245">
      <w:pPr>
        <w:pStyle w:val="ListParagraph"/>
        <w:spacing w:after="160" w:line="259" w:lineRule="auto"/>
        <w:jc w:val="both"/>
        <w:rPr>
          <w:rFonts w:ascii="Arial" w:hAnsi="Arial" w:cs="Arial"/>
          <w:i/>
          <w:sz w:val="24"/>
          <w:szCs w:val="24"/>
        </w:rPr>
      </w:pPr>
    </w:p>
    <w:p w:rsidR="005C7245" w:rsidRPr="00E379BA" w:rsidRDefault="005C7245" w:rsidP="005C7245">
      <w:pPr>
        <w:pStyle w:val="ListParagraph"/>
        <w:spacing w:after="160" w:line="259" w:lineRule="auto"/>
        <w:jc w:val="both"/>
        <w:rPr>
          <w:rFonts w:ascii="Arial" w:hAnsi="Arial" w:cs="Arial"/>
          <w:i/>
          <w:sz w:val="24"/>
          <w:szCs w:val="24"/>
        </w:rPr>
      </w:pPr>
    </w:p>
    <w:p w:rsidR="00141848" w:rsidRPr="00E379BA" w:rsidRDefault="00141848" w:rsidP="00141848">
      <w:pPr>
        <w:pStyle w:val="ListParagraph"/>
        <w:rPr>
          <w:rFonts w:ascii="Arial" w:hAnsi="Arial" w:cs="Arial"/>
          <w:sz w:val="24"/>
          <w:szCs w:val="24"/>
        </w:rPr>
      </w:pPr>
    </w:p>
    <w:p w:rsidR="00141848" w:rsidRDefault="00141848" w:rsidP="00141848">
      <w:pPr>
        <w:jc w:val="both"/>
        <w:rPr>
          <w:rFonts w:ascii="Arial" w:hAnsi="Arial" w:cs="Arial"/>
          <w:b/>
          <w:sz w:val="24"/>
          <w:szCs w:val="24"/>
        </w:rPr>
      </w:pPr>
    </w:p>
    <w:p w:rsidR="00141848" w:rsidRPr="00E379BA" w:rsidRDefault="00141848" w:rsidP="00141848">
      <w:pPr>
        <w:jc w:val="both"/>
        <w:rPr>
          <w:rFonts w:ascii="Arial" w:hAnsi="Arial" w:cs="Arial"/>
          <w:b/>
          <w:sz w:val="24"/>
          <w:szCs w:val="24"/>
          <w:u w:val="single"/>
        </w:rPr>
      </w:pPr>
      <w:r w:rsidRPr="00E379BA">
        <w:rPr>
          <w:rFonts w:ascii="Arial" w:hAnsi="Arial" w:cs="Arial"/>
          <w:b/>
          <w:sz w:val="24"/>
          <w:szCs w:val="24"/>
          <w:u w:val="single"/>
        </w:rPr>
        <w:t>Possible amendments to the Companies Act and/or Regulations</w:t>
      </w:r>
    </w:p>
    <w:p w:rsidR="00141848" w:rsidRDefault="00141848" w:rsidP="00141848">
      <w:pPr>
        <w:jc w:val="both"/>
        <w:rPr>
          <w:rFonts w:ascii="Arial" w:hAnsi="Arial" w:cs="Arial"/>
          <w:b/>
          <w:sz w:val="24"/>
          <w:szCs w:val="24"/>
        </w:rPr>
      </w:pPr>
    </w:p>
    <w:p w:rsidR="00141848" w:rsidRPr="006C11F8" w:rsidRDefault="00141848" w:rsidP="006C11F8">
      <w:pPr>
        <w:pStyle w:val="ListParagraph"/>
        <w:numPr>
          <w:ilvl w:val="0"/>
          <w:numId w:val="2"/>
        </w:numPr>
        <w:spacing w:after="160" w:line="259" w:lineRule="auto"/>
        <w:jc w:val="both"/>
        <w:rPr>
          <w:rFonts w:ascii="Arial" w:hAnsi="Arial" w:cs="Arial"/>
          <w:b/>
          <w:sz w:val="24"/>
          <w:szCs w:val="24"/>
        </w:rPr>
      </w:pPr>
      <w:r w:rsidRPr="006C11F8">
        <w:rPr>
          <w:rFonts w:ascii="Arial" w:hAnsi="Arial" w:cs="Arial"/>
          <w:b/>
          <w:sz w:val="24"/>
          <w:szCs w:val="24"/>
        </w:rPr>
        <w:t>Social and Ethics Committee</w:t>
      </w:r>
    </w:p>
    <w:p w:rsidR="00141848" w:rsidRPr="00E379BA" w:rsidRDefault="00141848" w:rsidP="00141848">
      <w:pPr>
        <w:jc w:val="both"/>
        <w:rPr>
          <w:rFonts w:ascii="Arial" w:hAnsi="Arial" w:cs="Arial"/>
          <w:b/>
          <w:sz w:val="24"/>
          <w:szCs w:val="24"/>
        </w:rPr>
      </w:pPr>
      <w:r w:rsidRPr="00E379BA">
        <w:rPr>
          <w:rFonts w:ascii="Arial" w:hAnsi="Arial" w:cs="Arial"/>
          <w:b/>
          <w:sz w:val="24"/>
          <w:szCs w:val="24"/>
        </w:rPr>
        <w:t xml:space="preserve">  </w:t>
      </w:r>
    </w:p>
    <w:p w:rsidR="00141848" w:rsidRDefault="00141848" w:rsidP="00141848">
      <w:pPr>
        <w:ind w:left="360"/>
        <w:jc w:val="both"/>
        <w:rPr>
          <w:rFonts w:ascii="Arial" w:hAnsi="Arial" w:cs="Arial"/>
          <w:sz w:val="24"/>
          <w:szCs w:val="24"/>
        </w:rPr>
      </w:pPr>
      <w:r w:rsidRPr="00E379BA">
        <w:rPr>
          <w:rFonts w:ascii="Arial" w:hAnsi="Arial" w:cs="Arial"/>
          <w:sz w:val="24"/>
          <w:szCs w:val="24"/>
        </w:rPr>
        <w:t xml:space="preserve">CIPC requested a legal opinion on the requirements for </w:t>
      </w:r>
      <w:r w:rsidRPr="00E379BA">
        <w:rPr>
          <w:rFonts w:ascii="Arial" w:hAnsi="Arial" w:cs="Arial"/>
          <w:b/>
          <w:sz w:val="24"/>
          <w:szCs w:val="24"/>
        </w:rPr>
        <w:t xml:space="preserve">establishment of Social and Ethics Committees </w:t>
      </w:r>
      <w:r w:rsidRPr="00E379BA">
        <w:rPr>
          <w:rFonts w:ascii="Arial" w:hAnsi="Arial" w:cs="Arial"/>
          <w:sz w:val="24"/>
          <w:szCs w:val="24"/>
        </w:rPr>
        <w:t xml:space="preserve">in respect of </w:t>
      </w:r>
      <w:r w:rsidRPr="00E379BA">
        <w:rPr>
          <w:rFonts w:ascii="Arial" w:hAnsi="Arial" w:cs="Arial"/>
          <w:b/>
          <w:sz w:val="24"/>
          <w:szCs w:val="24"/>
        </w:rPr>
        <w:t>External Companies</w:t>
      </w:r>
      <w:r w:rsidRPr="00E379BA">
        <w:rPr>
          <w:rFonts w:ascii="Arial" w:hAnsi="Arial" w:cs="Arial"/>
          <w:sz w:val="24"/>
          <w:szCs w:val="24"/>
        </w:rPr>
        <w:t xml:space="preserve"> and the possible wording for inclusion in the Companies Act and/or Regulations. A comprehensive opinion was received as well as a proposed amendment to include the establishment of Social and Ethics Committees as a requirement for external companies in the Companies Act and/or Regulations. </w:t>
      </w:r>
    </w:p>
    <w:p w:rsidR="003F3660" w:rsidRDefault="003F3660" w:rsidP="00141848">
      <w:pPr>
        <w:ind w:left="360"/>
        <w:jc w:val="both"/>
        <w:rPr>
          <w:rFonts w:ascii="Arial" w:hAnsi="Arial" w:cs="Arial"/>
          <w:sz w:val="24"/>
          <w:szCs w:val="24"/>
        </w:rPr>
      </w:pPr>
    </w:p>
    <w:p w:rsidR="003F3660" w:rsidRDefault="003F3660" w:rsidP="003F3660">
      <w:pPr>
        <w:rPr>
          <w:rFonts w:ascii="Segoe UI" w:hAnsi="Segoe UI" w:cs="Segoe UI"/>
        </w:rPr>
      </w:pPr>
      <w:r>
        <w:rPr>
          <w:rFonts w:ascii="Arial" w:hAnsi="Arial" w:cs="Arial"/>
          <w:sz w:val="24"/>
          <w:szCs w:val="24"/>
        </w:rPr>
        <w:t>The Dti will undertake further debate and discussions on this matter</w:t>
      </w:r>
      <w:r w:rsidRPr="003F3660">
        <w:rPr>
          <w:rFonts w:ascii="Arial" w:hAnsi="Arial" w:cs="Arial"/>
          <w:sz w:val="24"/>
          <w:szCs w:val="24"/>
        </w:rPr>
        <w:t xml:space="preserve">. </w:t>
      </w:r>
      <w:r w:rsidRPr="003F3660">
        <w:rPr>
          <w:rFonts w:ascii="Segoe UI" w:hAnsi="Segoe UI" w:cs="Segoe UI"/>
          <w:sz w:val="24"/>
          <w:szCs w:val="24"/>
        </w:rPr>
        <w:t>The amendments on the external companies are important and require extensive policy debate and will be included in the future amendments to the companies Act. The Social and Ethics Committee issues are included in the Amendment Bill from the context of disclosure of comp</w:t>
      </w:r>
      <w:r>
        <w:rPr>
          <w:rFonts w:ascii="Segoe UI" w:hAnsi="Segoe UI" w:cs="Segoe UI"/>
          <w:sz w:val="24"/>
          <w:szCs w:val="24"/>
        </w:rPr>
        <w:t>anies that apply for exemptions.</w:t>
      </w:r>
      <w:r>
        <w:rPr>
          <w:rFonts w:ascii="Segoe UI" w:hAnsi="Segoe UI" w:cs="Segoe UI"/>
        </w:rPr>
        <w:t xml:space="preserve"> </w:t>
      </w:r>
    </w:p>
    <w:p w:rsidR="003F3660" w:rsidRPr="00E379BA" w:rsidRDefault="003F3660" w:rsidP="00141848">
      <w:pPr>
        <w:ind w:left="360"/>
        <w:jc w:val="both"/>
        <w:rPr>
          <w:rFonts w:ascii="Arial" w:hAnsi="Arial" w:cs="Arial"/>
          <w:sz w:val="24"/>
          <w:szCs w:val="24"/>
        </w:rPr>
      </w:pPr>
    </w:p>
    <w:p w:rsidR="00141848" w:rsidRDefault="00141848" w:rsidP="00141848">
      <w:pPr>
        <w:jc w:val="both"/>
      </w:pPr>
    </w:p>
    <w:p w:rsidR="006C11F8" w:rsidRDefault="006C11F8" w:rsidP="00141848">
      <w:pPr>
        <w:rPr>
          <w:rFonts w:ascii="Arial" w:hAnsi="Arial" w:cs="Arial"/>
          <w:b/>
          <w:sz w:val="24"/>
          <w:szCs w:val="24"/>
          <w:u w:val="single"/>
        </w:rPr>
      </w:pPr>
    </w:p>
    <w:p w:rsidR="000A7CFB" w:rsidRDefault="000A7CFB" w:rsidP="000A7CFB">
      <w:pPr>
        <w:rPr>
          <w:lang w:val="en-GB"/>
        </w:rPr>
      </w:pPr>
    </w:p>
    <w:p w:rsidR="000A7CFB" w:rsidRDefault="000A7CFB" w:rsidP="000A7CFB">
      <w:pPr>
        <w:rPr>
          <w:lang w:val="en-GB"/>
        </w:rPr>
      </w:pPr>
    </w:p>
    <w:p w:rsidR="000A7CFB" w:rsidRDefault="000A7CFB" w:rsidP="000A7CFB">
      <w:pPr>
        <w:rPr>
          <w:lang w:val="en-GB"/>
        </w:rPr>
      </w:pPr>
    </w:p>
    <w:p w:rsidR="000A7CFB" w:rsidRDefault="000A7CFB" w:rsidP="000A7CFB">
      <w:pPr>
        <w:rPr>
          <w:lang w:val="en-GB"/>
        </w:rPr>
      </w:pPr>
    </w:p>
    <w:p w:rsidR="000A7CFB" w:rsidRDefault="000A7CFB" w:rsidP="000A7CFB">
      <w:pPr>
        <w:rPr>
          <w:lang w:val="en-GB"/>
        </w:rPr>
      </w:pPr>
    </w:p>
    <w:p w:rsidR="000A7CFB" w:rsidRDefault="000A7CFB" w:rsidP="000A7CFB">
      <w:pPr>
        <w:rPr>
          <w:lang w:val="en-GB"/>
        </w:rPr>
      </w:pPr>
    </w:p>
    <w:p w:rsidR="000A7CFB" w:rsidRDefault="000A7CFB" w:rsidP="000A7CFB">
      <w:pPr>
        <w:rPr>
          <w:lang w:val="en-GB"/>
        </w:rPr>
      </w:pPr>
    </w:p>
    <w:p w:rsidR="000A7CFB" w:rsidRDefault="000A7CFB" w:rsidP="000A7CFB">
      <w:pPr>
        <w:rPr>
          <w:lang w:val="en-GB"/>
        </w:rPr>
      </w:pPr>
    </w:p>
    <w:p w:rsidR="000A7CFB" w:rsidRDefault="000A7CFB" w:rsidP="000A7CFB">
      <w:pPr>
        <w:rPr>
          <w:lang w:val="en-GB"/>
        </w:rPr>
      </w:pPr>
    </w:p>
    <w:p w:rsidR="000A7CFB" w:rsidRDefault="000A7CFB" w:rsidP="000A7CFB">
      <w:pPr>
        <w:rPr>
          <w:lang w:val="en-GB"/>
        </w:rPr>
      </w:pPr>
    </w:p>
    <w:p w:rsidR="000A7CFB" w:rsidRDefault="000A7CFB" w:rsidP="000A7CFB">
      <w:pPr>
        <w:rPr>
          <w:lang w:val="en-GB"/>
        </w:rPr>
      </w:pPr>
    </w:p>
    <w:p w:rsidR="000A7CFB" w:rsidRDefault="000A7CFB" w:rsidP="000A7CFB">
      <w:pPr>
        <w:rPr>
          <w:lang w:val="en-GB"/>
        </w:rPr>
      </w:pPr>
    </w:p>
    <w:p w:rsidR="000A7CFB" w:rsidRDefault="000A7CFB" w:rsidP="000A7CFB">
      <w:pPr>
        <w:rPr>
          <w:lang w:val="en-GB"/>
        </w:rPr>
      </w:pPr>
    </w:p>
    <w:p w:rsidR="000A7CFB" w:rsidRDefault="000A7CFB" w:rsidP="000A7CFB">
      <w:pPr>
        <w:rPr>
          <w:lang w:val="en-GB"/>
        </w:rPr>
      </w:pPr>
    </w:p>
    <w:p w:rsidR="000A7CFB" w:rsidRDefault="000A7CFB" w:rsidP="000A7CFB">
      <w:pPr>
        <w:rPr>
          <w:lang w:val="en-GB"/>
        </w:rPr>
      </w:pPr>
    </w:p>
    <w:p w:rsidR="00141848" w:rsidRDefault="00141848" w:rsidP="00141848">
      <w:pPr>
        <w:rPr>
          <w:lang w:val="en-GB"/>
        </w:rPr>
      </w:pPr>
    </w:p>
    <w:p w:rsidR="000A7CFB" w:rsidRDefault="000A7CFB" w:rsidP="00141848">
      <w:pPr>
        <w:rPr>
          <w:lang w:val="en-GB"/>
        </w:rPr>
      </w:pPr>
    </w:p>
    <w:p w:rsidR="000A7CFB" w:rsidRDefault="000A7CFB" w:rsidP="00141848">
      <w:pPr>
        <w:rPr>
          <w:lang w:val="en-GB"/>
        </w:rPr>
      </w:pPr>
    </w:p>
    <w:p w:rsidR="000A7CFB" w:rsidRDefault="000A7CFB" w:rsidP="00141848">
      <w:pPr>
        <w:rPr>
          <w:lang w:val="en-GB"/>
        </w:rPr>
      </w:pPr>
    </w:p>
    <w:p w:rsidR="000A7CFB" w:rsidRDefault="000A7CFB" w:rsidP="00141848">
      <w:pPr>
        <w:rPr>
          <w:lang w:val="en-GB"/>
        </w:rPr>
      </w:pPr>
    </w:p>
    <w:p w:rsidR="000A7CFB" w:rsidRDefault="000A7CFB" w:rsidP="00141848">
      <w:pPr>
        <w:rPr>
          <w:lang w:val="en-GB"/>
        </w:rPr>
      </w:pPr>
    </w:p>
    <w:p w:rsidR="000A7CFB" w:rsidRDefault="000A7CFB" w:rsidP="00141848">
      <w:pPr>
        <w:rPr>
          <w:lang w:val="en-GB"/>
        </w:rPr>
      </w:pPr>
    </w:p>
    <w:p w:rsidR="000A7CFB" w:rsidRDefault="000A7CFB" w:rsidP="00141848">
      <w:pPr>
        <w:rPr>
          <w:lang w:val="en-GB"/>
        </w:rPr>
      </w:pPr>
    </w:p>
    <w:p w:rsidR="000A7CFB" w:rsidRDefault="000A7CFB" w:rsidP="00141848">
      <w:pPr>
        <w:rPr>
          <w:lang w:val="en-GB"/>
        </w:rPr>
      </w:pPr>
    </w:p>
    <w:p w:rsidR="000A7CFB" w:rsidRDefault="000A7CFB" w:rsidP="00141848">
      <w:pPr>
        <w:rPr>
          <w:lang w:val="en-GB"/>
        </w:rPr>
      </w:pPr>
    </w:p>
    <w:p w:rsidR="000A7CFB" w:rsidRDefault="000A7CFB" w:rsidP="00141848">
      <w:pPr>
        <w:rPr>
          <w:lang w:val="en-GB"/>
        </w:rPr>
      </w:pPr>
    </w:p>
    <w:p w:rsidR="000A7CFB" w:rsidRDefault="000A7CFB" w:rsidP="00141848">
      <w:pPr>
        <w:rPr>
          <w:lang w:val="en-GB"/>
        </w:rPr>
      </w:pPr>
    </w:p>
    <w:p w:rsidR="000A7CFB" w:rsidRDefault="000A7CFB" w:rsidP="00141848">
      <w:pPr>
        <w:rPr>
          <w:lang w:val="en-GB"/>
        </w:rPr>
      </w:pPr>
    </w:p>
    <w:p w:rsidR="00D14A0A" w:rsidRDefault="00D14A0A" w:rsidP="00141848">
      <w:pPr>
        <w:rPr>
          <w:lang w:val="en-GB"/>
        </w:rPr>
      </w:pPr>
    </w:p>
    <w:p w:rsidR="00D14A0A" w:rsidRDefault="00D14A0A" w:rsidP="00141848">
      <w:pPr>
        <w:rPr>
          <w:lang w:val="en-GB"/>
        </w:rPr>
      </w:pPr>
    </w:p>
    <w:p w:rsidR="000A7CFB" w:rsidRPr="00F372C5" w:rsidRDefault="000A7CFB" w:rsidP="00141848">
      <w:pPr>
        <w:rPr>
          <w:lang w:val="en-GB"/>
        </w:rPr>
      </w:pPr>
    </w:p>
    <w:p w:rsidR="000A7CFB" w:rsidRDefault="000A7CFB" w:rsidP="000A7CFB">
      <w:pPr>
        <w:rPr>
          <w:lang w:val="en-GB"/>
        </w:rPr>
      </w:pPr>
    </w:p>
    <w:p w:rsidR="000A7CFB" w:rsidRDefault="000A7CFB" w:rsidP="000A7CFB">
      <w:pPr>
        <w:rPr>
          <w:lang w:val="en-GB"/>
        </w:rPr>
      </w:pPr>
    </w:p>
    <w:p w:rsidR="000A7CFB" w:rsidRDefault="000A7CFB" w:rsidP="000A7CFB">
      <w:pPr>
        <w:rPr>
          <w:lang w:val="en-GB"/>
        </w:rPr>
      </w:pPr>
    </w:p>
    <w:p w:rsidR="000A7CFB" w:rsidRDefault="000A7CFB" w:rsidP="000A7CFB">
      <w:pPr>
        <w:rPr>
          <w:lang w:val="en-GB"/>
        </w:rPr>
      </w:pPr>
    </w:p>
    <w:p w:rsidR="000A7CFB" w:rsidRDefault="000A7CFB" w:rsidP="000A7CFB">
      <w:pPr>
        <w:rPr>
          <w:lang w:val="en-GB"/>
        </w:rPr>
      </w:pPr>
    </w:p>
    <w:p w:rsidR="000A7CFB" w:rsidRDefault="000A7CFB" w:rsidP="000A7CFB">
      <w:pPr>
        <w:rPr>
          <w:lang w:val="en-GB"/>
        </w:rPr>
      </w:pPr>
    </w:p>
    <w:p w:rsidR="000A7CFB" w:rsidRDefault="000A7CFB" w:rsidP="000A7CFB">
      <w:pPr>
        <w:rPr>
          <w:lang w:val="en-GB"/>
        </w:rPr>
      </w:pPr>
    </w:p>
    <w:p w:rsidR="000A7CFB" w:rsidRDefault="000A7CFB" w:rsidP="000A7CFB">
      <w:pPr>
        <w:rPr>
          <w:lang w:val="en-GB"/>
        </w:rPr>
      </w:pPr>
    </w:p>
    <w:p w:rsidR="000A7CFB" w:rsidRDefault="000A7CFB" w:rsidP="000A7CFB">
      <w:pPr>
        <w:rPr>
          <w:lang w:val="en-GB"/>
        </w:rPr>
      </w:pPr>
    </w:p>
    <w:p w:rsidR="000A7CFB" w:rsidRDefault="000A7CFB" w:rsidP="000A7CFB">
      <w:pPr>
        <w:rPr>
          <w:lang w:val="en-GB"/>
        </w:rPr>
      </w:pPr>
    </w:p>
    <w:p w:rsidR="000A7CFB" w:rsidRDefault="000A7CFB" w:rsidP="000A7CFB">
      <w:pPr>
        <w:rPr>
          <w:lang w:val="en-GB"/>
        </w:rPr>
      </w:pPr>
    </w:p>
    <w:p w:rsidR="000A7CFB" w:rsidRDefault="000A7CFB" w:rsidP="000A7CFB">
      <w:pPr>
        <w:rPr>
          <w:lang w:val="en-GB"/>
        </w:rPr>
      </w:pPr>
    </w:p>
    <w:p w:rsidR="000A7CFB" w:rsidRDefault="000A7CFB" w:rsidP="000A7CFB">
      <w:pPr>
        <w:rPr>
          <w:lang w:val="en-GB"/>
        </w:rPr>
      </w:pPr>
    </w:p>
    <w:p w:rsidR="000A7CFB" w:rsidRDefault="000A7CFB" w:rsidP="000A7CFB">
      <w:pPr>
        <w:rPr>
          <w:lang w:val="en-GB"/>
        </w:rPr>
      </w:pPr>
    </w:p>
    <w:p w:rsidR="000A7CFB" w:rsidRDefault="000A7CFB" w:rsidP="000A7CFB">
      <w:pPr>
        <w:rPr>
          <w:lang w:val="en-GB"/>
        </w:rPr>
      </w:pPr>
    </w:p>
    <w:p w:rsidR="000A7CFB" w:rsidRDefault="000A7CFB" w:rsidP="000A7CFB">
      <w:pPr>
        <w:rPr>
          <w:lang w:val="en-GB"/>
        </w:rPr>
      </w:pPr>
    </w:p>
    <w:p w:rsidR="000A7CFB" w:rsidRDefault="000A7CFB" w:rsidP="000A7CFB">
      <w:pPr>
        <w:rPr>
          <w:lang w:val="en-GB"/>
        </w:rPr>
      </w:pPr>
    </w:p>
    <w:p w:rsidR="000A7CFB" w:rsidRDefault="000A7CFB" w:rsidP="000A7CFB">
      <w:pPr>
        <w:rPr>
          <w:lang w:val="en-GB"/>
        </w:rPr>
      </w:pPr>
    </w:p>
    <w:p w:rsidR="00D14A0A" w:rsidRDefault="00D14A0A" w:rsidP="000A7CFB">
      <w:pPr>
        <w:rPr>
          <w:lang w:val="en-GB"/>
        </w:rPr>
      </w:pPr>
    </w:p>
    <w:p w:rsidR="00D14A0A" w:rsidRPr="000A7CFB" w:rsidRDefault="00D14A0A" w:rsidP="000A7CFB">
      <w:pPr>
        <w:rPr>
          <w:lang w:val="en-GB"/>
        </w:rPr>
      </w:pPr>
    </w:p>
    <w:p w:rsidR="000A7CFB" w:rsidRDefault="000A7CFB" w:rsidP="00141848">
      <w:pPr>
        <w:rPr>
          <w:rFonts w:cs="Arial"/>
          <w:szCs w:val="24"/>
          <w:u w:val="single"/>
        </w:rPr>
      </w:pPr>
    </w:p>
    <w:p w:rsidR="00141848" w:rsidRDefault="00141848" w:rsidP="00141848">
      <w:pPr>
        <w:rPr>
          <w:rFonts w:cs="Arial"/>
          <w:szCs w:val="24"/>
          <w:u w:val="single"/>
        </w:rPr>
      </w:pPr>
    </w:p>
    <w:p w:rsidR="00141848" w:rsidRPr="00067026" w:rsidRDefault="00141848" w:rsidP="00141848">
      <w:pPr>
        <w:autoSpaceDE w:val="0"/>
        <w:autoSpaceDN w:val="0"/>
        <w:adjustRightInd w:val="0"/>
        <w:rPr>
          <w:rFonts w:ascii="Arial" w:hAnsi="Arial" w:cs="Arial"/>
          <w:sz w:val="24"/>
          <w:szCs w:val="24"/>
        </w:rPr>
      </w:pPr>
    </w:p>
    <w:p w:rsidR="00141848" w:rsidRPr="00E379BA" w:rsidRDefault="00141848" w:rsidP="006C11F8">
      <w:pPr>
        <w:spacing w:after="160" w:line="259" w:lineRule="auto"/>
        <w:ind w:left="360"/>
        <w:jc w:val="both"/>
      </w:pPr>
    </w:p>
    <w:p w:rsidR="00141848" w:rsidRPr="00E379BA" w:rsidRDefault="00141848" w:rsidP="00141848">
      <w:pPr>
        <w:jc w:val="both"/>
      </w:pPr>
    </w:p>
    <w:p w:rsidR="00141848" w:rsidRDefault="00141848" w:rsidP="00141848"/>
    <w:p w:rsidR="00912D05" w:rsidRPr="00DC144F" w:rsidRDefault="00912D05" w:rsidP="00DC144F">
      <w:pPr>
        <w:rPr>
          <w:sz w:val="24"/>
          <w:szCs w:val="24"/>
        </w:rPr>
      </w:pPr>
    </w:p>
    <w:sectPr w:rsidR="00912D05" w:rsidRPr="00DC144F" w:rsidSect="002A5BCF">
      <w:headerReference w:type="default" r:id="rId8"/>
      <w:footerReference w:type="default" r:id="rId9"/>
      <w:type w:val="continuous"/>
      <w:pgSz w:w="11920" w:h="16840"/>
      <w:pgMar w:top="1640" w:right="580" w:bottom="0" w:left="993" w:header="990" w:footer="510" w:gutter="0"/>
      <w:cols w:space="720" w:equalWidth="0">
        <w:col w:w="1026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04D5" w:rsidRDefault="002204D5" w:rsidP="006C1BAC">
      <w:r>
        <w:separator/>
      </w:r>
    </w:p>
  </w:endnote>
  <w:endnote w:type="continuationSeparator" w:id="0">
    <w:p w:rsidR="002204D5" w:rsidRDefault="002204D5" w:rsidP="006C1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altName w:val="Arial Narrow"/>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641433"/>
      <w:docPartObj>
        <w:docPartGallery w:val="Page Numbers (Bottom of Page)"/>
        <w:docPartUnique/>
      </w:docPartObj>
    </w:sdtPr>
    <w:sdtEndPr>
      <w:rPr>
        <w:noProof/>
      </w:rPr>
    </w:sdtEndPr>
    <w:sdtContent>
      <w:p w:rsidR="00D14A0A" w:rsidRDefault="00D14A0A">
        <w:pPr>
          <w:pStyle w:val="Footer"/>
          <w:jc w:val="right"/>
        </w:pPr>
        <w:r>
          <w:fldChar w:fldCharType="begin"/>
        </w:r>
        <w:r>
          <w:instrText xml:space="preserve"> PAGE   \* MERGEFORMAT </w:instrText>
        </w:r>
        <w:r>
          <w:fldChar w:fldCharType="separate"/>
        </w:r>
        <w:r w:rsidR="008F2F47">
          <w:rPr>
            <w:noProof/>
          </w:rPr>
          <w:t>4</w:t>
        </w:r>
        <w:r>
          <w:rPr>
            <w:noProof/>
          </w:rPr>
          <w:fldChar w:fldCharType="end"/>
        </w:r>
      </w:p>
    </w:sdtContent>
  </w:sdt>
  <w:p w:rsidR="006C1BAC" w:rsidRPr="009349FE" w:rsidRDefault="006C1BAC" w:rsidP="006C1BAC">
    <w:pPr>
      <w:widowControl w:val="0"/>
      <w:autoSpaceDE w:val="0"/>
      <w:autoSpaceDN w:val="0"/>
      <w:adjustRightInd w:val="0"/>
      <w:spacing w:before="36"/>
      <w:ind w:left="810" w:right="790"/>
      <w:jc w:val="center"/>
      <w:rPr>
        <w:rFonts w:ascii="Arial" w:hAnsi="Arial" w:cs="Arial"/>
        <w:color w:val="0000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04D5" w:rsidRDefault="002204D5" w:rsidP="006C1BAC">
      <w:r>
        <w:separator/>
      </w:r>
    </w:p>
  </w:footnote>
  <w:footnote w:type="continuationSeparator" w:id="0">
    <w:p w:rsidR="002204D5" w:rsidRDefault="002204D5" w:rsidP="006C1B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F26" w:rsidRDefault="00FD1CFC">
    <w:pPr>
      <w:pStyle w:val="Header"/>
    </w:pPr>
    <w:r>
      <w:rPr>
        <w:noProof/>
        <w:lang w:val="en-ZA" w:eastAsia="en-ZA"/>
      </w:rPr>
      <w:drawing>
        <wp:anchor distT="0" distB="0" distL="114300" distR="114300" simplePos="0" relativeHeight="251660288" behindDoc="1" locked="0" layoutInCell="1" allowOverlap="1">
          <wp:simplePos x="0" y="0"/>
          <wp:positionH relativeFrom="column">
            <wp:posOffset>-672465</wp:posOffset>
          </wp:positionH>
          <wp:positionV relativeFrom="paragraph">
            <wp:posOffset>-721360</wp:posOffset>
          </wp:positionV>
          <wp:extent cx="7997825" cy="11345333"/>
          <wp:effectExtent l="2540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lum/>
                  </a:blip>
                  <a:srcRect/>
                  <a:stretch>
                    <a:fillRect/>
                  </a:stretch>
                </pic:blipFill>
                <pic:spPr bwMode="auto">
                  <a:xfrm>
                    <a:off x="0" y="0"/>
                    <a:ext cx="7997825" cy="11345333"/>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9734A"/>
    <w:multiLevelType w:val="hybridMultilevel"/>
    <w:tmpl w:val="81308610"/>
    <w:lvl w:ilvl="0" w:tplc="1C09000F">
      <w:start w:val="1"/>
      <w:numFmt w:val="decimal"/>
      <w:lvlText w:val="%1."/>
      <w:lvlJc w:val="left"/>
      <w:pPr>
        <w:ind w:left="1287" w:hanging="360"/>
      </w:p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1">
    <w:nsid w:val="226941D3"/>
    <w:multiLevelType w:val="hybridMultilevel"/>
    <w:tmpl w:val="09D0CAE0"/>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2F0F10C7"/>
    <w:multiLevelType w:val="hybridMultilevel"/>
    <w:tmpl w:val="A2A659E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31CB06CF"/>
    <w:multiLevelType w:val="hybridMultilevel"/>
    <w:tmpl w:val="9A3A3226"/>
    <w:lvl w:ilvl="0" w:tplc="4544B8C4">
      <w:start w:val="1"/>
      <w:numFmt w:val="decimal"/>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39F51B10"/>
    <w:multiLevelType w:val="multilevel"/>
    <w:tmpl w:val="F3C8E564"/>
    <w:lvl w:ilvl="0">
      <w:start w:val="1"/>
      <w:numFmt w:val="decimal"/>
      <w:lvlText w:val="%1."/>
      <w:lvlJc w:val="left"/>
      <w:pPr>
        <w:ind w:left="720" w:hanging="360"/>
      </w:pPr>
    </w:lvl>
    <w:lvl w:ilvl="1">
      <w:start w:val="1"/>
      <w:numFmt w:val="decimal"/>
      <w:isLgl/>
      <w:lvlText w:val="%1.%2"/>
      <w:lvlJc w:val="left"/>
      <w:pPr>
        <w:ind w:left="735" w:hanging="37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
    <w:nsid w:val="3BC0704C"/>
    <w:multiLevelType w:val="hybridMultilevel"/>
    <w:tmpl w:val="AE800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BAB094D"/>
    <w:multiLevelType w:val="multilevel"/>
    <w:tmpl w:val="3A460090"/>
    <w:lvl w:ilvl="0">
      <w:start w:val="1"/>
      <w:numFmt w:val="decimal"/>
      <w:lvlText w:val="%1."/>
      <w:lvlJc w:val="left"/>
      <w:pPr>
        <w:ind w:left="720" w:hanging="360"/>
      </w:pPr>
      <w:rPr>
        <w:rFonts w:hint="default"/>
        <w:i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
    <w:nsid w:val="5ECD2A09"/>
    <w:multiLevelType w:val="hybridMultilevel"/>
    <w:tmpl w:val="B5867BF8"/>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6AC14D04"/>
    <w:multiLevelType w:val="multilevel"/>
    <w:tmpl w:val="45DA303C"/>
    <w:lvl w:ilvl="0">
      <w:start w:val="1"/>
      <w:numFmt w:val="decimal"/>
      <w:lvlText w:val="%1."/>
      <w:lvlJc w:val="left"/>
      <w:pPr>
        <w:ind w:left="360" w:hanging="360"/>
      </w:pPr>
      <w:rPr>
        <w:rFonts w:hint="default"/>
        <w:b w:val="0"/>
        <w:i w:val="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6"/>
  </w:num>
  <w:num w:numId="3">
    <w:abstractNumId w:val="8"/>
  </w:num>
  <w:num w:numId="4">
    <w:abstractNumId w:val="3"/>
  </w:num>
  <w:num w:numId="5">
    <w:abstractNumId w:val="4"/>
  </w:num>
  <w:num w:numId="6">
    <w:abstractNumId w:val="7"/>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352"/>
    <w:rsid w:val="000A7CFB"/>
    <w:rsid w:val="000F1416"/>
    <w:rsid w:val="00117D8F"/>
    <w:rsid w:val="00126F0B"/>
    <w:rsid w:val="00141848"/>
    <w:rsid w:val="00167621"/>
    <w:rsid w:val="001A30B2"/>
    <w:rsid w:val="002204D5"/>
    <w:rsid w:val="0029730B"/>
    <w:rsid w:val="002A5BCF"/>
    <w:rsid w:val="002A62C0"/>
    <w:rsid w:val="002C2624"/>
    <w:rsid w:val="002D6F26"/>
    <w:rsid w:val="00396942"/>
    <w:rsid w:val="003F18BC"/>
    <w:rsid w:val="003F3660"/>
    <w:rsid w:val="004E3D8C"/>
    <w:rsid w:val="00517FDB"/>
    <w:rsid w:val="00534D3A"/>
    <w:rsid w:val="00542ED7"/>
    <w:rsid w:val="00573536"/>
    <w:rsid w:val="005B0637"/>
    <w:rsid w:val="005C7245"/>
    <w:rsid w:val="00645039"/>
    <w:rsid w:val="0068264E"/>
    <w:rsid w:val="006A74B1"/>
    <w:rsid w:val="006C11F8"/>
    <w:rsid w:val="006C1BAC"/>
    <w:rsid w:val="006F4F2D"/>
    <w:rsid w:val="00752A96"/>
    <w:rsid w:val="007E066C"/>
    <w:rsid w:val="00882F1B"/>
    <w:rsid w:val="008F2F47"/>
    <w:rsid w:val="00912D05"/>
    <w:rsid w:val="009349FE"/>
    <w:rsid w:val="00A62CCC"/>
    <w:rsid w:val="00B12AA6"/>
    <w:rsid w:val="00B27BCF"/>
    <w:rsid w:val="00B543ED"/>
    <w:rsid w:val="00BE180A"/>
    <w:rsid w:val="00C52537"/>
    <w:rsid w:val="00C83017"/>
    <w:rsid w:val="00D14A0A"/>
    <w:rsid w:val="00D50CD1"/>
    <w:rsid w:val="00D86D11"/>
    <w:rsid w:val="00DC144F"/>
    <w:rsid w:val="00DF11A1"/>
    <w:rsid w:val="00DF2CF1"/>
    <w:rsid w:val="00E2183A"/>
    <w:rsid w:val="00E523C7"/>
    <w:rsid w:val="00E6208B"/>
    <w:rsid w:val="00EA355B"/>
    <w:rsid w:val="00F52112"/>
    <w:rsid w:val="00FA3352"/>
    <w:rsid w:val="00FD1CFC"/>
    <w:rsid w:val="00FF308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3EEEF24-C9B2-4558-8C43-525AB9399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4184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next w:val="Normal"/>
    <w:link w:val="Heading4Char"/>
    <w:qFormat/>
    <w:rsid w:val="002C2624"/>
    <w:pPr>
      <w:keepNext/>
      <w:outlineLvl w:val="3"/>
    </w:pPr>
    <w:rPr>
      <w:rFonts w:ascii="Arial" w:hAnsi="Arial" w:cs="Arial"/>
      <w:b/>
      <w:bCs/>
    </w:rPr>
  </w:style>
  <w:style w:type="paragraph" w:styleId="Heading5">
    <w:name w:val="heading 5"/>
    <w:basedOn w:val="Normal"/>
    <w:next w:val="Normal"/>
    <w:link w:val="Heading5Char"/>
    <w:qFormat/>
    <w:rsid w:val="002C2624"/>
    <w:pPr>
      <w:spacing w:before="240" w:after="60"/>
      <w:outlineLvl w:val="4"/>
    </w:pPr>
    <w:rPr>
      <w:rFonts w:ascii="Cambria" w:eastAsia="Cambria" w:hAnsi="Cambria"/>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1BAC"/>
    <w:rPr>
      <w:rFonts w:ascii="Tahoma" w:hAnsi="Tahoma" w:cs="Tahoma"/>
      <w:sz w:val="16"/>
      <w:szCs w:val="16"/>
    </w:rPr>
  </w:style>
  <w:style w:type="character" w:customStyle="1" w:styleId="BalloonTextChar">
    <w:name w:val="Balloon Text Char"/>
    <w:basedOn w:val="DefaultParagraphFont"/>
    <w:link w:val="BalloonText"/>
    <w:uiPriority w:val="99"/>
    <w:semiHidden/>
    <w:rsid w:val="006C1BAC"/>
    <w:rPr>
      <w:rFonts w:ascii="Tahoma" w:hAnsi="Tahoma" w:cs="Tahoma"/>
      <w:sz w:val="16"/>
      <w:szCs w:val="16"/>
    </w:rPr>
  </w:style>
  <w:style w:type="paragraph" w:styleId="Header">
    <w:name w:val="header"/>
    <w:basedOn w:val="Normal"/>
    <w:link w:val="HeaderChar"/>
    <w:uiPriority w:val="99"/>
    <w:unhideWhenUsed/>
    <w:rsid w:val="006C1BAC"/>
    <w:pPr>
      <w:tabs>
        <w:tab w:val="center" w:pos="4680"/>
        <w:tab w:val="right" w:pos="9360"/>
      </w:tabs>
    </w:pPr>
  </w:style>
  <w:style w:type="character" w:customStyle="1" w:styleId="HeaderChar">
    <w:name w:val="Header Char"/>
    <w:basedOn w:val="DefaultParagraphFont"/>
    <w:link w:val="Header"/>
    <w:uiPriority w:val="99"/>
    <w:rsid w:val="006C1BAC"/>
  </w:style>
  <w:style w:type="paragraph" w:styleId="Footer">
    <w:name w:val="footer"/>
    <w:basedOn w:val="Normal"/>
    <w:link w:val="FooterChar"/>
    <w:uiPriority w:val="99"/>
    <w:unhideWhenUsed/>
    <w:rsid w:val="006C1BAC"/>
    <w:pPr>
      <w:tabs>
        <w:tab w:val="center" w:pos="4680"/>
        <w:tab w:val="right" w:pos="9360"/>
      </w:tabs>
    </w:pPr>
  </w:style>
  <w:style w:type="character" w:customStyle="1" w:styleId="FooterChar">
    <w:name w:val="Footer Char"/>
    <w:basedOn w:val="DefaultParagraphFont"/>
    <w:link w:val="Footer"/>
    <w:uiPriority w:val="99"/>
    <w:rsid w:val="006C1BAC"/>
  </w:style>
  <w:style w:type="table" w:styleId="TableGrid">
    <w:name w:val="Table Grid"/>
    <w:basedOn w:val="TableNormal"/>
    <w:uiPriority w:val="59"/>
    <w:rsid w:val="00126F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26F0B"/>
    <w:pPr>
      <w:ind w:left="720"/>
      <w:contextualSpacing/>
    </w:pPr>
  </w:style>
  <w:style w:type="character" w:customStyle="1" w:styleId="Heading4Char">
    <w:name w:val="Heading 4 Char"/>
    <w:basedOn w:val="DefaultParagraphFont"/>
    <w:link w:val="Heading4"/>
    <w:rsid w:val="002C2624"/>
    <w:rPr>
      <w:rFonts w:ascii="Arial" w:hAnsi="Arial" w:cs="Arial"/>
      <w:b/>
      <w:bCs/>
    </w:rPr>
  </w:style>
  <w:style w:type="character" w:customStyle="1" w:styleId="Heading5Char">
    <w:name w:val="Heading 5 Char"/>
    <w:basedOn w:val="DefaultParagraphFont"/>
    <w:link w:val="Heading5"/>
    <w:rsid w:val="002C2624"/>
    <w:rPr>
      <w:rFonts w:ascii="Cambria" w:eastAsia="Cambria" w:hAnsi="Cambria"/>
      <w:b/>
      <w:bCs/>
      <w:i/>
      <w:iCs/>
      <w:sz w:val="26"/>
      <w:szCs w:val="26"/>
    </w:rPr>
  </w:style>
  <w:style w:type="paragraph" w:styleId="BodyTextIndent3">
    <w:name w:val="Body Text Indent 3"/>
    <w:basedOn w:val="Normal"/>
    <w:link w:val="BodyTextIndent3Char"/>
    <w:rsid w:val="002C2624"/>
    <w:pPr>
      <w:spacing w:before="120" w:after="120" w:line="360" w:lineRule="auto"/>
      <w:ind w:left="360" w:hanging="567"/>
      <w:jc w:val="both"/>
    </w:pPr>
    <w:rPr>
      <w:rFonts w:ascii="Arial" w:hAnsi="Arial"/>
      <w:sz w:val="16"/>
      <w:szCs w:val="16"/>
      <w:lang w:val="en-GB"/>
    </w:rPr>
  </w:style>
  <w:style w:type="character" w:customStyle="1" w:styleId="BodyTextIndent3Char">
    <w:name w:val="Body Text Indent 3 Char"/>
    <w:basedOn w:val="DefaultParagraphFont"/>
    <w:link w:val="BodyTextIndent3"/>
    <w:rsid w:val="002C2624"/>
    <w:rPr>
      <w:rFonts w:ascii="Arial" w:hAnsi="Arial"/>
      <w:sz w:val="16"/>
      <w:szCs w:val="16"/>
      <w:lang w:val="en-GB"/>
    </w:rPr>
  </w:style>
  <w:style w:type="paragraph" w:customStyle="1" w:styleId="AnnexureHeading">
    <w:name w:val="Annexure Heading"/>
    <w:basedOn w:val="Normal"/>
    <w:qFormat/>
    <w:rsid w:val="002C2624"/>
    <w:pPr>
      <w:spacing w:before="120" w:after="120" w:line="360" w:lineRule="auto"/>
      <w:ind w:left="737" w:hanging="567"/>
      <w:jc w:val="center"/>
    </w:pPr>
    <w:rPr>
      <w:rFonts w:ascii="Arial" w:hAnsi="Arial"/>
      <w:b/>
      <w:color w:val="000000"/>
      <w:sz w:val="36"/>
      <w:szCs w:val="24"/>
      <w:lang w:val="en-GB"/>
    </w:rPr>
  </w:style>
  <w:style w:type="character" w:customStyle="1" w:styleId="Heading1Char">
    <w:name w:val="Heading 1 Char"/>
    <w:basedOn w:val="DefaultParagraphFont"/>
    <w:link w:val="Heading1"/>
    <w:uiPriority w:val="9"/>
    <w:rsid w:val="00141848"/>
    <w:rPr>
      <w:rFonts w:asciiTheme="majorHAnsi" w:eastAsiaTheme="majorEastAsia" w:hAnsiTheme="majorHAnsi" w:cstheme="majorBidi"/>
      <w:color w:val="365F91" w:themeColor="accent1" w:themeShade="BF"/>
      <w:sz w:val="32"/>
      <w:szCs w:val="32"/>
    </w:rPr>
  </w:style>
  <w:style w:type="paragraph" w:styleId="PlainText">
    <w:name w:val="Plain Text"/>
    <w:basedOn w:val="Normal"/>
    <w:link w:val="PlainTextChar"/>
    <w:uiPriority w:val="99"/>
    <w:unhideWhenUsed/>
    <w:rsid w:val="00141848"/>
    <w:rPr>
      <w:rFonts w:ascii="Calibri" w:eastAsiaTheme="minorHAnsi" w:hAnsi="Calibri" w:cstheme="minorBidi"/>
      <w:sz w:val="22"/>
      <w:szCs w:val="21"/>
      <w:lang w:val="en-ZA"/>
    </w:rPr>
  </w:style>
  <w:style w:type="character" w:customStyle="1" w:styleId="PlainTextChar">
    <w:name w:val="Plain Text Char"/>
    <w:basedOn w:val="DefaultParagraphFont"/>
    <w:link w:val="PlainText"/>
    <w:uiPriority w:val="99"/>
    <w:rsid w:val="00141848"/>
    <w:rPr>
      <w:rFonts w:ascii="Calibri" w:eastAsiaTheme="minorHAnsi" w:hAnsi="Calibri" w:cstheme="minorBidi"/>
      <w:sz w:val="22"/>
      <w:szCs w:val="21"/>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6476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DFBF0-8C57-4C08-95F3-4C5DFD0BC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Pages>
  <Words>713</Words>
  <Characters>4069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Submissions.indd</vt:lpstr>
    </vt:vector>
  </TitlesOfParts>
  <Company/>
  <LinksUpToDate>false</LinksUpToDate>
  <CharactersWithSpaces>4773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Submissions.indd</dc:title>
  <dc:creator>Karin Coode</dc:creator>
  <cp:lastModifiedBy>Asogaren Chetty</cp:lastModifiedBy>
  <cp:revision>2</cp:revision>
  <cp:lastPrinted>2016-07-05T13:06:00Z</cp:lastPrinted>
  <dcterms:created xsi:type="dcterms:W3CDTF">2019-03-14T11:10:00Z</dcterms:created>
  <dcterms:modified xsi:type="dcterms:W3CDTF">2019-03-14T11:10:00Z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ManualFileClassification">
    <vt:lpwstr>{1A067545-A4E2-4FA1-8094-0D7902669705}</vt:lpwstr>
  </property>
  <property fmtid="{D5CDD505-2E9C-101B-9397-08002B2CF9AE}" pid="3" name="DLPManualFileClassificationLastModifiedBy">
    <vt:lpwstr>CIPROZA\AChetty</vt:lpwstr>
  </property>
  <property fmtid="{D5CDD505-2E9C-101B-9397-08002B2CF9AE}" pid="4" name="DLPManualFileClassificationLastModificationDate">
    <vt:lpwstr>1552559405</vt:lpwstr>
  </property>
  <property fmtid="{D5CDD505-2E9C-101B-9397-08002B2CF9AE}" pid="5" name="DLPManualFileClassificationVersion">
    <vt:lpwstr>11.0.2.3</vt:lpwstr>
  </property>
</Properties>
</file>