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6E730" w14:textId="541301CE" w:rsidR="000850EB" w:rsidRPr="00BC08EE" w:rsidRDefault="00BC08EE" w:rsidP="00BC08EE">
      <w:pPr>
        <w:spacing w:line="240" w:lineRule="auto"/>
        <w:ind w:left="446" w:hanging="446"/>
        <w:jc w:val="both"/>
        <w:rPr>
          <w:rFonts w:ascii="Times New Roman" w:hAnsi="Times New Roman" w:cs="Times New Roman"/>
          <w:sz w:val="28"/>
          <w:szCs w:val="28"/>
        </w:rPr>
      </w:pPr>
      <w:bookmarkStart w:id="0" w:name="_GoBack"/>
      <w:bookmarkEnd w:id="0"/>
      <w:r w:rsidRPr="00BC08EE">
        <w:rPr>
          <w:rFonts w:ascii="Times New Roman" w:hAnsi="Times New Roman" w:cs="Times New Roman"/>
          <w:b/>
          <w:sz w:val="28"/>
          <w:szCs w:val="28"/>
          <w:lang w:val="en-US"/>
        </w:rPr>
        <w:t>5.</w:t>
      </w:r>
      <w:r w:rsidRPr="00BC08EE">
        <w:rPr>
          <w:rFonts w:ascii="Times New Roman" w:hAnsi="Times New Roman" w:cs="Times New Roman"/>
          <w:b/>
          <w:sz w:val="28"/>
          <w:szCs w:val="28"/>
          <w:lang w:val="en-US"/>
        </w:rPr>
        <w:tab/>
      </w:r>
      <w:r w:rsidR="000850EB" w:rsidRPr="00BC08EE">
        <w:rPr>
          <w:rFonts w:ascii="Times New Roman" w:hAnsi="Times New Roman" w:cs="Times New Roman"/>
          <w:b/>
          <w:sz w:val="28"/>
          <w:szCs w:val="28"/>
          <w:lang w:val="en-US"/>
        </w:rPr>
        <w:t xml:space="preserve">REPORT OF THE STANDING COMMITTEE ON APPROPRIATIONS ON THE 2018 MEDIUM TERM </w:t>
      </w:r>
      <w:r w:rsidR="00CF423D" w:rsidRPr="00BC08EE">
        <w:rPr>
          <w:rFonts w:ascii="Times New Roman" w:hAnsi="Times New Roman" w:cs="Times New Roman"/>
          <w:b/>
          <w:sz w:val="28"/>
          <w:szCs w:val="28"/>
          <w:lang w:val="en-US"/>
        </w:rPr>
        <w:t xml:space="preserve">BUDGET POLICY STATEMENT, DATED </w:t>
      </w:r>
      <w:r w:rsidR="000850EB" w:rsidRPr="00BC08EE">
        <w:rPr>
          <w:rFonts w:ascii="Times New Roman" w:hAnsi="Times New Roman" w:cs="Times New Roman"/>
          <w:b/>
          <w:sz w:val="28"/>
          <w:szCs w:val="28"/>
          <w:lang w:val="en-US"/>
        </w:rPr>
        <w:t>27 NOVEMBER 2018</w:t>
      </w:r>
    </w:p>
    <w:p w14:paraId="48E01A77" w14:textId="3B697BDA" w:rsidR="000850EB" w:rsidRDefault="000850EB" w:rsidP="00FA6C36">
      <w:pPr>
        <w:spacing w:line="360" w:lineRule="auto"/>
        <w:jc w:val="both"/>
        <w:rPr>
          <w:rFonts w:ascii="Times New Roman" w:hAnsi="Times New Roman" w:cs="Times New Roman"/>
          <w:sz w:val="24"/>
          <w:szCs w:val="24"/>
        </w:rPr>
      </w:pPr>
      <w:r w:rsidRPr="004D38E2">
        <w:rPr>
          <w:rFonts w:ascii="Times New Roman" w:hAnsi="Times New Roman" w:cs="Times New Roman"/>
          <w:sz w:val="24"/>
          <w:szCs w:val="24"/>
        </w:rPr>
        <w:t>Having considered and heard comments from identified stakeholders on the 2018 Medium Term Budget Policy Statement, the Standing Committee on Appropriations reports as follows:</w:t>
      </w:r>
    </w:p>
    <w:p w14:paraId="58C11CCE" w14:textId="77777777" w:rsidR="004B2C1D" w:rsidRPr="004D38E2" w:rsidRDefault="004B2C1D" w:rsidP="00FA6C36">
      <w:pPr>
        <w:spacing w:line="360" w:lineRule="auto"/>
        <w:jc w:val="both"/>
        <w:rPr>
          <w:rFonts w:ascii="Times New Roman" w:hAnsi="Times New Roman" w:cs="Times New Roman"/>
          <w:sz w:val="24"/>
          <w:szCs w:val="24"/>
        </w:rPr>
      </w:pPr>
    </w:p>
    <w:p w14:paraId="58643500" w14:textId="77777777" w:rsidR="000850EB" w:rsidRPr="00C2495A" w:rsidRDefault="000850EB" w:rsidP="00FA6C36">
      <w:pPr>
        <w:pStyle w:val="ListParagraph"/>
        <w:numPr>
          <w:ilvl w:val="0"/>
          <w:numId w:val="29"/>
        </w:numPr>
        <w:tabs>
          <w:tab w:val="left" w:pos="426"/>
        </w:tabs>
        <w:spacing w:line="360" w:lineRule="auto"/>
        <w:ind w:left="0" w:firstLine="0"/>
        <w:jc w:val="both"/>
        <w:rPr>
          <w:rFonts w:ascii="Times New Roman" w:hAnsi="Times New Roman" w:cs="Times New Roman"/>
          <w:b/>
          <w:sz w:val="24"/>
          <w:szCs w:val="24"/>
        </w:rPr>
      </w:pPr>
      <w:r w:rsidRPr="00C2495A">
        <w:rPr>
          <w:rFonts w:ascii="Times New Roman" w:hAnsi="Times New Roman" w:cs="Times New Roman"/>
          <w:b/>
          <w:sz w:val="24"/>
          <w:szCs w:val="24"/>
        </w:rPr>
        <w:t>Introduction</w:t>
      </w:r>
    </w:p>
    <w:p w14:paraId="17521ED0" w14:textId="77777777" w:rsidR="00FA6C36" w:rsidRDefault="000850EB" w:rsidP="00FA6C36">
      <w:pPr>
        <w:spacing w:line="360" w:lineRule="auto"/>
        <w:jc w:val="both"/>
        <w:rPr>
          <w:rFonts w:ascii="Times New Roman" w:hAnsi="Times New Roman" w:cs="Times New Roman"/>
          <w:sz w:val="24"/>
          <w:szCs w:val="24"/>
        </w:rPr>
      </w:pPr>
      <w:r w:rsidRPr="004D38E2">
        <w:rPr>
          <w:rFonts w:ascii="Times New Roman" w:hAnsi="Times New Roman" w:cs="Times New Roman"/>
          <w:sz w:val="24"/>
          <w:szCs w:val="24"/>
        </w:rPr>
        <w:t>The Minister of Finance tabled the Medium Term Budget Policy Statement (MTBPS) on 24 October 2018 as required by section 6 (1) of the Money Bills Amendment Procedure and Related Matters Act, No. 9 of 2009 (the Act), outlining the budget priorities and spending plans of government for the medium term. Part of the MTBPS was referred to the Standing and Select Committees on Appropriations for consideration and report. This was done in accordance with their respective mandates as outlined in the Act. Among its responsibilities, as per Section 6 (8), in respec</w:t>
      </w:r>
      <w:r w:rsidR="00FA6C36">
        <w:rPr>
          <w:rFonts w:ascii="Times New Roman" w:hAnsi="Times New Roman" w:cs="Times New Roman"/>
          <w:sz w:val="24"/>
          <w:szCs w:val="24"/>
        </w:rPr>
        <w:t>t of the MTBPS, the Committee i</w:t>
      </w:r>
      <w:r w:rsidRPr="004D38E2">
        <w:rPr>
          <w:rFonts w:ascii="Times New Roman" w:hAnsi="Times New Roman" w:cs="Times New Roman"/>
          <w:sz w:val="24"/>
          <w:szCs w:val="24"/>
        </w:rPr>
        <w:t>s required to consider and report on the following issues:</w:t>
      </w:r>
    </w:p>
    <w:p w14:paraId="4474D4EC" w14:textId="77777777" w:rsidR="000850EB" w:rsidRPr="00FA6C36" w:rsidRDefault="000850EB" w:rsidP="000C51FE">
      <w:pPr>
        <w:pStyle w:val="ListParagraph"/>
        <w:numPr>
          <w:ilvl w:val="0"/>
          <w:numId w:val="31"/>
        </w:numPr>
        <w:spacing w:line="360" w:lineRule="auto"/>
        <w:ind w:hanging="270"/>
        <w:jc w:val="both"/>
        <w:rPr>
          <w:rFonts w:ascii="Times New Roman" w:hAnsi="Times New Roman" w:cs="Times New Roman"/>
          <w:sz w:val="24"/>
          <w:szCs w:val="24"/>
        </w:rPr>
      </w:pPr>
      <w:r w:rsidRPr="00FA6C36">
        <w:rPr>
          <w:rFonts w:ascii="Times New Roman" w:hAnsi="Times New Roman" w:cs="Times New Roman"/>
          <w:sz w:val="24"/>
          <w:szCs w:val="24"/>
        </w:rPr>
        <w:t>the spending priorities of national government for the next three years;</w:t>
      </w:r>
    </w:p>
    <w:p w14:paraId="511946E3" w14:textId="77777777" w:rsidR="000850EB" w:rsidRPr="004D38E2" w:rsidRDefault="000850EB" w:rsidP="00FA6C36">
      <w:pPr>
        <w:numPr>
          <w:ilvl w:val="0"/>
          <w:numId w:val="1"/>
        </w:numPr>
        <w:spacing w:after="0" w:line="360" w:lineRule="auto"/>
        <w:ind w:hanging="294"/>
        <w:jc w:val="both"/>
        <w:rPr>
          <w:rFonts w:ascii="Times New Roman" w:hAnsi="Times New Roman" w:cs="Times New Roman"/>
          <w:sz w:val="24"/>
          <w:szCs w:val="24"/>
        </w:rPr>
      </w:pPr>
      <w:r w:rsidRPr="004D38E2">
        <w:rPr>
          <w:rFonts w:ascii="Times New Roman" w:hAnsi="Times New Roman" w:cs="Times New Roman"/>
          <w:sz w:val="24"/>
          <w:szCs w:val="24"/>
        </w:rPr>
        <w:t xml:space="preserve">the proposed division of revenue between the spheres of government and between arms of government within a sphere for the next three years; and </w:t>
      </w:r>
    </w:p>
    <w:p w14:paraId="51C1548C" w14:textId="77777777" w:rsidR="000850EB" w:rsidRPr="004D38E2" w:rsidRDefault="000850EB" w:rsidP="00FA6C36">
      <w:pPr>
        <w:numPr>
          <w:ilvl w:val="0"/>
          <w:numId w:val="1"/>
        </w:numPr>
        <w:spacing w:after="0" w:line="360" w:lineRule="auto"/>
        <w:ind w:hanging="294"/>
        <w:jc w:val="both"/>
        <w:rPr>
          <w:rFonts w:ascii="Times New Roman" w:hAnsi="Times New Roman" w:cs="Times New Roman"/>
          <w:sz w:val="24"/>
          <w:szCs w:val="24"/>
        </w:rPr>
      </w:pPr>
      <w:r w:rsidRPr="004D38E2">
        <w:rPr>
          <w:rFonts w:ascii="Times New Roman" w:hAnsi="Times New Roman" w:cs="Times New Roman"/>
          <w:sz w:val="24"/>
          <w:szCs w:val="24"/>
        </w:rPr>
        <w:t xml:space="preserve">the proposed substantial adjustments to conditional grants to provinces and local government, if any. </w:t>
      </w:r>
      <w:r w:rsidRPr="004D38E2" w:rsidDel="00B1438E">
        <w:rPr>
          <w:rFonts w:ascii="Times New Roman" w:hAnsi="Times New Roman" w:cs="Times New Roman"/>
          <w:sz w:val="24"/>
          <w:szCs w:val="24"/>
        </w:rPr>
        <w:t xml:space="preserve"> </w:t>
      </w:r>
    </w:p>
    <w:p w14:paraId="00D54FC9" w14:textId="77777777" w:rsidR="00F80931" w:rsidRDefault="00F80931" w:rsidP="00FA6C36">
      <w:pPr>
        <w:spacing w:line="360" w:lineRule="auto"/>
        <w:jc w:val="both"/>
        <w:rPr>
          <w:rFonts w:ascii="Times New Roman" w:hAnsi="Times New Roman" w:cs="Times New Roman"/>
          <w:sz w:val="24"/>
          <w:szCs w:val="24"/>
        </w:rPr>
      </w:pPr>
    </w:p>
    <w:p w14:paraId="12628C18" w14:textId="77777777" w:rsidR="000850EB" w:rsidRPr="004D38E2" w:rsidRDefault="000850EB" w:rsidP="00FA6C36">
      <w:pPr>
        <w:spacing w:line="360" w:lineRule="auto"/>
        <w:jc w:val="both"/>
        <w:rPr>
          <w:rFonts w:ascii="Times New Roman" w:hAnsi="Times New Roman" w:cs="Times New Roman"/>
          <w:sz w:val="24"/>
          <w:szCs w:val="24"/>
        </w:rPr>
      </w:pPr>
      <w:r w:rsidRPr="004D38E2">
        <w:rPr>
          <w:rFonts w:ascii="Times New Roman" w:hAnsi="Times New Roman" w:cs="Times New Roman"/>
          <w:sz w:val="24"/>
          <w:szCs w:val="24"/>
        </w:rPr>
        <w:t xml:space="preserve">In order to deepen democracy, good governance and promote public participation during the budget process, the Committee invited the following stakeholders for comments:  </w:t>
      </w:r>
    </w:p>
    <w:p w14:paraId="69A51F6D" w14:textId="77777777" w:rsidR="000850EB" w:rsidRPr="004D38E2" w:rsidRDefault="000850EB" w:rsidP="00FA6C36">
      <w:pPr>
        <w:pStyle w:val="ListParagraph"/>
        <w:numPr>
          <w:ilvl w:val="0"/>
          <w:numId w:val="4"/>
        </w:numPr>
        <w:spacing w:line="360" w:lineRule="auto"/>
        <w:jc w:val="both"/>
        <w:rPr>
          <w:rFonts w:ascii="Times New Roman" w:hAnsi="Times New Roman" w:cs="Times New Roman"/>
          <w:sz w:val="24"/>
          <w:szCs w:val="24"/>
        </w:rPr>
      </w:pPr>
      <w:r w:rsidRPr="004D38E2">
        <w:rPr>
          <w:rFonts w:ascii="Times New Roman" w:hAnsi="Times New Roman" w:cs="Times New Roman"/>
          <w:sz w:val="24"/>
          <w:szCs w:val="24"/>
        </w:rPr>
        <w:t>Financial and Fiscal Commission (FFC);</w:t>
      </w:r>
    </w:p>
    <w:p w14:paraId="7EB39277" w14:textId="77777777" w:rsidR="000850EB" w:rsidRPr="004D38E2" w:rsidRDefault="000850EB" w:rsidP="00FA6C36">
      <w:pPr>
        <w:pStyle w:val="ListParagraph"/>
        <w:numPr>
          <w:ilvl w:val="0"/>
          <w:numId w:val="4"/>
        </w:numPr>
        <w:spacing w:line="360" w:lineRule="auto"/>
        <w:jc w:val="both"/>
        <w:rPr>
          <w:rFonts w:ascii="Times New Roman" w:hAnsi="Times New Roman" w:cs="Times New Roman"/>
          <w:sz w:val="24"/>
          <w:szCs w:val="24"/>
        </w:rPr>
      </w:pPr>
      <w:r w:rsidRPr="004D38E2">
        <w:rPr>
          <w:rFonts w:ascii="Times New Roman" w:hAnsi="Times New Roman" w:cs="Times New Roman"/>
          <w:sz w:val="24"/>
          <w:szCs w:val="24"/>
        </w:rPr>
        <w:t>South African Local Government Association (SALGA)</w:t>
      </w:r>
    </w:p>
    <w:p w14:paraId="4A06DD1C" w14:textId="77777777" w:rsidR="000850EB" w:rsidRPr="004D38E2" w:rsidRDefault="000850EB" w:rsidP="00FA6C36">
      <w:pPr>
        <w:pStyle w:val="ListParagraph"/>
        <w:numPr>
          <w:ilvl w:val="0"/>
          <w:numId w:val="4"/>
        </w:numPr>
        <w:spacing w:line="360" w:lineRule="auto"/>
        <w:jc w:val="both"/>
        <w:rPr>
          <w:rFonts w:ascii="Times New Roman" w:hAnsi="Times New Roman" w:cs="Times New Roman"/>
          <w:sz w:val="24"/>
          <w:szCs w:val="24"/>
        </w:rPr>
      </w:pPr>
      <w:r w:rsidRPr="004D38E2">
        <w:rPr>
          <w:rFonts w:ascii="Times New Roman" w:hAnsi="Times New Roman" w:cs="Times New Roman"/>
          <w:sz w:val="24"/>
          <w:szCs w:val="24"/>
        </w:rPr>
        <w:t>Public Service Commission (PSC); and</w:t>
      </w:r>
    </w:p>
    <w:p w14:paraId="045D5B02" w14:textId="77777777" w:rsidR="00AD170F" w:rsidRDefault="000850EB" w:rsidP="00AD170F">
      <w:pPr>
        <w:pStyle w:val="ListParagraph"/>
        <w:numPr>
          <w:ilvl w:val="0"/>
          <w:numId w:val="4"/>
        </w:numPr>
        <w:spacing w:line="360" w:lineRule="auto"/>
        <w:jc w:val="both"/>
        <w:rPr>
          <w:rFonts w:ascii="Times New Roman" w:hAnsi="Times New Roman" w:cs="Times New Roman"/>
          <w:sz w:val="24"/>
          <w:szCs w:val="24"/>
        </w:rPr>
      </w:pPr>
      <w:r w:rsidRPr="004D38E2">
        <w:rPr>
          <w:rFonts w:ascii="Times New Roman" w:hAnsi="Times New Roman" w:cs="Times New Roman"/>
          <w:sz w:val="24"/>
          <w:szCs w:val="24"/>
        </w:rPr>
        <w:t>Human Sc</w:t>
      </w:r>
      <w:r w:rsidR="003A2F79">
        <w:rPr>
          <w:rFonts w:ascii="Times New Roman" w:hAnsi="Times New Roman" w:cs="Times New Roman"/>
          <w:sz w:val="24"/>
          <w:szCs w:val="24"/>
        </w:rPr>
        <w:t>iences Research Council (HSRC).</w:t>
      </w:r>
    </w:p>
    <w:p w14:paraId="2D721008" w14:textId="77777777" w:rsidR="008C305A" w:rsidRDefault="008C305A" w:rsidP="00FA6C36">
      <w:pPr>
        <w:spacing w:line="360" w:lineRule="auto"/>
        <w:jc w:val="both"/>
        <w:rPr>
          <w:rFonts w:ascii="Times New Roman" w:hAnsi="Times New Roman" w:cs="Times New Roman"/>
          <w:sz w:val="24"/>
          <w:szCs w:val="24"/>
          <w:lang w:val="en-US"/>
        </w:rPr>
      </w:pPr>
    </w:p>
    <w:p w14:paraId="146B4340" w14:textId="77777777" w:rsidR="008C305A" w:rsidRDefault="008C305A" w:rsidP="00FA6C36">
      <w:pPr>
        <w:spacing w:line="360" w:lineRule="auto"/>
        <w:jc w:val="both"/>
        <w:rPr>
          <w:rFonts w:ascii="Times New Roman" w:hAnsi="Times New Roman" w:cs="Times New Roman"/>
          <w:sz w:val="24"/>
          <w:szCs w:val="24"/>
          <w:lang w:val="en-US"/>
        </w:rPr>
      </w:pPr>
    </w:p>
    <w:p w14:paraId="62D31967" w14:textId="09D86A6E" w:rsidR="008C305A" w:rsidRPr="004D38E2" w:rsidRDefault="000850EB" w:rsidP="00FA6C36">
      <w:pPr>
        <w:spacing w:line="360" w:lineRule="auto"/>
        <w:jc w:val="both"/>
        <w:rPr>
          <w:rFonts w:ascii="Times New Roman" w:hAnsi="Times New Roman" w:cs="Times New Roman"/>
          <w:sz w:val="24"/>
          <w:szCs w:val="24"/>
        </w:rPr>
      </w:pPr>
      <w:r w:rsidRPr="004D38E2">
        <w:rPr>
          <w:rFonts w:ascii="Times New Roman" w:hAnsi="Times New Roman" w:cs="Times New Roman"/>
          <w:sz w:val="24"/>
          <w:szCs w:val="24"/>
          <w:lang w:val="en-US"/>
        </w:rPr>
        <w:lastRenderedPageBreak/>
        <w:t xml:space="preserve">In addition, </w:t>
      </w:r>
      <w:r w:rsidRPr="004D38E2">
        <w:rPr>
          <w:rFonts w:ascii="Times New Roman" w:hAnsi="Times New Roman" w:cs="Times New Roman"/>
          <w:sz w:val="24"/>
          <w:szCs w:val="24"/>
        </w:rPr>
        <w:t xml:space="preserve">an advertisement was published in national and community newspapers </w:t>
      </w:r>
      <w:r w:rsidR="005A5BAC" w:rsidRPr="004D38E2">
        <w:rPr>
          <w:rFonts w:ascii="Times New Roman" w:hAnsi="Times New Roman" w:cs="Times New Roman"/>
          <w:sz w:val="24"/>
          <w:szCs w:val="24"/>
        </w:rPr>
        <w:t>from 28</w:t>
      </w:r>
      <w:r w:rsidRPr="004D38E2">
        <w:rPr>
          <w:rFonts w:ascii="Times New Roman" w:hAnsi="Times New Roman" w:cs="Times New Roman"/>
          <w:sz w:val="24"/>
          <w:szCs w:val="24"/>
        </w:rPr>
        <w:t xml:space="preserve"> October 2018 to 2 November 2018 inviting public comments and the following submissions were received:  </w:t>
      </w:r>
    </w:p>
    <w:p w14:paraId="1D1D9A7C" w14:textId="77777777" w:rsidR="005A5BAC" w:rsidRPr="004D38E2" w:rsidRDefault="005A5BAC" w:rsidP="00FA6C36">
      <w:pPr>
        <w:numPr>
          <w:ilvl w:val="0"/>
          <w:numId w:val="1"/>
        </w:numPr>
        <w:spacing w:after="0" w:line="360" w:lineRule="auto"/>
        <w:ind w:hanging="294"/>
        <w:jc w:val="both"/>
        <w:rPr>
          <w:rFonts w:ascii="Times New Roman" w:hAnsi="Times New Roman" w:cs="Times New Roman"/>
          <w:sz w:val="24"/>
          <w:szCs w:val="24"/>
        </w:rPr>
      </w:pPr>
      <w:r w:rsidRPr="004D38E2">
        <w:rPr>
          <w:rFonts w:ascii="Times New Roman" w:hAnsi="Times New Roman" w:cs="Times New Roman"/>
          <w:sz w:val="24"/>
          <w:szCs w:val="24"/>
        </w:rPr>
        <w:t>Budget Justice Coalition;</w:t>
      </w:r>
    </w:p>
    <w:p w14:paraId="13BC4CE2" w14:textId="77777777" w:rsidR="005A5BAC" w:rsidRPr="004D38E2" w:rsidRDefault="005A5BAC" w:rsidP="00FA6C36">
      <w:pPr>
        <w:numPr>
          <w:ilvl w:val="0"/>
          <w:numId w:val="1"/>
        </w:numPr>
        <w:spacing w:after="0" w:line="360" w:lineRule="auto"/>
        <w:ind w:hanging="294"/>
        <w:jc w:val="both"/>
        <w:rPr>
          <w:rFonts w:ascii="Times New Roman" w:hAnsi="Times New Roman" w:cs="Times New Roman"/>
          <w:sz w:val="24"/>
          <w:szCs w:val="24"/>
        </w:rPr>
      </w:pPr>
      <w:r w:rsidRPr="004D38E2">
        <w:rPr>
          <w:rFonts w:ascii="Times New Roman" w:hAnsi="Times New Roman" w:cs="Times New Roman"/>
          <w:sz w:val="24"/>
          <w:szCs w:val="24"/>
        </w:rPr>
        <w:t>Congress of South African Trade Unions</w:t>
      </w:r>
    </w:p>
    <w:p w14:paraId="39DE38AB" w14:textId="77777777" w:rsidR="000850EB" w:rsidRPr="004D38E2" w:rsidRDefault="000850EB" w:rsidP="00FA6C36">
      <w:pPr>
        <w:numPr>
          <w:ilvl w:val="0"/>
          <w:numId w:val="1"/>
        </w:numPr>
        <w:spacing w:after="0" w:line="360" w:lineRule="auto"/>
        <w:ind w:hanging="294"/>
        <w:jc w:val="both"/>
        <w:rPr>
          <w:rFonts w:ascii="Times New Roman" w:hAnsi="Times New Roman" w:cs="Times New Roman"/>
          <w:sz w:val="24"/>
          <w:szCs w:val="24"/>
        </w:rPr>
      </w:pPr>
      <w:r w:rsidRPr="004D38E2">
        <w:rPr>
          <w:rFonts w:ascii="Times New Roman" w:hAnsi="Times New Roman" w:cs="Times New Roman"/>
          <w:sz w:val="24"/>
          <w:szCs w:val="24"/>
        </w:rPr>
        <w:t>Rural Hea</w:t>
      </w:r>
      <w:r w:rsidR="005A5BAC" w:rsidRPr="004D38E2">
        <w:rPr>
          <w:rFonts w:ascii="Times New Roman" w:hAnsi="Times New Roman" w:cs="Times New Roman"/>
          <w:sz w:val="24"/>
          <w:szCs w:val="24"/>
        </w:rPr>
        <w:t>lth Advocacy Project</w:t>
      </w:r>
      <w:r w:rsidRPr="004D38E2">
        <w:rPr>
          <w:rFonts w:ascii="Times New Roman" w:hAnsi="Times New Roman" w:cs="Times New Roman"/>
          <w:sz w:val="24"/>
          <w:szCs w:val="24"/>
        </w:rPr>
        <w:t xml:space="preserve">; </w:t>
      </w:r>
    </w:p>
    <w:p w14:paraId="1D30C54D" w14:textId="77777777" w:rsidR="000850EB" w:rsidRPr="004D38E2" w:rsidRDefault="000850EB" w:rsidP="00FA6C36">
      <w:pPr>
        <w:numPr>
          <w:ilvl w:val="0"/>
          <w:numId w:val="1"/>
        </w:numPr>
        <w:spacing w:after="0" w:line="360" w:lineRule="auto"/>
        <w:ind w:hanging="294"/>
        <w:jc w:val="both"/>
        <w:rPr>
          <w:rFonts w:ascii="Times New Roman" w:hAnsi="Times New Roman" w:cs="Times New Roman"/>
          <w:sz w:val="24"/>
          <w:szCs w:val="24"/>
        </w:rPr>
      </w:pPr>
      <w:r w:rsidRPr="004D38E2">
        <w:rPr>
          <w:rFonts w:ascii="Times New Roman" w:hAnsi="Times New Roman" w:cs="Times New Roman"/>
          <w:sz w:val="24"/>
          <w:szCs w:val="24"/>
        </w:rPr>
        <w:t xml:space="preserve">United </w:t>
      </w:r>
      <w:r w:rsidR="005A5BAC" w:rsidRPr="004D38E2">
        <w:rPr>
          <w:rFonts w:ascii="Times New Roman" w:hAnsi="Times New Roman" w:cs="Times New Roman"/>
          <w:sz w:val="24"/>
          <w:szCs w:val="24"/>
        </w:rPr>
        <w:t>Nations Children’s Fund</w:t>
      </w:r>
      <w:r w:rsidRPr="004D38E2">
        <w:rPr>
          <w:rFonts w:ascii="Times New Roman" w:hAnsi="Times New Roman" w:cs="Times New Roman"/>
          <w:b/>
          <w:sz w:val="24"/>
          <w:szCs w:val="24"/>
        </w:rPr>
        <w:t xml:space="preserve"> </w:t>
      </w:r>
      <w:r w:rsidRPr="004D38E2">
        <w:rPr>
          <w:rFonts w:ascii="Times New Roman" w:hAnsi="Times New Roman" w:cs="Times New Roman"/>
          <w:sz w:val="24"/>
          <w:szCs w:val="24"/>
        </w:rPr>
        <w:t xml:space="preserve">South Africa; </w:t>
      </w:r>
      <w:r w:rsidR="005A5BAC" w:rsidRPr="004D38E2">
        <w:rPr>
          <w:rFonts w:ascii="Times New Roman" w:hAnsi="Times New Roman" w:cs="Times New Roman"/>
          <w:sz w:val="24"/>
          <w:szCs w:val="24"/>
        </w:rPr>
        <w:t>and</w:t>
      </w:r>
    </w:p>
    <w:p w14:paraId="730DD1E4" w14:textId="77777777" w:rsidR="000850EB" w:rsidRPr="004D38E2" w:rsidRDefault="005A5BAC" w:rsidP="00FA6C36">
      <w:pPr>
        <w:numPr>
          <w:ilvl w:val="0"/>
          <w:numId w:val="1"/>
        </w:numPr>
        <w:spacing w:after="0" w:line="360" w:lineRule="auto"/>
        <w:ind w:hanging="294"/>
        <w:jc w:val="both"/>
        <w:rPr>
          <w:rFonts w:ascii="Times New Roman" w:hAnsi="Times New Roman" w:cs="Times New Roman"/>
          <w:sz w:val="24"/>
          <w:szCs w:val="24"/>
        </w:rPr>
      </w:pPr>
      <w:r w:rsidRPr="004D38E2">
        <w:rPr>
          <w:rFonts w:ascii="Times New Roman" w:hAnsi="Times New Roman" w:cs="Times New Roman"/>
          <w:sz w:val="24"/>
          <w:szCs w:val="24"/>
        </w:rPr>
        <w:t xml:space="preserve">Fairplay Movement. </w:t>
      </w:r>
    </w:p>
    <w:p w14:paraId="743A1D7F" w14:textId="77777777" w:rsidR="00AD170F" w:rsidRDefault="00AD170F" w:rsidP="00AD170F">
      <w:pPr>
        <w:spacing w:line="360" w:lineRule="auto"/>
        <w:jc w:val="both"/>
        <w:rPr>
          <w:rFonts w:ascii="Times New Roman" w:hAnsi="Times New Roman" w:cs="Times New Roman"/>
          <w:sz w:val="24"/>
          <w:szCs w:val="24"/>
        </w:rPr>
      </w:pPr>
    </w:p>
    <w:p w14:paraId="748A9322" w14:textId="52A31AA8" w:rsidR="00AD170F" w:rsidRPr="00AD170F" w:rsidRDefault="00AD170F" w:rsidP="00AD170F">
      <w:pPr>
        <w:spacing w:line="360" w:lineRule="auto"/>
        <w:jc w:val="both"/>
        <w:rPr>
          <w:rFonts w:ascii="Times New Roman" w:hAnsi="Times New Roman" w:cs="Times New Roman"/>
          <w:sz w:val="24"/>
          <w:szCs w:val="24"/>
        </w:rPr>
      </w:pPr>
      <w:r w:rsidRPr="00AD170F">
        <w:rPr>
          <w:rFonts w:ascii="Times New Roman" w:hAnsi="Times New Roman" w:cs="Times New Roman"/>
          <w:sz w:val="24"/>
          <w:szCs w:val="24"/>
        </w:rPr>
        <w:t xml:space="preserve">The Committee also engaged with the Parliamentary Budget Office on the matters raised in the 2018 MTBPS. </w:t>
      </w:r>
      <w:r w:rsidR="004B2C1D">
        <w:rPr>
          <w:rFonts w:ascii="Times New Roman" w:hAnsi="Times New Roman" w:cs="Times New Roman"/>
          <w:sz w:val="24"/>
          <w:szCs w:val="24"/>
        </w:rPr>
        <w:t xml:space="preserve">Furthermore, the Portfolio Committee on Higher Education and Training submitted its 2018 Budget Review and Recommendation Report in line with the Money Bills Act for consideration. </w:t>
      </w:r>
    </w:p>
    <w:p w14:paraId="033B8541" w14:textId="77777777" w:rsidR="00C2495A" w:rsidRDefault="00C2495A" w:rsidP="00FA6C36">
      <w:pPr>
        <w:tabs>
          <w:tab w:val="left" w:pos="567"/>
        </w:tabs>
        <w:spacing w:line="360" w:lineRule="auto"/>
        <w:jc w:val="both"/>
        <w:rPr>
          <w:rFonts w:ascii="Times New Roman" w:hAnsi="Times New Roman" w:cs="Times New Roman"/>
          <w:sz w:val="24"/>
          <w:szCs w:val="24"/>
        </w:rPr>
      </w:pPr>
    </w:p>
    <w:p w14:paraId="1D73B282" w14:textId="7E16FF70" w:rsidR="00C2495A" w:rsidRDefault="00C2495A" w:rsidP="00FA6C36">
      <w:pPr>
        <w:pStyle w:val="ListParagraph"/>
        <w:numPr>
          <w:ilvl w:val="0"/>
          <w:numId w:val="29"/>
        </w:numPr>
        <w:tabs>
          <w:tab w:val="left" w:pos="426"/>
        </w:tabs>
        <w:spacing w:line="360" w:lineRule="auto"/>
        <w:ind w:left="0" w:firstLine="0"/>
        <w:jc w:val="both"/>
        <w:rPr>
          <w:rFonts w:ascii="Times New Roman" w:hAnsi="Times New Roman" w:cs="Times New Roman"/>
          <w:b/>
          <w:sz w:val="24"/>
          <w:szCs w:val="24"/>
        </w:rPr>
      </w:pPr>
      <w:r w:rsidRPr="00C2495A">
        <w:rPr>
          <w:rFonts w:ascii="Times New Roman" w:hAnsi="Times New Roman" w:cs="Times New Roman"/>
          <w:b/>
          <w:sz w:val="24"/>
          <w:szCs w:val="24"/>
        </w:rPr>
        <w:t xml:space="preserve">Overview of economy </w:t>
      </w:r>
    </w:p>
    <w:p w14:paraId="535276C1" w14:textId="77777777" w:rsidR="009A3F34" w:rsidRPr="00C2495A" w:rsidRDefault="009A3F34" w:rsidP="009A3F34">
      <w:pPr>
        <w:pStyle w:val="ListParagraph"/>
        <w:tabs>
          <w:tab w:val="left" w:pos="426"/>
        </w:tabs>
        <w:spacing w:line="360" w:lineRule="auto"/>
        <w:ind w:left="0"/>
        <w:jc w:val="both"/>
        <w:rPr>
          <w:rFonts w:ascii="Times New Roman" w:hAnsi="Times New Roman" w:cs="Times New Roman"/>
          <w:b/>
          <w:sz w:val="24"/>
          <w:szCs w:val="24"/>
        </w:rPr>
      </w:pPr>
    </w:p>
    <w:p w14:paraId="7A93D8ED" w14:textId="77777777" w:rsidR="004D38E2" w:rsidRPr="001A30A3" w:rsidRDefault="004D38E2" w:rsidP="00FA6C36">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The 2018</w:t>
      </w:r>
      <w:r w:rsidRPr="001A30A3">
        <w:rPr>
          <w:rFonts w:ascii="Times New Roman" w:hAnsi="Times New Roman" w:cs="Times New Roman"/>
          <w:color w:val="000000"/>
          <w:spacing w:val="6"/>
          <w:sz w:val="24"/>
          <w:szCs w:val="24"/>
        </w:rPr>
        <w:t xml:space="preserve"> MTBPS was tabled within a difficult environment globally and domestically. Global growth </w:t>
      </w:r>
      <w:r>
        <w:rPr>
          <w:rFonts w:ascii="Times New Roman" w:hAnsi="Times New Roman" w:cs="Times New Roman"/>
          <w:color w:val="000000"/>
          <w:spacing w:val="6"/>
          <w:sz w:val="24"/>
          <w:szCs w:val="24"/>
        </w:rPr>
        <w:t xml:space="preserve">is </w:t>
      </w:r>
      <w:r w:rsidRPr="001A30A3">
        <w:rPr>
          <w:rFonts w:ascii="Times New Roman" w:hAnsi="Times New Roman" w:cs="Times New Roman"/>
          <w:color w:val="000000"/>
          <w:spacing w:val="6"/>
          <w:sz w:val="24"/>
          <w:szCs w:val="24"/>
        </w:rPr>
        <w:t>expected to remain at 3.7 per cent</w:t>
      </w:r>
      <w:r>
        <w:rPr>
          <w:rFonts w:ascii="Times New Roman" w:hAnsi="Times New Roman" w:cs="Times New Roman"/>
          <w:color w:val="000000"/>
          <w:spacing w:val="6"/>
          <w:sz w:val="24"/>
          <w:szCs w:val="24"/>
        </w:rPr>
        <w:t xml:space="preserve"> in 2018 and 2019</w:t>
      </w:r>
      <w:r w:rsidRPr="001A30A3">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w:t>
      </w:r>
      <w:r w:rsidRPr="001A30A3">
        <w:rPr>
          <w:rFonts w:ascii="Times New Roman" w:hAnsi="Times New Roman" w:cs="Times New Roman"/>
          <w:color w:val="000000"/>
          <w:spacing w:val="6"/>
          <w:sz w:val="24"/>
          <w:szCs w:val="24"/>
        </w:rPr>
        <w:t>orld trade volume growth is expected to s</w:t>
      </w:r>
      <w:r>
        <w:rPr>
          <w:rFonts w:ascii="Times New Roman" w:hAnsi="Times New Roman" w:cs="Times New Roman"/>
          <w:color w:val="000000"/>
          <w:spacing w:val="6"/>
          <w:sz w:val="24"/>
          <w:szCs w:val="24"/>
        </w:rPr>
        <w:t xml:space="preserve">low </w:t>
      </w:r>
      <w:r w:rsidRPr="00080DA9">
        <w:rPr>
          <w:rFonts w:ascii="Times New Roman" w:hAnsi="Times New Roman" w:cs="Times New Roman"/>
          <w:color w:val="000000"/>
          <w:spacing w:val="6"/>
          <w:sz w:val="24"/>
          <w:szCs w:val="24"/>
        </w:rPr>
        <w:t>from 5.2 per cent in 2017</w:t>
      </w:r>
      <w:r>
        <w:rPr>
          <w:rFonts w:ascii="Times New Roman" w:hAnsi="Times New Roman" w:cs="Times New Roman"/>
          <w:color w:val="000000"/>
          <w:spacing w:val="6"/>
          <w:sz w:val="24"/>
          <w:szCs w:val="24"/>
        </w:rPr>
        <w:t xml:space="preserve"> to 4.2 per cent in 2018 and </w:t>
      </w:r>
      <w:r w:rsidR="003A2F79">
        <w:rPr>
          <w:rFonts w:ascii="Times New Roman" w:hAnsi="Times New Roman" w:cs="Times New Roman"/>
          <w:color w:val="000000"/>
          <w:spacing w:val="6"/>
          <w:sz w:val="24"/>
          <w:szCs w:val="24"/>
        </w:rPr>
        <w:br/>
      </w:r>
      <w:r>
        <w:rPr>
          <w:rFonts w:ascii="Times New Roman" w:hAnsi="Times New Roman" w:cs="Times New Roman"/>
          <w:color w:val="000000"/>
          <w:spacing w:val="6"/>
          <w:sz w:val="24"/>
          <w:szCs w:val="24"/>
        </w:rPr>
        <w:t>4 per cent in 2019</w:t>
      </w:r>
      <w:r w:rsidRPr="001A30A3">
        <w:rPr>
          <w:rFonts w:ascii="Times New Roman" w:hAnsi="Times New Roman" w:cs="Times New Roman"/>
          <w:color w:val="000000"/>
          <w:spacing w:val="6"/>
          <w:sz w:val="24"/>
          <w:szCs w:val="24"/>
        </w:rPr>
        <w:t xml:space="preserve">. Over the medium term, concerns about sharpening global trade disputes, volatile commodity prices and tightening financial conditions will weigh on investor confidence. The 2018 MTBPS cautions that if these risks materialise, they could prompt renewed risk aversion and financial volatility, leading to a less favourable environment for investment in </w:t>
      </w:r>
      <w:r w:rsidR="003A2F79">
        <w:rPr>
          <w:rFonts w:ascii="Times New Roman" w:hAnsi="Times New Roman" w:cs="Times New Roman"/>
          <w:color w:val="000000"/>
          <w:spacing w:val="6"/>
          <w:sz w:val="24"/>
          <w:szCs w:val="24"/>
        </w:rPr>
        <w:t>and e</w:t>
      </w:r>
      <w:r w:rsidRPr="001A30A3">
        <w:rPr>
          <w:rFonts w:ascii="Times New Roman" w:hAnsi="Times New Roman" w:cs="Times New Roman"/>
          <w:color w:val="000000"/>
          <w:spacing w:val="6"/>
          <w:sz w:val="24"/>
          <w:szCs w:val="24"/>
        </w:rPr>
        <w:t>xports from developing countries.</w:t>
      </w:r>
    </w:p>
    <w:p w14:paraId="14F5F9AE" w14:textId="77777777" w:rsidR="00C2495A" w:rsidRDefault="00C2495A" w:rsidP="00FA6C36">
      <w:pPr>
        <w:spacing w:after="0" w:line="360" w:lineRule="auto"/>
        <w:jc w:val="both"/>
        <w:rPr>
          <w:rFonts w:ascii="Times New Roman" w:hAnsi="Times New Roman" w:cs="Times New Roman"/>
          <w:color w:val="000000"/>
          <w:spacing w:val="6"/>
          <w:sz w:val="24"/>
          <w:szCs w:val="24"/>
        </w:rPr>
      </w:pPr>
    </w:p>
    <w:p w14:paraId="3B784C2C" w14:textId="77777777" w:rsidR="004D38E2" w:rsidRPr="001A30A3" w:rsidRDefault="004D38E2" w:rsidP="00FA6C36">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Domestically, the 2018 MTBPS was tabled against the backdrop of a technical</w:t>
      </w:r>
      <w:r>
        <w:rPr>
          <w:rFonts w:ascii="Times New Roman" w:hAnsi="Times New Roman" w:cs="Times New Roman"/>
          <w:color w:val="000000"/>
          <w:spacing w:val="6"/>
          <w:sz w:val="24"/>
          <w:szCs w:val="24"/>
        </w:rPr>
        <w:t xml:space="preserve"> recession, and a </w:t>
      </w:r>
      <w:r w:rsidRPr="00AE4906">
        <w:rPr>
          <w:rFonts w:ascii="Times New Roman" w:hAnsi="Times New Roman" w:cs="Times New Roman"/>
          <w:color w:val="000000"/>
          <w:spacing w:val="6"/>
          <w:sz w:val="24"/>
          <w:szCs w:val="24"/>
        </w:rPr>
        <w:t>weaker</w:t>
      </w:r>
      <w:r>
        <w:rPr>
          <w:rFonts w:ascii="Times New Roman" w:hAnsi="Times New Roman" w:cs="Times New Roman"/>
          <w:color w:val="000000"/>
          <w:spacing w:val="6"/>
          <w:sz w:val="24"/>
          <w:szCs w:val="24"/>
        </w:rPr>
        <w:t xml:space="preserve"> </w:t>
      </w:r>
      <w:r w:rsidRPr="00AE4906">
        <w:rPr>
          <w:rFonts w:ascii="Times New Roman" w:hAnsi="Times New Roman" w:cs="Times New Roman"/>
          <w:color w:val="000000"/>
          <w:spacing w:val="6"/>
          <w:sz w:val="24"/>
          <w:szCs w:val="24"/>
        </w:rPr>
        <w:t>economic outlook than projected in the February 2018 Budget</w:t>
      </w:r>
      <w:r>
        <w:rPr>
          <w:rFonts w:ascii="Times New Roman" w:hAnsi="Times New Roman" w:cs="Times New Roman"/>
          <w:color w:val="000000"/>
          <w:spacing w:val="6"/>
          <w:sz w:val="24"/>
          <w:szCs w:val="24"/>
        </w:rPr>
        <w:t xml:space="preserve">. </w:t>
      </w:r>
      <w:r w:rsidRPr="001A30A3">
        <w:rPr>
          <w:rFonts w:ascii="Times New Roman" w:hAnsi="Times New Roman" w:cs="Times New Roman"/>
          <w:color w:val="000000"/>
          <w:spacing w:val="6"/>
          <w:sz w:val="24"/>
          <w:szCs w:val="24"/>
        </w:rPr>
        <w:t xml:space="preserve">The National Treasury forecasts that GDP growth will slow to 0.7 per cent in 2018, down from </w:t>
      </w:r>
      <w:r w:rsidR="003A2F79">
        <w:rPr>
          <w:rFonts w:ascii="Times New Roman" w:hAnsi="Times New Roman" w:cs="Times New Roman"/>
          <w:color w:val="000000"/>
          <w:spacing w:val="6"/>
          <w:sz w:val="24"/>
          <w:szCs w:val="24"/>
        </w:rPr>
        <w:br/>
      </w:r>
      <w:r w:rsidRPr="001A30A3">
        <w:rPr>
          <w:rFonts w:ascii="Times New Roman" w:hAnsi="Times New Roman" w:cs="Times New Roman"/>
          <w:color w:val="000000"/>
          <w:spacing w:val="6"/>
          <w:sz w:val="24"/>
          <w:szCs w:val="24"/>
        </w:rPr>
        <w:t xml:space="preserve">1.3 per cent last year, before rising to 1.7 per cent in 2019 and 2.1 per cent in 2020. </w:t>
      </w:r>
    </w:p>
    <w:p w14:paraId="110F0429" w14:textId="77777777" w:rsidR="000850EB" w:rsidRPr="005A5BAC" w:rsidRDefault="000850EB" w:rsidP="00FA6C36">
      <w:pPr>
        <w:spacing w:after="0" w:line="360" w:lineRule="auto"/>
        <w:jc w:val="both"/>
        <w:rPr>
          <w:rFonts w:ascii="Times New Roman" w:hAnsi="Times New Roman" w:cs="Times New Roman"/>
          <w:color w:val="000000"/>
          <w:spacing w:val="6"/>
          <w:sz w:val="24"/>
          <w:szCs w:val="24"/>
          <w:highlight w:val="yellow"/>
        </w:rPr>
      </w:pPr>
    </w:p>
    <w:p w14:paraId="081F5A03" w14:textId="1D0EA268" w:rsidR="004D38E2" w:rsidRPr="001A30A3" w:rsidRDefault="004D38E2" w:rsidP="00FA6C36">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lastRenderedPageBreak/>
        <w:t>The 2018 MTBPS mentions that government remains committed to the core elements of the National De</w:t>
      </w:r>
      <w:r>
        <w:rPr>
          <w:rFonts w:ascii="Times New Roman" w:hAnsi="Times New Roman" w:cs="Times New Roman"/>
          <w:color w:val="000000"/>
          <w:spacing w:val="6"/>
          <w:sz w:val="24"/>
          <w:szCs w:val="24"/>
        </w:rPr>
        <w:t xml:space="preserve">velopment Plan and Vision 2030. These </w:t>
      </w:r>
      <w:r w:rsidRPr="001A30A3">
        <w:rPr>
          <w:rFonts w:ascii="Times New Roman" w:hAnsi="Times New Roman" w:cs="Times New Roman"/>
          <w:color w:val="000000"/>
          <w:spacing w:val="6"/>
          <w:sz w:val="24"/>
          <w:szCs w:val="24"/>
        </w:rPr>
        <w:t>include a commitment to strong, sustained and inclu</w:t>
      </w:r>
      <w:r>
        <w:rPr>
          <w:rFonts w:ascii="Times New Roman" w:hAnsi="Times New Roman" w:cs="Times New Roman"/>
          <w:color w:val="000000"/>
          <w:spacing w:val="6"/>
          <w:sz w:val="24"/>
          <w:szCs w:val="24"/>
        </w:rPr>
        <w:t xml:space="preserve">sive economic growth to </w:t>
      </w:r>
      <w:r w:rsidRPr="001A30A3">
        <w:rPr>
          <w:rFonts w:ascii="Times New Roman" w:hAnsi="Times New Roman" w:cs="Times New Roman"/>
          <w:color w:val="000000"/>
          <w:spacing w:val="6"/>
          <w:sz w:val="24"/>
          <w:szCs w:val="24"/>
        </w:rPr>
        <w:t>reduce unemployment, poverty and inequality. The 2018 maintains that economic recovery requires a substantial improvement in business investment. Over the period ahead, government is focusing on reforms that support economic growth, reduce inflationar</w:t>
      </w:r>
      <w:r>
        <w:rPr>
          <w:rFonts w:ascii="Times New Roman" w:hAnsi="Times New Roman" w:cs="Times New Roman"/>
          <w:color w:val="000000"/>
          <w:spacing w:val="6"/>
          <w:sz w:val="24"/>
          <w:szCs w:val="24"/>
        </w:rPr>
        <w:t xml:space="preserve">y pressures and improve service </w:t>
      </w:r>
      <w:r w:rsidRPr="001A30A3">
        <w:rPr>
          <w:rFonts w:ascii="Times New Roman" w:hAnsi="Times New Roman" w:cs="Times New Roman"/>
          <w:color w:val="000000"/>
          <w:spacing w:val="6"/>
          <w:sz w:val="24"/>
          <w:szCs w:val="24"/>
        </w:rPr>
        <w:t xml:space="preserve">delivery. </w:t>
      </w:r>
    </w:p>
    <w:p w14:paraId="35CCD2A6" w14:textId="77777777" w:rsidR="004D38E2" w:rsidRPr="001A30A3" w:rsidRDefault="004D38E2" w:rsidP="00FA6C36">
      <w:pPr>
        <w:spacing w:after="0" w:line="360" w:lineRule="auto"/>
        <w:jc w:val="both"/>
        <w:rPr>
          <w:rFonts w:ascii="Times New Roman" w:hAnsi="Times New Roman" w:cs="Times New Roman"/>
          <w:color w:val="000000"/>
          <w:spacing w:val="6"/>
          <w:sz w:val="24"/>
          <w:szCs w:val="24"/>
        </w:rPr>
      </w:pPr>
    </w:p>
    <w:p w14:paraId="0DB9EE91" w14:textId="77777777" w:rsidR="004D38E2" w:rsidRPr="001A30A3" w:rsidRDefault="004D38E2" w:rsidP="00FA6C36">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The 2018 MTBPS was tabled following the Jobs Summit and the introduction of the economic stimulus and recovery plan. The economic stimulus and recovery plan focus on the following five measures to stimulate the economy:</w:t>
      </w:r>
    </w:p>
    <w:p w14:paraId="3101F65C" w14:textId="77777777" w:rsidR="004D38E2" w:rsidRPr="001A30A3" w:rsidRDefault="004D38E2" w:rsidP="00FA6C36">
      <w:pPr>
        <w:pStyle w:val="ListParagraph"/>
        <w:numPr>
          <w:ilvl w:val="0"/>
          <w:numId w:val="28"/>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Implementation of growth-enhancing economic reforms</w:t>
      </w:r>
      <w:r>
        <w:rPr>
          <w:rFonts w:ascii="Times New Roman" w:hAnsi="Times New Roman" w:cs="Times New Roman"/>
          <w:color w:val="000000"/>
          <w:spacing w:val="6"/>
          <w:sz w:val="24"/>
          <w:szCs w:val="24"/>
        </w:rPr>
        <w:t>;</w:t>
      </w:r>
    </w:p>
    <w:p w14:paraId="3354FE6A" w14:textId="77777777" w:rsidR="004D38E2" w:rsidRPr="001A30A3" w:rsidRDefault="004D38E2" w:rsidP="00FA6C36">
      <w:pPr>
        <w:pStyle w:val="ListParagraph"/>
        <w:numPr>
          <w:ilvl w:val="0"/>
          <w:numId w:val="28"/>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Reprioritisation of public spending to support growth and job creation</w:t>
      </w:r>
      <w:r>
        <w:rPr>
          <w:rFonts w:ascii="Times New Roman" w:hAnsi="Times New Roman" w:cs="Times New Roman"/>
          <w:color w:val="000000"/>
          <w:spacing w:val="6"/>
          <w:sz w:val="24"/>
          <w:szCs w:val="24"/>
        </w:rPr>
        <w:t>;</w:t>
      </w:r>
    </w:p>
    <w:p w14:paraId="5EB0FDED" w14:textId="77777777" w:rsidR="004D38E2" w:rsidRPr="001A30A3" w:rsidRDefault="004D38E2" w:rsidP="00FA6C36">
      <w:pPr>
        <w:pStyle w:val="ListParagraph"/>
        <w:numPr>
          <w:ilvl w:val="0"/>
          <w:numId w:val="28"/>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Enhancing infrastructure investment and establishing an Infrastructure Fund</w:t>
      </w:r>
      <w:r>
        <w:rPr>
          <w:rFonts w:ascii="Times New Roman" w:hAnsi="Times New Roman" w:cs="Times New Roman"/>
          <w:color w:val="000000"/>
          <w:spacing w:val="6"/>
          <w:sz w:val="24"/>
          <w:szCs w:val="24"/>
        </w:rPr>
        <w:t>;</w:t>
      </w:r>
    </w:p>
    <w:p w14:paraId="470A49A2" w14:textId="77777777" w:rsidR="004D38E2" w:rsidRPr="001A30A3" w:rsidRDefault="004D38E2" w:rsidP="00FA6C36">
      <w:pPr>
        <w:pStyle w:val="ListParagraph"/>
        <w:numPr>
          <w:ilvl w:val="0"/>
          <w:numId w:val="28"/>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Addressing urgent and pressing matters in education and health</w:t>
      </w:r>
      <w:r>
        <w:rPr>
          <w:rFonts w:ascii="Times New Roman" w:hAnsi="Times New Roman" w:cs="Times New Roman"/>
          <w:color w:val="000000"/>
          <w:spacing w:val="6"/>
          <w:sz w:val="24"/>
          <w:szCs w:val="24"/>
        </w:rPr>
        <w:t>;</w:t>
      </w:r>
    </w:p>
    <w:p w14:paraId="70B7B233" w14:textId="77777777" w:rsidR="004D38E2" w:rsidRPr="001A30A3" w:rsidRDefault="004D38E2" w:rsidP="00FA6C36">
      <w:pPr>
        <w:pStyle w:val="ListParagraph"/>
        <w:numPr>
          <w:ilvl w:val="0"/>
          <w:numId w:val="28"/>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Investing in municipal social infrastructure improvement</w:t>
      </w:r>
      <w:r>
        <w:rPr>
          <w:rFonts w:ascii="Times New Roman" w:hAnsi="Times New Roman" w:cs="Times New Roman"/>
          <w:color w:val="000000"/>
          <w:spacing w:val="6"/>
          <w:sz w:val="24"/>
          <w:szCs w:val="24"/>
        </w:rPr>
        <w:t>.</w:t>
      </w:r>
    </w:p>
    <w:p w14:paraId="523C5360" w14:textId="77777777" w:rsidR="004D38E2" w:rsidRDefault="004D38E2" w:rsidP="00FA6C36">
      <w:pPr>
        <w:spacing w:line="360" w:lineRule="auto"/>
        <w:jc w:val="both"/>
        <w:rPr>
          <w:rFonts w:ascii="Times New Roman" w:hAnsi="Times New Roman" w:cs="Times New Roman"/>
          <w:color w:val="000000"/>
          <w:spacing w:val="6"/>
          <w:sz w:val="24"/>
          <w:szCs w:val="24"/>
        </w:rPr>
      </w:pPr>
    </w:p>
    <w:p w14:paraId="6F5765A9" w14:textId="77777777" w:rsidR="000850EB" w:rsidRPr="00055B0B" w:rsidRDefault="000850EB" w:rsidP="00FA6C36">
      <w:pPr>
        <w:spacing w:line="360" w:lineRule="auto"/>
        <w:jc w:val="both"/>
        <w:rPr>
          <w:rFonts w:ascii="Times New Roman" w:hAnsi="Times New Roman" w:cs="Times New Roman"/>
          <w:color w:val="000000"/>
          <w:spacing w:val="6"/>
          <w:sz w:val="24"/>
          <w:szCs w:val="24"/>
        </w:rPr>
      </w:pPr>
      <w:r w:rsidRPr="00893B2A">
        <w:rPr>
          <w:rFonts w:ascii="Times New Roman" w:hAnsi="Times New Roman" w:cs="Times New Roman"/>
          <w:color w:val="000000"/>
          <w:spacing w:val="6"/>
          <w:sz w:val="24"/>
          <w:szCs w:val="24"/>
        </w:rPr>
        <w:t>It is against this background that the Committee engaged with ide</w:t>
      </w:r>
      <w:r w:rsidR="00893B2A">
        <w:rPr>
          <w:rFonts w:ascii="Times New Roman" w:hAnsi="Times New Roman" w:cs="Times New Roman"/>
          <w:color w:val="000000"/>
          <w:spacing w:val="6"/>
          <w:sz w:val="24"/>
          <w:szCs w:val="24"/>
        </w:rPr>
        <w:t>ntified stakeholders on the 2018</w:t>
      </w:r>
      <w:r w:rsidRPr="00893B2A">
        <w:rPr>
          <w:rFonts w:ascii="Times New Roman" w:hAnsi="Times New Roman" w:cs="Times New Roman"/>
          <w:color w:val="000000"/>
          <w:spacing w:val="6"/>
          <w:sz w:val="24"/>
          <w:szCs w:val="24"/>
        </w:rPr>
        <w:t xml:space="preserve"> MTBPS.</w:t>
      </w:r>
    </w:p>
    <w:p w14:paraId="06E3F1CB" w14:textId="77777777" w:rsidR="000850EB" w:rsidRPr="00055B0B" w:rsidRDefault="000850EB" w:rsidP="00FA6C36">
      <w:pPr>
        <w:spacing w:after="0" w:line="360" w:lineRule="auto"/>
        <w:jc w:val="both"/>
        <w:rPr>
          <w:rFonts w:ascii="Times New Roman" w:hAnsi="Times New Roman" w:cs="Times New Roman"/>
          <w:color w:val="000000"/>
          <w:spacing w:val="6"/>
          <w:sz w:val="24"/>
          <w:szCs w:val="24"/>
        </w:rPr>
      </w:pPr>
    </w:p>
    <w:p w14:paraId="71BFB3B6" w14:textId="77777777" w:rsidR="000850EB" w:rsidRDefault="000850EB" w:rsidP="00FA6C36">
      <w:pPr>
        <w:pStyle w:val="ListParagraph"/>
        <w:numPr>
          <w:ilvl w:val="0"/>
          <w:numId w:val="29"/>
        </w:numPr>
        <w:tabs>
          <w:tab w:val="left" w:pos="426"/>
        </w:tabs>
        <w:spacing w:line="360" w:lineRule="auto"/>
        <w:ind w:left="0" w:firstLine="0"/>
        <w:jc w:val="both"/>
        <w:rPr>
          <w:rFonts w:ascii="Times New Roman" w:hAnsi="Times New Roman" w:cs="Times New Roman"/>
          <w:b/>
          <w:sz w:val="24"/>
          <w:szCs w:val="24"/>
        </w:rPr>
      </w:pPr>
      <w:r w:rsidRPr="00893B2A">
        <w:rPr>
          <w:rFonts w:ascii="Times New Roman" w:hAnsi="Times New Roman" w:cs="Times New Roman"/>
          <w:b/>
          <w:sz w:val="24"/>
          <w:szCs w:val="24"/>
        </w:rPr>
        <w:t>Med</w:t>
      </w:r>
      <w:r w:rsidR="00893B2A" w:rsidRPr="00893B2A">
        <w:rPr>
          <w:rFonts w:ascii="Times New Roman" w:hAnsi="Times New Roman" w:cs="Times New Roman"/>
          <w:b/>
          <w:sz w:val="24"/>
          <w:szCs w:val="24"/>
        </w:rPr>
        <w:t>ium Term Expenditure Framework</w:t>
      </w:r>
    </w:p>
    <w:p w14:paraId="625E4B72" w14:textId="77777777" w:rsidR="00FA6C36" w:rsidRDefault="00FA6C36" w:rsidP="00FA6C36">
      <w:pPr>
        <w:spacing w:after="0" w:line="360" w:lineRule="auto"/>
        <w:jc w:val="both"/>
        <w:rPr>
          <w:rFonts w:ascii="Times New Roman" w:hAnsi="Times New Roman" w:cs="Times New Roman"/>
          <w:b/>
          <w:sz w:val="24"/>
          <w:szCs w:val="24"/>
        </w:rPr>
      </w:pPr>
    </w:p>
    <w:p w14:paraId="568137D8" w14:textId="77777777" w:rsidR="00FA6C36" w:rsidRDefault="00C2495A" w:rsidP="00C2495A">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Over the 2019 MTEF period, government proposes to allocate 48.1 per cent of available non-interest expenditure to national departments, 42.9 per cent to provinces and 9 per cent to local governments. Over this period, national government resources grow by 7 per cent, provincial resources by 7.2 per cent and local government resources by 7.2 per cent.</w:t>
      </w:r>
    </w:p>
    <w:p w14:paraId="364834BB" w14:textId="09D5D7F4" w:rsidR="00FA6C36" w:rsidRDefault="00FA6C36" w:rsidP="00C2495A">
      <w:pPr>
        <w:spacing w:after="0" w:line="360" w:lineRule="auto"/>
        <w:jc w:val="both"/>
        <w:rPr>
          <w:rFonts w:ascii="Times New Roman" w:hAnsi="Times New Roman" w:cs="Times New Roman"/>
          <w:color w:val="000000"/>
          <w:spacing w:val="6"/>
          <w:sz w:val="24"/>
          <w:szCs w:val="24"/>
        </w:rPr>
      </w:pPr>
    </w:p>
    <w:p w14:paraId="6BCA55AC" w14:textId="679F1D90" w:rsidR="003D37D6" w:rsidRDefault="003D37D6" w:rsidP="00C2495A">
      <w:pPr>
        <w:spacing w:after="0" w:line="360" w:lineRule="auto"/>
        <w:jc w:val="both"/>
        <w:rPr>
          <w:rFonts w:ascii="Times New Roman" w:hAnsi="Times New Roman" w:cs="Times New Roman"/>
          <w:color w:val="000000"/>
          <w:spacing w:val="6"/>
          <w:sz w:val="24"/>
          <w:szCs w:val="24"/>
        </w:rPr>
      </w:pPr>
    </w:p>
    <w:p w14:paraId="5E3E1EB6" w14:textId="54A666C9" w:rsidR="003D37D6" w:rsidRDefault="003D37D6" w:rsidP="00C2495A">
      <w:pPr>
        <w:spacing w:after="0" w:line="360" w:lineRule="auto"/>
        <w:jc w:val="both"/>
        <w:rPr>
          <w:rFonts w:ascii="Times New Roman" w:hAnsi="Times New Roman" w:cs="Times New Roman"/>
          <w:color w:val="000000"/>
          <w:spacing w:val="6"/>
          <w:sz w:val="24"/>
          <w:szCs w:val="24"/>
        </w:rPr>
      </w:pPr>
    </w:p>
    <w:p w14:paraId="0EC20C7B" w14:textId="3F8378A9" w:rsidR="003D37D6" w:rsidRDefault="003D37D6" w:rsidP="00C2495A">
      <w:pPr>
        <w:spacing w:after="0" w:line="360" w:lineRule="auto"/>
        <w:jc w:val="both"/>
        <w:rPr>
          <w:rFonts w:ascii="Times New Roman" w:hAnsi="Times New Roman" w:cs="Times New Roman"/>
          <w:color w:val="000000"/>
          <w:spacing w:val="6"/>
          <w:sz w:val="24"/>
          <w:szCs w:val="24"/>
        </w:rPr>
      </w:pPr>
    </w:p>
    <w:p w14:paraId="31B8BF51" w14:textId="097BF7F2" w:rsidR="003D37D6" w:rsidRDefault="003D37D6" w:rsidP="00C2495A">
      <w:pPr>
        <w:spacing w:after="0" w:line="360" w:lineRule="auto"/>
        <w:jc w:val="both"/>
        <w:rPr>
          <w:rFonts w:ascii="Times New Roman" w:hAnsi="Times New Roman" w:cs="Times New Roman"/>
          <w:color w:val="000000"/>
          <w:spacing w:val="6"/>
          <w:sz w:val="24"/>
          <w:szCs w:val="24"/>
        </w:rPr>
      </w:pPr>
    </w:p>
    <w:p w14:paraId="73E3BEE6" w14:textId="4398D954" w:rsidR="003D37D6" w:rsidRDefault="003D37D6" w:rsidP="00C2495A">
      <w:pPr>
        <w:spacing w:after="0" w:line="360" w:lineRule="auto"/>
        <w:jc w:val="both"/>
        <w:rPr>
          <w:rFonts w:ascii="Times New Roman" w:hAnsi="Times New Roman" w:cs="Times New Roman"/>
          <w:color w:val="000000"/>
          <w:spacing w:val="6"/>
          <w:sz w:val="24"/>
          <w:szCs w:val="24"/>
        </w:rPr>
      </w:pPr>
    </w:p>
    <w:p w14:paraId="59D64BA6" w14:textId="6410F264" w:rsidR="003D37D6" w:rsidRDefault="003D37D6" w:rsidP="00C2495A">
      <w:pPr>
        <w:spacing w:after="0" w:line="360" w:lineRule="auto"/>
        <w:jc w:val="both"/>
        <w:rPr>
          <w:rFonts w:ascii="Times New Roman" w:hAnsi="Times New Roman" w:cs="Times New Roman"/>
          <w:color w:val="000000"/>
          <w:spacing w:val="6"/>
          <w:sz w:val="24"/>
          <w:szCs w:val="24"/>
        </w:rPr>
      </w:pPr>
    </w:p>
    <w:p w14:paraId="792FD691" w14:textId="3AA6E60B" w:rsidR="003D37D6" w:rsidRDefault="003D37D6" w:rsidP="00C2495A">
      <w:pPr>
        <w:spacing w:after="0" w:line="360" w:lineRule="auto"/>
        <w:jc w:val="both"/>
        <w:rPr>
          <w:rFonts w:ascii="Times New Roman" w:hAnsi="Times New Roman" w:cs="Times New Roman"/>
          <w:color w:val="000000"/>
          <w:spacing w:val="6"/>
          <w:sz w:val="24"/>
          <w:szCs w:val="24"/>
        </w:rPr>
      </w:pPr>
    </w:p>
    <w:p w14:paraId="2FD401FF" w14:textId="5B730ACB" w:rsidR="003D37D6" w:rsidRDefault="003D37D6" w:rsidP="00C2495A">
      <w:pPr>
        <w:spacing w:after="0" w:line="360" w:lineRule="auto"/>
        <w:jc w:val="both"/>
        <w:rPr>
          <w:rFonts w:ascii="Times New Roman" w:hAnsi="Times New Roman" w:cs="Times New Roman"/>
          <w:color w:val="000000"/>
          <w:spacing w:val="6"/>
          <w:sz w:val="24"/>
          <w:szCs w:val="24"/>
        </w:rPr>
      </w:pPr>
    </w:p>
    <w:p w14:paraId="6771F9F1" w14:textId="77777777" w:rsidR="003D37D6" w:rsidRDefault="003D37D6" w:rsidP="00C2495A">
      <w:pPr>
        <w:spacing w:after="0" w:line="360" w:lineRule="auto"/>
        <w:jc w:val="both"/>
        <w:rPr>
          <w:rFonts w:ascii="Times New Roman" w:hAnsi="Times New Roman" w:cs="Times New Roman"/>
          <w:color w:val="000000"/>
          <w:spacing w:val="6"/>
          <w:sz w:val="24"/>
          <w:szCs w:val="24"/>
        </w:rPr>
      </w:pPr>
    </w:p>
    <w:p w14:paraId="0B1BCCEB" w14:textId="77777777" w:rsidR="00C2495A" w:rsidRPr="00FA6C36" w:rsidRDefault="00C2495A" w:rsidP="00C2495A">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b/>
          <w:color w:val="000000"/>
          <w:spacing w:val="6"/>
          <w:sz w:val="24"/>
          <w:szCs w:val="24"/>
        </w:rPr>
        <w:t xml:space="preserve">Table 1: </w:t>
      </w:r>
      <w:r w:rsidRPr="001A30A3">
        <w:rPr>
          <w:rFonts w:ascii="Times New Roman" w:hAnsi="Times New Roman" w:cs="Times New Roman"/>
          <w:color w:val="000000"/>
          <w:spacing w:val="6"/>
          <w:sz w:val="24"/>
          <w:szCs w:val="24"/>
        </w:rPr>
        <w:t>Division of Revenue Framework</w:t>
      </w:r>
    </w:p>
    <w:p w14:paraId="449104D3" w14:textId="77777777" w:rsidR="00C2495A" w:rsidRPr="001A30A3" w:rsidRDefault="00FA6C36" w:rsidP="00C2495A">
      <w:pPr>
        <w:spacing w:after="0" w:line="360" w:lineRule="auto"/>
        <w:jc w:val="both"/>
        <w:rPr>
          <w:rFonts w:ascii="Times New Roman" w:hAnsi="Times New Roman" w:cs="Times New Roman"/>
          <w:b/>
          <w:color w:val="000000"/>
          <w:spacing w:val="6"/>
          <w:sz w:val="20"/>
          <w:szCs w:val="20"/>
        </w:rPr>
      </w:pPr>
      <w:r w:rsidRPr="001A30A3">
        <w:rPr>
          <w:rFonts w:ascii="Times New Roman" w:hAnsi="Times New Roman" w:cs="Times New Roman"/>
          <w:color w:val="000000"/>
          <w:spacing w:val="6"/>
          <w:sz w:val="24"/>
          <w:szCs w:val="24"/>
        </w:rPr>
        <w:object w:dxaOrig="9591" w:dyaOrig="5064" w14:anchorId="0749B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28pt" o:ole="">
            <v:imagedata r:id="rId9" o:title=""/>
          </v:shape>
          <o:OLEObject Type="Embed" ProgID="Excel.Sheet.12" ShapeID="_x0000_i1025" DrawAspect="Content" ObjectID="_1604909436" r:id="rId10"/>
        </w:object>
      </w:r>
      <w:r w:rsidR="00C2495A" w:rsidRPr="001A30A3">
        <w:rPr>
          <w:rFonts w:ascii="Times New Roman" w:hAnsi="Times New Roman" w:cs="Times New Roman"/>
          <w:i/>
          <w:color w:val="000000"/>
          <w:spacing w:val="6"/>
          <w:sz w:val="20"/>
          <w:szCs w:val="20"/>
        </w:rPr>
        <w:t xml:space="preserve">Source: National Treasury (2018) </w:t>
      </w:r>
    </w:p>
    <w:p w14:paraId="0A72E800" w14:textId="491BCF70" w:rsidR="00C2495A" w:rsidRDefault="00C2495A" w:rsidP="00C2495A">
      <w:pPr>
        <w:spacing w:after="0" w:line="360" w:lineRule="auto"/>
        <w:jc w:val="both"/>
        <w:rPr>
          <w:rFonts w:ascii="Times New Roman" w:hAnsi="Times New Roman" w:cs="Times New Roman"/>
          <w:color w:val="000000"/>
          <w:spacing w:val="6"/>
          <w:sz w:val="20"/>
          <w:szCs w:val="20"/>
        </w:rPr>
      </w:pPr>
    </w:p>
    <w:p w14:paraId="4AF1E689" w14:textId="7AA7FD43" w:rsidR="003D37D6" w:rsidRDefault="003D37D6" w:rsidP="00C2495A">
      <w:pPr>
        <w:spacing w:after="0" w:line="360" w:lineRule="auto"/>
        <w:jc w:val="both"/>
        <w:rPr>
          <w:rFonts w:ascii="Times New Roman" w:hAnsi="Times New Roman" w:cs="Times New Roman"/>
          <w:color w:val="000000"/>
          <w:spacing w:val="6"/>
          <w:sz w:val="20"/>
          <w:szCs w:val="20"/>
        </w:rPr>
      </w:pPr>
    </w:p>
    <w:p w14:paraId="19ABEBC1" w14:textId="03A46A46" w:rsidR="003D37D6" w:rsidRDefault="003D37D6" w:rsidP="00C2495A">
      <w:pPr>
        <w:spacing w:after="0" w:line="360" w:lineRule="auto"/>
        <w:jc w:val="both"/>
        <w:rPr>
          <w:rFonts w:ascii="Times New Roman" w:hAnsi="Times New Roman" w:cs="Times New Roman"/>
          <w:color w:val="000000"/>
          <w:spacing w:val="6"/>
          <w:sz w:val="20"/>
          <w:szCs w:val="20"/>
        </w:rPr>
      </w:pPr>
    </w:p>
    <w:p w14:paraId="558DA1BF" w14:textId="17AB3BB3" w:rsidR="003D37D6" w:rsidRDefault="003D37D6" w:rsidP="00C2495A">
      <w:pPr>
        <w:spacing w:after="0" w:line="360" w:lineRule="auto"/>
        <w:jc w:val="both"/>
        <w:rPr>
          <w:rFonts w:ascii="Times New Roman" w:hAnsi="Times New Roman" w:cs="Times New Roman"/>
          <w:color w:val="000000"/>
          <w:spacing w:val="6"/>
          <w:sz w:val="20"/>
          <w:szCs w:val="20"/>
        </w:rPr>
      </w:pPr>
    </w:p>
    <w:p w14:paraId="1F1E0EAE" w14:textId="178E17FB" w:rsidR="003D37D6" w:rsidRDefault="003D37D6" w:rsidP="00C2495A">
      <w:pPr>
        <w:spacing w:after="0" w:line="360" w:lineRule="auto"/>
        <w:jc w:val="both"/>
        <w:rPr>
          <w:rFonts w:ascii="Times New Roman" w:hAnsi="Times New Roman" w:cs="Times New Roman"/>
          <w:color w:val="000000"/>
          <w:spacing w:val="6"/>
          <w:sz w:val="20"/>
          <w:szCs w:val="20"/>
        </w:rPr>
      </w:pPr>
    </w:p>
    <w:p w14:paraId="413AA3DE" w14:textId="2E098C58" w:rsidR="003D37D6" w:rsidRDefault="003D37D6" w:rsidP="00C2495A">
      <w:pPr>
        <w:spacing w:after="0" w:line="360" w:lineRule="auto"/>
        <w:jc w:val="both"/>
        <w:rPr>
          <w:rFonts w:ascii="Times New Roman" w:hAnsi="Times New Roman" w:cs="Times New Roman"/>
          <w:color w:val="000000"/>
          <w:spacing w:val="6"/>
          <w:sz w:val="20"/>
          <w:szCs w:val="20"/>
        </w:rPr>
      </w:pPr>
    </w:p>
    <w:p w14:paraId="3F59D3D3" w14:textId="587369FC" w:rsidR="003D37D6" w:rsidRDefault="003D37D6" w:rsidP="00C2495A">
      <w:pPr>
        <w:spacing w:after="0" w:line="360" w:lineRule="auto"/>
        <w:jc w:val="both"/>
        <w:rPr>
          <w:rFonts w:ascii="Times New Roman" w:hAnsi="Times New Roman" w:cs="Times New Roman"/>
          <w:color w:val="000000"/>
          <w:spacing w:val="6"/>
          <w:sz w:val="20"/>
          <w:szCs w:val="20"/>
        </w:rPr>
      </w:pPr>
    </w:p>
    <w:p w14:paraId="5EB5D498" w14:textId="03765D13" w:rsidR="003D37D6" w:rsidRDefault="003D37D6" w:rsidP="00C2495A">
      <w:pPr>
        <w:spacing w:after="0" w:line="360" w:lineRule="auto"/>
        <w:jc w:val="both"/>
        <w:rPr>
          <w:rFonts w:ascii="Times New Roman" w:hAnsi="Times New Roman" w:cs="Times New Roman"/>
          <w:color w:val="000000"/>
          <w:spacing w:val="6"/>
          <w:sz w:val="20"/>
          <w:szCs w:val="20"/>
        </w:rPr>
      </w:pPr>
    </w:p>
    <w:p w14:paraId="6EDD57A9" w14:textId="1906ACD5" w:rsidR="003D37D6" w:rsidRDefault="003D37D6" w:rsidP="00C2495A">
      <w:pPr>
        <w:spacing w:after="0" w:line="360" w:lineRule="auto"/>
        <w:jc w:val="both"/>
        <w:rPr>
          <w:rFonts w:ascii="Times New Roman" w:hAnsi="Times New Roman" w:cs="Times New Roman"/>
          <w:color w:val="000000"/>
          <w:spacing w:val="6"/>
          <w:sz w:val="20"/>
          <w:szCs w:val="20"/>
        </w:rPr>
      </w:pPr>
    </w:p>
    <w:p w14:paraId="3021365B" w14:textId="62317049" w:rsidR="003D37D6" w:rsidRDefault="003D37D6" w:rsidP="00C2495A">
      <w:pPr>
        <w:spacing w:after="0" w:line="360" w:lineRule="auto"/>
        <w:jc w:val="both"/>
        <w:rPr>
          <w:rFonts w:ascii="Times New Roman" w:hAnsi="Times New Roman" w:cs="Times New Roman"/>
          <w:color w:val="000000"/>
          <w:spacing w:val="6"/>
          <w:sz w:val="20"/>
          <w:szCs w:val="20"/>
        </w:rPr>
      </w:pPr>
    </w:p>
    <w:p w14:paraId="1DAD7A36" w14:textId="3293061B" w:rsidR="003D37D6" w:rsidRDefault="003D37D6" w:rsidP="00C2495A">
      <w:pPr>
        <w:spacing w:after="0" w:line="360" w:lineRule="auto"/>
        <w:jc w:val="both"/>
        <w:rPr>
          <w:rFonts w:ascii="Times New Roman" w:hAnsi="Times New Roman" w:cs="Times New Roman"/>
          <w:color w:val="000000"/>
          <w:spacing w:val="6"/>
          <w:sz w:val="20"/>
          <w:szCs w:val="20"/>
        </w:rPr>
      </w:pPr>
    </w:p>
    <w:p w14:paraId="4D5E0EB4" w14:textId="6A58E4DC" w:rsidR="003D37D6" w:rsidRDefault="003D37D6" w:rsidP="00C2495A">
      <w:pPr>
        <w:spacing w:after="0" w:line="360" w:lineRule="auto"/>
        <w:jc w:val="both"/>
        <w:rPr>
          <w:rFonts w:ascii="Times New Roman" w:hAnsi="Times New Roman" w:cs="Times New Roman"/>
          <w:color w:val="000000"/>
          <w:spacing w:val="6"/>
          <w:sz w:val="20"/>
          <w:szCs w:val="20"/>
        </w:rPr>
      </w:pPr>
    </w:p>
    <w:p w14:paraId="6F50C18F" w14:textId="41C9E506" w:rsidR="003D37D6" w:rsidRDefault="003D37D6" w:rsidP="00C2495A">
      <w:pPr>
        <w:spacing w:after="0" w:line="360" w:lineRule="auto"/>
        <w:jc w:val="both"/>
        <w:rPr>
          <w:rFonts w:ascii="Times New Roman" w:hAnsi="Times New Roman" w:cs="Times New Roman"/>
          <w:color w:val="000000"/>
          <w:spacing w:val="6"/>
          <w:sz w:val="20"/>
          <w:szCs w:val="20"/>
        </w:rPr>
      </w:pPr>
    </w:p>
    <w:p w14:paraId="7963F8F5" w14:textId="349F8DB6" w:rsidR="003D37D6" w:rsidRDefault="003D37D6" w:rsidP="00C2495A">
      <w:pPr>
        <w:spacing w:after="0" w:line="360" w:lineRule="auto"/>
        <w:jc w:val="both"/>
        <w:rPr>
          <w:rFonts w:ascii="Times New Roman" w:hAnsi="Times New Roman" w:cs="Times New Roman"/>
          <w:color w:val="000000"/>
          <w:spacing w:val="6"/>
          <w:sz w:val="20"/>
          <w:szCs w:val="20"/>
        </w:rPr>
      </w:pPr>
    </w:p>
    <w:p w14:paraId="680C4E64" w14:textId="0D516204" w:rsidR="003D37D6" w:rsidRDefault="003D37D6" w:rsidP="00C2495A">
      <w:pPr>
        <w:spacing w:after="0" w:line="360" w:lineRule="auto"/>
        <w:jc w:val="both"/>
        <w:rPr>
          <w:rFonts w:ascii="Times New Roman" w:hAnsi="Times New Roman" w:cs="Times New Roman"/>
          <w:color w:val="000000"/>
          <w:spacing w:val="6"/>
          <w:sz w:val="20"/>
          <w:szCs w:val="20"/>
        </w:rPr>
      </w:pPr>
    </w:p>
    <w:p w14:paraId="0629FE03" w14:textId="568A0686" w:rsidR="003D37D6" w:rsidRDefault="003D37D6" w:rsidP="00C2495A">
      <w:pPr>
        <w:spacing w:after="0" w:line="360" w:lineRule="auto"/>
        <w:jc w:val="both"/>
        <w:rPr>
          <w:rFonts w:ascii="Times New Roman" w:hAnsi="Times New Roman" w:cs="Times New Roman"/>
          <w:color w:val="000000"/>
          <w:spacing w:val="6"/>
          <w:sz w:val="20"/>
          <w:szCs w:val="20"/>
        </w:rPr>
      </w:pPr>
    </w:p>
    <w:p w14:paraId="08292510" w14:textId="014CD379" w:rsidR="003D37D6" w:rsidRDefault="003D37D6" w:rsidP="00C2495A">
      <w:pPr>
        <w:spacing w:after="0" w:line="360" w:lineRule="auto"/>
        <w:jc w:val="both"/>
        <w:rPr>
          <w:rFonts w:ascii="Times New Roman" w:hAnsi="Times New Roman" w:cs="Times New Roman"/>
          <w:color w:val="000000"/>
          <w:spacing w:val="6"/>
          <w:sz w:val="20"/>
          <w:szCs w:val="20"/>
        </w:rPr>
      </w:pPr>
    </w:p>
    <w:p w14:paraId="7B5972D7" w14:textId="51CE76F8" w:rsidR="003D37D6" w:rsidRDefault="003D37D6" w:rsidP="00C2495A">
      <w:pPr>
        <w:spacing w:after="0" w:line="360" w:lineRule="auto"/>
        <w:jc w:val="both"/>
        <w:rPr>
          <w:rFonts w:ascii="Times New Roman" w:hAnsi="Times New Roman" w:cs="Times New Roman"/>
          <w:color w:val="000000"/>
          <w:spacing w:val="6"/>
          <w:sz w:val="20"/>
          <w:szCs w:val="20"/>
        </w:rPr>
      </w:pPr>
    </w:p>
    <w:p w14:paraId="78B6DA23" w14:textId="49161567" w:rsidR="003D37D6" w:rsidRDefault="003D37D6" w:rsidP="00C2495A">
      <w:pPr>
        <w:spacing w:after="0" w:line="360" w:lineRule="auto"/>
        <w:jc w:val="both"/>
        <w:rPr>
          <w:rFonts w:ascii="Times New Roman" w:hAnsi="Times New Roman" w:cs="Times New Roman"/>
          <w:color w:val="000000"/>
          <w:spacing w:val="6"/>
          <w:sz w:val="20"/>
          <w:szCs w:val="20"/>
        </w:rPr>
      </w:pPr>
    </w:p>
    <w:p w14:paraId="6F3FE742" w14:textId="7EC3B466" w:rsidR="003D37D6" w:rsidRDefault="003D37D6" w:rsidP="00C2495A">
      <w:pPr>
        <w:spacing w:after="0" w:line="360" w:lineRule="auto"/>
        <w:jc w:val="both"/>
        <w:rPr>
          <w:rFonts w:ascii="Times New Roman" w:hAnsi="Times New Roman" w:cs="Times New Roman"/>
          <w:color w:val="000000"/>
          <w:spacing w:val="6"/>
          <w:sz w:val="20"/>
          <w:szCs w:val="20"/>
        </w:rPr>
      </w:pPr>
    </w:p>
    <w:p w14:paraId="34ECAF78" w14:textId="6ED79FD4" w:rsidR="003D37D6" w:rsidRDefault="003D37D6" w:rsidP="00C2495A">
      <w:pPr>
        <w:spacing w:after="0" w:line="360" w:lineRule="auto"/>
        <w:jc w:val="both"/>
        <w:rPr>
          <w:rFonts w:ascii="Times New Roman" w:hAnsi="Times New Roman" w:cs="Times New Roman"/>
          <w:color w:val="000000"/>
          <w:spacing w:val="6"/>
          <w:sz w:val="20"/>
          <w:szCs w:val="20"/>
        </w:rPr>
      </w:pPr>
    </w:p>
    <w:p w14:paraId="611B7CC1" w14:textId="6EA2B6AE" w:rsidR="003D37D6" w:rsidRDefault="003D37D6" w:rsidP="00C2495A">
      <w:pPr>
        <w:spacing w:after="0" w:line="360" w:lineRule="auto"/>
        <w:jc w:val="both"/>
        <w:rPr>
          <w:rFonts w:ascii="Times New Roman" w:hAnsi="Times New Roman" w:cs="Times New Roman"/>
          <w:color w:val="000000"/>
          <w:spacing w:val="6"/>
          <w:sz w:val="20"/>
          <w:szCs w:val="20"/>
        </w:rPr>
      </w:pPr>
    </w:p>
    <w:p w14:paraId="7347245F" w14:textId="330639FD" w:rsidR="003D37D6" w:rsidRDefault="003D37D6" w:rsidP="00C2495A">
      <w:pPr>
        <w:spacing w:after="0" w:line="360" w:lineRule="auto"/>
        <w:jc w:val="both"/>
        <w:rPr>
          <w:rFonts w:ascii="Times New Roman" w:hAnsi="Times New Roman" w:cs="Times New Roman"/>
          <w:color w:val="000000"/>
          <w:spacing w:val="6"/>
          <w:sz w:val="20"/>
          <w:szCs w:val="20"/>
        </w:rPr>
      </w:pPr>
    </w:p>
    <w:p w14:paraId="6217AC7B" w14:textId="153DC4D9" w:rsidR="003D37D6" w:rsidRPr="001A30A3" w:rsidRDefault="003D37D6" w:rsidP="00C2495A">
      <w:pPr>
        <w:spacing w:after="0" w:line="360" w:lineRule="auto"/>
        <w:jc w:val="both"/>
        <w:rPr>
          <w:rFonts w:ascii="Times New Roman" w:hAnsi="Times New Roman" w:cs="Times New Roman"/>
          <w:color w:val="000000"/>
          <w:spacing w:val="6"/>
          <w:sz w:val="20"/>
          <w:szCs w:val="20"/>
        </w:rPr>
      </w:pPr>
    </w:p>
    <w:p w14:paraId="753AF734" w14:textId="77777777" w:rsidR="00C2495A" w:rsidRPr="001A30A3" w:rsidRDefault="00C2495A" w:rsidP="00C2495A">
      <w:pPr>
        <w:spacing w:after="0" w:line="360" w:lineRule="auto"/>
        <w:jc w:val="both"/>
        <w:rPr>
          <w:rFonts w:ascii="Times New Roman" w:hAnsi="Times New Roman" w:cs="Times New Roman"/>
          <w:b/>
          <w:color w:val="000000"/>
          <w:spacing w:val="6"/>
          <w:sz w:val="24"/>
          <w:szCs w:val="24"/>
        </w:rPr>
      </w:pPr>
      <w:r w:rsidRPr="001A30A3">
        <w:rPr>
          <w:rFonts w:ascii="Times New Roman" w:hAnsi="Times New Roman" w:cs="Times New Roman"/>
          <w:b/>
          <w:color w:val="000000"/>
          <w:spacing w:val="6"/>
          <w:sz w:val="24"/>
          <w:szCs w:val="24"/>
        </w:rPr>
        <w:t xml:space="preserve">Table 2: </w:t>
      </w:r>
      <w:r w:rsidRPr="001A30A3">
        <w:rPr>
          <w:rFonts w:ascii="Times New Roman" w:hAnsi="Times New Roman" w:cs="Times New Roman"/>
          <w:color w:val="000000"/>
          <w:spacing w:val="6"/>
          <w:sz w:val="24"/>
          <w:szCs w:val="24"/>
        </w:rPr>
        <w:t>Consolidated Government Expenditure, 2016/17 to 2020/21</w:t>
      </w:r>
    </w:p>
    <w:p w14:paraId="722A705C" w14:textId="77777777" w:rsidR="00C2495A" w:rsidRPr="001A30A3" w:rsidRDefault="00FA6C36" w:rsidP="00C2495A">
      <w:pPr>
        <w:spacing w:after="0" w:line="360" w:lineRule="auto"/>
        <w:jc w:val="both"/>
        <w:rPr>
          <w:rFonts w:ascii="Times New Roman" w:hAnsi="Times New Roman" w:cs="Times New Roman"/>
          <w:b/>
          <w:color w:val="000000"/>
          <w:spacing w:val="6"/>
          <w:sz w:val="24"/>
          <w:szCs w:val="24"/>
        </w:rPr>
      </w:pPr>
      <w:r w:rsidRPr="001A30A3">
        <w:rPr>
          <w:rFonts w:ascii="Times New Roman" w:hAnsi="Times New Roman" w:cs="Times New Roman"/>
          <w:b/>
          <w:color w:val="000000"/>
          <w:spacing w:val="6"/>
          <w:sz w:val="24"/>
          <w:szCs w:val="24"/>
        </w:rPr>
        <w:object w:dxaOrig="9981" w:dyaOrig="10452" w14:anchorId="32C5F321">
          <v:shape id="_x0000_i1026" type="#_x0000_t75" style="width:429.75pt;height:450.75pt" o:ole="">
            <v:imagedata r:id="rId11" o:title=""/>
          </v:shape>
          <o:OLEObject Type="Embed" ProgID="Excel.Sheet.12" ShapeID="_x0000_i1026" DrawAspect="Content" ObjectID="_1604909437" r:id="rId12"/>
        </w:object>
      </w:r>
      <w:r w:rsidR="00C2495A" w:rsidRPr="001A30A3">
        <w:rPr>
          <w:rFonts w:ascii="Times New Roman" w:hAnsi="Times New Roman" w:cs="Times New Roman"/>
          <w:i/>
          <w:color w:val="000000"/>
          <w:spacing w:val="6"/>
        </w:rPr>
        <w:t>Source: National Treasury (2018)</w:t>
      </w:r>
    </w:p>
    <w:p w14:paraId="61257DF8" w14:textId="77777777" w:rsidR="00C2495A" w:rsidRPr="001A30A3" w:rsidRDefault="00C2495A" w:rsidP="00C2495A">
      <w:pPr>
        <w:spacing w:after="0" w:line="360" w:lineRule="auto"/>
        <w:jc w:val="both"/>
        <w:rPr>
          <w:rFonts w:ascii="Times New Roman" w:hAnsi="Times New Roman" w:cs="Times New Roman"/>
          <w:color w:val="000000"/>
          <w:spacing w:val="6"/>
          <w:sz w:val="24"/>
          <w:szCs w:val="24"/>
        </w:rPr>
      </w:pPr>
    </w:p>
    <w:p w14:paraId="765E795E" w14:textId="320B9786" w:rsidR="00C2495A" w:rsidRDefault="00C2495A" w:rsidP="00C2495A">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 xml:space="preserve">The 2018 MTBPS states that government’s spending priorities over the 2019 MTEF remain guided by the </w:t>
      </w:r>
      <w:r w:rsidR="003D37D6">
        <w:rPr>
          <w:rFonts w:ascii="Times New Roman" w:hAnsi="Times New Roman" w:cs="Times New Roman"/>
          <w:color w:val="000000"/>
          <w:spacing w:val="6"/>
          <w:sz w:val="24"/>
          <w:szCs w:val="24"/>
        </w:rPr>
        <w:t>National Development Plan (NDP)</w:t>
      </w:r>
      <w:r w:rsidRPr="001A30A3">
        <w:rPr>
          <w:rFonts w:ascii="Times New Roman" w:hAnsi="Times New Roman" w:cs="Times New Roman"/>
          <w:color w:val="000000"/>
          <w:spacing w:val="6"/>
          <w:sz w:val="24"/>
          <w:szCs w:val="24"/>
        </w:rPr>
        <w:t xml:space="preserve"> and the </w:t>
      </w:r>
      <w:r w:rsidR="003D37D6">
        <w:rPr>
          <w:rFonts w:ascii="Times New Roman" w:hAnsi="Times New Roman" w:cs="Times New Roman"/>
          <w:color w:val="000000"/>
          <w:spacing w:val="6"/>
          <w:sz w:val="24"/>
          <w:szCs w:val="24"/>
        </w:rPr>
        <w:t xml:space="preserve">2014-2019 Medium </w:t>
      </w:r>
      <w:r w:rsidRPr="001A30A3">
        <w:rPr>
          <w:rFonts w:ascii="Times New Roman" w:hAnsi="Times New Roman" w:cs="Times New Roman"/>
          <w:color w:val="000000"/>
          <w:spacing w:val="6"/>
          <w:sz w:val="24"/>
          <w:szCs w:val="24"/>
        </w:rPr>
        <w:t xml:space="preserve">Term Strategic Framework (MTSF). Against this background, government’s spending plans in the medium term aim to reduce poverty and inequality, and to increase employment and inclusive growth. </w:t>
      </w:r>
    </w:p>
    <w:p w14:paraId="21630908" w14:textId="77777777" w:rsidR="00C2495A" w:rsidRDefault="00C2495A" w:rsidP="00C2495A">
      <w:pPr>
        <w:spacing w:after="0" w:line="360" w:lineRule="auto"/>
        <w:jc w:val="both"/>
        <w:rPr>
          <w:rFonts w:ascii="Times New Roman" w:hAnsi="Times New Roman" w:cs="Times New Roman"/>
          <w:color w:val="000000"/>
          <w:spacing w:val="6"/>
          <w:sz w:val="24"/>
          <w:szCs w:val="24"/>
        </w:rPr>
      </w:pPr>
    </w:p>
    <w:p w14:paraId="6F5E3160" w14:textId="6A3AC0F4" w:rsidR="00C2495A" w:rsidRPr="001A30A3" w:rsidRDefault="00C2495A" w:rsidP="00C2495A">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 xml:space="preserve">Table 2 </w:t>
      </w:r>
      <w:r w:rsidR="001A470F">
        <w:rPr>
          <w:rFonts w:ascii="Times New Roman" w:hAnsi="Times New Roman" w:cs="Times New Roman"/>
          <w:color w:val="000000"/>
          <w:spacing w:val="6"/>
          <w:sz w:val="24"/>
          <w:szCs w:val="24"/>
        </w:rPr>
        <w:t xml:space="preserve">above </w:t>
      </w:r>
      <w:r w:rsidRPr="001A30A3">
        <w:rPr>
          <w:rFonts w:ascii="Times New Roman" w:hAnsi="Times New Roman" w:cs="Times New Roman"/>
          <w:color w:val="000000"/>
          <w:spacing w:val="6"/>
          <w:sz w:val="24"/>
          <w:szCs w:val="24"/>
        </w:rPr>
        <w:t>shows that government projects</w:t>
      </w:r>
      <w:r w:rsidR="003D37D6">
        <w:rPr>
          <w:rFonts w:ascii="Times New Roman" w:hAnsi="Times New Roman" w:cs="Times New Roman"/>
          <w:color w:val="000000"/>
          <w:spacing w:val="6"/>
          <w:sz w:val="24"/>
          <w:szCs w:val="24"/>
        </w:rPr>
        <w:t xml:space="preserve"> a</w:t>
      </w:r>
      <w:r w:rsidRPr="001A30A3">
        <w:rPr>
          <w:rFonts w:ascii="Times New Roman" w:hAnsi="Times New Roman" w:cs="Times New Roman"/>
          <w:color w:val="000000"/>
          <w:spacing w:val="6"/>
          <w:sz w:val="24"/>
          <w:szCs w:val="24"/>
        </w:rPr>
        <w:t xml:space="preserve"> total expenditure of R5.9 trillion over the 2019 MTEF period. Spending will grow by an average of 7.8 per cent a year, reaching R2.1 trillion in 2021/22. </w:t>
      </w:r>
      <w:r>
        <w:rPr>
          <w:rFonts w:ascii="Times New Roman" w:hAnsi="Times New Roman" w:cs="Times New Roman"/>
          <w:color w:val="000000"/>
          <w:spacing w:val="6"/>
          <w:sz w:val="24"/>
          <w:szCs w:val="24"/>
        </w:rPr>
        <w:t xml:space="preserve">Over the medium term, </w:t>
      </w:r>
      <w:r w:rsidRPr="001A30A3">
        <w:rPr>
          <w:rFonts w:ascii="Times New Roman" w:hAnsi="Times New Roman" w:cs="Times New Roman"/>
          <w:color w:val="000000"/>
          <w:spacing w:val="6"/>
          <w:sz w:val="24"/>
          <w:szCs w:val="24"/>
        </w:rPr>
        <w:t>learning and culture, health, social develo</w:t>
      </w:r>
      <w:r>
        <w:rPr>
          <w:rFonts w:ascii="Times New Roman" w:hAnsi="Times New Roman" w:cs="Times New Roman"/>
          <w:color w:val="000000"/>
          <w:spacing w:val="6"/>
          <w:sz w:val="24"/>
          <w:szCs w:val="24"/>
        </w:rPr>
        <w:t>pment and community development receive the largest allocation of</w:t>
      </w:r>
      <w:r w:rsidRPr="001A30A3">
        <w:rPr>
          <w:rFonts w:ascii="Times New Roman" w:hAnsi="Times New Roman" w:cs="Times New Roman"/>
          <w:color w:val="000000"/>
          <w:spacing w:val="6"/>
          <w:sz w:val="24"/>
          <w:szCs w:val="24"/>
        </w:rPr>
        <w:t xml:space="preserve"> more than 60 per cent of government expenditure.</w:t>
      </w:r>
    </w:p>
    <w:p w14:paraId="0B9915EE" w14:textId="77777777" w:rsidR="00C2495A" w:rsidRPr="001A30A3" w:rsidRDefault="00C2495A" w:rsidP="00C2495A">
      <w:pPr>
        <w:spacing w:after="0" w:line="360" w:lineRule="auto"/>
        <w:jc w:val="both"/>
        <w:rPr>
          <w:rFonts w:ascii="Times New Roman" w:hAnsi="Times New Roman" w:cs="Times New Roman"/>
          <w:color w:val="000000"/>
          <w:spacing w:val="6"/>
          <w:sz w:val="24"/>
          <w:szCs w:val="24"/>
        </w:rPr>
      </w:pPr>
    </w:p>
    <w:p w14:paraId="0AEB0E3A" w14:textId="77777777" w:rsidR="00C2495A" w:rsidRPr="001A30A3" w:rsidRDefault="00C2495A" w:rsidP="00C2495A">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spacing w:val="6"/>
          <w:sz w:val="24"/>
          <w:szCs w:val="24"/>
        </w:rPr>
        <w:t xml:space="preserve">On education and training, </w:t>
      </w:r>
      <w:r w:rsidRPr="001A30A3">
        <w:rPr>
          <w:rFonts w:ascii="Times New Roman" w:hAnsi="Times New Roman" w:cs="Times New Roman"/>
          <w:color w:val="000000"/>
          <w:spacing w:val="6"/>
          <w:sz w:val="24"/>
          <w:szCs w:val="24"/>
        </w:rPr>
        <w:t xml:space="preserve">priorities include eradicating pit latrines, mathematics in basic education, focus on early grades and improving graduation rates. </w:t>
      </w:r>
      <w:r>
        <w:rPr>
          <w:rFonts w:ascii="Times New Roman" w:hAnsi="Times New Roman" w:cs="Times New Roman"/>
          <w:color w:val="000000"/>
          <w:spacing w:val="6"/>
          <w:sz w:val="24"/>
          <w:szCs w:val="24"/>
        </w:rPr>
        <w:t xml:space="preserve">A total of </w:t>
      </w:r>
      <w:r w:rsidRPr="001A30A3">
        <w:rPr>
          <w:rFonts w:ascii="Times New Roman" w:hAnsi="Times New Roman" w:cs="Times New Roman"/>
          <w:color w:val="000000"/>
          <w:spacing w:val="6"/>
          <w:sz w:val="24"/>
          <w:szCs w:val="24"/>
        </w:rPr>
        <w:t>R3.4 billion is allocated to the education infrastructure grant</w:t>
      </w:r>
      <w:r>
        <w:rPr>
          <w:rFonts w:ascii="Times New Roman" w:hAnsi="Times New Roman" w:cs="Times New Roman"/>
          <w:color w:val="000000"/>
          <w:spacing w:val="6"/>
          <w:sz w:val="24"/>
          <w:szCs w:val="24"/>
        </w:rPr>
        <w:t xml:space="preserve"> f</w:t>
      </w:r>
      <w:r w:rsidRPr="004D21E4">
        <w:rPr>
          <w:rFonts w:ascii="Times New Roman" w:hAnsi="Times New Roman" w:cs="Times New Roman"/>
          <w:color w:val="000000"/>
          <w:spacing w:val="6"/>
          <w:sz w:val="24"/>
          <w:szCs w:val="24"/>
        </w:rPr>
        <w:t>or constructing and maintaining schools</w:t>
      </w:r>
      <w:r>
        <w:rPr>
          <w:rFonts w:ascii="Times New Roman" w:hAnsi="Times New Roman" w:cs="Times New Roman"/>
          <w:color w:val="000000"/>
          <w:spacing w:val="6"/>
          <w:sz w:val="24"/>
          <w:szCs w:val="24"/>
        </w:rPr>
        <w:t>, including sanitation projects</w:t>
      </w:r>
      <w:r w:rsidRPr="001A30A3">
        <w:rPr>
          <w:rFonts w:ascii="Times New Roman" w:hAnsi="Times New Roman" w:cs="Times New Roman"/>
          <w:color w:val="000000"/>
          <w:spacing w:val="6"/>
          <w:sz w:val="24"/>
          <w:szCs w:val="24"/>
        </w:rPr>
        <w:t>. Over the medium term, an estimated R61.5 billion in revenue from the skills development levy will continue to expand participation in learnerships, internships and skills development programmes.</w:t>
      </w:r>
    </w:p>
    <w:p w14:paraId="768D7479" w14:textId="77777777" w:rsidR="00C2495A" w:rsidRPr="001A30A3" w:rsidRDefault="00C2495A" w:rsidP="00C2495A">
      <w:pPr>
        <w:spacing w:after="0" w:line="360" w:lineRule="auto"/>
        <w:jc w:val="both"/>
        <w:rPr>
          <w:rFonts w:ascii="Times New Roman" w:hAnsi="Times New Roman" w:cs="Times New Roman"/>
          <w:color w:val="000000"/>
          <w:spacing w:val="6"/>
          <w:sz w:val="24"/>
          <w:szCs w:val="24"/>
        </w:rPr>
      </w:pPr>
    </w:p>
    <w:p w14:paraId="2BBA4902" w14:textId="77777777" w:rsidR="00C2495A" w:rsidRPr="001A30A3" w:rsidRDefault="00C2495A" w:rsidP="00C2495A">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spacing w:val="6"/>
          <w:sz w:val="24"/>
          <w:szCs w:val="24"/>
        </w:rPr>
        <w:t xml:space="preserve">On human settlements, the </w:t>
      </w:r>
      <w:r>
        <w:rPr>
          <w:rFonts w:ascii="Times New Roman" w:hAnsi="Times New Roman" w:cs="Times New Roman"/>
          <w:color w:val="000000"/>
          <w:spacing w:val="6"/>
          <w:sz w:val="24"/>
          <w:szCs w:val="24"/>
        </w:rPr>
        <w:t>2018 MTBPS announces</w:t>
      </w:r>
      <w:r w:rsidRPr="001A30A3">
        <w:rPr>
          <w:rFonts w:ascii="Times New Roman" w:hAnsi="Times New Roman" w:cs="Times New Roman"/>
          <w:color w:val="000000"/>
          <w:spacing w:val="6"/>
          <w:sz w:val="24"/>
          <w:szCs w:val="24"/>
        </w:rPr>
        <w:t xml:space="preserve"> that the title deeds restoration grant will be phased back into the human settlements development grant after 2021/22. Over the medium term, the budget will prioritise support for integrated public transport networks in 13 cities.</w:t>
      </w:r>
    </w:p>
    <w:p w14:paraId="248F9FBB" w14:textId="77777777" w:rsidR="00C2495A" w:rsidRPr="001A30A3" w:rsidRDefault="00C2495A" w:rsidP="00C2495A">
      <w:pPr>
        <w:spacing w:after="0" w:line="360" w:lineRule="auto"/>
        <w:jc w:val="both"/>
        <w:rPr>
          <w:rFonts w:ascii="Times New Roman" w:hAnsi="Times New Roman" w:cs="Times New Roman"/>
          <w:color w:val="000000"/>
          <w:spacing w:val="6"/>
          <w:sz w:val="24"/>
          <w:szCs w:val="24"/>
        </w:rPr>
      </w:pPr>
    </w:p>
    <w:p w14:paraId="34EF7FC8" w14:textId="77777777" w:rsidR="00C2495A" w:rsidRPr="001A30A3" w:rsidRDefault="00C2495A" w:rsidP="00C2495A">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spacing w:val="6"/>
          <w:sz w:val="24"/>
          <w:szCs w:val="24"/>
        </w:rPr>
        <w:t>On health</w:t>
      </w:r>
      <w:r w:rsidRPr="001A30A3">
        <w:rPr>
          <w:rFonts w:ascii="Times New Roman" w:hAnsi="Times New Roman" w:cs="Times New Roman"/>
          <w:color w:val="000000"/>
          <w:spacing w:val="6"/>
          <w:sz w:val="24"/>
          <w:szCs w:val="24"/>
        </w:rPr>
        <w:t>, over the 2019 MTEF period, the budget plans to fund additional 2 200 critical medical posts in provinces and expand medical student internships. The budget also allocates funding for the Community Health Worker Programme to implement the minimum wage. The 2018 MTBPS further stated that the Construction of a 488-bed academic hospital in Limpopo is expected to begin in 2019/20.</w:t>
      </w:r>
    </w:p>
    <w:p w14:paraId="6305F3FF" w14:textId="77777777" w:rsidR="00C2495A" w:rsidRPr="001A30A3" w:rsidRDefault="00C2495A" w:rsidP="00C2495A">
      <w:pPr>
        <w:spacing w:after="0" w:line="360" w:lineRule="auto"/>
        <w:jc w:val="both"/>
        <w:rPr>
          <w:rFonts w:ascii="Times New Roman" w:hAnsi="Times New Roman" w:cs="Times New Roman"/>
          <w:color w:val="000000"/>
          <w:spacing w:val="6"/>
          <w:sz w:val="24"/>
          <w:szCs w:val="24"/>
        </w:rPr>
      </w:pPr>
    </w:p>
    <w:p w14:paraId="766E5D64" w14:textId="617EB8C5" w:rsidR="00C2495A" w:rsidRPr="001A30A3" w:rsidRDefault="00C2495A" w:rsidP="00C2495A">
      <w:pPr>
        <w:spacing w:after="0" w:line="360" w:lineRule="auto"/>
        <w:jc w:val="both"/>
        <w:rPr>
          <w:rFonts w:ascii="Times New Roman" w:hAnsi="Times New Roman" w:cs="Times New Roman"/>
          <w:spacing w:val="6"/>
          <w:sz w:val="24"/>
          <w:szCs w:val="24"/>
        </w:rPr>
      </w:pPr>
      <w:r w:rsidRPr="001A30A3">
        <w:rPr>
          <w:rFonts w:ascii="Times New Roman" w:hAnsi="Times New Roman" w:cs="Times New Roman"/>
          <w:spacing w:val="6"/>
          <w:sz w:val="24"/>
          <w:szCs w:val="24"/>
        </w:rPr>
        <w:t xml:space="preserve">On social development, the 2018 MTBPS states that government will hand over the National Food Relief Programme to provinces in order to reduce overlaps, and this will come into effect from </w:t>
      </w:r>
      <w:r w:rsidR="003D37D6" w:rsidRPr="003D37D6">
        <w:rPr>
          <w:rFonts w:ascii="Times New Roman" w:hAnsi="Times New Roman" w:cs="Times New Roman"/>
          <w:spacing w:val="6"/>
          <w:sz w:val="24"/>
          <w:szCs w:val="24"/>
        </w:rPr>
        <w:t>1 April 2020</w:t>
      </w:r>
      <w:r w:rsidRPr="001A30A3">
        <w:rPr>
          <w:rFonts w:ascii="Times New Roman" w:hAnsi="Times New Roman" w:cs="Times New Roman"/>
          <w:spacing w:val="6"/>
          <w:sz w:val="24"/>
          <w:szCs w:val="24"/>
        </w:rPr>
        <w:t xml:space="preserve">. The social worker employment grant and the substance abuse treatment grant will be incorporated into the provincial equitable share from 2019/20.  </w:t>
      </w:r>
    </w:p>
    <w:p w14:paraId="0301CAC8" w14:textId="77777777" w:rsidR="00C2495A" w:rsidRPr="001A30A3" w:rsidRDefault="00C2495A" w:rsidP="00C2495A">
      <w:pPr>
        <w:spacing w:after="0" w:line="360" w:lineRule="auto"/>
        <w:jc w:val="both"/>
        <w:rPr>
          <w:rFonts w:ascii="Times New Roman" w:hAnsi="Times New Roman" w:cs="Times New Roman"/>
          <w:spacing w:val="6"/>
          <w:sz w:val="24"/>
          <w:szCs w:val="24"/>
        </w:rPr>
      </w:pPr>
    </w:p>
    <w:p w14:paraId="76CCFB19" w14:textId="77777777" w:rsidR="00C2495A" w:rsidRDefault="00C2495A" w:rsidP="00624632">
      <w:pPr>
        <w:spacing w:after="0" w:line="360" w:lineRule="auto"/>
        <w:jc w:val="both"/>
        <w:rPr>
          <w:rFonts w:ascii="Times New Roman" w:hAnsi="Times New Roman" w:cs="Times New Roman"/>
          <w:spacing w:val="6"/>
          <w:sz w:val="24"/>
          <w:szCs w:val="24"/>
        </w:rPr>
      </w:pPr>
      <w:r w:rsidRPr="001A30A3">
        <w:rPr>
          <w:rFonts w:ascii="Times New Roman" w:hAnsi="Times New Roman" w:cs="Times New Roman"/>
          <w:spacing w:val="6"/>
          <w:sz w:val="24"/>
          <w:szCs w:val="24"/>
        </w:rPr>
        <w:t xml:space="preserve">On land reform and agriculture, the 2018 MTBPS states that government will provide 30-year leases, enabling the Land Bank to extend loans to emerging farmers. Similarly, </w:t>
      </w:r>
      <w:r w:rsidRPr="001A30A3">
        <w:rPr>
          <w:rFonts w:ascii="Times New Roman" w:hAnsi="Times New Roman" w:cs="Times New Roman"/>
          <w:spacing w:val="6"/>
          <w:sz w:val="24"/>
          <w:szCs w:val="24"/>
        </w:rPr>
        <w:lastRenderedPageBreak/>
        <w:t>the Land Bank will use a combination of loans and grants to increase production through the Black Producers Commercialisation Programme.</w:t>
      </w:r>
    </w:p>
    <w:p w14:paraId="30C9E0E0" w14:textId="77777777" w:rsidR="001A470F" w:rsidRDefault="001A470F" w:rsidP="00624632">
      <w:pPr>
        <w:spacing w:after="0" w:line="360" w:lineRule="auto"/>
        <w:jc w:val="both"/>
        <w:rPr>
          <w:rFonts w:ascii="Times New Roman" w:hAnsi="Times New Roman" w:cs="Times New Roman"/>
          <w:spacing w:val="6"/>
          <w:sz w:val="24"/>
          <w:szCs w:val="24"/>
        </w:rPr>
      </w:pPr>
    </w:p>
    <w:p w14:paraId="4BC4C66B" w14:textId="77777777" w:rsidR="001A470F" w:rsidRPr="001A30A3" w:rsidRDefault="001A470F" w:rsidP="001A470F">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The 2018 MTBPS states that over the 2019 MTEF</w:t>
      </w:r>
      <w:r>
        <w:rPr>
          <w:rFonts w:ascii="Times New Roman" w:hAnsi="Times New Roman" w:cs="Times New Roman"/>
          <w:color w:val="000000"/>
          <w:spacing w:val="6"/>
          <w:sz w:val="24"/>
          <w:szCs w:val="24"/>
        </w:rPr>
        <w:t xml:space="preserve"> </w:t>
      </w:r>
      <w:r w:rsidRPr="001A30A3">
        <w:rPr>
          <w:rFonts w:ascii="Times New Roman" w:hAnsi="Times New Roman" w:cs="Times New Roman"/>
          <w:color w:val="000000"/>
          <w:spacing w:val="6"/>
          <w:sz w:val="24"/>
          <w:szCs w:val="24"/>
        </w:rPr>
        <w:t>public infrastructure expenditure is estimated to be R855.2 billion. Interventions to increase the efficiency of existing public infrastructure spending include the following:</w:t>
      </w:r>
    </w:p>
    <w:p w14:paraId="56FCD6EE" w14:textId="77777777" w:rsidR="001A470F" w:rsidRPr="001A30A3" w:rsidRDefault="001A470F" w:rsidP="001A470F">
      <w:pPr>
        <w:spacing w:after="0" w:line="360" w:lineRule="auto"/>
        <w:jc w:val="both"/>
        <w:rPr>
          <w:rFonts w:ascii="Times New Roman" w:hAnsi="Times New Roman" w:cs="Times New Roman"/>
          <w:color w:val="000000"/>
          <w:spacing w:val="6"/>
          <w:sz w:val="24"/>
          <w:szCs w:val="24"/>
        </w:rPr>
      </w:pPr>
    </w:p>
    <w:p w14:paraId="3CCE3D0E" w14:textId="77777777" w:rsidR="001A470F" w:rsidRPr="001A30A3" w:rsidRDefault="001A470F" w:rsidP="001A470F">
      <w:pPr>
        <w:pStyle w:val="ListParagraph"/>
        <w:numPr>
          <w:ilvl w:val="0"/>
          <w:numId w:val="36"/>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To address weaknesses in infrastructure planning, government, development finance institutions and private-sector partners have begun work on a project preparation facility.</w:t>
      </w:r>
    </w:p>
    <w:p w14:paraId="4F091EB2" w14:textId="77777777" w:rsidR="001A470F" w:rsidRPr="001A30A3" w:rsidRDefault="001A470F" w:rsidP="001A470F">
      <w:pPr>
        <w:pStyle w:val="ListParagraph"/>
        <w:spacing w:after="0" w:line="360" w:lineRule="auto"/>
        <w:jc w:val="both"/>
        <w:rPr>
          <w:rFonts w:ascii="Times New Roman" w:hAnsi="Times New Roman" w:cs="Times New Roman"/>
          <w:color w:val="000000"/>
          <w:spacing w:val="6"/>
          <w:sz w:val="24"/>
          <w:szCs w:val="24"/>
        </w:rPr>
      </w:pPr>
    </w:p>
    <w:p w14:paraId="2BEB7FFC" w14:textId="77777777" w:rsidR="001A470F" w:rsidRPr="001A30A3" w:rsidRDefault="001A470F" w:rsidP="001A470F">
      <w:pPr>
        <w:pStyle w:val="ListParagraph"/>
        <w:numPr>
          <w:ilvl w:val="0"/>
          <w:numId w:val="36"/>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 xml:space="preserve">To strengthen accountability and transparency, government will publish online expenditure reports of current infrastructure projects. </w:t>
      </w:r>
    </w:p>
    <w:p w14:paraId="0499C0EA" w14:textId="77777777" w:rsidR="001A470F" w:rsidRPr="001A30A3" w:rsidRDefault="001A470F" w:rsidP="001A470F">
      <w:pPr>
        <w:spacing w:after="0" w:line="360" w:lineRule="auto"/>
        <w:jc w:val="both"/>
        <w:rPr>
          <w:rFonts w:ascii="Times New Roman" w:hAnsi="Times New Roman" w:cs="Times New Roman"/>
          <w:color w:val="000000"/>
          <w:spacing w:val="6"/>
          <w:sz w:val="24"/>
          <w:szCs w:val="24"/>
        </w:rPr>
      </w:pPr>
    </w:p>
    <w:p w14:paraId="198A86BC" w14:textId="77777777" w:rsidR="001A470F" w:rsidRPr="001A30A3" w:rsidRDefault="001A470F" w:rsidP="001A470F">
      <w:pPr>
        <w:pStyle w:val="ListParagraph"/>
        <w:numPr>
          <w:ilvl w:val="0"/>
          <w:numId w:val="36"/>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Over the medium term, the Development Bank of Southern Africa, the Government Technical Advisory Centre and the Presidential Infrastructure Coordinating Commission receive R625 million to prepare projects and support implementation.</w:t>
      </w:r>
    </w:p>
    <w:p w14:paraId="725F96D6" w14:textId="77777777" w:rsidR="001A470F" w:rsidRPr="001A30A3" w:rsidRDefault="001A470F" w:rsidP="001A470F">
      <w:pPr>
        <w:pStyle w:val="ListParagraph"/>
        <w:spacing w:after="0" w:line="360" w:lineRule="auto"/>
        <w:jc w:val="both"/>
        <w:rPr>
          <w:rFonts w:ascii="Times New Roman" w:hAnsi="Times New Roman" w:cs="Times New Roman"/>
          <w:color w:val="000000"/>
          <w:spacing w:val="6"/>
          <w:sz w:val="24"/>
          <w:szCs w:val="24"/>
        </w:rPr>
      </w:pPr>
    </w:p>
    <w:p w14:paraId="582A86F4" w14:textId="77777777" w:rsidR="001A470F" w:rsidRPr="001A30A3" w:rsidRDefault="001A470F" w:rsidP="001A470F">
      <w:pPr>
        <w:pStyle w:val="ListParagraph"/>
        <w:numPr>
          <w:ilvl w:val="0"/>
          <w:numId w:val="36"/>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Government is negotiating access to infrastructure funding from development finance institutions, multilateral development banks and</w:t>
      </w:r>
      <w:r w:rsidR="008E569A">
        <w:rPr>
          <w:rFonts w:ascii="Times New Roman" w:hAnsi="Times New Roman" w:cs="Times New Roman"/>
          <w:color w:val="000000"/>
          <w:spacing w:val="6"/>
          <w:sz w:val="24"/>
          <w:szCs w:val="24"/>
        </w:rPr>
        <w:t xml:space="preserve"> </w:t>
      </w:r>
      <w:r w:rsidRPr="001A30A3">
        <w:rPr>
          <w:rFonts w:ascii="Times New Roman" w:hAnsi="Times New Roman" w:cs="Times New Roman"/>
          <w:color w:val="000000"/>
          <w:spacing w:val="6"/>
          <w:sz w:val="24"/>
          <w:szCs w:val="24"/>
        </w:rPr>
        <w:t>private banks. These institutions have committed technical resources to help plan, approve, manage and implement projects.</w:t>
      </w:r>
    </w:p>
    <w:p w14:paraId="7288182D" w14:textId="77777777" w:rsidR="001A470F" w:rsidRPr="00AE4906" w:rsidRDefault="001A470F" w:rsidP="001A470F">
      <w:pPr>
        <w:spacing w:after="0" w:line="360" w:lineRule="auto"/>
        <w:jc w:val="both"/>
        <w:rPr>
          <w:rFonts w:ascii="Times New Roman" w:hAnsi="Times New Roman" w:cs="Times New Roman"/>
          <w:color w:val="000000"/>
          <w:spacing w:val="6"/>
          <w:sz w:val="24"/>
          <w:szCs w:val="24"/>
        </w:rPr>
      </w:pPr>
    </w:p>
    <w:p w14:paraId="6A1478DF" w14:textId="77777777" w:rsidR="001A470F" w:rsidRDefault="001A470F" w:rsidP="001A470F">
      <w:pPr>
        <w:pStyle w:val="ListParagraph"/>
        <w:numPr>
          <w:ilvl w:val="0"/>
          <w:numId w:val="3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Government is considering </w:t>
      </w:r>
      <w:r w:rsidRPr="001A30A3">
        <w:rPr>
          <w:rFonts w:ascii="Times New Roman" w:hAnsi="Times New Roman" w:cs="Times New Roman"/>
          <w:color w:val="000000"/>
          <w:spacing w:val="6"/>
          <w:sz w:val="24"/>
          <w:szCs w:val="24"/>
        </w:rPr>
        <w:t>scaling up selected urban investment programmes by switching their financing from national government’s balance sheet to development finance institutions, which would facilitate additional technical support.</w:t>
      </w:r>
    </w:p>
    <w:p w14:paraId="2E6DED09" w14:textId="77777777" w:rsidR="00624632" w:rsidRDefault="00624632" w:rsidP="00624632">
      <w:pPr>
        <w:spacing w:after="0" w:line="360" w:lineRule="auto"/>
        <w:jc w:val="both"/>
        <w:rPr>
          <w:rFonts w:ascii="Times New Roman" w:hAnsi="Times New Roman" w:cs="Times New Roman"/>
          <w:spacing w:val="6"/>
          <w:sz w:val="24"/>
          <w:szCs w:val="24"/>
        </w:rPr>
      </w:pPr>
    </w:p>
    <w:p w14:paraId="4A2B4CEF" w14:textId="77777777" w:rsidR="00C2495A" w:rsidRPr="001A30A3" w:rsidRDefault="00C2495A" w:rsidP="00624632">
      <w:pPr>
        <w:spacing w:after="0" w:line="360" w:lineRule="auto"/>
        <w:jc w:val="both"/>
        <w:rPr>
          <w:rFonts w:ascii="Times New Roman" w:hAnsi="Times New Roman" w:cs="Times New Roman"/>
          <w:spacing w:val="6"/>
          <w:sz w:val="24"/>
          <w:szCs w:val="24"/>
        </w:rPr>
      </w:pPr>
      <w:r w:rsidRPr="001A30A3">
        <w:rPr>
          <w:rFonts w:ascii="Times New Roman" w:hAnsi="Times New Roman" w:cs="Times New Roman"/>
          <w:spacing w:val="6"/>
          <w:sz w:val="24"/>
          <w:szCs w:val="24"/>
        </w:rPr>
        <w:t xml:space="preserve">The 2018 MTBPS prioritises three interlinked policy areas: implementing the President’s economic stimulus and recovery plan, particularly by encouraging private-sector investment; improving governance and financial management in national, </w:t>
      </w:r>
      <w:r w:rsidRPr="001A30A3">
        <w:rPr>
          <w:rFonts w:ascii="Times New Roman" w:hAnsi="Times New Roman" w:cs="Times New Roman"/>
          <w:spacing w:val="6"/>
          <w:sz w:val="24"/>
          <w:szCs w:val="24"/>
        </w:rPr>
        <w:lastRenderedPageBreak/>
        <w:t xml:space="preserve">provincial and local government departments to support service delivery; and reforming state-owned companies. </w:t>
      </w:r>
    </w:p>
    <w:p w14:paraId="7A333E6B" w14:textId="77777777" w:rsidR="00C2495A" w:rsidRPr="001A30A3" w:rsidRDefault="00C2495A" w:rsidP="00624632">
      <w:pPr>
        <w:spacing w:after="0" w:line="360" w:lineRule="auto"/>
        <w:jc w:val="both"/>
        <w:rPr>
          <w:rFonts w:ascii="Times New Roman" w:hAnsi="Times New Roman" w:cs="Times New Roman"/>
          <w:spacing w:val="6"/>
          <w:sz w:val="24"/>
          <w:szCs w:val="24"/>
        </w:rPr>
      </w:pPr>
    </w:p>
    <w:p w14:paraId="1AEE87A8" w14:textId="77777777" w:rsidR="00C770D6" w:rsidRPr="001A30A3" w:rsidRDefault="00C770D6" w:rsidP="00624632">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In engaging with government’s prop</w:t>
      </w:r>
      <w:r>
        <w:rPr>
          <w:rFonts w:ascii="Times New Roman" w:hAnsi="Times New Roman" w:cs="Times New Roman"/>
          <w:color w:val="000000"/>
          <w:spacing w:val="6"/>
          <w:sz w:val="24"/>
          <w:szCs w:val="24"/>
        </w:rPr>
        <w:t>osed spending plans for the 2019</w:t>
      </w:r>
      <w:r w:rsidRPr="001A30A3">
        <w:rPr>
          <w:rFonts w:ascii="Times New Roman" w:hAnsi="Times New Roman" w:cs="Times New Roman"/>
          <w:color w:val="000000"/>
          <w:spacing w:val="6"/>
          <w:sz w:val="24"/>
          <w:szCs w:val="24"/>
        </w:rPr>
        <w:t xml:space="preserve"> MTEF, the Committee notes the following main risks to the medium-term fiscal outlook as reported in the 201</w:t>
      </w:r>
      <w:r>
        <w:rPr>
          <w:rFonts w:ascii="Times New Roman" w:hAnsi="Times New Roman" w:cs="Times New Roman"/>
          <w:color w:val="000000"/>
          <w:spacing w:val="6"/>
          <w:sz w:val="24"/>
          <w:szCs w:val="24"/>
        </w:rPr>
        <w:t>8</w:t>
      </w:r>
      <w:r w:rsidRPr="001A30A3">
        <w:rPr>
          <w:rFonts w:ascii="Times New Roman" w:hAnsi="Times New Roman" w:cs="Times New Roman"/>
          <w:color w:val="000000"/>
          <w:spacing w:val="6"/>
          <w:sz w:val="24"/>
          <w:szCs w:val="24"/>
        </w:rPr>
        <w:t xml:space="preserve"> Risk Statement:</w:t>
      </w:r>
    </w:p>
    <w:p w14:paraId="4BD70A61" w14:textId="77777777" w:rsidR="00C770D6" w:rsidRPr="001A30A3" w:rsidRDefault="00C770D6" w:rsidP="00624632">
      <w:pPr>
        <w:spacing w:after="0" w:line="360" w:lineRule="auto"/>
        <w:jc w:val="both"/>
        <w:rPr>
          <w:rFonts w:ascii="Times New Roman" w:hAnsi="Times New Roman" w:cs="Times New Roman"/>
          <w:color w:val="000000"/>
          <w:spacing w:val="6"/>
          <w:sz w:val="24"/>
          <w:szCs w:val="24"/>
        </w:rPr>
      </w:pPr>
    </w:p>
    <w:p w14:paraId="13B5F69F" w14:textId="0EEE374D" w:rsidR="00C770D6" w:rsidRPr="00C2495A" w:rsidRDefault="00C770D6" w:rsidP="00624632">
      <w:pPr>
        <w:pStyle w:val="ListParagraph"/>
        <w:numPr>
          <w:ilvl w:val="0"/>
          <w:numId w:val="30"/>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Macroeconomic risks</w:t>
      </w:r>
      <w:r>
        <w:rPr>
          <w:rFonts w:ascii="Times New Roman" w:hAnsi="Times New Roman" w:cs="Times New Roman"/>
          <w:color w:val="000000"/>
          <w:spacing w:val="6"/>
          <w:sz w:val="24"/>
          <w:szCs w:val="24"/>
        </w:rPr>
        <w:t xml:space="preserve">: </w:t>
      </w:r>
      <w:r w:rsidRPr="00C2495A">
        <w:rPr>
          <w:rFonts w:ascii="Times New Roman" w:hAnsi="Times New Roman" w:cs="Times New Roman"/>
          <w:color w:val="000000"/>
          <w:spacing w:val="6"/>
          <w:sz w:val="24"/>
          <w:szCs w:val="24"/>
        </w:rPr>
        <w:t>This includes effects of slow</w:t>
      </w:r>
      <w:r w:rsidR="008E1AFD">
        <w:rPr>
          <w:rFonts w:ascii="Times New Roman" w:hAnsi="Times New Roman" w:cs="Times New Roman"/>
          <w:color w:val="000000"/>
          <w:spacing w:val="6"/>
          <w:sz w:val="24"/>
          <w:szCs w:val="24"/>
        </w:rPr>
        <w:t>er</w:t>
      </w:r>
      <w:r w:rsidRPr="00C2495A">
        <w:rPr>
          <w:rFonts w:ascii="Times New Roman" w:hAnsi="Times New Roman" w:cs="Times New Roman"/>
          <w:color w:val="000000"/>
          <w:spacing w:val="6"/>
          <w:sz w:val="24"/>
          <w:szCs w:val="24"/>
        </w:rPr>
        <w:t xml:space="preserve"> than expected nominal GDP and revenue growth, debt sustainability under different economic scenarios, and sensitivity of debt and debt-servicing costs to a change in macroeconomic assumptions.</w:t>
      </w:r>
    </w:p>
    <w:p w14:paraId="46C2DAE6" w14:textId="77777777" w:rsidR="00C770D6" w:rsidRPr="001A30A3" w:rsidRDefault="00C770D6" w:rsidP="00624632">
      <w:pPr>
        <w:spacing w:after="0" w:line="360" w:lineRule="auto"/>
        <w:ind w:left="360"/>
        <w:jc w:val="both"/>
        <w:rPr>
          <w:rFonts w:ascii="Times New Roman" w:hAnsi="Times New Roman" w:cs="Times New Roman"/>
          <w:color w:val="000000"/>
          <w:spacing w:val="6"/>
          <w:sz w:val="24"/>
          <w:szCs w:val="24"/>
        </w:rPr>
      </w:pPr>
    </w:p>
    <w:p w14:paraId="3C5478AE" w14:textId="77777777" w:rsidR="00C770D6" w:rsidRPr="00C2495A" w:rsidRDefault="00C770D6" w:rsidP="00624632">
      <w:pPr>
        <w:pStyle w:val="ListParagraph"/>
        <w:numPr>
          <w:ilvl w:val="0"/>
          <w:numId w:val="30"/>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Subnational government</w:t>
      </w:r>
      <w:r>
        <w:rPr>
          <w:rFonts w:ascii="Times New Roman" w:hAnsi="Times New Roman" w:cs="Times New Roman"/>
          <w:color w:val="000000"/>
          <w:spacing w:val="6"/>
          <w:sz w:val="24"/>
          <w:szCs w:val="24"/>
        </w:rPr>
        <w:t xml:space="preserve">: </w:t>
      </w:r>
      <w:r w:rsidRPr="00C2495A">
        <w:rPr>
          <w:rFonts w:ascii="Times New Roman" w:hAnsi="Times New Roman" w:cs="Times New Roman"/>
          <w:color w:val="000000"/>
          <w:spacing w:val="6"/>
          <w:sz w:val="24"/>
          <w:szCs w:val="24"/>
        </w:rPr>
        <w:t>This relates to unpaid bills and accruals within provincial and local government; failure of municipalities to fully fund operational budgets, and contingency liability risks faced by provincial health departments.</w:t>
      </w:r>
    </w:p>
    <w:p w14:paraId="0FA67DDC" w14:textId="77777777" w:rsidR="00C770D6" w:rsidRPr="001A30A3" w:rsidRDefault="00C770D6" w:rsidP="00624632">
      <w:pPr>
        <w:spacing w:after="0" w:line="360" w:lineRule="auto"/>
        <w:ind w:left="360"/>
        <w:jc w:val="both"/>
        <w:rPr>
          <w:rFonts w:ascii="Times New Roman" w:hAnsi="Times New Roman" w:cs="Times New Roman"/>
          <w:color w:val="000000"/>
          <w:spacing w:val="6"/>
          <w:sz w:val="24"/>
          <w:szCs w:val="24"/>
        </w:rPr>
      </w:pPr>
    </w:p>
    <w:p w14:paraId="013721D0" w14:textId="77777777" w:rsidR="00C770D6" w:rsidRPr="00C2495A" w:rsidRDefault="00C770D6" w:rsidP="00624632">
      <w:pPr>
        <w:pStyle w:val="ListParagraph"/>
        <w:numPr>
          <w:ilvl w:val="0"/>
          <w:numId w:val="30"/>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Contin</w:t>
      </w:r>
      <w:r>
        <w:rPr>
          <w:rFonts w:ascii="Times New Roman" w:hAnsi="Times New Roman" w:cs="Times New Roman"/>
          <w:color w:val="000000"/>
          <w:spacing w:val="6"/>
          <w:sz w:val="24"/>
          <w:szCs w:val="24"/>
        </w:rPr>
        <w:t xml:space="preserve">gent and accrued liability risks: </w:t>
      </w:r>
      <w:r w:rsidRPr="00C2495A">
        <w:rPr>
          <w:rFonts w:ascii="Times New Roman" w:hAnsi="Times New Roman" w:cs="Times New Roman"/>
          <w:color w:val="000000"/>
          <w:spacing w:val="6"/>
          <w:sz w:val="24"/>
          <w:szCs w:val="24"/>
        </w:rPr>
        <w:t>This pertains to the risk posed by state-owned companies in terms of their quality and quantity of guarantee exposures, and their debt obligations.</w:t>
      </w:r>
    </w:p>
    <w:p w14:paraId="3B18E794" w14:textId="77777777" w:rsidR="00C770D6" w:rsidRPr="001A30A3" w:rsidRDefault="00C770D6" w:rsidP="00624632">
      <w:pPr>
        <w:spacing w:after="0" w:line="360" w:lineRule="auto"/>
        <w:ind w:left="360"/>
        <w:jc w:val="both"/>
        <w:rPr>
          <w:rFonts w:ascii="Times New Roman" w:hAnsi="Times New Roman" w:cs="Times New Roman"/>
          <w:color w:val="000000"/>
          <w:spacing w:val="6"/>
          <w:sz w:val="24"/>
          <w:szCs w:val="24"/>
        </w:rPr>
      </w:pPr>
    </w:p>
    <w:p w14:paraId="4578E964" w14:textId="77777777" w:rsidR="00C770D6" w:rsidRPr="00C2495A" w:rsidRDefault="00C770D6" w:rsidP="00624632">
      <w:pPr>
        <w:pStyle w:val="ListParagraph"/>
        <w:numPr>
          <w:ilvl w:val="0"/>
          <w:numId w:val="30"/>
        </w:num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Long-term fiscal risks</w:t>
      </w:r>
      <w:r>
        <w:rPr>
          <w:rFonts w:ascii="Times New Roman" w:hAnsi="Times New Roman" w:cs="Times New Roman"/>
          <w:color w:val="000000"/>
          <w:spacing w:val="6"/>
          <w:sz w:val="24"/>
          <w:szCs w:val="24"/>
        </w:rPr>
        <w:t xml:space="preserve">: </w:t>
      </w:r>
      <w:r w:rsidRPr="00C2495A">
        <w:rPr>
          <w:rFonts w:ascii="Times New Roman" w:hAnsi="Times New Roman" w:cs="Times New Roman"/>
          <w:color w:val="000000"/>
          <w:spacing w:val="6"/>
          <w:sz w:val="24"/>
          <w:szCs w:val="24"/>
        </w:rPr>
        <w:t>The first aspect relates to low economic growth potential without reforms in the lo</w:t>
      </w:r>
      <w:r>
        <w:rPr>
          <w:rFonts w:ascii="Times New Roman" w:hAnsi="Times New Roman" w:cs="Times New Roman"/>
          <w:color w:val="000000"/>
          <w:spacing w:val="6"/>
          <w:sz w:val="24"/>
          <w:szCs w:val="24"/>
        </w:rPr>
        <w:t>n</w:t>
      </w:r>
      <w:r w:rsidRPr="00C2495A">
        <w:rPr>
          <w:rFonts w:ascii="Times New Roman" w:hAnsi="Times New Roman" w:cs="Times New Roman"/>
          <w:color w:val="000000"/>
          <w:spacing w:val="6"/>
          <w:sz w:val="24"/>
          <w:szCs w:val="24"/>
        </w:rPr>
        <w:t>g-run</w:t>
      </w:r>
      <w:r>
        <w:rPr>
          <w:rFonts w:ascii="Times New Roman" w:hAnsi="Times New Roman" w:cs="Times New Roman"/>
          <w:color w:val="000000"/>
          <w:spacing w:val="6"/>
          <w:sz w:val="24"/>
          <w:szCs w:val="24"/>
        </w:rPr>
        <w:t>. The second aspect relates</w:t>
      </w:r>
      <w:r w:rsidRPr="00C2495A">
        <w:rPr>
          <w:rFonts w:ascii="Times New Roman" w:hAnsi="Times New Roman" w:cs="Times New Roman"/>
          <w:color w:val="000000"/>
          <w:spacing w:val="6"/>
          <w:sz w:val="24"/>
          <w:szCs w:val="24"/>
        </w:rPr>
        <w:t xml:space="preserve"> to effects of demographic changes on expenditure planning.</w:t>
      </w:r>
    </w:p>
    <w:p w14:paraId="4A9E715A" w14:textId="77777777" w:rsidR="00C770D6" w:rsidRPr="001A30A3" w:rsidRDefault="00C770D6" w:rsidP="00C770D6">
      <w:pPr>
        <w:spacing w:after="0" w:line="360" w:lineRule="auto"/>
        <w:jc w:val="both"/>
        <w:rPr>
          <w:rFonts w:ascii="Times New Roman" w:hAnsi="Times New Roman" w:cs="Times New Roman"/>
          <w:color w:val="000000"/>
          <w:spacing w:val="6"/>
          <w:sz w:val="24"/>
          <w:szCs w:val="24"/>
        </w:rPr>
      </w:pPr>
    </w:p>
    <w:p w14:paraId="3B6F633C" w14:textId="77777777" w:rsidR="00C2495A" w:rsidRPr="001A30A3" w:rsidRDefault="00C2495A" w:rsidP="00C2495A">
      <w:pPr>
        <w:spacing w:after="0" w:line="360" w:lineRule="auto"/>
        <w:jc w:val="both"/>
        <w:rPr>
          <w:rFonts w:ascii="Times New Roman" w:hAnsi="Times New Roman" w:cs="Times New Roman"/>
          <w:spacing w:val="6"/>
          <w:sz w:val="24"/>
          <w:szCs w:val="24"/>
        </w:rPr>
      </w:pPr>
    </w:p>
    <w:p w14:paraId="3B3ED0F6" w14:textId="77777777" w:rsidR="000850EB" w:rsidRPr="00893B2A" w:rsidRDefault="000850EB" w:rsidP="000850EB">
      <w:pPr>
        <w:autoSpaceDE w:val="0"/>
        <w:autoSpaceDN w:val="0"/>
        <w:adjustRightInd w:val="0"/>
        <w:spacing w:line="360" w:lineRule="auto"/>
        <w:jc w:val="both"/>
        <w:rPr>
          <w:rStyle w:val="Strong"/>
          <w:rFonts w:ascii="Times New Roman" w:hAnsi="Times New Roman" w:cs="Times New Roman"/>
          <w:sz w:val="24"/>
          <w:szCs w:val="24"/>
        </w:rPr>
      </w:pPr>
      <w:r w:rsidRPr="00893B2A">
        <w:rPr>
          <w:rFonts w:ascii="Times New Roman" w:hAnsi="Times New Roman" w:cs="Times New Roman"/>
          <w:b/>
          <w:sz w:val="24"/>
          <w:szCs w:val="24"/>
        </w:rPr>
        <w:t xml:space="preserve">Budget reforms and emerging </w:t>
      </w:r>
      <w:r w:rsidRPr="00893B2A">
        <w:rPr>
          <w:rStyle w:val="Strong"/>
          <w:rFonts w:ascii="Times New Roman" w:hAnsi="Times New Roman" w:cs="Times New Roman"/>
          <w:sz w:val="24"/>
          <w:szCs w:val="24"/>
        </w:rPr>
        <w:t xml:space="preserve">issues confronting public expenditure </w:t>
      </w:r>
    </w:p>
    <w:p w14:paraId="73E330E0" w14:textId="77777777" w:rsidR="00624632" w:rsidRDefault="00624632" w:rsidP="00C770D6">
      <w:pPr>
        <w:spacing w:after="0" w:line="360" w:lineRule="auto"/>
        <w:jc w:val="both"/>
        <w:rPr>
          <w:rFonts w:ascii="Times New Roman" w:hAnsi="Times New Roman" w:cs="Times New Roman"/>
          <w:color w:val="000000"/>
          <w:spacing w:val="6"/>
          <w:sz w:val="24"/>
          <w:szCs w:val="24"/>
        </w:rPr>
      </w:pPr>
    </w:p>
    <w:p w14:paraId="6DD6F476" w14:textId="77777777" w:rsidR="00C770D6" w:rsidRPr="001A30A3" w:rsidRDefault="00C770D6" w:rsidP="00C770D6">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 xml:space="preserve">The 2018 MTBPS mentions that during 2018, government has initiated reforms in several areas. These include creating policy certainty in the mining and energy sectors by finalising the Mining Charter and updating the Integrated Resource Plan. Growth-enhancing policy initiatives are also under way in the telecommunications, electricity and transport sectors. To support these reforms within a constrained fiscal framework, </w:t>
      </w:r>
      <w:r w:rsidRPr="001A30A3">
        <w:rPr>
          <w:rFonts w:ascii="Times New Roman" w:hAnsi="Times New Roman" w:cs="Times New Roman"/>
          <w:color w:val="000000"/>
          <w:spacing w:val="6"/>
          <w:sz w:val="24"/>
          <w:szCs w:val="24"/>
        </w:rPr>
        <w:lastRenderedPageBreak/>
        <w:t>government is proposing reprioritisation of R32.4 billion over the next three years. Of this amount, R15.9 billion goes towards faster-spending infrastructure prog</w:t>
      </w:r>
      <w:r>
        <w:rPr>
          <w:rFonts w:ascii="Times New Roman" w:hAnsi="Times New Roman" w:cs="Times New Roman"/>
          <w:color w:val="000000"/>
          <w:spacing w:val="6"/>
          <w:sz w:val="24"/>
          <w:szCs w:val="24"/>
        </w:rPr>
        <w:t>rammes</w:t>
      </w:r>
      <w:r w:rsidRPr="001A30A3">
        <w:rPr>
          <w:rFonts w:ascii="Times New Roman" w:hAnsi="Times New Roman" w:cs="Times New Roman"/>
          <w:color w:val="000000"/>
          <w:spacing w:val="6"/>
          <w:sz w:val="24"/>
          <w:szCs w:val="24"/>
        </w:rPr>
        <w:t>, clothing and textile incentives, and the Expanded Public Works Programme.</w:t>
      </w:r>
    </w:p>
    <w:p w14:paraId="6A6D5311" w14:textId="77777777" w:rsidR="00C770D6" w:rsidRPr="001A30A3" w:rsidRDefault="00C770D6" w:rsidP="00C770D6">
      <w:pPr>
        <w:spacing w:after="0" w:line="360" w:lineRule="auto"/>
        <w:jc w:val="both"/>
        <w:rPr>
          <w:rFonts w:ascii="Times New Roman" w:hAnsi="Times New Roman" w:cs="Times New Roman"/>
          <w:color w:val="000000"/>
          <w:spacing w:val="6"/>
          <w:sz w:val="24"/>
          <w:szCs w:val="24"/>
        </w:rPr>
      </w:pPr>
    </w:p>
    <w:p w14:paraId="7F18AB48" w14:textId="77777777" w:rsidR="00C770D6" w:rsidRDefault="00C770D6" w:rsidP="00C770D6">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 xml:space="preserve">Further, the 2018 MTBPS states that R16.5 billion will be allocated to various programmes, including recapitalising the South African Revenue Service (SARS), a minimum wage for community health workers, critical posts and goods and services in health, and streamlining the management of the justice system. </w:t>
      </w:r>
    </w:p>
    <w:p w14:paraId="706FEFE0" w14:textId="77777777" w:rsidR="008E569A" w:rsidRPr="001A30A3" w:rsidRDefault="008E569A" w:rsidP="00C770D6">
      <w:pPr>
        <w:spacing w:after="0" w:line="360" w:lineRule="auto"/>
        <w:jc w:val="both"/>
        <w:rPr>
          <w:rFonts w:ascii="Times New Roman" w:hAnsi="Times New Roman" w:cs="Times New Roman"/>
          <w:color w:val="000000"/>
          <w:spacing w:val="6"/>
          <w:sz w:val="24"/>
          <w:szCs w:val="24"/>
        </w:rPr>
      </w:pPr>
    </w:p>
    <w:p w14:paraId="115254FF" w14:textId="77777777" w:rsidR="00C770D6" w:rsidRPr="001A30A3" w:rsidRDefault="00C770D6" w:rsidP="00C770D6">
      <w:pPr>
        <w:spacing w:after="0" w:line="360" w:lineRule="auto"/>
        <w:jc w:val="both"/>
        <w:rPr>
          <w:rFonts w:ascii="Times New Roman" w:hAnsi="Times New Roman" w:cs="Times New Roman"/>
          <w:color w:val="000000"/>
          <w:spacing w:val="6"/>
          <w:sz w:val="24"/>
          <w:szCs w:val="24"/>
        </w:rPr>
      </w:pPr>
      <w:r w:rsidRPr="001A30A3">
        <w:rPr>
          <w:rFonts w:ascii="Times New Roman" w:hAnsi="Times New Roman" w:cs="Times New Roman"/>
          <w:color w:val="000000"/>
          <w:spacing w:val="6"/>
          <w:sz w:val="24"/>
          <w:szCs w:val="24"/>
        </w:rPr>
        <w:t>The MTBPS also announces changes to grant structures amounting to R14.7 billion, which will promote upgrading of informal settlements in partnership with communities. Housing subsidies amounting to R1 billion will be centralised to better support middle- and lower-income home buyers. In the current year, the budget adds R1.7 billion to infrastructure spending (including funding for fast-spending school building programmes), and R3.4 billion is allocated to drought relief, mostly to upgrade water infrastructure.</w:t>
      </w:r>
    </w:p>
    <w:p w14:paraId="1E936E6A" w14:textId="77777777" w:rsidR="000850EB" w:rsidRPr="00055B0B" w:rsidRDefault="000850EB" w:rsidP="000850EB">
      <w:pPr>
        <w:spacing w:line="360" w:lineRule="auto"/>
        <w:ind w:left="720"/>
        <w:jc w:val="both"/>
        <w:rPr>
          <w:rFonts w:ascii="Times New Roman" w:hAnsi="Times New Roman" w:cs="Times New Roman"/>
          <w:color w:val="000000"/>
          <w:spacing w:val="6"/>
          <w:sz w:val="24"/>
          <w:szCs w:val="24"/>
        </w:rPr>
      </w:pPr>
    </w:p>
    <w:p w14:paraId="18FF9FB1" w14:textId="77777777" w:rsidR="00B367C8" w:rsidRDefault="003D2849" w:rsidP="00B367C8">
      <w:pPr>
        <w:pStyle w:val="ListParagraph"/>
        <w:numPr>
          <w:ilvl w:val="0"/>
          <w:numId w:val="29"/>
        </w:numPr>
        <w:tabs>
          <w:tab w:val="left" w:pos="426"/>
        </w:tabs>
        <w:spacing w:line="360" w:lineRule="auto"/>
        <w:ind w:left="0" w:firstLine="0"/>
        <w:jc w:val="both"/>
        <w:rPr>
          <w:rFonts w:ascii="Times New Roman" w:hAnsi="Times New Roman" w:cs="Times New Roman"/>
          <w:b/>
          <w:sz w:val="24"/>
          <w:szCs w:val="24"/>
        </w:rPr>
      </w:pPr>
      <w:r w:rsidRPr="00B367C8">
        <w:rPr>
          <w:rFonts w:ascii="Times New Roman" w:hAnsi="Times New Roman" w:cs="Times New Roman"/>
          <w:b/>
          <w:sz w:val="24"/>
          <w:szCs w:val="24"/>
        </w:rPr>
        <w:t>Submissions on the 2018</w:t>
      </w:r>
      <w:r w:rsidR="000850EB" w:rsidRPr="00B367C8">
        <w:rPr>
          <w:rFonts w:ascii="Times New Roman" w:hAnsi="Times New Roman" w:cs="Times New Roman"/>
          <w:b/>
          <w:sz w:val="24"/>
          <w:szCs w:val="24"/>
        </w:rPr>
        <w:t xml:space="preserve"> MTBPS</w:t>
      </w:r>
    </w:p>
    <w:p w14:paraId="219E1235" w14:textId="43BFE85D" w:rsidR="00B367C8" w:rsidRDefault="00B367C8" w:rsidP="00B367C8">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The section</w:t>
      </w:r>
      <w:r w:rsidRPr="00B367C8">
        <w:rPr>
          <w:rFonts w:ascii="Times New Roman" w:hAnsi="Times New Roman" w:cs="Times New Roman"/>
          <w:sz w:val="24"/>
          <w:szCs w:val="24"/>
        </w:rPr>
        <w:t xml:space="preserve"> hereunder provide</w:t>
      </w:r>
      <w:r>
        <w:rPr>
          <w:rFonts w:ascii="Times New Roman" w:hAnsi="Times New Roman" w:cs="Times New Roman"/>
          <w:sz w:val="24"/>
          <w:szCs w:val="24"/>
        </w:rPr>
        <w:t>s</w:t>
      </w:r>
      <w:r w:rsidRPr="00B367C8">
        <w:rPr>
          <w:rFonts w:ascii="Times New Roman" w:hAnsi="Times New Roman" w:cs="Times New Roman"/>
          <w:sz w:val="24"/>
          <w:szCs w:val="24"/>
        </w:rPr>
        <w:t xml:space="preserve"> a summary of the submissions which were made in terms of the 2018 MTBPS. </w:t>
      </w:r>
    </w:p>
    <w:p w14:paraId="34420E41" w14:textId="77777777" w:rsidR="008E1AFD" w:rsidRPr="00B367C8" w:rsidRDefault="008E1AFD" w:rsidP="00B367C8">
      <w:pPr>
        <w:tabs>
          <w:tab w:val="left" w:pos="426"/>
        </w:tabs>
        <w:spacing w:line="360" w:lineRule="auto"/>
        <w:jc w:val="both"/>
        <w:rPr>
          <w:rFonts w:ascii="Times New Roman" w:hAnsi="Times New Roman" w:cs="Times New Roman"/>
          <w:sz w:val="24"/>
          <w:szCs w:val="24"/>
        </w:rPr>
      </w:pPr>
    </w:p>
    <w:p w14:paraId="482D4AFA" w14:textId="77777777" w:rsidR="00B367C8" w:rsidRPr="00DE7766" w:rsidRDefault="00B367C8" w:rsidP="00DE7766">
      <w:pPr>
        <w:pStyle w:val="ListParagraph"/>
        <w:numPr>
          <w:ilvl w:val="1"/>
          <w:numId w:val="34"/>
        </w:numPr>
        <w:tabs>
          <w:tab w:val="left" w:pos="426"/>
        </w:tabs>
        <w:spacing w:line="360" w:lineRule="auto"/>
        <w:jc w:val="both"/>
        <w:rPr>
          <w:rFonts w:ascii="Times New Roman" w:hAnsi="Times New Roman" w:cs="Times New Roman"/>
          <w:b/>
          <w:sz w:val="24"/>
          <w:szCs w:val="24"/>
        </w:rPr>
      </w:pPr>
      <w:r w:rsidRPr="00DE7766">
        <w:rPr>
          <w:rFonts w:ascii="Times New Roman" w:hAnsi="Times New Roman" w:cs="Times New Roman"/>
          <w:b/>
          <w:sz w:val="24"/>
          <w:szCs w:val="24"/>
        </w:rPr>
        <w:t>Financial and Fiscal Commission</w:t>
      </w:r>
    </w:p>
    <w:p w14:paraId="0CA23CDA" w14:textId="557928E0" w:rsidR="000850EB" w:rsidRPr="00B367C8" w:rsidRDefault="000850EB" w:rsidP="000850EB">
      <w:pPr>
        <w:spacing w:line="360" w:lineRule="auto"/>
        <w:contextualSpacing/>
        <w:jc w:val="both"/>
        <w:rPr>
          <w:rFonts w:ascii="Times New Roman" w:hAnsi="Times New Roman" w:cs="Times New Roman"/>
          <w:sz w:val="24"/>
          <w:szCs w:val="24"/>
          <w:lang w:eastAsia="en-ZA"/>
        </w:rPr>
      </w:pPr>
      <w:r w:rsidRPr="00B367C8">
        <w:rPr>
          <w:rFonts w:ascii="Times New Roman" w:hAnsi="Times New Roman" w:cs="Times New Roman"/>
          <w:sz w:val="24"/>
          <w:szCs w:val="24"/>
          <w:lang w:eastAsia="en-ZA"/>
        </w:rPr>
        <w:t xml:space="preserve">The Financial and Fiscal Commission </w:t>
      </w:r>
      <w:r w:rsidR="00120935" w:rsidRPr="00B367C8">
        <w:rPr>
          <w:rFonts w:ascii="Times New Roman" w:hAnsi="Times New Roman" w:cs="Times New Roman"/>
          <w:sz w:val="24"/>
          <w:szCs w:val="24"/>
          <w:lang w:eastAsia="en-ZA"/>
        </w:rPr>
        <w:t>(FFC) acknowledged that the 2018</w:t>
      </w:r>
      <w:r w:rsidRPr="00B367C8">
        <w:rPr>
          <w:rFonts w:ascii="Times New Roman" w:hAnsi="Times New Roman" w:cs="Times New Roman"/>
          <w:sz w:val="24"/>
          <w:szCs w:val="24"/>
          <w:lang w:eastAsia="en-ZA"/>
        </w:rPr>
        <w:t xml:space="preserve"> MTBPS has been formulated </w:t>
      </w:r>
      <w:r w:rsidR="00FA4639" w:rsidRPr="00B367C8">
        <w:rPr>
          <w:rFonts w:ascii="Times New Roman" w:hAnsi="Times New Roman" w:cs="Times New Roman"/>
          <w:sz w:val="24"/>
          <w:szCs w:val="24"/>
          <w:lang w:eastAsia="en-ZA"/>
        </w:rPr>
        <w:t>in</w:t>
      </w:r>
      <w:r w:rsidR="008E1AFD">
        <w:rPr>
          <w:rFonts w:ascii="Times New Roman" w:hAnsi="Times New Roman" w:cs="Times New Roman"/>
          <w:sz w:val="24"/>
          <w:szCs w:val="24"/>
          <w:lang w:eastAsia="en-ZA"/>
        </w:rPr>
        <w:t xml:space="preserve"> an</w:t>
      </w:r>
      <w:r w:rsidR="00FA4639" w:rsidRPr="00B367C8">
        <w:rPr>
          <w:rFonts w:ascii="Times New Roman" w:hAnsi="Times New Roman" w:cs="Times New Roman"/>
          <w:sz w:val="24"/>
          <w:szCs w:val="24"/>
          <w:lang w:eastAsia="en-ZA"/>
        </w:rPr>
        <w:t xml:space="preserve"> economic environment characterised by extremely low growth, escalating public debt, and low levels of investment. </w:t>
      </w:r>
      <w:r w:rsidRPr="00B367C8">
        <w:rPr>
          <w:rFonts w:ascii="Times New Roman" w:hAnsi="Times New Roman" w:cs="Times New Roman"/>
          <w:sz w:val="24"/>
          <w:szCs w:val="24"/>
          <w:lang w:eastAsia="en-ZA"/>
        </w:rPr>
        <w:t xml:space="preserve"> </w:t>
      </w:r>
      <w:r w:rsidR="00FA4639" w:rsidRPr="00B367C8">
        <w:rPr>
          <w:rFonts w:ascii="Times New Roman" w:hAnsi="Times New Roman" w:cs="Times New Roman"/>
          <w:sz w:val="24"/>
          <w:szCs w:val="24"/>
          <w:lang w:eastAsia="en-ZA"/>
        </w:rPr>
        <w:t xml:space="preserve">The FFC was of the view that the ability of government to address the key socio-economic challenges of unemployment, poverty and inequality were severely compromised by weak governance, the failure of SOEs to deliver on their developmental mandate, and the rapid decline of the South African Revenue Service (SARS). </w:t>
      </w:r>
    </w:p>
    <w:p w14:paraId="47053D7A" w14:textId="77777777" w:rsidR="00AA10F9" w:rsidRDefault="00AA10F9" w:rsidP="000850EB">
      <w:pPr>
        <w:spacing w:line="360" w:lineRule="auto"/>
        <w:contextualSpacing/>
        <w:jc w:val="both"/>
        <w:rPr>
          <w:rFonts w:ascii="Times New Roman" w:hAnsi="Times New Roman" w:cs="Times New Roman"/>
          <w:sz w:val="24"/>
          <w:szCs w:val="24"/>
        </w:rPr>
      </w:pPr>
    </w:p>
    <w:p w14:paraId="2F1459B2" w14:textId="77777777" w:rsidR="000850EB" w:rsidRPr="00B367C8" w:rsidRDefault="00145B63" w:rsidP="000850EB">
      <w:pPr>
        <w:spacing w:line="360" w:lineRule="auto"/>
        <w:contextualSpacing/>
        <w:jc w:val="both"/>
        <w:rPr>
          <w:rFonts w:ascii="Times New Roman" w:hAnsi="Times New Roman" w:cs="Times New Roman"/>
          <w:sz w:val="24"/>
          <w:szCs w:val="24"/>
          <w:lang w:eastAsia="en-ZA"/>
        </w:rPr>
      </w:pPr>
      <w:r w:rsidRPr="00B367C8">
        <w:rPr>
          <w:rFonts w:ascii="Times New Roman" w:hAnsi="Times New Roman" w:cs="Times New Roman"/>
          <w:sz w:val="24"/>
          <w:szCs w:val="24"/>
          <w:lang w:eastAsia="en-ZA"/>
        </w:rPr>
        <w:t>The FFC made the following recommendations and observation</w:t>
      </w:r>
      <w:r w:rsidR="00BB4C47">
        <w:rPr>
          <w:rFonts w:ascii="Times New Roman" w:hAnsi="Times New Roman" w:cs="Times New Roman"/>
          <w:sz w:val="24"/>
          <w:szCs w:val="24"/>
          <w:lang w:eastAsia="en-ZA"/>
        </w:rPr>
        <w:t>s with regard to the 2018 MTBPS:</w:t>
      </w:r>
    </w:p>
    <w:p w14:paraId="3AC1DC7A" w14:textId="77777777" w:rsidR="009C6BF6" w:rsidRPr="00B367C8" w:rsidRDefault="009C6BF6" w:rsidP="000850EB">
      <w:pPr>
        <w:spacing w:line="360" w:lineRule="auto"/>
        <w:contextualSpacing/>
        <w:jc w:val="both"/>
        <w:rPr>
          <w:rFonts w:ascii="Times New Roman" w:hAnsi="Times New Roman" w:cs="Times New Roman"/>
          <w:sz w:val="24"/>
          <w:szCs w:val="24"/>
          <w:lang w:eastAsia="en-ZA"/>
        </w:rPr>
      </w:pPr>
    </w:p>
    <w:p w14:paraId="3A3413DB" w14:textId="77777777" w:rsidR="009C6BF6" w:rsidRPr="00B367C8" w:rsidRDefault="009C6BF6" w:rsidP="000850EB">
      <w:pPr>
        <w:spacing w:line="360" w:lineRule="auto"/>
        <w:contextualSpacing/>
        <w:jc w:val="both"/>
        <w:rPr>
          <w:rFonts w:ascii="Times New Roman" w:hAnsi="Times New Roman" w:cs="Times New Roman"/>
          <w:sz w:val="24"/>
          <w:szCs w:val="24"/>
          <w:lang w:eastAsia="en-ZA"/>
        </w:rPr>
      </w:pPr>
      <w:r w:rsidRPr="00B367C8">
        <w:rPr>
          <w:rFonts w:ascii="Times New Roman" w:hAnsi="Times New Roman" w:cs="Times New Roman"/>
          <w:sz w:val="24"/>
          <w:szCs w:val="24"/>
          <w:lang w:eastAsia="en-ZA"/>
        </w:rPr>
        <w:t xml:space="preserve">In terms of the economic challenges facing South Africa, the FFC recommended that structural bottlenecks needed to be addressed in order to increase growth. It reiterated the need to build a fiscal space through conservative debt levels and managing downward the expenditure </w:t>
      </w:r>
      <w:r w:rsidR="000E4D7F" w:rsidRPr="00B367C8">
        <w:rPr>
          <w:rFonts w:ascii="Times New Roman" w:hAnsi="Times New Roman" w:cs="Times New Roman"/>
          <w:sz w:val="24"/>
          <w:szCs w:val="24"/>
          <w:lang w:eastAsia="en-ZA"/>
        </w:rPr>
        <w:t xml:space="preserve">to debt service costs; reducing the public sector wage bill through natural attrition coupled with a review of government’s functional organisation and abandoning the linking of the wage increases with the Consumer Price Index (CPI); deepening the fight against corruption; assessing the recent increases in the scope of service delivery priorities; addressing governance issues and rethinking the business models of SOEs. </w:t>
      </w:r>
    </w:p>
    <w:p w14:paraId="7AEA82BC" w14:textId="77777777" w:rsidR="00B77642" w:rsidRPr="00B367C8" w:rsidRDefault="00B77642" w:rsidP="000850EB">
      <w:pPr>
        <w:spacing w:line="360" w:lineRule="auto"/>
        <w:contextualSpacing/>
        <w:jc w:val="both"/>
        <w:rPr>
          <w:rFonts w:ascii="Times New Roman" w:hAnsi="Times New Roman" w:cs="Times New Roman"/>
          <w:sz w:val="24"/>
          <w:szCs w:val="24"/>
          <w:lang w:eastAsia="en-ZA"/>
        </w:rPr>
      </w:pPr>
    </w:p>
    <w:p w14:paraId="11A65FC2" w14:textId="77777777" w:rsidR="009C6BF6" w:rsidRPr="00B367C8" w:rsidRDefault="000E4D7F" w:rsidP="000850EB">
      <w:pPr>
        <w:spacing w:line="360" w:lineRule="auto"/>
        <w:jc w:val="both"/>
        <w:rPr>
          <w:rFonts w:ascii="Times New Roman" w:hAnsi="Times New Roman" w:cs="Times New Roman"/>
          <w:sz w:val="24"/>
          <w:szCs w:val="24"/>
          <w:lang w:eastAsia="en-ZA"/>
        </w:rPr>
      </w:pPr>
      <w:r w:rsidRPr="00B367C8">
        <w:rPr>
          <w:rFonts w:ascii="Times New Roman" w:hAnsi="Times New Roman" w:cs="Times New Roman"/>
          <w:sz w:val="24"/>
          <w:szCs w:val="24"/>
          <w:lang w:eastAsia="en-ZA"/>
        </w:rPr>
        <w:t xml:space="preserve">The FFC advised that in order to ensure real productivity within the public sector, value for money needed to be sought more resolutely. This could be done by costing institutional outputs and assessing performance and then comparing these two elements as well as being mindful to innovate for constant improvement. </w:t>
      </w:r>
    </w:p>
    <w:p w14:paraId="36B459E3" w14:textId="77777777" w:rsidR="000E4D7F" w:rsidRPr="00B367C8" w:rsidRDefault="000E4D7F" w:rsidP="000850EB">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lang w:eastAsia="en-ZA"/>
        </w:rPr>
        <w:t xml:space="preserve">In terms of the provincial wage bill, the FFC submitted that </w:t>
      </w:r>
      <w:r w:rsidR="00E85AB0" w:rsidRPr="00B367C8">
        <w:rPr>
          <w:rFonts w:ascii="Times New Roman" w:hAnsi="Times New Roman" w:cs="Times New Roman"/>
          <w:sz w:val="24"/>
          <w:szCs w:val="24"/>
          <w:lang w:eastAsia="en-ZA"/>
        </w:rPr>
        <w:t>half of the budgets were dedicated to personnel and that a key risk was the higher than anticipated wage agreements. The FFC submitted that provinces needed to carefully manage the wage bill pressure and practice financial prudence to ensure that wage pressures do not divert resources away from key health and education inputs.</w:t>
      </w:r>
    </w:p>
    <w:p w14:paraId="3FE92D16" w14:textId="77777777" w:rsidR="00B77642" w:rsidRPr="00B367C8" w:rsidRDefault="00B77642" w:rsidP="000850EB">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T</w:t>
      </w:r>
      <w:r w:rsidR="00145B63" w:rsidRPr="00B367C8">
        <w:rPr>
          <w:rFonts w:ascii="Times New Roman" w:hAnsi="Times New Roman" w:cs="Times New Roman"/>
          <w:sz w:val="24"/>
          <w:szCs w:val="24"/>
        </w:rPr>
        <w:t xml:space="preserve">he FFC submitted that a thorough and comprehensive rethink of the local government fiscal framework was necessary, including the governance and institutional regimes within the sector. This was important as municipalities were the face of government and should as such not compromise service delivery therefore the division of revenue needed to respond to this. </w:t>
      </w:r>
    </w:p>
    <w:p w14:paraId="6F7373BD" w14:textId="77777777" w:rsidR="009C6BF6" w:rsidRPr="00B367C8" w:rsidRDefault="00145B63" w:rsidP="000850EB">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FFC further submitted that in light of the fiscally constrained environment, the production and delivery of public services within government should be provided at the minimum opportunity cost. Cases of unproductive, wasteful, irregular or fruitless expenditure, duplication and wastage in procurement processes should be eradicated. </w:t>
      </w:r>
    </w:p>
    <w:p w14:paraId="3B2C1631" w14:textId="77777777" w:rsidR="000850EB" w:rsidRPr="00B367C8" w:rsidRDefault="00B77642" w:rsidP="000850EB">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Whilst the various efforts to improve capacity in local government are welcomed, the return on such significant investments have been poor as many municipalities continue to perform poorly. There was therefore an urgent need for a thorough review of government capacity initiatives within the local government space. </w:t>
      </w:r>
    </w:p>
    <w:p w14:paraId="255C2B72" w14:textId="027D564C" w:rsidR="003D2849" w:rsidRPr="00B367C8" w:rsidRDefault="006211C7" w:rsidP="000850E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FFC was of the view that g</w:t>
      </w:r>
      <w:r w:rsidR="006303D3" w:rsidRPr="00B367C8">
        <w:rPr>
          <w:rFonts w:ascii="Times New Roman" w:hAnsi="Times New Roman" w:cs="Times New Roman"/>
          <w:sz w:val="24"/>
          <w:szCs w:val="24"/>
        </w:rPr>
        <w:t xml:space="preserve">overnment should reconsider the rate of growth of the </w:t>
      </w:r>
      <w:r w:rsidR="008E1AFD">
        <w:rPr>
          <w:rFonts w:ascii="Times New Roman" w:hAnsi="Times New Roman" w:cs="Times New Roman"/>
          <w:sz w:val="24"/>
          <w:szCs w:val="24"/>
        </w:rPr>
        <w:t xml:space="preserve">Local Government Equitable Share (LGES) </w:t>
      </w:r>
      <w:r w:rsidR="006303D3" w:rsidRPr="00B367C8">
        <w:rPr>
          <w:rFonts w:ascii="Times New Roman" w:hAnsi="Times New Roman" w:cs="Times New Roman"/>
          <w:sz w:val="24"/>
          <w:szCs w:val="24"/>
        </w:rPr>
        <w:t>in the outer years so that poor households are cushioned against the rising cost of free basic service</w:t>
      </w:r>
      <w:r>
        <w:rPr>
          <w:rFonts w:ascii="Times New Roman" w:hAnsi="Times New Roman" w:cs="Times New Roman"/>
          <w:sz w:val="24"/>
          <w:szCs w:val="24"/>
        </w:rPr>
        <w:t>s. However, the municipalities would have to</w:t>
      </w:r>
      <w:r w:rsidR="006303D3" w:rsidRPr="00B367C8">
        <w:rPr>
          <w:rFonts w:ascii="Times New Roman" w:hAnsi="Times New Roman" w:cs="Times New Roman"/>
          <w:sz w:val="24"/>
          <w:szCs w:val="24"/>
        </w:rPr>
        <w:t xml:space="preserve"> utilise available resources efficiently and where possible, optimise their existing own revue bases. </w:t>
      </w:r>
    </w:p>
    <w:p w14:paraId="5BFB7F7E" w14:textId="77777777" w:rsidR="003D2849" w:rsidRDefault="003D2849" w:rsidP="000850EB">
      <w:pPr>
        <w:spacing w:line="360" w:lineRule="auto"/>
        <w:jc w:val="both"/>
        <w:rPr>
          <w:rFonts w:ascii="Times New Roman" w:hAnsi="Times New Roman" w:cs="Times New Roman"/>
          <w:sz w:val="24"/>
          <w:szCs w:val="24"/>
        </w:rPr>
      </w:pPr>
    </w:p>
    <w:p w14:paraId="5A56DEC3" w14:textId="77777777" w:rsidR="006D1D32" w:rsidRDefault="006D1D32" w:rsidP="006D1D32">
      <w:pPr>
        <w:spacing w:line="360" w:lineRule="auto"/>
        <w:jc w:val="both"/>
        <w:rPr>
          <w:rFonts w:ascii="Times New Roman" w:hAnsi="Times New Roman" w:cs="Times New Roman"/>
          <w:sz w:val="24"/>
          <w:szCs w:val="24"/>
          <w:lang w:val="en-GB"/>
        </w:rPr>
      </w:pPr>
      <w:r w:rsidRPr="006D1D32">
        <w:rPr>
          <w:rFonts w:ascii="Times New Roman" w:hAnsi="Times New Roman" w:cs="Times New Roman"/>
          <w:sz w:val="24"/>
          <w:szCs w:val="24"/>
          <w:lang w:val="en-GB"/>
        </w:rPr>
        <w:t xml:space="preserve">The FFC further noted the proposed establishment of an infrastructure fund that would comprise of contributions from government, the private sector and development finance institutions (DFIs); but emphasised that government needed to consider the intergovernmental fiscal arrangements and ensure balance in the allocation of resources across the three spheres of government. The FFC also </w:t>
      </w:r>
      <w:r w:rsidRPr="006D1D32">
        <w:rPr>
          <w:rFonts w:ascii="Times New Roman" w:hAnsi="Times New Roman" w:cs="Times New Roman"/>
          <w:bCs/>
          <w:sz w:val="24"/>
          <w:szCs w:val="24"/>
          <w:lang w:val="en-GB"/>
        </w:rPr>
        <w:t>welcomed efforts to publish expenditure reports of existing infrastructure projects</w:t>
      </w:r>
      <w:r w:rsidRPr="006D1D32">
        <w:rPr>
          <w:rFonts w:ascii="Times New Roman" w:hAnsi="Times New Roman" w:cs="Times New Roman"/>
          <w:sz w:val="24"/>
          <w:szCs w:val="24"/>
          <w:lang w:val="en-GB"/>
        </w:rPr>
        <w:t xml:space="preserve"> to enhance accountability and transparency, saying this would minimise cost overruns and ensure timely completion of the projects. However, the FFC was of the opinion that, in addition to publishing expenditure reports, </w:t>
      </w:r>
      <w:r w:rsidRPr="006D1D32">
        <w:rPr>
          <w:rFonts w:ascii="Times New Roman" w:hAnsi="Times New Roman" w:cs="Times New Roman"/>
          <w:bCs/>
          <w:sz w:val="24"/>
          <w:szCs w:val="24"/>
          <w:lang w:val="en-GB"/>
        </w:rPr>
        <w:t>government needed to invest in an infrastructure delivery inspectorate</w:t>
      </w:r>
      <w:r w:rsidRPr="006D1D32">
        <w:rPr>
          <w:rFonts w:ascii="Times New Roman" w:hAnsi="Times New Roman" w:cs="Times New Roman"/>
          <w:sz w:val="24"/>
          <w:szCs w:val="24"/>
          <w:lang w:val="en-GB"/>
        </w:rPr>
        <w:t xml:space="preserve"> to ensure that projects were delivered in accordance with the required standards and quality. It was the FFC’s view that allocating funds and observing its spending trends alone would not yield the desired results of efficiency and impact. Government should take the approach of costing infrastructure in line with its functions and performance with empirical data, to ensure the real productivity of the public sector is realised.</w:t>
      </w:r>
    </w:p>
    <w:p w14:paraId="6B1312EC" w14:textId="67DBA159" w:rsidR="006D1D32" w:rsidRPr="006D1D32" w:rsidRDefault="006D1D32" w:rsidP="006D1D3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With regard to State-owned Companies (SOCs), the FFC proposed that the restructuring agenda within entities should focus on addressing the mismanagement maladies and strengthen accountability structures. It therefore reiterated the need for government to set uniform rules and procedures for guarantees and bailouts, taking into account public value of services provided by the SOC, historical financial and non-financial performance and adherence to guarantee</w:t>
      </w:r>
      <w:r w:rsidR="00724EC2">
        <w:rPr>
          <w:rFonts w:ascii="Times New Roman" w:hAnsi="Times New Roman" w:cs="Times New Roman"/>
          <w:sz w:val="24"/>
          <w:szCs w:val="24"/>
          <w:lang w:val="en-GB"/>
        </w:rPr>
        <w:t xml:space="preserve">/bailout conditions. </w:t>
      </w:r>
    </w:p>
    <w:p w14:paraId="55C9DD12" w14:textId="77777777" w:rsidR="006D1D32" w:rsidRPr="006D1D32" w:rsidRDefault="006D1D32" w:rsidP="006D1D32">
      <w:pPr>
        <w:spacing w:line="360" w:lineRule="auto"/>
        <w:jc w:val="both"/>
        <w:rPr>
          <w:rFonts w:ascii="Times New Roman" w:hAnsi="Times New Roman" w:cs="Times New Roman"/>
          <w:sz w:val="24"/>
          <w:szCs w:val="24"/>
          <w:lang w:val="en-GB"/>
        </w:rPr>
      </w:pPr>
      <w:r w:rsidRPr="006D1D32">
        <w:rPr>
          <w:rFonts w:ascii="Times New Roman" w:hAnsi="Times New Roman" w:cs="Times New Roman"/>
          <w:sz w:val="24"/>
          <w:szCs w:val="24"/>
          <w:lang w:val="en-GB"/>
        </w:rPr>
        <w:t xml:space="preserve">The FFC recommended that, in order to ensure optimal utilisation of the additional resources allocated to higher education and training (HET), the </w:t>
      </w:r>
      <w:r w:rsidRPr="006D1D32">
        <w:rPr>
          <w:rFonts w:ascii="Times New Roman" w:hAnsi="Times New Roman" w:cs="Times New Roman"/>
          <w:bCs/>
          <w:sz w:val="24"/>
          <w:szCs w:val="24"/>
          <w:lang w:val="en-GB"/>
        </w:rPr>
        <w:t xml:space="preserve">government should develop a much clearer plan for implementing the comprehensive fee-free higher education policy </w:t>
      </w:r>
      <w:r w:rsidRPr="006D1D32">
        <w:rPr>
          <w:rFonts w:ascii="Times New Roman" w:hAnsi="Times New Roman" w:cs="Times New Roman"/>
          <w:sz w:val="24"/>
          <w:szCs w:val="24"/>
          <w:lang w:val="en-GB"/>
        </w:rPr>
        <w:t xml:space="preserve">both to address uncertainty in the institutions of higher learning and to ensure efficient and effective utilisation of these resources. In this regard the FFC indicated that funding must be consistently available across all the students’ years of study; and should </w:t>
      </w:r>
      <w:r w:rsidRPr="006D1D32">
        <w:rPr>
          <w:rFonts w:ascii="Times New Roman" w:hAnsi="Times New Roman" w:cs="Times New Roman"/>
          <w:sz w:val="24"/>
          <w:szCs w:val="24"/>
          <w:lang w:val="en-US"/>
        </w:rPr>
        <w:t xml:space="preserve">be aligned for </w:t>
      </w:r>
      <w:r w:rsidRPr="006D1D32">
        <w:rPr>
          <w:rFonts w:ascii="Times New Roman" w:hAnsi="Times New Roman" w:cs="Times New Roman"/>
          <w:sz w:val="24"/>
          <w:szCs w:val="24"/>
          <w:lang w:val="en-US"/>
        </w:rPr>
        <w:lastRenderedPageBreak/>
        <w:t xml:space="preserve">building skill sets to stimulate economic development. </w:t>
      </w:r>
      <w:r w:rsidRPr="006D1D32">
        <w:rPr>
          <w:rFonts w:ascii="Times New Roman" w:hAnsi="Times New Roman" w:cs="Times New Roman"/>
          <w:sz w:val="24"/>
          <w:szCs w:val="24"/>
          <w:lang w:val="en-GB"/>
        </w:rPr>
        <w:t xml:space="preserve">While the FFC welcomed the implementation of fee-free HET, it felt that the government needed to implement measures to improve the quality of outputs and outcomes at all levels of the education system. This was particularly urgent in the rural universities and the Technical Vocational Education and Training (TVET) colleges. </w:t>
      </w:r>
    </w:p>
    <w:p w14:paraId="3C32E6C3" w14:textId="77777777" w:rsidR="006D1D32" w:rsidRPr="006D1D32" w:rsidRDefault="006D1D32" w:rsidP="006D1D32">
      <w:pPr>
        <w:spacing w:line="360" w:lineRule="auto"/>
        <w:jc w:val="both"/>
        <w:rPr>
          <w:rFonts w:ascii="Times New Roman" w:hAnsi="Times New Roman" w:cs="Times New Roman"/>
          <w:sz w:val="24"/>
          <w:szCs w:val="24"/>
          <w:lang w:val="en-GB"/>
        </w:rPr>
      </w:pPr>
    </w:p>
    <w:p w14:paraId="07CB9DE9" w14:textId="77777777" w:rsidR="006D1D32" w:rsidRDefault="006D1D32" w:rsidP="000850EB">
      <w:pPr>
        <w:spacing w:line="360" w:lineRule="auto"/>
        <w:jc w:val="both"/>
        <w:rPr>
          <w:rFonts w:ascii="Times New Roman" w:hAnsi="Times New Roman" w:cs="Times New Roman"/>
          <w:sz w:val="24"/>
          <w:szCs w:val="24"/>
        </w:rPr>
      </w:pPr>
    </w:p>
    <w:p w14:paraId="2975A9AB" w14:textId="77777777" w:rsidR="006211C7" w:rsidRPr="00B367C8" w:rsidRDefault="006211C7" w:rsidP="000850EB">
      <w:pPr>
        <w:spacing w:line="360" w:lineRule="auto"/>
        <w:jc w:val="both"/>
        <w:rPr>
          <w:rFonts w:ascii="Times New Roman" w:hAnsi="Times New Roman" w:cs="Times New Roman"/>
          <w:sz w:val="24"/>
          <w:szCs w:val="24"/>
        </w:rPr>
      </w:pPr>
    </w:p>
    <w:p w14:paraId="21FADD8A" w14:textId="77777777" w:rsidR="00A176F6" w:rsidRPr="00B367C8" w:rsidRDefault="00A176F6" w:rsidP="00DE7766">
      <w:pPr>
        <w:pStyle w:val="ListParagraph"/>
        <w:numPr>
          <w:ilvl w:val="1"/>
          <w:numId w:val="34"/>
        </w:numPr>
        <w:tabs>
          <w:tab w:val="left" w:pos="426"/>
        </w:tabs>
        <w:spacing w:line="360" w:lineRule="auto"/>
        <w:jc w:val="both"/>
        <w:rPr>
          <w:rFonts w:ascii="Times New Roman" w:hAnsi="Times New Roman" w:cs="Times New Roman"/>
          <w:b/>
          <w:sz w:val="24"/>
          <w:szCs w:val="24"/>
        </w:rPr>
      </w:pPr>
      <w:r w:rsidRPr="00B367C8">
        <w:rPr>
          <w:rFonts w:ascii="Times New Roman" w:hAnsi="Times New Roman" w:cs="Times New Roman"/>
          <w:b/>
          <w:sz w:val="24"/>
          <w:szCs w:val="24"/>
        </w:rPr>
        <w:t>South African Local Government Association</w:t>
      </w:r>
    </w:p>
    <w:p w14:paraId="3011B77F" w14:textId="77777777" w:rsidR="00A176F6" w:rsidRPr="00B367C8" w:rsidRDefault="00A176F6" w:rsidP="00A176F6">
      <w:pPr>
        <w:autoSpaceDE w:val="0"/>
        <w:autoSpaceDN w:val="0"/>
        <w:adjustRightInd w:val="0"/>
        <w:spacing w:line="360" w:lineRule="auto"/>
        <w:jc w:val="both"/>
        <w:rPr>
          <w:rFonts w:ascii="Times New Roman" w:eastAsia="Times New Roman" w:hAnsi="Times New Roman" w:cs="Times New Roman"/>
          <w:sz w:val="24"/>
          <w:szCs w:val="24"/>
          <w:lang w:val="en-US"/>
        </w:rPr>
      </w:pPr>
      <w:r w:rsidRPr="00B367C8">
        <w:rPr>
          <w:rFonts w:ascii="Times New Roman" w:eastAsia="Times New Roman" w:hAnsi="Times New Roman" w:cs="Times New Roman"/>
          <w:sz w:val="24"/>
          <w:szCs w:val="24"/>
          <w:lang w:val="en-US"/>
        </w:rPr>
        <w:t xml:space="preserve">In its submission, the South African Local Government Association (SALGA) focused on what the 2018 MTBPS holds for local government. SALGA was of the view that local government receives an inadequate distribution of nationally raised revenue although it is at the cold face of service delivery. To support its view, SALGA highlighted a number of factors suggesting that the LGES determination needs to be revisited and also findings of its </w:t>
      </w:r>
      <w:r w:rsidRPr="00B367C8">
        <w:rPr>
          <w:rFonts w:ascii="Times New Roman" w:hAnsi="Times New Roman" w:cs="Times New Roman"/>
          <w:sz w:val="24"/>
          <w:szCs w:val="24"/>
        </w:rPr>
        <w:t>joint study with FFC on the costs of providing basic municipal services</w:t>
      </w:r>
      <w:r w:rsidRPr="00B367C8">
        <w:rPr>
          <w:rFonts w:ascii="Times New Roman" w:eastAsia="Times New Roman" w:hAnsi="Times New Roman" w:cs="Times New Roman"/>
          <w:sz w:val="24"/>
          <w:szCs w:val="24"/>
          <w:lang w:val="en-US"/>
        </w:rPr>
        <w:t xml:space="preserve">.  </w:t>
      </w:r>
    </w:p>
    <w:p w14:paraId="32B95E1A" w14:textId="77777777" w:rsidR="00A176F6" w:rsidRPr="00B367C8" w:rsidRDefault="00A176F6" w:rsidP="00A176F6">
      <w:pPr>
        <w:autoSpaceDE w:val="0"/>
        <w:autoSpaceDN w:val="0"/>
        <w:adjustRightInd w:val="0"/>
        <w:spacing w:line="360" w:lineRule="auto"/>
        <w:jc w:val="both"/>
        <w:rPr>
          <w:rFonts w:ascii="Times New Roman" w:eastAsia="Times New Roman" w:hAnsi="Times New Roman" w:cs="Times New Roman"/>
          <w:sz w:val="24"/>
          <w:szCs w:val="24"/>
          <w:lang w:val="en-US"/>
        </w:rPr>
      </w:pPr>
      <w:r w:rsidRPr="00B367C8">
        <w:rPr>
          <w:rFonts w:ascii="Times New Roman" w:eastAsia="Times New Roman" w:hAnsi="Times New Roman" w:cs="Times New Roman"/>
          <w:sz w:val="24"/>
          <w:szCs w:val="24"/>
          <w:lang w:val="en-US"/>
        </w:rPr>
        <w:t xml:space="preserve">SALGA questioned the percentage of true equitable share after adjusting for revenue raised by local government and the revenue-raising assumptions which inform the current local government funding model as well as the determination of the equitable share. SALGA alluded to the role of bulk suppliers in undermining municipal revenue collection and also proposed for the development of a more realistic model of municipal revenue as well as addressing the impediments preventing municipalities from collecting revenue. </w:t>
      </w:r>
      <w:r w:rsidRPr="00B367C8">
        <w:rPr>
          <w:rFonts w:ascii="Times New Roman" w:hAnsi="Times New Roman" w:cs="Times New Roman"/>
          <w:sz w:val="24"/>
          <w:szCs w:val="24"/>
        </w:rPr>
        <w:t xml:space="preserve">In terms of the findings of the joint study with FFC, reference was made to actual cost of service delivery being higher than the estimates used for the calculation of the LGES. The study also highlighted the neglect of renewal and maintenance of existing infrastructure as well as a high administrative cost burden on municipalities. </w:t>
      </w:r>
    </w:p>
    <w:p w14:paraId="0C5BD28E" w14:textId="2E52086C" w:rsidR="00A176F6" w:rsidRPr="00B367C8" w:rsidRDefault="00A176F6" w:rsidP="00A176F6">
      <w:p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SALGA welcomed the introduction of the Integrated Urban Development Grant and propo</w:t>
      </w:r>
      <w:r w:rsidR="008E1AFD">
        <w:rPr>
          <w:rFonts w:ascii="Times New Roman" w:hAnsi="Times New Roman" w:cs="Times New Roman"/>
          <w:sz w:val="24"/>
          <w:szCs w:val="24"/>
        </w:rPr>
        <w:t>sed that upon its success, roll</w:t>
      </w:r>
      <w:r w:rsidRPr="00B367C8">
        <w:rPr>
          <w:rFonts w:ascii="Times New Roman" w:hAnsi="Times New Roman" w:cs="Times New Roman"/>
          <w:sz w:val="24"/>
          <w:szCs w:val="24"/>
        </w:rPr>
        <w:t xml:space="preserve">-out of the grant should be accelerated to other participants and that an increased incentive be offered for positive performance of the grant.  SALGA also welcomed the reprioritisation of funds which had been set aside for a grant for municipalities facing financial crisis towards other initiatives that will assist the turnaround of </w:t>
      </w:r>
      <w:r w:rsidRPr="00B367C8">
        <w:rPr>
          <w:rFonts w:ascii="Times New Roman" w:hAnsi="Times New Roman" w:cs="Times New Roman"/>
          <w:sz w:val="24"/>
          <w:szCs w:val="24"/>
        </w:rPr>
        <w:lastRenderedPageBreak/>
        <w:t xml:space="preserve">municipalities.  SALGA emphasised that recovery interventions should be well considered, consulted, and capacitated to achieve the required results. </w:t>
      </w:r>
    </w:p>
    <w:p w14:paraId="39A95386" w14:textId="77777777" w:rsidR="00A176F6" w:rsidRPr="00B367C8" w:rsidRDefault="00A176F6" w:rsidP="00A176F6">
      <w:p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SALGA expressed concerns about high levels of municipal consumer debt and indicated that municipalities are failing to recover and write-off outstanding debt. SALGA was also concerned about the non-responsiveness of organs of state in settling debt owed to municipalities despite numerous directives from the Minister of Finance and National Treasury.  </w:t>
      </w:r>
    </w:p>
    <w:p w14:paraId="2FF60F87" w14:textId="64B18742" w:rsidR="00F874D9" w:rsidRPr="00B367C8" w:rsidRDefault="00A176F6" w:rsidP="00A176F6">
      <w:pPr>
        <w:autoSpaceDE w:val="0"/>
        <w:autoSpaceDN w:val="0"/>
        <w:adjustRightInd w:val="0"/>
        <w:spacing w:line="360" w:lineRule="auto"/>
        <w:jc w:val="both"/>
        <w:rPr>
          <w:rFonts w:ascii="Times New Roman" w:eastAsia="Times New Roman" w:hAnsi="Times New Roman" w:cs="Times New Roman"/>
          <w:spacing w:val="6"/>
          <w:sz w:val="24"/>
          <w:szCs w:val="24"/>
          <w:lang w:val="en-GB" w:eastAsia="en-GB"/>
        </w:rPr>
      </w:pPr>
      <w:r w:rsidRPr="00B367C8">
        <w:rPr>
          <w:rFonts w:ascii="Times New Roman" w:hAnsi="Times New Roman" w:cs="Times New Roman"/>
          <w:sz w:val="24"/>
          <w:szCs w:val="24"/>
        </w:rPr>
        <w:t xml:space="preserve">In terms of municipal audit outcomes, oversight and accountability, SALGA proposed for the development of a Consequence Management Framework that would focus on both individual and institutional performance. SALGA proposed that the framework could entail </w:t>
      </w:r>
      <w:r w:rsidRPr="00B367C8">
        <w:rPr>
          <w:rFonts w:ascii="Times New Roman" w:eastAsia="Times New Roman" w:hAnsi="Times New Roman" w:cs="Times New Roman"/>
          <w:spacing w:val="6"/>
          <w:sz w:val="24"/>
          <w:szCs w:val="24"/>
          <w:lang w:val="en-GB" w:eastAsia="en-GB"/>
        </w:rPr>
        <w:t>elements such as the grading of municipalities based on performance and awarding of pay increases and bonuses based on institutional performance. These elements would be ba</w:t>
      </w:r>
      <w:r w:rsidR="008E1AFD">
        <w:rPr>
          <w:rFonts w:ascii="Times New Roman" w:eastAsia="Times New Roman" w:hAnsi="Times New Roman" w:cs="Times New Roman"/>
          <w:spacing w:val="6"/>
          <w:sz w:val="24"/>
          <w:szCs w:val="24"/>
          <w:lang w:val="en-GB" w:eastAsia="en-GB"/>
        </w:rPr>
        <w:t xml:space="preserve">sed on indices emanating from Auditor-General’s </w:t>
      </w:r>
      <w:r w:rsidR="008E1AFD" w:rsidRPr="00B367C8">
        <w:rPr>
          <w:rFonts w:ascii="Times New Roman" w:eastAsia="Times New Roman" w:hAnsi="Times New Roman" w:cs="Times New Roman"/>
          <w:spacing w:val="6"/>
          <w:sz w:val="24"/>
          <w:szCs w:val="24"/>
          <w:lang w:val="en-GB" w:eastAsia="en-GB"/>
        </w:rPr>
        <w:t>Audit</w:t>
      </w:r>
      <w:r w:rsidRPr="00B367C8">
        <w:rPr>
          <w:rFonts w:ascii="Times New Roman" w:eastAsia="Times New Roman" w:hAnsi="Times New Roman" w:cs="Times New Roman"/>
          <w:spacing w:val="6"/>
          <w:sz w:val="24"/>
          <w:szCs w:val="24"/>
          <w:lang w:val="en-GB" w:eastAsia="en-GB"/>
        </w:rPr>
        <w:t xml:space="preserve"> Outcomes, StatsSA municipal non-financial census reports and other municipal performance rating instruments. SALGA also advocated for Municipal Public Accounts Committees to be given more power</w:t>
      </w:r>
      <w:r w:rsidR="00893B2A" w:rsidRPr="00B367C8">
        <w:rPr>
          <w:rFonts w:ascii="Times New Roman" w:eastAsia="Times New Roman" w:hAnsi="Times New Roman" w:cs="Times New Roman"/>
          <w:spacing w:val="6"/>
          <w:sz w:val="24"/>
          <w:szCs w:val="24"/>
          <w:lang w:val="en-GB" w:eastAsia="en-GB"/>
        </w:rPr>
        <w:t>s through a legislative review.</w:t>
      </w:r>
    </w:p>
    <w:p w14:paraId="0DBE6B56" w14:textId="77777777" w:rsidR="00F874D9" w:rsidRPr="00B367C8" w:rsidRDefault="00F874D9" w:rsidP="00A176F6">
      <w:pPr>
        <w:autoSpaceDE w:val="0"/>
        <w:autoSpaceDN w:val="0"/>
        <w:adjustRightInd w:val="0"/>
        <w:spacing w:line="360" w:lineRule="auto"/>
        <w:jc w:val="both"/>
        <w:rPr>
          <w:rFonts w:ascii="Times New Roman" w:hAnsi="Times New Roman" w:cs="Times New Roman"/>
          <w:sz w:val="24"/>
          <w:szCs w:val="24"/>
        </w:rPr>
      </w:pPr>
    </w:p>
    <w:p w14:paraId="5D288C0C" w14:textId="77777777" w:rsidR="00A176F6" w:rsidRPr="00B367C8" w:rsidRDefault="00A176F6" w:rsidP="00DE7766">
      <w:pPr>
        <w:pStyle w:val="ListParagraph"/>
        <w:numPr>
          <w:ilvl w:val="1"/>
          <w:numId w:val="34"/>
        </w:numPr>
        <w:tabs>
          <w:tab w:val="left" w:pos="426"/>
        </w:tabs>
        <w:spacing w:line="360" w:lineRule="auto"/>
        <w:jc w:val="both"/>
        <w:rPr>
          <w:rFonts w:ascii="Times New Roman" w:hAnsi="Times New Roman" w:cs="Times New Roman"/>
          <w:b/>
          <w:sz w:val="24"/>
          <w:szCs w:val="24"/>
        </w:rPr>
      </w:pPr>
      <w:r w:rsidRPr="00B367C8">
        <w:rPr>
          <w:rFonts w:ascii="Times New Roman" w:hAnsi="Times New Roman" w:cs="Times New Roman"/>
          <w:b/>
          <w:sz w:val="24"/>
          <w:szCs w:val="24"/>
        </w:rPr>
        <w:t>Public Service Commission</w:t>
      </w:r>
    </w:p>
    <w:p w14:paraId="77917EF9" w14:textId="77777777"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The submission by the Public Service Commission (PSC) highlighted areas where the public service could be strengthened in order to improve efficiency, effectiveness and value for money towards the achievement of government priorities as per the 2018 MTBPS. These include:</w:t>
      </w:r>
    </w:p>
    <w:p w14:paraId="23C115C3" w14:textId="77777777" w:rsidR="00A176F6" w:rsidRPr="00B367C8" w:rsidRDefault="00A176F6" w:rsidP="00A176F6">
      <w:pPr>
        <w:pStyle w:val="ListParagraph"/>
        <w:numPr>
          <w:ilvl w:val="0"/>
          <w:numId w:val="8"/>
        </w:numPr>
        <w:spacing w:before="100" w:beforeAutospacing="1" w:after="100" w:afterAutospacing="1" w:line="360" w:lineRule="auto"/>
        <w:ind w:left="284" w:hanging="284"/>
        <w:jc w:val="both"/>
        <w:rPr>
          <w:rFonts w:ascii="Times New Roman" w:hAnsi="Times New Roman" w:cs="Times New Roman"/>
          <w:b/>
          <w:sz w:val="24"/>
          <w:szCs w:val="24"/>
        </w:rPr>
      </w:pPr>
      <w:r w:rsidRPr="00B367C8">
        <w:rPr>
          <w:rFonts w:ascii="Times New Roman" w:hAnsi="Times New Roman" w:cs="Times New Roman"/>
          <w:b/>
          <w:sz w:val="24"/>
          <w:szCs w:val="24"/>
        </w:rPr>
        <w:t>Strategies available to significantly improve management practices in the public service</w:t>
      </w:r>
    </w:p>
    <w:p w14:paraId="416CA4B2" w14:textId="1045EFDF" w:rsidR="00A176F6" w:rsidRPr="00B367C8" w:rsidRDefault="00A176F6" w:rsidP="00A176F6">
      <w:p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The Public Service Commission (PSC) highlighted the importance of detailed and integrated planning across all sphere</w:t>
      </w:r>
      <w:r w:rsidR="008E1AFD">
        <w:rPr>
          <w:rFonts w:ascii="Times New Roman" w:hAnsi="Times New Roman" w:cs="Times New Roman"/>
          <w:sz w:val="24"/>
          <w:szCs w:val="24"/>
        </w:rPr>
        <w:t>s of government for the success</w:t>
      </w:r>
      <w:r w:rsidR="008E1AFD" w:rsidRPr="00B367C8">
        <w:rPr>
          <w:rFonts w:ascii="Times New Roman" w:hAnsi="Times New Roman" w:cs="Times New Roman"/>
          <w:sz w:val="24"/>
          <w:szCs w:val="24"/>
        </w:rPr>
        <w:t>ful</w:t>
      </w:r>
      <w:r w:rsidRPr="00B367C8">
        <w:rPr>
          <w:rFonts w:ascii="Times New Roman" w:hAnsi="Times New Roman" w:cs="Times New Roman"/>
          <w:sz w:val="24"/>
          <w:szCs w:val="24"/>
        </w:rPr>
        <w:t xml:space="preserve"> implementation of the Economic Stimulus </w:t>
      </w:r>
      <w:r w:rsidR="008E1AFD">
        <w:rPr>
          <w:rFonts w:ascii="Times New Roman" w:hAnsi="Times New Roman" w:cs="Times New Roman"/>
          <w:sz w:val="24"/>
          <w:szCs w:val="24"/>
        </w:rPr>
        <w:t xml:space="preserve">and </w:t>
      </w:r>
      <w:r w:rsidRPr="00B367C8">
        <w:rPr>
          <w:rFonts w:ascii="Times New Roman" w:hAnsi="Times New Roman" w:cs="Times New Roman"/>
          <w:sz w:val="24"/>
          <w:szCs w:val="24"/>
        </w:rPr>
        <w:t xml:space="preserve">Recovery Plan. These integrated plans need to be supported by sector specific service delivery models.  The PSC also highlighted the need for better support systems for under-performing departments in sectors such as education, health and social development in order to ensure effective performance and service delivery.  </w:t>
      </w:r>
    </w:p>
    <w:p w14:paraId="7FF705BF" w14:textId="77777777" w:rsidR="00A176F6" w:rsidRPr="00B367C8" w:rsidRDefault="00A176F6" w:rsidP="00A176F6">
      <w:p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lastRenderedPageBreak/>
        <w:t xml:space="preserve">In terms of Human Resources (HR) Management, the PSC emphasised the need for processes to focus on measuring performance against the outcome of getting the right people for jobs, employee conduct, and values and performance, instead </w:t>
      </w:r>
      <w:r w:rsidR="00A56343">
        <w:rPr>
          <w:rFonts w:ascii="Times New Roman" w:hAnsi="Times New Roman" w:cs="Times New Roman"/>
          <w:sz w:val="24"/>
          <w:szCs w:val="24"/>
        </w:rPr>
        <w:t xml:space="preserve">of </w:t>
      </w:r>
      <w:r w:rsidRPr="00B367C8">
        <w:rPr>
          <w:rFonts w:ascii="Times New Roman" w:hAnsi="Times New Roman" w:cs="Times New Roman"/>
          <w:sz w:val="24"/>
          <w:szCs w:val="24"/>
        </w:rPr>
        <w:t>compliance only. In terms of the public sector wage bill, the PSC submitted that it was important to retain professionals in the public service and questioned whether it was not time to revisit the Occupation Specific Dispensation (OSD).  It was of the view that it was critical for managers to manage and in particular to deal with poor performance. The PSC submitted the following in terms of reducing the structural deficit in the public sector wage bill:</w:t>
      </w:r>
    </w:p>
    <w:p w14:paraId="42A45C5C" w14:textId="77777777" w:rsidR="00A176F6" w:rsidRPr="00B367C8" w:rsidRDefault="00A176F6" w:rsidP="00A176F6">
      <w:pPr>
        <w:pStyle w:val="ListParagraph"/>
        <w:numPr>
          <w:ilvl w:val="0"/>
          <w:numId w:val="20"/>
        </w:num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Right sizing of government through detailed work studies to make evidence based decisions;</w:t>
      </w:r>
    </w:p>
    <w:p w14:paraId="36780585" w14:textId="77777777" w:rsidR="00A176F6" w:rsidRPr="00B367C8" w:rsidRDefault="00A176F6" w:rsidP="00A176F6">
      <w:pPr>
        <w:pStyle w:val="ListParagraph"/>
        <w:numPr>
          <w:ilvl w:val="0"/>
          <w:numId w:val="20"/>
        </w:num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Ensuring a gainfully employed workforce;</w:t>
      </w:r>
    </w:p>
    <w:p w14:paraId="35789FD3" w14:textId="6F9E1214" w:rsidR="00A176F6" w:rsidRPr="00B367C8" w:rsidRDefault="00A176F6" w:rsidP="00A176F6">
      <w:pPr>
        <w:pStyle w:val="ListParagraph"/>
        <w:numPr>
          <w:ilvl w:val="0"/>
          <w:numId w:val="20"/>
        </w:num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Re</w:t>
      </w:r>
      <w:r w:rsidR="00133367">
        <w:rPr>
          <w:rFonts w:ascii="Times New Roman" w:hAnsi="Times New Roman" w:cs="Times New Roman"/>
          <w:sz w:val="24"/>
          <w:szCs w:val="24"/>
        </w:rPr>
        <w:t>-</w:t>
      </w:r>
      <w:r w:rsidRPr="00B367C8">
        <w:rPr>
          <w:rFonts w:ascii="Times New Roman" w:hAnsi="Times New Roman" w:cs="Times New Roman"/>
          <w:sz w:val="24"/>
          <w:szCs w:val="24"/>
        </w:rPr>
        <w:t xml:space="preserve">skilling and re-training of officials to do more; and </w:t>
      </w:r>
    </w:p>
    <w:p w14:paraId="6F9839B1" w14:textId="77777777" w:rsidR="00A176F6" w:rsidRPr="00B367C8" w:rsidRDefault="00A176F6" w:rsidP="00A176F6">
      <w:pPr>
        <w:pStyle w:val="ListParagraph"/>
        <w:numPr>
          <w:ilvl w:val="0"/>
          <w:numId w:val="20"/>
        </w:num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Building a workforce that is versatile, adaptive and flexible. </w:t>
      </w:r>
    </w:p>
    <w:p w14:paraId="3DEA258D" w14:textId="77777777" w:rsidR="00A176F6" w:rsidRPr="00B367C8" w:rsidRDefault="00A176F6" w:rsidP="00A176F6">
      <w:pPr>
        <w:autoSpaceDE w:val="0"/>
        <w:autoSpaceDN w:val="0"/>
        <w:adjustRightInd w:val="0"/>
        <w:spacing w:line="360" w:lineRule="auto"/>
        <w:jc w:val="both"/>
        <w:rPr>
          <w:rFonts w:ascii="Times New Roman" w:hAnsi="Times New Roman" w:cs="Times New Roman"/>
          <w:b/>
          <w:sz w:val="24"/>
          <w:szCs w:val="24"/>
        </w:rPr>
      </w:pPr>
    </w:p>
    <w:p w14:paraId="5AAF5B93" w14:textId="77777777" w:rsidR="00A176F6" w:rsidRPr="00B367C8" w:rsidRDefault="00A176F6" w:rsidP="00A176F6">
      <w:pPr>
        <w:autoSpaceDE w:val="0"/>
        <w:autoSpaceDN w:val="0"/>
        <w:adjustRightInd w:val="0"/>
        <w:spacing w:line="360" w:lineRule="auto"/>
        <w:jc w:val="both"/>
        <w:rPr>
          <w:rFonts w:ascii="Times New Roman" w:hAnsi="Times New Roman" w:cs="Times New Roman"/>
          <w:b/>
          <w:sz w:val="24"/>
          <w:szCs w:val="24"/>
        </w:rPr>
      </w:pPr>
      <w:r w:rsidRPr="00B367C8">
        <w:rPr>
          <w:rFonts w:ascii="Times New Roman" w:hAnsi="Times New Roman" w:cs="Times New Roman"/>
          <w:b/>
          <w:sz w:val="24"/>
          <w:szCs w:val="24"/>
        </w:rPr>
        <w:t>(b) Governance issues across the public service</w:t>
      </w:r>
    </w:p>
    <w:p w14:paraId="14590FF0" w14:textId="4C48F5A6" w:rsidR="00A176F6" w:rsidRPr="00B367C8" w:rsidRDefault="00A176F6" w:rsidP="00A176F6">
      <w:pPr>
        <w:autoSpaceDE w:val="0"/>
        <w:autoSpaceDN w:val="0"/>
        <w:adjustRightInd w:val="0"/>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The PSC analysed compliance with submission of performance agr</w:t>
      </w:r>
      <w:r w:rsidR="00D036E6">
        <w:rPr>
          <w:rFonts w:ascii="Times New Roman" w:hAnsi="Times New Roman" w:cs="Times New Roman"/>
          <w:sz w:val="24"/>
          <w:szCs w:val="24"/>
        </w:rPr>
        <w:t>eements for Heads of Department (HODs)</w:t>
      </w:r>
      <w:r w:rsidRPr="00B367C8">
        <w:rPr>
          <w:rFonts w:ascii="Times New Roman" w:hAnsi="Times New Roman" w:cs="Times New Roman"/>
          <w:sz w:val="24"/>
          <w:szCs w:val="24"/>
        </w:rPr>
        <w:t xml:space="preserve">, non-compliance with financial disclosure framework, national anti-corruption hotline, financial misconduct, payment of invoices, precautionary suspensions, performance vs expenditure, and the percentage of targets achieved vs Senior Management Service (SMS) performance rewards. </w:t>
      </w:r>
    </w:p>
    <w:p w14:paraId="37C5357E" w14:textId="17D506AC"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PSC highlighted that there has been an improvement with the filing of performance agreements</w:t>
      </w:r>
      <w:r w:rsidR="00D036E6">
        <w:rPr>
          <w:rFonts w:ascii="Times New Roman" w:hAnsi="Times New Roman" w:cs="Times New Roman"/>
          <w:sz w:val="24"/>
          <w:szCs w:val="24"/>
        </w:rPr>
        <w:t xml:space="preserve"> for HODs</w:t>
      </w:r>
      <w:r w:rsidRPr="00B367C8">
        <w:rPr>
          <w:rFonts w:ascii="Times New Roman" w:hAnsi="Times New Roman" w:cs="Times New Roman"/>
          <w:sz w:val="24"/>
          <w:szCs w:val="24"/>
        </w:rPr>
        <w:t xml:space="preserve"> and Directors-General (DGs) although 4 national departments (Agriculture, Forestry and Fisheries, Defence, Independent Police Investigative Directorate, and Public Works) submitted late. It was reported that in 2018/19, 14 out of the 51 departments had acting DGs. </w:t>
      </w:r>
    </w:p>
    <w:p w14:paraId="23A1EB4E" w14:textId="2F0286C7"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PSC reported that 93 per cent of the national departments complied with the submission of forms for the financial disclosure framework for SMS employees in 2017/18. </w:t>
      </w:r>
      <w:r w:rsidR="0007611B">
        <w:rPr>
          <w:rFonts w:ascii="Times New Roman" w:hAnsi="Times New Roman" w:cs="Times New Roman"/>
          <w:sz w:val="24"/>
          <w:szCs w:val="24"/>
        </w:rPr>
        <w:t xml:space="preserve">This represents a decline from 99 per cent in 2016/17. </w:t>
      </w:r>
      <w:r w:rsidR="00E5383B">
        <w:rPr>
          <w:rFonts w:ascii="Times New Roman" w:hAnsi="Times New Roman" w:cs="Times New Roman"/>
          <w:sz w:val="24"/>
          <w:szCs w:val="24"/>
        </w:rPr>
        <w:t>The Executive Authorities</w:t>
      </w:r>
      <w:r w:rsidR="00080C80">
        <w:rPr>
          <w:rFonts w:ascii="Times New Roman" w:hAnsi="Times New Roman" w:cs="Times New Roman"/>
          <w:sz w:val="24"/>
          <w:szCs w:val="24"/>
        </w:rPr>
        <w:t xml:space="preserve"> </w:t>
      </w:r>
      <w:r w:rsidR="00E5383B">
        <w:rPr>
          <w:rFonts w:ascii="Times New Roman" w:hAnsi="Times New Roman" w:cs="Times New Roman"/>
          <w:sz w:val="24"/>
          <w:szCs w:val="24"/>
        </w:rPr>
        <w:t xml:space="preserve">who </w:t>
      </w:r>
      <w:r w:rsidR="00080C80">
        <w:rPr>
          <w:rFonts w:ascii="Times New Roman" w:hAnsi="Times New Roman" w:cs="Times New Roman"/>
          <w:sz w:val="24"/>
          <w:szCs w:val="24"/>
        </w:rPr>
        <w:t xml:space="preserve">failed to submit the forms for </w:t>
      </w:r>
      <w:r w:rsidR="00080C80" w:rsidRPr="00B367C8">
        <w:rPr>
          <w:rFonts w:ascii="Times New Roman" w:hAnsi="Times New Roman" w:cs="Times New Roman"/>
          <w:sz w:val="24"/>
          <w:szCs w:val="24"/>
        </w:rPr>
        <w:t>financial disclosure framework</w:t>
      </w:r>
      <w:r w:rsidR="00080C80">
        <w:rPr>
          <w:rFonts w:ascii="Times New Roman" w:hAnsi="Times New Roman" w:cs="Times New Roman"/>
          <w:sz w:val="24"/>
          <w:szCs w:val="24"/>
        </w:rPr>
        <w:t xml:space="preserve"> t</w:t>
      </w:r>
      <w:r w:rsidR="00D036E6">
        <w:rPr>
          <w:rFonts w:ascii="Times New Roman" w:hAnsi="Times New Roman" w:cs="Times New Roman"/>
          <w:sz w:val="24"/>
          <w:szCs w:val="24"/>
        </w:rPr>
        <w:t xml:space="preserve">o the PSC </w:t>
      </w:r>
      <w:r w:rsidR="00E5383B">
        <w:rPr>
          <w:rFonts w:ascii="Times New Roman" w:hAnsi="Times New Roman" w:cs="Times New Roman"/>
          <w:sz w:val="24"/>
          <w:szCs w:val="24"/>
        </w:rPr>
        <w:t>relate to the following departments or entities</w:t>
      </w:r>
      <w:r w:rsidR="00080C80">
        <w:rPr>
          <w:rFonts w:ascii="Times New Roman" w:hAnsi="Times New Roman" w:cs="Times New Roman"/>
          <w:sz w:val="24"/>
          <w:szCs w:val="24"/>
        </w:rPr>
        <w:t xml:space="preserve">: Defence, </w:t>
      </w:r>
      <w:r w:rsidR="00E5383B">
        <w:rPr>
          <w:rFonts w:ascii="Times New Roman" w:hAnsi="Times New Roman" w:cs="Times New Roman"/>
          <w:sz w:val="24"/>
          <w:szCs w:val="24"/>
        </w:rPr>
        <w:t xml:space="preserve">National School of Government, Public Enterprises, Public </w:t>
      </w:r>
      <w:r w:rsidR="00E5383B">
        <w:rPr>
          <w:rFonts w:ascii="Times New Roman" w:hAnsi="Times New Roman" w:cs="Times New Roman"/>
          <w:sz w:val="24"/>
          <w:szCs w:val="24"/>
        </w:rPr>
        <w:lastRenderedPageBreak/>
        <w:t>Ser</w:t>
      </w:r>
      <w:r w:rsidR="00D036E6">
        <w:rPr>
          <w:rFonts w:ascii="Times New Roman" w:hAnsi="Times New Roman" w:cs="Times New Roman"/>
          <w:sz w:val="24"/>
          <w:szCs w:val="24"/>
        </w:rPr>
        <w:t>vice and Administration, Sports and</w:t>
      </w:r>
      <w:r w:rsidR="00E5383B">
        <w:rPr>
          <w:rFonts w:ascii="Times New Roman" w:hAnsi="Times New Roman" w:cs="Times New Roman"/>
          <w:sz w:val="24"/>
          <w:szCs w:val="24"/>
        </w:rPr>
        <w:t xml:space="preserve"> Recreation</w:t>
      </w:r>
      <w:r w:rsidR="00D036E6">
        <w:rPr>
          <w:rFonts w:ascii="Times New Roman" w:hAnsi="Times New Roman" w:cs="Times New Roman"/>
          <w:sz w:val="24"/>
          <w:szCs w:val="24"/>
        </w:rPr>
        <w:t xml:space="preserve"> South Africa</w:t>
      </w:r>
      <w:r w:rsidR="00E5383B">
        <w:rPr>
          <w:rFonts w:ascii="Times New Roman" w:hAnsi="Times New Roman" w:cs="Times New Roman"/>
          <w:sz w:val="24"/>
          <w:szCs w:val="24"/>
        </w:rPr>
        <w:t xml:space="preserve">, and Women. </w:t>
      </w:r>
      <w:r w:rsidR="00080C80">
        <w:rPr>
          <w:rFonts w:ascii="Times New Roman" w:hAnsi="Times New Roman" w:cs="Times New Roman"/>
          <w:sz w:val="24"/>
          <w:szCs w:val="24"/>
        </w:rPr>
        <w:t xml:space="preserve"> </w:t>
      </w:r>
      <w:r w:rsidRPr="00B367C8">
        <w:rPr>
          <w:rFonts w:ascii="Times New Roman" w:hAnsi="Times New Roman" w:cs="Times New Roman"/>
          <w:sz w:val="24"/>
          <w:szCs w:val="24"/>
        </w:rPr>
        <w:t>The PSC reported that there has been a significant reduction</w:t>
      </w:r>
      <w:r w:rsidR="00FF7379" w:rsidRPr="00B367C8">
        <w:rPr>
          <w:rFonts w:ascii="Times New Roman" w:hAnsi="Times New Roman" w:cs="Times New Roman"/>
          <w:sz w:val="24"/>
          <w:szCs w:val="24"/>
        </w:rPr>
        <w:t xml:space="preserve"> in the number of completed</w:t>
      </w:r>
      <w:r w:rsidRPr="00B367C8">
        <w:rPr>
          <w:rFonts w:ascii="Times New Roman" w:hAnsi="Times New Roman" w:cs="Times New Roman"/>
          <w:sz w:val="24"/>
          <w:szCs w:val="24"/>
        </w:rPr>
        <w:t xml:space="preserve"> cases for financial misconduct from 758 in 2016/17 to 387 in 2017/18. Furthermore, there has been a decline in the amounts not recovered in relation to financial misconduct from R5.7 million in 2016/17 to R4 million in 2017/18.  The departments where amounts not recovered exceeded R500 000 were Public Works </w:t>
      </w:r>
      <w:r w:rsidRPr="00BB4C47">
        <w:rPr>
          <w:rFonts w:ascii="Times New Roman" w:hAnsi="Times New Roman" w:cs="Times New Roman"/>
          <w:sz w:val="24"/>
          <w:szCs w:val="24"/>
        </w:rPr>
        <w:t>(R519 329), Defence (R1. 080 million), and Labour (R1.459 million).</w:t>
      </w:r>
      <w:r w:rsidRPr="00B367C8">
        <w:rPr>
          <w:rFonts w:ascii="Times New Roman" w:hAnsi="Times New Roman" w:cs="Times New Roman"/>
          <w:sz w:val="24"/>
          <w:szCs w:val="24"/>
        </w:rPr>
        <w:t xml:space="preserve"> </w:t>
      </w:r>
    </w:p>
    <w:p w14:paraId="15CCE296" w14:textId="77777777" w:rsidR="00A176F6" w:rsidRPr="00B367C8" w:rsidRDefault="00A176F6" w:rsidP="00A176F6">
      <w:pPr>
        <w:spacing w:before="100" w:beforeAutospacing="1" w:after="100" w:afterAutospacing="1" w:line="360" w:lineRule="auto"/>
        <w:jc w:val="both"/>
        <w:rPr>
          <w:rFonts w:ascii="Times New Roman" w:hAnsi="Times New Roman" w:cs="Times New Roman"/>
          <w:b/>
          <w:sz w:val="24"/>
          <w:szCs w:val="24"/>
        </w:rPr>
      </w:pPr>
      <w:r w:rsidRPr="00B367C8">
        <w:rPr>
          <w:rFonts w:ascii="Times New Roman" w:hAnsi="Times New Roman" w:cs="Times New Roman"/>
          <w:sz w:val="24"/>
          <w:szCs w:val="24"/>
        </w:rPr>
        <w:t xml:space="preserve">The PSC reported on the payment of invoices by departments and indicated that the number and rand value of invoices not paid in the first five months of the 2018/19 financial year was of concern. The following departments were the main transgressors in terms of the above-mentioned unpaid invoices: Water and Sanitation (363 invoices – R142.5 million); Energy (10 invoices – R79.6 million); Public Works (1 224 invoices – R33.4 million); Cooperative Governance (110 invoices – R30.8 million); Police (20 invoices – R23.7 million); Agriculture, Forestry and Fisheries (1 invoice – R21.8 million); Women (1 invoice – R2.2 million); and Social Development (21 invoices – R1.8 million). The PSC submitted that most </w:t>
      </w:r>
      <w:r w:rsidR="00BB4C47">
        <w:rPr>
          <w:rFonts w:ascii="Times New Roman" w:hAnsi="Times New Roman" w:cs="Times New Roman"/>
          <w:sz w:val="24"/>
          <w:szCs w:val="24"/>
        </w:rPr>
        <w:t xml:space="preserve">of </w:t>
      </w:r>
      <w:r w:rsidRPr="00B367C8">
        <w:rPr>
          <w:rFonts w:ascii="Times New Roman" w:hAnsi="Times New Roman" w:cs="Times New Roman"/>
          <w:sz w:val="24"/>
          <w:szCs w:val="24"/>
        </w:rPr>
        <w:t xml:space="preserve">the afore-mentioned departments were important role players in the economic sector and with the planned injection of additional funds, it was essential to ensure </w:t>
      </w:r>
      <w:r w:rsidR="004B4958" w:rsidRPr="00B367C8">
        <w:rPr>
          <w:rFonts w:ascii="Times New Roman" w:hAnsi="Times New Roman" w:cs="Times New Roman"/>
          <w:sz w:val="24"/>
          <w:szCs w:val="24"/>
        </w:rPr>
        <w:t>effective financial management.</w:t>
      </w:r>
    </w:p>
    <w:p w14:paraId="701D4066" w14:textId="77777777"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PSC gauged the efficiency of HR processes in departments by assessing the number of people suspended and the duration of the suspensions for the 2017/18 financial year. There was a decline in the number of people suspended (from 884 in 2016/17 to 693 in 2017/18) as well as the number of people whose suspensions exceeded 30 days (from 625 in 2016/17 to 545 in 2017/18). </w:t>
      </w:r>
    </w:p>
    <w:p w14:paraId="2D3C73D4" w14:textId="19A1899B"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PSC </w:t>
      </w:r>
      <w:r w:rsidR="00D036E6">
        <w:rPr>
          <w:rFonts w:ascii="Times New Roman" w:hAnsi="Times New Roman" w:cs="Times New Roman"/>
          <w:sz w:val="24"/>
          <w:szCs w:val="24"/>
        </w:rPr>
        <w:t xml:space="preserve">also </w:t>
      </w:r>
      <w:r w:rsidRPr="00B367C8">
        <w:rPr>
          <w:rFonts w:ascii="Times New Roman" w:hAnsi="Times New Roman" w:cs="Times New Roman"/>
          <w:sz w:val="24"/>
          <w:szCs w:val="24"/>
        </w:rPr>
        <w:t xml:space="preserve">provided an analysis of expenditure outcomes versus the achievement of planned targets for all national departments for the 2017/18 financial year. The ten lowest performance departments in terms of planned targets were Military Veterans (22.2 per cent); Water and Sanitation (40.9 per cent); Public Works (55 per cent); The Presidency (55.2 per cent); Women (55.6 per cent); Rural Development and Land Reform (57.1 per cent); Human Settlements (57.4 per cent); Labour (60 per cent); Small Business Development (61 per cent); and Health (66.7 per cent). The PSC also provided a breakdown of the national departments which have spent their budget allocations </w:t>
      </w:r>
      <w:r w:rsidR="00133367">
        <w:rPr>
          <w:rFonts w:ascii="Times New Roman" w:hAnsi="Times New Roman" w:cs="Times New Roman"/>
          <w:sz w:val="24"/>
          <w:szCs w:val="24"/>
        </w:rPr>
        <w:t xml:space="preserve">at a rate </w:t>
      </w:r>
      <w:r w:rsidRPr="00B367C8">
        <w:rPr>
          <w:rFonts w:ascii="Times New Roman" w:hAnsi="Times New Roman" w:cs="Times New Roman"/>
          <w:sz w:val="24"/>
          <w:szCs w:val="24"/>
        </w:rPr>
        <w:t>below the norm of 98 per cent at the end of the 2017/18 financial year as follows:</w:t>
      </w:r>
    </w:p>
    <w:p w14:paraId="03345FB7"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lastRenderedPageBreak/>
        <w:t>Public Service and Administration – 64.6 per cent;</w:t>
      </w:r>
    </w:p>
    <w:p w14:paraId="0B489ED7"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Transport – 91.4 per cent;</w:t>
      </w:r>
    </w:p>
    <w:p w14:paraId="7C0249CA"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Traditional Affairs – 91.5 per cent;</w:t>
      </w:r>
    </w:p>
    <w:p w14:paraId="7ED5B73E" w14:textId="242202F3"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Labour – 93</w:t>
      </w:r>
      <w:r w:rsidR="00133367">
        <w:rPr>
          <w:rFonts w:ascii="Times New Roman" w:hAnsi="Times New Roman" w:cs="Times New Roman"/>
          <w:sz w:val="24"/>
          <w:szCs w:val="24"/>
        </w:rPr>
        <w:t>.</w:t>
      </w:r>
      <w:r w:rsidRPr="00B367C8">
        <w:rPr>
          <w:rFonts w:ascii="Times New Roman" w:hAnsi="Times New Roman" w:cs="Times New Roman"/>
          <w:sz w:val="24"/>
          <w:szCs w:val="24"/>
        </w:rPr>
        <w:t>1 per cent;</w:t>
      </w:r>
    </w:p>
    <w:p w14:paraId="67E3B397"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Water and Sanitation – 93.2 per cent;</w:t>
      </w:r>
    </w:p>
    <w:p w14:paraId="256DA19E"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International Relations and Cooperation – 93.6 per cent;</w:t>
      </w:r>
    </w:p>
    <w:p w14:paraId="79DDE43D"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Public Enterprises – 93.9 per cent;</w:t>
      </w:r>
    </w:p>
    <w:p w14:paraId="508A010E"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Telecommunications and Postal Services – 94.5 per cent;</w:t>
      </w:r>
    </w:p>
    <w:p w14:paraId="59574A87"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Arts and Culture – 94.7 per cent;</w:t>
      </w:r>
    </w:p>
    <w:p w14:paraId="04D31216"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Civilian Secretariat for Police – 94.9 per cent;</w:t>
      </w:r>
    </w:p>
    <w:p w14:paraId="30697ED4"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Rural Development and Land Reform – 95.5 per cent;</w:t>
      </w:r>
    </w:p>
    <w:p w14:paraId="5A3364A1"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The Presidency – 96.1 per cent;</w:t>
      </w:r>
    </w:p>
    <w:p w14:paraId="00A8579F"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Planning. Monitoring and Evaluation – 96.5 per cent;</w:t>
      </w:r>
    </w:p>
    <w:p w14:paraId="55362E26"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Military Veterans – 96.7 per cent; and</w:t>
      </w:r>
    </w:p>
    <w:p w14:paraId="1A955B46" w14:textId="77777777" w:rsidR="00A176F6" w:rsidRPr="00B367C8" w:rsidRDefault="00A176F6" w:rsidP="00A176F6">
      <w:pPr>
        <w:pStyle w:val="ListParagraph"/>
        <w:numPr>
          <w:ilvl w:val="0"/>
          <w:numId w:val="21"/>
        </w:num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Office of the Chief Justice – 97.9 per cent. </w:t>
      </w:r>
    </w:p>
    <w:p w14:paraId="6EDB47D8" w14:textId="77777777"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PSC also made an analysis in terms of the percentage achievement of departmental performance versus SMS performance rewards. The table below provides an overview of five departments whose overall performance was low and have given SMS members performance rewards during the 2017/18 financial year. </w:t>
      </w:r>
    </w:p>
    <w:tbl>
      <w:tblPr>
        <w:tblStyle w:val="TableGrid"/>
        <w:tblW w:w="0" w:type="auto"/>
        <w:tblLook w:val="04A0" w:firstRow="1" w:lastRow="0" w:firstColumn="1" w:lastColumn="0" w:noHBand="0" w:noVBand="1"/>
      </w:tblPr>
      <w:tblGrid>
        <w:gridCol w:w="1807"/>
        <w:gridCol w:w="1807"/>
        <w:gridCol w:w="1808"/>
        <w:gridCol w:w="1808"/>
        <w:gridCol w:w="1808"/>
      </w:tblGrid>
      <w:tr w:rsidR="00B367C8" w:rsidRPr="00B367C8" w14:paraId="3094A67A" w14:textId="77777777" w:rsidTr="009A6B30">
        <w:tc>
          <w:tcPr>
            <w:tcW w:w="1807" w:type="dxa"/>
          </w:tcPr>
          <w:p w14:paraId="6D602B3E" w14:textId="77777777" w:rsidR="00A176F6" w:rsidRPr="00B367C8" w:rsidRDefault="00A176F6" w:rsidP="009A6B30">
            <w:pPr>
              <w:spacing w:before="100" w:beforeAutospacing="1" w:after="100" w:afterAutospacing="1"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Departments</w:t>
            </w:r>
          </w:p>
        </w:tc>
        <w:tc>
          <w:tcPr>
            <w:tcW w:w="1807" w:type="dxa"/>
          </w:tcPr>
          <w:p w14:paraId="1D67DA71" w14:textId="77777777" w:rsidR="00A176F6" w:rsidRPr="00B367C8" w:rsidRDefault="00A176F6" w:rsidP="009A6B30">
            <w:pPr>
              <w:spacing w:before="100" w:beforeAutospacing="1" w:after="100" w:afterAutospacing="1"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No of targets achieved vs planned targets</w:t>
            </w:r>
          </w:p>
        </w:tc>
        <w:tc>
          <w:tcPr>
            <w:tcW w:w="1808" w:type="dxa"/>
          </w:tcPr>
          <w:p w14:paraId="3433F0B3" w14:textId="77777777" w:rsidR="00A176F6" w:rsidRPr="00B367C8" w:rsidRDefault="00A176F6" w:rsidP="009A6B30">
            <w:pPr>
              <w:spacing w:before="100" w:beforeAutospacing="1" w:after="100" w:afterAutospacing="1"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Percentage achieved</w:t>
            </w:r>
          </w:p>
        </w:tc>
        <w:tc>
          <w:tcPr>
            <w:tcW w:w="1808" w:type="dxa"/>
          </w:tcPr>
          <w:p w14:paraId="47A5E017" w14:textId="77777777" w:rsidR="00A176F6" w:rsidRPr="00B367C8" w:rsidRDefault="00A176F6" w:rsidP="009A6B30">
            <w:pPr>
              <w:spacing w:before="100" w:beforeAutospacing="1" w:after="100" w:afterAutospacing="1"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No of SMS members who received performance rewards vs No of SMS</w:t>
            </w:r>
          </w:p>
        </w:tc>
        <w:tc>
          <w:tcPr>
            <w:tcW w:w="1808" w:type="dxa"/>
          </w:tcPr>
          <w:p w14:paraId="41929CC2" w14:textId="77777777" w:rsidR="00A176F6" w:rsidRPr="00B367C8" w:rsidRDefault="00A176F6" w:rsidP="009A6B30">
            <w:pPr>
              <w:spacing w:before="100" w:beforeAutospacing="1" w:after="100" w:afterAutospacing="1"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Percentage of performance rewards received by SMS members</w:t>
            </w:r>
          </w:p>
        </w:tc>
      </w:tr>
      <w:tr w:rsidR="00B367C8" w:rsidRPr="00B367C8" w14:paraId="327E9559" w14:textId="77777777" w:rsidTr="009A6B30">
        <w:tc>
          <w:tcPr>
            <w:tcW w:w="1807" w:type="dxa"/>
          </w:tcPr>
          <w:p w14:paraId="51C374A7" w14:textId="77777777" w:rsidR="00A176F6" w:rsidRPr="00B367C8" w:rsidRDefault="00A176F6" w:rsidP="009A6B30">
            <w:pPr>
              <w:spacing w:before="100" w:beforeAutospacing="1" w:after="100" w:afterAutospacing="1" w:line="360" w:lineRule="auto"/>
              <w:jc w:val="both"/>
              <w:rPr>
                <w:rFonts w:ascii="Times New Roman" w:hAnsi="Times New Roman" w:cs="Times New Roman"/>
                <w:sz w:val="20"/>
                <w:szCs w:val="20"/>
              </w:rPr>
            </w:pPr>
            <w:r w:rsidRPr="00B367C8">
              <w:rPr>
                <w:rFonts w:ascii="Times New Roman" w:hAnsi="Times New Roman" w:cs="Times New Roman"/>
                <w:sz w:val="20"/>
                <w:szCs w:val="20"/>
              </w:rPr>
              <w:t>Water and Sanitation</w:t>
            </w:r>
          </w:p>
        </w:tc>
        <w:tc>
          <w:tcPr>
            <w:tcW w:w="1807" w:type="dxa"/>
          </w:tcPr>
          <w:p w14:paraId="525F1ECE"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18 /44</w:t>
            </w:r>
          </w:p>
        </w:tc>
        <w:tc>
          <w:tcPr>
            <w:tcW w:w="1808" w:type="dxa"/>
          </w:tcPr>
          <w:p w14:paraId="262DB382"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40.9%</w:t>
            </w:r>
          </w:p>
        </w:tc>
        <w:tc>
          <w:tcPr>
            <w:tcW w:w="1808" w:type="dxa"/>
          </w:tcPr>
          <w:p w14:paraId="424C4091"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52 / 286</w:t>
            </w:r>
          </w:p>
        </w:tc>
        <w:tc>
          <w:tcPr>
            <w:tcW w:w="1808" w:type="dxa"/>
          </w:tcPr>
          <w:p w14:paraId="0255D950"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18.1%</w:t>
            </w:r>
          </w:p>
        </w:tc>
      </w:tr>
      <w:tr w:rsidR="00B367C8" w:rsidRPr="00B367C8" w14:paraId="245FB978" w14:textId="77777777" w:rsidTr="009A6B30">
        <w:tc>
          <w:tcPr>
            <w:tcW w:w="1807" w:type="dxa"/>
          </w:tcPr>
          <w:p w14:paraId="3D345585" w14:textId="77777777" w:rsidR="00A176F6" w:rsidRPr="00B367C8" w:rsidRDefault="00A176F6" w:rsidP="009A6B30">
            <w:pPr>
              <w:spacing w:before="100" w:beforeAutospacing="1" w:after="100" w:afterAutospacing="1" w:line="360" w:lineRule="auto"/>
              <w:jc w:val="both"/>
              <w:rPr>
                <w:rFonts w:ascii="Times New Roman" w:hAnsi="Times New Roman" w:cs="Times New Roman"/>
                <w:sz w:val="20"/>
                <w:szCs w:val="20"/>
              </w:rPr>
            </w:pPr>
            <w:r w:rsidRPr="00B367C8">
              <w:rPr>
                <w:rFonts w:ascii="Times New Roman" w:hAnsi="Times New Roman" w:cs="Times New Roman"/>
                <w:sz w:val="20"/>
                <w:szCs w:val="20"/>
              </w:rPr>
              <w:t>The Presidency</w:t>
            </w:r>
          </w:p>
        </w:tc>
        <w:tc>
          <w:tcPr>
            <w:tcW w:w="1807" w:type="dxa"/>
          </w:tcPr>
          <w:p w14:paraId="1BC1A629"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16 / 29</w:t>
            </w:r>
          </w:p>
        </w:tc>
        <w:tc>
          <w:tcPr>
            <w:tcW w:w="1808" w:type="dxa"/>
          </w:tcPr>
          <w:p w14:paraId="6F103A60"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55.1%</w:t>
            </w:r>
          </w:p>
        </w:tc>
        <w:tc>
          <w:tcPr>
            <w:tcW w:w="1808" w:type="dxa"/>
          </w:tcPr>
          <w:p w14:paraId="5C9C59A7"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9 /63</w:t>
            </w:r>
          </w:p>
        </w:tc>
        <w:tc>
          <w:tcPr>
            <w:tcW w:w="1808" w:type="dxa"/>
          </w:tcPr>
          <w:p w14:paraId="75284158"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14.2%</w:t>
            </w:r>
          </w:p>
        </w:tc>
      </w:tr>
      <w:tr w:rsidR="00B367C8" w:rsidRPr="00B367C8" w14:paraId="456C68EC" w14:textId="77777777" w:rsidTr="009A6B30">
        <w:tc>
          <w:tcPr>
            <w:tcW w:w="1807" w:type="dxa"/>
          </w:tcPr>
          <w:p w14:paraId="075AE4AC" w14:textId="77777777" w:rsidR="00A176F6" w:rsidRPr="00B367C8" w:rsidRDefault="00A176F6" w:rsidP="009A6B30">
            <w:pPr>
              <w:spacing w:before="100" w:beforeAutospacing="1" w:after="100" w:afterAutospacing="1" w:line="360" w:lineRule="auto"/>
              <w:jc w:val="both"/>
              <w:rPr>
                <w:rFonts w:ascii="Times New Roman" w:hAnsi="Times New Roman" w:cs="Times New Roman"/>
                <w:sz w:val="20"/>
                <w:szCs w:val="20"/>
              </w:rPr>
            </w:pPr>
            <w:r w:rsidRPr="00B367C8">
              <w:rPr>
                <w:rFonts w:ascii="Times New Roman" w:hAnsi="Times New Roman" w:cs="Times New Roman"/>
                <w:sz w:val="20"/>
                <w:szCs w:val="20"/>
              </w:rPr>
              <w:t>Public Works</w:t>
            </w:r>
          </w:p>
        </w:tc>
        <w:tc>
          <w:tcPr>
            <w:tcW w:w="1807" w:type="dxa"/>
          </w:tcPr>
          <w:p w14:paraId="4503572D"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17 / 31</w:t>
            </w:r>
          </w:p>
        </w:tc>
        <w:tc>
          <w:tcPr>
            <w:tcW w:w="1808" w:type="dxa"/>
          </w:tcPr>
          <w:p w14:paraId="2C343822"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55%</w:t>
            </w:r>
          </w:p>
        </w:tc>
        <w:tc>
          <w:tcPr>
            <w:tcW w:w="1808" w:type="dxa"/>
          </w:tcPr>
          <w:p w14:paraId="6A5A4192"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30 / 112</w:t>
            </w:r>
          </w:p>
        </w:tc>
        <w:tc>
          <w:tcPr>
            <w:tcW w:w="1808" w:type="dxa"/>
          </w:tcPr>
          <w:p w14:paraId="23927A59"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26.7%</w:t>
            </w:r>
          </w:p>
        </w:tc>
      </w:tr>
      <w:tr w:rsidR="00B367C8" w:rsidRPr="00B367C8" w14:paraId="47C04A3B" w14:textId="77777777" w:rsidTr="009A6B30">
        <w:tc>
          <w:tcPr>
            <w:tcW w:w="1807" w:type="dxa"/>
          </w:tcPr>
          <w:p w14:paraId="6B01EF3D" w14:textId="77777777" w:rsidR="00A176F6" w:rsidRPr="00B367C8" w:rsidRDefault="00A176F6" w:rsidP="009A6B30">
            <w:pPr>
              <w:spacing w:before="100" w:beforeAutospacing="1" w:after="100" w:afterAutospacing="1" w:line="360" w:lineRule="auto"/>
              <w:jc w:val="both"/>
              <w:rPr>
                <w:rFonts w:ascii="Times New Roman" w:hAnsi="Times New Roman" w:cs="Times New Roman"/>
                <w:sz w:val="20"/>
                <w:szCs w:val="20"/>
              </w:rPr>
            </w:pPr>
            <w:r w:rsidRPr="00B367C8">
              <w:rPr>
                <w:rFonts w:ascii="Times New Roman" w:hAnsi="Times New Roman" w:cs="Times New Roman"/>
                <w:sz w:val="20"/>
                <w:szCs w:val="20"/>
              </w:rPr>
              <w:t>Human Settlements</w:t>
            </w:r>
          </w:p>
        </w:tc>
        <w:tc>
          <w:tcPr>
            <w:tcW w:w="1807" w:type="dxa"/>
          </w:tcPr>
          <w:p w14:paraId="4443D844"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39 / 68</w:t>
            </w:r>
          </w:p>
        </w:tc>
        <w:tc>
          <w:tcPr>
            <w:tcW w:w="1808" w:type="dxa"/>
          </w:tcPr>
          <w:p w14:paraId="79CC9220"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57.1%</w:t>
            </w:r>
          </w:p>
        </w:tc>
        <w:tc>
          <w:tcPr>
            <w:tcW w:w="1808" w:type="dxa"/>
          </w:tcPr>
          <w:p w14:paraId="380EC545"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29 /98</w:t>
            </w:r>
          </w:p>
        </w:tc>
        <w:tc>
          <w:tcPr>
            <w:tcW w:w="1808" w:type="dxa"/>
          </w:tcPr>
          <w:p w14:paraId="29B2B46C"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29.5%</w:t>
            </w:r>
          </w:p>
        </w:tc>
      </w:tr>
      <w:tr w:rsidR="00A176F6" w:rsidRPr="00B367C8" w14:paraId="446B1747" w14:textId="77777777" w:rsidTr="009A6B30">
        <w:tc>
          <w:tcPr>
            <w:tcW w:w="1807" w:type="dxa"/>
          </w:tcPr>
          <w:p w14:paraId="36EC9FB6" w14:textId="77777777" w:rsidR="00A176F6" w:rsidRPr="00B367C8" w:rsidRDefault="00A176F6" w:rsidP="009A6B30">
            <w:pPr>
              <w:spacing w:before="100" w:beforeAutospacing="1" w:after="100" w:afterAutospacing="1" w:line="360" w:lineRule="auto"/>
              <w:jc w:val="both"/>
              <w:rPr>
                <w:rFonts w:ascii="Times New Roman" w:hAnsi="Times New Roman" w:cs="Times New Roman"/>
                <w:sz w:val="20"/>
                <w:szCs w:val="20"/>
              </w:rPr>
            </w:pPr>
            <w:r w:rsidRPr="00B367C8">
              <w:rPr>
                <w:rFonts w:ascii="Times New Roman" w:hAnsi="Times New Roman" w:cs="Times New Roman"/>
                <w:sz w:val="20"/>
                <w:szCs w:val="20"/>
              </w:rPr>
              <w:t>Rural Development and land Reform</w:t>
            </w:r>
          </w:p>
        </w:tc>
        <w:tc>
          <w:tcPr>
            <w:tcW w:w="1807" w:type="dxa"/>
          </w:tcPr>
          <w:p w14:paraId="2EB7E0A3"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16 / 28</w:t>
            </w:r>
          </w:p>
        </w:tc>
        <w:tc>
          <w:tcPr>
            <w:tcW w:w="1808" w:type="dxa"/>
          </w:tcPr>
          <w:p w14:paraId="5F3186AF"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57.1%</w:t>
            </w:r>
          </w:p>
        </w:tc>
        <w:tc>
          <w:tcPr>
            <w:tcW w:w="1808" w:type="dxa"/>
          </w:tcPr>
          <w:p w14:paraId="0A08CDA1"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64 / 286</w:t>
            </w:r>
          </w:p>
        </w:tc>
        <w:tc>
          <w:tcPr>
            <w:tcW w:w="1808" w:type="dxa"/>
          </w:tcPr>
          <w:p w14:paraId="0EC55C1A" w14:textId="77777777" w:rsidR="00A176F6" w:rsidRPr="00B367C8" w:rsidRDefault="00A176F6" w:rsidP="009A6B30">
            <w:pPr>
              <w:spacing w:before="100" w:beforeAutospacing="1" w:after="100" w:afterAutospacing="1" w:line="360" w:lineRule="auto"/>
              <w:jc w:val="right"/>
              <w:rPr>
                <w:rFonts w:ascii="Times New Roman" w:hAnsi="Times New Roman" w:cs="Times New Roman"/>
                <w:sz w:val="20"/>
                <w:szCs w:val="20"/>
              </w:rPr>
            </w:pPr>
            <w:r w:rsidRPr="00B367C8">
              <w:rPr>
                <w:rFonts w:ascii="Times New Roman" w:hAnsi="Times New Roman" w:cs="Times New Roman"/>
                <w:sz w:val="20"/>
                <w:szCs w:val="20"/>
              </w:rPr>
              <w:t>22.3%</w:t>
            </w:r>
          </w:p>
        </w:tc>
      </w:tr>
    </w:tbl>
    <w:p w14:paraId="5B68E3B8" w14:textId="77777777" w:rsidR="00A176F6" w:rsidRPr="00BB4C47" w:rsidRDefault="00BB4C47" w:rsidP="00A176F6">
      <w:pPr>
        <w:spacing w:after="0" w:line="360" w:lineRule="auto"/>
        <w:jc w:val="both"/>
        <w:rPr>
          <w:rFonts w:ascii="Times New Roman" w:hAnsi="Times New Roman" w:cs="Times New Roman"/>
          <w:i/>
          <w:sz w:val="18"/>
          <w:szCs w:val="18"/>
        </w:rPr>
      </w:pPr>
      <w:r w:rsidRPr="00BB4C47">
        <w:rPr>
          <w:rFonts w:ascii="Times New Roman" w:hAnsi="Times New Roman" w:cs="Times New Roman"/>
          <w:i/>
          <w:sz w:val="18"/>
          <w:szCs w:val="18"/>
        </w:rPr>
        <w:t>Source: Public Service Commission 2018</w:t>
      </w:r>
    </w:p>
    <w:p w14:paraId="61F4FD62" w14:textId="77777777" w:rsidR="00A176F6" w:rsidRPr="00B367C8" w:rsidRDefault="00A176F6" w:rsidP="00A176F6">
      <w:pPr>
        <w:spacing w:after="0" w:line="360" w:lineRule="auto"/>
        <w:jc w:val="both"/>
        <w:rPr>
          <w:rFonts w:ascii="Times New Roman" w:hAnsi="Times New Roman" w:cs="Times New Roman"/>
          <w:sz w:val="24"/>
          <w:szCs w:val="24"/>
        </w:rPr>
      </w:pPr>
    </w:p>
    <w:p w14:paraId="0EA975E4" w14:textId="77777777" w:rsidR="00A176F6" w:rsidRPr="00B367C8" w:rsidRDefault="00A176F6" w:rsidP="00A176F6">
      <w:pPr>
        <w:pStyle w:val="ListParagraph"/>
        <w:numPr>
          <w:ilvl w:val="0"/>
          <w:numId w:val="8"/>
        </w:numPr>
        <w:spacing w:before="100" w:beforeAutospacing="1" w:after="100" w:afterAutospacing="1" w:line="360" w:lineRule="auto"/>
        <w:ind w:left="284" w:hanging="284"/>
        <w:jc w:val="both"/>
        <w:rPr>
          <w:rFonts w:ascii="Times New Roman" w:hAnsi="Times New Roman" w:cs="Times New Roman"/>
          <w:b/>
          <w:sz w:val="24"/>
          <w:szCs w:val="24"/>
        </w:rPr>
      </w:pPr>
      <w:r w:rsidRPr="00B367C8">
        <w:rPr>
          <w:rFonts w:ascii="Times New Roman" w:hAnsi="Times New Roman" w:cs="Times New Roman"/>
          <w:b/>
          <w:sz w:val="24"/>
          <w:szCs w:val="24"/>
        </w:rPr>
        <w:lastRenderedPageBreak/>
        <w:t>Opportunities for efficiency, effectiveness and value for money</w:t>
      </w:r>
    </w:p>
    <w:p w14:paraId="161C64C7" w14:textId="77777777" w:rsidR="00A176F6" w:rsidRPr="00B367C8" w:rsidRDefault="00A176F6" w:rsidP="00A176F6">
      <w:pPr>
        <w:spacing w:after="0" w:line="360" w:lineRule="auto"/>
        <w:jc w:val="both"/>
        <w:rPr>
          <w:rFonts w:ascii="Times New Roman" w:hAnsi="Times New Roman" w:cs="Times New Roman"/>
          <w:sz w:val="24"/>
          <w:szCs w:val="24"/>
        </w:rPr>
      </w:pPr>
      <w:r w:rsidRPr="00B367C8">
        <w:rPr>
          <w:rFonts w:ascii="Times New Roman" w:hAnsi="Times New Roman" w:cs="Times New Roman"/>
          <w:sz w:val="24"/>
          <w:szCs w:val="24"/>
        </w:rPr>
        <w:t>With regard to opportunities for efficiency, effectiveness and value for money, the PSC assessed the costs incurred by departments for the use of consultants. The table below reflects departments with an increased number and costs in the use of consultants for the 2016/17 and 2017/18 financial years.</w:t>
      </w:r>
    </w:p>
    <w:p w14:paraId="5A52DB91" w14:textId="77777777" w:rsidR="00A176F6" w:rsidRPr="00B367C8" w:rsidRDefault="00A176F6" w:rsidP="00A176F6">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1530"/>
        <w:gridCol w:w="1647"/>
        <w:gridCol w:w="1808"/>
        <w:gridCol w:w="1808"/>
      </w:tblGrid>
      <w:tr w:rsidR="00B367C8" w:rsidRPr="00B367C8" w14:paraId="26788224" w14:textId="77777777" w:rsidTr="009A6B30">
        <w:tc>
          <w:tcPr>
            <w:tcW w:w="2245" w:type="dxa"/>
            <w:vMerge w:val="restart"/>
          </w:tcPr>
          <w:p w14:paraId="37BE2923" w14:textId="77777777" w:rsidR="00A176F6" w:rsidRPr="00B367C8" w:rsidRDefault="00A176F6" w:rsidP="009A6B30">
            <w:pPr>
              <w:spacing w:line="360" w:lineRule="auto"/>
              <w:jc w:val="both"/>
              <w:rPr>
                <w:rFonts w:ascii="Times New Roman" w:hAnsi="Times New Roman" w:cs="Times New Roman"/>
                <w:b/>
                <w:sz w:val="20"/>
                <w:szCs w:val="20"/>
              </w:rPr>
            </w:pPr>
          </w:p>
          <w:p w14:paraId="153CE6EE" w14:textId="77777777" w:rsidR="00A176F6" w:rsidRPr="00B367C8" w:rsidRDefault="00A176F6" w:rsidP="009A6B30">
            <w:pPr>
              <w:spacing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Department</w:t>
            </w:r>
          </w:p>
        </w:tc>
        <w:tc>
          <w:tcPr>
            <w:tcW w:w="3177" w:type="dxa"/>
            <w:gridSpan w:val="2"/>
          </w:tcPr>
          <w:p w14:paraId="5C73E950" w14:textId="77777777" w:rsidR="00A176F6" w:rsidRPr="00B367C8" w:rsidRDefault="00A176F6" w:rsidP="009A6B30">
            <w:pPr>
              <w:spacing w:line="360" w:lineRule="auto"/>
              <w:jc w:val="center"/>
              <w:rPr>
                <w:rFonts w:ascii="Times New Roman" w:hAnsi="Times New Roman" w:cs="Times New Roman"/>
                <w:b/>
                <w:sz w:val="20"/>
                <w:szCs w:val="20"/>
              </w:rPr>
            </w:pPr>
            <w:r w:rsidRPr="00B367C8">
              <w:rPr>
                <w:rFonts w:ascii="Times New Roman" w:hAnsi="Times New Roman" w:cs="Times New Roman"/>
                <w:b/>
                <w:sz w:val="20"/>
                <w:szCs w:val="20"/>
              </w:rPr>
              <w:t>2016/17</w:t>
            </w:r>
          </w:p>
        </w:tc>
        <w:tc>
          <w:tcPr>
            <w:tcW w:w="3616" w:type="dxa"/>
            <w:gridSpan w:val="2"/>
          </w:tcPr>
          <w:p w14:paraId="65CA8C62" w14:textId="77777777" w:rsidR="00A176F6" w:rsidRPr="00B367C8" w:rsidRDefault="00A176F6" w:rsidP="009A6B30">
            <w:pPr>
              <w:spacing w:line="360" w:lineRule="auto"/>
              <w:jc w:val="center"/>
              <w:rPr>
                <w:rFonts w:ascii="Times New Roman" w:hAnsi="Times New Roman" w:cs="Times New Roman"/>
                <w:b/>
                <w:sz w:val="20"/>
                <w:szCs w:val="20"/>
              </w:rPr>
            </w:pPr>
            <w:r w:rsidRPr="00B367C8">
              <w:rPr>
                <w:rFonts w:ascii="Times New Roman" w:hAnsi="Times New Roman" w:cs="Times New Roman"/>
                <w:b/>
                <w:sz w:val="20"/>
                <w:szCs w:val="20"/>
              </w:rPr>
              <w:t>2017/18</w:t>
            </w:r>
          </w:p>
        </w:tc>
      </w:tr>
      <w:tr w:rsidR="00B367C8" w:rsidRPr="00B367C8" w14:paraId="23C6FB2E" w14:textId="77777777" w:rsidTr="009A6B30">
        <w:tc>
          <w:tcPr>
            <w:tcW w:w="2245" w:type="dxa"/>
            <w:vMerge/>
          </w:tcPr>
          <w:p w14:paraId="78256030" w14:textId="77777777" w:rsidR="00A176F6" w:rsidRPr="00B367C8" w:rsidRDefault="00A176F6" w:rsidP="009A6B30">
            <w:pPr>
              <w:spacing w:line="360" w:lineRule="auto"/>
              <w:jc w:val="both"/>
              <w:rPr>
                <w:rFonts w:ascii="Times New Roman" w:hAnsi="Times New Roman" w:cs="Times New Roman"/>
                <w:b/>
                <w:sz w:val="20"/>
                <w:szCs w:val="20"/>
              </w:rPr>
            </w:pPr>
          </w:p>
        </w:tc>
        <w:tc>
          <w:tcPr>
            <w:tcW w:w="1530" w:type="dxa"/>
          </w:tcPr>
          <w:p w14:paraId="4CE80BB8" w14:textId="77777777" w:rsidR="00A176F6" w:rsidRPr="00B367C8" w:rsidRDefault="00A176F6" w:rsidP="009A6B30">
            <w:pPr>
              <w:spacing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 xml:space="preserve">Number of consultants </w:t>
            </w:r>
          </w:p>
        </w:tc>
        <w:tc>
          <w:tcPr>
            <w:tcW w:w="1647" w:type="dxa"/>
          </w:tcPr>
          <w:p w14:paraId="7D167C77" w14:textId="77777777" w:rsidR="00A176F6" w:rsidRPr="00B367C8" w:rsidRDefault="00A176F6" w:rsidP="009A6B30">
            <w:pPr>
              <w:spacing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Consulting costs</w:t>
            </w:r>
          </w:p>
        </w:tc>
        <w:tc>
          <w:tcPr>
            <w:tcW w:w="1808" w:type="dxa"/>
          </w:tcPr>
          <w:p w14:paraId="62B1CD46" w14:textId="77777777" w:rsidR="00A176F6" w:rsidRPr="00B367C8" w:rsidRDefault="00A176F6" w:rsidP="009A6B30">
            <w:pPr>
              <w:spacing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Number of consultants</w:t>
            </w:r>
          </w:p>
        </w:tc>
        <w:tc>
          <w:tcPr>
            <w:tcW w:w="1808" w:type="dxa"/>
          </w:tcPr>
          <w:p w14:paraId="5A1CF3EF" w14:textId="77777777" w:rsidR="00A176F6" w:rsidRPr="00B367C8" w:rsidRDefault="00A176F6" w:rsidP="009A6B30">
            <w:pPr>
              <w:spacing w:line="360" w:lineRule="auto"/>
              <w:jc w:val="both"/>
              <w:rPr>
                <w:rFonts w:ascii="Times New Roman" w:hAnsi="Times New Roman" w:cs="Times New Roman"/>
                <w:b/>
                <w:sz w:val="20"/>
                <w:szCs w:val="20"/>
              </w:rPr>
            </w:pPr>
            <w:r w:rsidRPr="00B367C8">
              <w:rPr>
                <w:rFonts w:ascii="Times New Roman" w:hAnsi="Times New Roman" w:cs="Times New Roman"/>
                <w:b/>
                <w:sz w:val="20"/>
                <w:szCs w:val="20"/>
              </w:rPr>
              <w:t>Consulting costs</w:t>
            </w:r>
          </w:p>
        </w:tc>
      </w:tr>
      <w:tr w:rsidR="00B367C8" w:rsidRPr="00B367C8" w14:paraId="63381576" w14:textId="77777777" w:rsidTr="009A6B30">
        <w:tc>
          <w:tcPr>
            <w:tcW w:w="2245" w:type="dxa"/>
          </w:tcPr>
          <w:p w14:paraId="239EE802"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Higher Education and Training</w:t>
            </w:r>
          </w:p>
        </w:tc>
        <w:tc>
          <w:tcPr>
            <w:tcW w:w="1530" w:type="dxa"/>
          </w:tcPr>
          <w:p w14:paraId="22375577"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1</w:t>
            </w:r>
          </w:p>
        </w:tc>
        <w:tc>
          <w:tcPr>
            <w:tcW w:w="1647" w:type="dxa"/>
          </w:tcPr>
          <w:p w14:paraId="3FD68DAC"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R445 299.00</w:t>
            </w:r>
          </w:p>
        </w:tc>
        <w:tc>
          <w:tcPr>
            <w:tcW w:w="1808" w:type="dxa"/>
          </w:tcPr>
          <w:p w14:paraId="2505D85A"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71</w:t>
            </w:r>
          </w:p>
        </w:tc>
        <w:tc>
          <w:tcPr>
            <w:tcW w:w="1808" w:type="dxa"/>
          </w:tcPr>
          <w:p w14:paraId="6C49B881"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R26 350 443.01</w:t>
            </w:r>
          </w:p>
        </w:tc>
      </w:tr>
      <w:tr w:rsidR="00B367C8" w:rsidRPr="00B367C8" w14:paraId="7918D88B" w14:textId="77777777" w:rsidTr="009A6B30">
        <w:tc>
          <w:tcPr>
            <w:tcW w:w="2245" w:type="dxa"/>
          </w:tcPr>
          <w:p w14:paraId="799C3F95"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Human Settlements</w:t>
            </w:r>
          </w:p>
        </w:tc>
        <w:tc>
          <w:tcPr>
            <w:tcW w:w="1530" w:type="dxa"/>
          </w:tcPr>
          <w:p w14:paraId="7A4030A9"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32</w:t>
            </w:r>
          </w:p>
        </w:tc>
        <w:tc>
          <w:tcPr>
            <w:tcW w:w="1647" w:type="dxa"/>
          </w:tcPr>
          <w:p w14:paraId="0B97B537"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R57 993 171.00</w:t>
            </w:r>
          </w:p>
        </w:tc>
        <w:tc>
          <w:tcPr>
            <w:tcW w:w="1808" w:type="dxa"/>
          </w:tcPr>
          <w:p w14:paraId="560FAF29"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68</w:t>
            </w:r>
          </w:p>
        </w:tc>
        <w:tc>
          <w:tcPr>
            <w:tcW w:w="1808" w:type="dxa"/>
          </w:tcPr>
          <w:p w14:paraId="32BF89DE"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R83 364 624.94</w:t>
            </w:r>
          </w:p>
        </w:tc>
      </w:tr>
      <w:tr w:rsidR="00B367C8" w:rsidRPr="00B367C8" w14:paraId="523238E7" w14:textId="77777777" w:rsidTr="009A6B30">
        <w:tc>
          <w:tcPr>
            <w:tcW w:w="2245" w:type="dxa"/>
          </w:tcPr>
          <w:p w14:paraId="493856F7"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Labour</w:t>
            </w:r>
          </w:p>
        </w:tc>
        <w:tc>
          <w:tcPr>
            <w:tcW w:w="1530" w:type="dxa"/>
          </w:tcPr>
          <w:p w14:paraId="116D0EFC"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24</w:t>
            </w:r>
          </w:p>
        </w:tc>
        <w:tc>
          <w:tcPr>
            <w:tcW w:w="1647" w:type="dxa"/>
          </w:tcPr>
          <w:p w14:paraId="1FE49771"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R3 509 253.48</w:t>
            </w:r>
          </w:p>
        </w:tc>
        <w:tc>
          <w:tcPr>
            <w:tcW w:w="1808" w:type="dxa"/>
          </w:tcPr>
          <w:p w14:paraId="1F927EE1"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31</w:t>
            </w:r>
          </w:p>
        </w:tc>
        <w:tc>
          <w:tcPr>
            <w:tcW w:w="1808" w:type="dxa"/>
          </w:tcPr>
          <w:p w14:paraId="521A3363"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R72 735 000.00</w:t>
            </w:r>
          </w:p>
        </w:tc>
      </w:tr>
      <w:tr w:rsidR="00B367C8" w:rsidRPr="00B367C8" w14:paraId="081F80C9" w14:textId="77777777" w:rsidTr="009A6B30">
        <w:tc>
          <w:tcPr>
            <w:tcW w:w="2245" w:type="dxa"/>
          </w:tcPr>
          <w:p w14:paraId="6BBDCAE2"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Rural Development and Land Reform</w:t>
            </w:r>
          </w:p>
        </w:tc>
        <w:tc>
          <w:tcPr>
            <w:tcW w:w="1530" w:type="dxa"/>
          </w:tcPr>
          <w:p w14:paraId="6B1D3F8D"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Not provided</w:t>
            </w:r>
          </w:p>
        </w:tc>
        <w:tc>
          <w:tcPr>
            <w:tcW w:w="1647" w:type="dxa"/>
          </w:tcPr>
          <w:p w14:paraId="5C1C0360"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R441 123 000.00</w:t>
            </w:r>
          </w:p>
        </w:tc>
        <w:tc>
          <w:tcPr>
            <w:tcW w:w="1808" w:type="dxa"/>
          </w:tcPr>
          <w:p w14:paraId="39BA5D28"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Not provided</w:t>
            </w:r>
          </w:p>
        </w:tc>
        <w:tc>
          <w:tcPr>
            <w:tcW w:w="1808" w:type="dxa"/>
          </w:tcPr>
          <w:p w14:paraId="3D9494DC"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R736 500 000.00</w:t>
            </w:r>
          </w:p>
        </w:tc>
      </w:tr>
      <w:tr w:rsidR="00B367C8" w:rsidRPr="00B367C8" w14:paraId="3433ED0B" w14:textId="77777777" w:rsidTr="009A6B30">
        <w:tc>
          <w:tcPr>
            <w:tcW w:w="2245" w:type="dxa"/>
          </w:tcPr>
          <w:p w14:paraId="3B9C4FB9"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Social Development</w:t>
            </w:r>
          </w:p>
        </w:tc>
        <w:tc>
          <w:tcPr>
            <w:tcW w:w="1530" w:type="dxa"/>
          </w:tcPr>
          <w:p w14:paraId="76AB4897"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47</w:t>
            </w:r>
          </w:p>
        </w:tc>
        <w:tc>
          <w:tcPr>
            <w:tcW w:w="1647" w:type="dxa"/>
          </w:tcPr>
          <w:p w14:paraId="240CC7A3"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R2 806 987.60</w:t>
            </w:r>
          </w:p>
        </w:tc>
        <w:tc>
          <w:tcPr>
            <w:tcW w:w="1808" w:type="dxa"/>
          </w:tcPr>
          <w:p w14:paraId="19537895"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56</w:t>
            </w:r>
          </w:p>
        </w:tc>
        <w:tc>
          <w:tcPr>
            <w:tcW w:w="1808" w:type="dxa"/>
          </w:tcPr>
          <w:p w14:paraId="3245A0BB"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R4 820 219.43</w:t>
            </w:r>
          </w:p>
        </w:tc>
      </w:tr>
      <w:tr w:rsidR="00B367C8" w:rsidRPr="00B367C8" w14:paraId="7C523BF7" w14:textId="77777777" w:rsidTr="009A6B30">
        <w:tc>
          <w:tcPr>
            <w:tcW w:w="2245" w:type="dxa"/>
          </w:tcPr>
          <w:p w14:paraId="471980EF"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The Presidency</w:t>
            </w:r>
          </w:p>
        </w:tc>
        <w:tc>
          <w:tcPr>
            <w:tcW w:w="1530" w:type="dxa"/>
          </w:tcPr>
          <w:p w14:paraId="387424AB"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52</w:t>
            </w:r>
          </w:p>
        </w:tc>
        <w:tc>
          <w:tcPr>
            <w:tcW w:w="1647" w:type="dxa"/>
          </w:tcPr>
          <w:p w14:paraId="5AAF97C6"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R3 396 883.00</w:t>
            </w:r>
          </w:p>
        </w:tc>
        <w:tc>
          <w:tcPr>
            <w:tcW w:w="1808" w:type="dxa"/>
          </w:tcPr>
          <w:p w14:paraId="1D5E771A"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42</w:t>
            </w:r>
          </w:p>
        </w:tc>
        <w:tc>
          <w:tcPr>
            <w:tcW w:w="1808" w:type="dxa"/>
          </w:tcPr>
          <w:p w14:paraId="4C0BD0B3"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R4 471 135.00</w:t>
            </w:r>
          </w:p>
        </w:tc>
      </w:tr>
      <w:tr w:rsidR="00B367C8" w:rsidRPr="00B367C8" w14:paraId="744016C0" w14:textId="77777777" w:rsidTr="009A6B30">
        <w:tc>
          <w:tcPr>
            <w:tcW w:w="2245" w:type="dxa"/>
          </w:tcPr>
          <w:p w14:paraId="79D363DE"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Tourism</w:t>
            </w:r>
          </w:p>
        </w:tc>
        <w:tc>
          <w:tcPr>
            <w:tcW w:w="1530" w:type="dxa"/>
          </w:tcPr>
          <w:p w14:paraId="3DAB46A4"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44</w:t>
            </w:r>
          </w:p>
        </w:tc>
        <w:tc>
          <w:tcPr>
            <w:tcW w:w="1647" w:type="dxa"/>
          </w:tcPr>
          <w:p w14:paraId="6EC1D951"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R123 894 801.04</w:t>
            </w:r>
          </w:p>
        </w:tc>
        <w:tc>
          <w:tcPr>
            <w:tcW w:w="1808" w:type="dxa"/>
          </w:tcPr>
          <w:p w14:paraId="1DBAED2B"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Not provided</w:t>
            </w:r>
          </w:p>
        </w:tc>
        <w:tc>
          <w:tcPr>
            <w:tcW w:w="1808" w:type="dxa"/>
          </w:tcPr>
          <w:p w14:paraId="27293E19"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R26 793 395.78</w:t>
            </w:r>
          </w:p>
        </w:tc>
      </w:tr>
      <w:tr w:rsidR="00B367C8" w:rsidRPr="00B367C8" w14:paraId="5E9CD3D3" w14:textId="77777777" w:rsidTr="009A6B30">
        <w:tc>
          <w:tcPr>
            <w:tcW w:w="2245" w:type="dxa"/>
          </w:tcPr>
          <w:p w14:paraId="59B5C380"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Trade and Industry</w:t>
            </w:r>
          </w:p>
        </w:tc>
        <w:tc>
          <w:tcPr>
            <w:tcW w:w="1530" w:type="dxa"/>
          </w:tcPr>
          <w:p w14:paraId="2D19FA2A"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140</w:t>
            </w:r>
          </w:p>
        </w:tc>
        <w:tc>
          <w:tcPr>
            <w:tcW w:w="1647" w:type="dxa"/>
          </w:tcPr>
          <w:p w14:paraId="589EEFFA"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R19 053 034.69</w:t>
            </w:r>
          </w:p>
        </w:tc>
        <w:tc>
          <w:tcPr>
            <w:tcW w:w="1808" w:type="dxa"/>
          </w:tcPr>
          <w:p w14:paraId="6469380A"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173</w:t>
            </w:r>
          </w:p>
        </w:tc>
        <w:tc>
          <w:tcPr>
            <w:tcW w:w="1808" w:type="dxa"/>
          </w:tcPr>
          <w:p w14:paraId="3397B8E4" w14:textId="3E63DF06" w:rsidR="00A176F6" w:rsidRPr="00B367C8" w:rsidRDefault="00CC2019" w:rsidP="00CC2019">
            <w:pPr>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A176F6" w:rsidRPr="00B367C8">
              <w:rPr>
                <w:rFonts w:ascii="Times New Roman" w:hAnsi="Times New Roman" w:cs="Times New Roman"/>
                <w:sz w:val="20"/>
                <w:szCs w:val="20"/>
              </w:rPr>
              <w:t>R40 059</w:t>
            </w:r>
            <w:r w:rsidR="005013E7">
              <w:rPr>
                <w:rFonts w:ascii="Times New Roman" w:hAnsi="Times New Roman" w:cs="Times New Roman"/>
                <w:sz w:val="20"/>
                <w:szCs w:val="20"/>
              </w:rPr>
              <w:t> 236.16</w:t>
            </w:r>
            <w:r w:rsidR="00A176F6" w:rsidRPr="00B367C8">
              <w:rPr>
                <w:rFonts w:ascii="Times New Roman" w:hAnsi="Times New Roman" w:cs="Times New Roman"/>
                <w:sz w:val="20"/>
                <w:szCs w:val="20"/>
              </w:rPr>
              <w:t xml:space="preserve"> </w:t>
            </w:r>
          </w:p>
        </w:tc>
      </w:tr>
      <w:tr w:rsidR="004337C1" w:rsidRPr="00B367C8" w14:paraId="09B5F2B9" w14:textId="77777777" w:rsidTr="009A6B30">
        <w:tc>
          <w:tcPr>
            <w:tcW w:w="2245" w:type="dxa"/>
          </w:tcPr>
          <w:p w14:paraId="41772D0E" w14:textId="77777777" w:rsidR="00A176F6" w:rsidRPr="00B367C8" w:rsidRDefault="00A176F6" w:rsidP="009A6B30">
            <w:pPr>
              <w:spacing w:line="360" w:lineRule="auto"/>
              <w:jc w:val="both"/>
              <w:rPr>
                <w:rFonts w:ascii="Times New Roman" w:hAnsi="Times New Roman" w:cs="Times New Roman"/>
                <w:sz w:val="20"/>
                <w:szCs w:val="20"/>
              </w:rPr>
            </w:pPr>
            <w:r w:rsidRPr="00B367C8">
              <w:rPr>
                <w:rFonts w:ascii="Times New Roman" w:hAnsi="Times New Roman" w:cs="Times New Roman"/>
                <w:sz w:val="20"/>
                <w:szCs w:val="20"/>
              </w:rPr>
              <w:t>Water and Sanitation</w:t>
            </w:r>
          </w:p>
        </w:tc>
        <w:tc>
          <w:tcPr>
            <w:tcW w:w="1530" w:type="dxa"/>
          </w:tcPr>
          <w:p w14:paraId="14083F0A"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375</w:t>
            </w:r>
          </w:p>
        </w:tc>
        <w:tc>
          <w:tcPr>
            <w:tcW w:w="1647" w:type="dxa"/>
          </w:tcPr>
          <w:p w14:paraId="1B672B04"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R114 498 292.62</w:t>
            </w:r>
          </w:p>
        </w:tc>
        <w:tc>
          <w:tcPr>
            <w:tcW w:w="1808" w:type="dxa"/>
          </w:tcPr>
          <w:p w14:paraId="5FE9FDC3"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386</w:t>
            </w:r>
          </w:p>
        </w:tc>
        <w:tc>
          <w:tcPr>
            <w:tcW w:w="1808" w:type="dxa"/>
          </w:tcPr>
          <w:p w14:paraId="2EB8FC5B" w14:textId="77777777" w:rsidR="00A176F6" w:rsidRPr="00B367C8" w:rsidRDefault="00A176F6" w:rsidP="009A6B30">
            <w:pPr>
              <w:spacing w:line="360" w:lineRule="auto"/>
              <w:jc w:val="right"/>
              <w:rPr>
                <w:rFonts w:ascii="Times New Roman" w:hAnsi="Times New Roman" w:cs="Times New Roman"/>
                <w:sz w:val="20"/>
                <w:szCs w:val="20"/>
              </w:rPr>
            </w:pPr>
            <w:r w:rsidRPr="00B367C8">
              <w:rPr>
                <w:rFonts w:ascii="Times New Roman" w:hAnsi="Times New Roman" w:cs="Times New Roman"/>
                <w:sz w:val="20"/>
                <w:szCs w:val="20"/>
              </w:rPr>
              <w:t>R143 936</w:t>
            </w:r>
          </w:p>
        </w:tc>
      </w:tr>
    </w:tbl>
    <w:p w14:paraId="242D5782" w14:textId="77777777" w:rsidR="004337C1" w:rsidRPr="00BB4C47" w:rsidRDefault="004337C1" w:rsidP="004337C1">
      <w:pPr>
        <w:spacing w:after="0" w:line="360" w:lineRule="auto"/>
        <w:jc w:val="both"/>
        <w:rPr>
          <w:rFonts w:ascii="Times New Roman" w:hAnsi="Times New Roman" w:cs="Times New Roman"/>
          <w:i/>
          <w:sz w:val="18"/>
          <w:szCs w:val="18"/>
        </w:rPr>
      </w:pPr>
      <w:r w:rsidRPr="00BB4C47">
        <w:rPr>
          <w:rFonts w:ascii="Times New Roman" w:hAnsi="Times New Roman" w:cs="Times New Roman"/>
          <w:i/>
          <w:sz w:val="18"/>
          <w:szCs w:val="18"/>
        </w:rPr>
        <w:t>Source: Public Service Commission 2018</w:t>
      </w:r>
    </w:p>
    <w:p w14:paraId="7A82E7D2" w14:textId="77777777" w:rsidR="00A176F6" w:rsidRPr="00B367C8" w:rsidRDefault="00A176F6" w:rsidP="00A176F6">
      <w:pPr>
        <w:spacing w:after="0" w:line="360" w:lineRule="auto"/>
        <w:jc w:val="both"/>
        <w:rPr>
          <w:rFonts w:ascii="Times New Roman" w:hAnsi="Times New Roman" w:cs="Times New Roman"/>
          <w:sz w:val="24"/>
          <w:szCs w:val="24"/>
        </w:rPr>
      </w:pPr>
    </w:p>
    <w:p w14:paraId="0B045C14" w14:textId="097804A8" w:rsidR="00A176F6" w:rsidRPr="00B367C8" w:rsidRDefault="00A176F6" w:rsidP="00A176F6">
      <w:pPr>
        <w:spacing w:after="0"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PSC submitted that the departments as outlined in the above table have key roles to play with regard to the Economic Stimulus </w:t>
      </w:r>
      <w:r w:rsidR="00D036E6">
        <w:rPr>
          <w:rFonts w:ascii="Times New Roman" w:hAnsi="Times New Roman" w:cs="Times New Roman"/>
          <w:sz w:val="24"/>
          <w:szCs w:val="24"/>
        </w:rPr>
        <w:t xml:space="preserve">and Recovery </w:t>
      </w:r>
      <w:r w:rsidRPr="00B367C8">
        <w:rPr>
          <w:rFonts w:ascii="Times New Roman" w:hAnsi="Times New Roman" w:cs="Times New Roman"/>
          <w:sz w:val="24"/>
          <w:szCs w:val="24"/>
        </w:rPr>
        <w:t xml:space="preserve">Plan and based on the above information it seemed that they did not have the requisite competence to ensure effective governance. Most of the consultants as per the above table were used for governance issues such </w:t>
      </w:r>
      <w:r w:rsidR="004337C1">
        <w:rPr>
          <w:rFonts w:ascii="Times New Roman" w:hAnsi="Times New Roman" w:cs="Times New Roman"/>
          <w:sz w:val="24"/>
          <w:szCs w:val="24"/>
        </w:rPr>
        <w:t xml:space="preserve">as </w:t>
      </w:r>
      <w:r w:rsidRPr="00B367C8">
        <w:rPr>
          <w:rFonts w:ascii="Times New Roman" w:hAnsi="Times New Roman" w:cs="Times New Roman"/>
          <w:sz w:val="24"/>
          <w:szCs w:val="24"/>
        </w:rPr>
        <w:t xml:space="preserve">project management and financial reviews. </w:t>
      </w:r>
    </w:p>
    <w:p w14:paraId="414D1740" w14:textId="77777777"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In terms of the cost cutting measures introduced by government, the PSC cautioned against using a blanket approach in particular as it related to service delivery departments such as education, social development and health. The PSC submitted that decision making pertaining to budget cuts needed to be informed by well researched processes. </w:t>
      </w:r>
    </w:p>
    <w:p w14:paraId="4581BDA1" w14:textId="77777777"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PSC recommended that a full audit be conducted in order to inform the decision making in terms of the reconfiguration of SOEs and reorganisation of departments with the option to merging entities into departments.  The PSC submitted that this would reduce operational </w:t>
      </w:r>
      <w:r w:rsidRPr="00B367C8">
        <w:rPr>
          <w:rFonts w:ascii="Times New Roman" w:hAnsi="Times New Roman" w:cs="Times New Roman"/>
          <w:sz w:val="24"/>
          <w:szCs w:val="24"/>
        </w:rPr>
        <w:lastRenderedPageBreak/>
        <w:t xml:space="preserve">costs and result in savings for government. The PSC further emphasised the need for effective oversight of SOEs by government. </w:t>
      </w:r>
    </w:p>
    <w:p w14:paraId="1D5498FD" w14:textId="6A3BD333" w:rsidR="00A176F6" w:rsidRPr="00B367C8" w:rsidRDefault="00A176F6" w:rsidP="00A176F6">
      <w:pPr>
        <w:spacing w:before="100" w:beforeAutospacing="1" w:after="100" w:afterAutospacing="1" w:line="360" w:lineRule="auto"/>
        <w:jc w:val="both"/>
        <w:rPr>
          <w:rFonts w:ascii="Times New Roman" w:hAnsi="Times New Roman" w:cs="Times New Roman"/>
          <w:sz w:val="24"/>
          <w:szCs w:val="24"/>
        </w:rPr>
      </w:pPr>
      <w:r w:rsidRPr="00B367C8">
        <w:rPr>
          <w:rFonts w:ascii="Times New Roman" w:hAnsi="Times New Roman" w:cs="Times New Roman"/>
          <w:sz w:val="24"/>
          <w:szCs w:val="24"/>
        </w:rPr>
        <w:t>In terms of the establishment o</w:t>
      </w:r>
      <w:r w:rsidR="00D036E6">
        <w:rPr>
          <w:rFonts w:ascii="Times New Roman" w:hAnsi="Times New Roman" w:cs="Times New Roman"/>
          <w:sz w:val="24"/>
          <w:szCs w:val="24"/>
        </w:rPr>
        <w:t>f Commissions of I</w:t>
      </w:r>
      <w:r w:rsidRPr="00B367C8">
        <w:rPr>
          <w:rFonts w:ascii="Times New Roman" w:hAnsi="Times New Roman" w:cs="Times New Roman"/>
          <w:sz w:val="24"/>
          <w:szCs w:val="24"/>
        </w:rPr>
        <w:t xml:space="preserve">nquiry, the PSC suggested that government should review the decisions for establishing various commissions where the mandates of these overlap or duplicate the mandates of state institutions supporting democracy. The PSC also submitted that there should be a balance between the utilisation of Public Private Partnerships (PPPs) to deliver on the mandate of the state and building a capable state. These PPPs needed to be based on service delivery models to ensure that the outcomes of government programmes could be sustained and maintained by the state. </w:t>
      </w:r>
    </w:p>
    <w:p w14:paraId="517DF109" w14:textId="77777777" w:rsidR="00A176F6" w:rsidRPr="00B367C8" w:rsidRDefault="00A176F6" w:rsidP="00A176F6">
      <w:pPr>
        <w:pStyle w:val="ListParagraph"/>
        <w:numPr>
          <w:ilvl w:val="0"/>
          <w:numId w:val="8"/>
        </w:numPr>
        <w:spacing w:before="100" w:beforeAutospacing="1" w:after="100" w:afterAutospacing="1" w:line="360" w:lineRule="auto"/>
        <w:ind w:left="284" w:hanging="284"/>
        <w:jc w:val="both"/>
        <w:rPr>
          <w:rFonts w:ascii="Times New Roman" w:hAnsi="Times New Roman" w:cs="Times New Roman"/>
          <w:b/>
          <w:sz w:val="24"/>
          <w:szCs w:val="24"/>
        </w:rPr>
      </w:pPr>
      <w:r w:rsidRPr="00B367C8">
        <w:rPr>
          <w:rFonts w:ascii="Times New Roman" w:hAnsi="Times New Roman" w:cs="Times New Roman"/>
          <w:b/>
          <w:sz w:val="24"/>
          <w:szCs w:val="24"/>
        </w:rPr>
        <w:t>Measures to ensure effective and efficient performance within the public service in the medium term</w:t>
      </w:r>
    </w:p>
    <w:p w14:paraId="6794B8EA" w14:textId="77777777" w:rsidR="00A176F6" w:rsidRPr="00B367C8" w:rsidRDefault="00A176F6" w:rsidP="00A176F6">
      <w:pPr>
        <w:spacing w:after="0" w:line="360" w:lineRule="auto"/>
        <w:jc w:val="both"/>
        <w:rPr>
          <w:rFonts w:ascii="Times New Roman" w:hAnsi="Times New Roman" w:cs="Times New Roman"/>
          <w:sz w:val="24"/>
          <w:szCs w:val="24"/>
        </w:rPr>
      </w:pPr>
      <w:r w:rsidRPr="00B367C8">
        <w:rPr>
          <w:rFonts w:ascii="Times New Roman" w:hAnsi="Times New Roman" w:cs="Times New Roman"/>
          <w:sz w:val="24"/>
          <w:szCs w:val="24"/>
        </w:rPr>
        <w:t>The PSC submitted that tough times required tougher decisions by the state and question</w:t>
      </w:r>
      <w:r w:rsidR="004337C1">
        <w:rPr>
          <w:rFonts w:ascii="Times New Roman" w:hAnsi="Times New Roman" w:cs="Times New Roman"/>
          <w:sz w:val="24"/>
          <w:szCs w:val="24"/>
        </w:rPr>
        <w:t>ed</w:t>
      </w:r>
      <w:r w:rsidRPr="00B367C8">
        <w:rPr>
          <w:rFonts w:ascii="Times New Roman" w:hAnsi="Times New Roman" w:cs="Times New Roman"/>
          <w:sz w:val="24"/>
          <w:szCs w:val="24"/>
        </w:rPr>
        <w:t xml:space="preserve"> whether it was not time for government to place underperforming national departments such as Water and Sanitation and Military Veterans under administration. It was of the view that this would result in the deployment of experts to ensure quick and effective resolution of matters. </w:t>
      </w:r>
    </w:p>
    <w:p w14:paraId="4F86D042" w14:textId="77777777" w:rsidR="00A176F6" w:rsidRPr="00B367C8" w:rsidRDefault="00A176F6" w:rsidP="00A176F6">
      <w:pPr>
        <w:spacing w:after="0" w:line="360" w:lineRule="auto"/>
        <w:jc w:val="both"/>
        <w:rPr>
          <w:rFonts w:ascii="Times New Roman" w:hAnsi="Times New Roman" w:cs="Times New Roman"/>
          <w:sz w:val="24"/>
          <w:szCs w:val="24"/>
        </w:rPr>
      </w:pPr>
    </w:p>
    <w:p w14:paraId="01F0595C" w14:textId="00B2CB84" w:rsidR="00A176F6" w:rsidRPr="00B367C8" w:rsidRDefault="00A176F6" w:rsidP="00A176F6">
      <w:pPr>
        <w:spacing w:after="0" w:line="360" w:lineRule="auto"/>
        <w:jc w:val="both"/>
        <w:rPr>
          <w:rFonts w:ascii="Times New Roman" w:hAnsi="Times New Roman" w:cs="Times New Roman"/>
          <w:sz w:val="24"/>
          <w:szCs w:val="24"/>
        </w:rPr>
      </w:pPr>
      <w:r w:rsidRPr="00B367C8">
        <w:rPr>
          <w:rFonts w:ascii="Times New Roman" w:hAnsi="Times New Roman" w:cs="Times New Roman"/>
          <w:sz w:val="24"/>
          <w:szCs w:val="24"/>
        </w:rPr>
        <w:t>The P</w:t>
      </w:r>
      <w:r w:rsidR="00D036E6">
        <w:rPr>
          <w:rFonts w:ascii="Times New Roman" w:hAnsi="Times New Roman" w:cs="Times New Roman"/>
          <w:sz w:val="24"/>
          <w:szCs w:val="24"/>
        </w:rPr>
        <w:t>SC also questioned whether bail</w:t>
      </w:r>
      <w:r w:rsidRPr="00B367C8">
        <w:rPr>
          <w:rFonts w:ascii="Times New Roman" w:hAnsi="Times New Roman" w:cs="Times New Roman"/>
          <w:sz w:val="24"/>
          <w:szCs w:val="24"/>
        </w:rPr>
        <w:t xml:space="preserve">outs of SOEs were a solution or an enabler and submitted that poor governance and corruption were a threat to the economic viability of the state and tarnished the image of government. To this end, the PSC recommended that the recruitment model and remuneration framework of SOEs be reviewed and that a hybrid approach similar to the one recommended in the NDP for HODs be followed. </w:t>
      </w:r>
    </w:p>
    <w:p w14:paraId="7CA0C8AE" w14:textId="77777777" w:rsidR="00A176F6" w:rsidRPr="00B367C8" w:rsidRDefault="00A176F6" w:rsidP="000850EB">
      <w:pPr>
        <w:autoSpaceDE w:val="0"/>
        <w:autoSpaceDN w:val="0"/>
        <w:adjustRightInd w:val="0"/>
        <w:spacing w:line="360" w:lineRule="auto"/>
        <w:jc w:val="both"/>
        <w:rPr>
          <w:rFonts w:ascii="Times New Roman" w:hAnsi="Times New Roman" w:cs="Times New Roman"/>
          <w:b/>
          <w:sz w:val="24"/>
          <w:szCs w:val="24"/>
        </w:rPr>
      </w:pPr>
    </w:p>
    <w:p w14:paraId="3F3FA623" w14:textId="77777777" w:rsidR="000850EB" w:rsidRPr="00B367C8" w:rsidRDefault="000850EB" w:rsidP="00DE7766">
      <w:pPr>
        <w:pStyle w:val="ListParagraph"/>
        <w:numPr>
          <w:ilvl w:val="1"/>
          <w:numId w:val="34"/>
        </w:numPr>
        <w:tabs>
          <w:tab w:val="left" w:pos="426"/>
        </w:tabs>
        <w:spacing w:line="360" w:lineRule="auto"/>
        <w:jc w:val="both"/>
        <w:rPr>
          <w:rFonts w:ascii="Times New Roman" w:hAnsi="Times New Roman" w:cs="Times New Roman"/>
          <w:b/>
          <w:sz w:val="24"/>
          <w:szCs w:val="24"/>
        </w:rPr>
      </w:pPr>
      <w:r w:rsidRPr="00B367C8">
        <w:rPr>
          <w:rFonts w:ascii="Times New Roman" w:hAnsi="Times New Roman" w:cs="Times New Roman"/>
          <w:b/>
          <w:sz w:val="24"/>
          <w:szCs w:val="24"/>
        </w:rPr>
        <w:t>Human Sciences Research Council</w:t>
      </w:r>
    </w:p>
    <w:p w14:paraId="07D55EEA" w14:textId="1039CFFE" w:rsidR="00C06B8C" w:rsidRPr="00B367C8" w:rsidRDefault="001E5BB5" w:rsidP="000850EB">
      <w:pPr>
        <w:spacing w:after="0" w:line="360" w:lineRule="auto"/>
        <w:jc w:val="both"/>
        <w:rPr>
          <w:rFonts w:ascii="Times New Roman" w:eastAsia="Calibri" w:hAnsi="Times New Roman" w:cs="Times New Roman"/>
          <w:sz w:val="24"/>
          <w:szCs w:val="24"/>
        </w:rPr>
      </w:pPr>
      <w:r w:rsidRPr="00B367C8">
        <w:rPr>
          <w:rFonts w:ascii="Times New Roman" w:eastAsia="Calibri" w:hAnsi="Times New Roman" w:cs="Times New Roman"/>
          <w:sz w:val="24"/>
          <w:szCs w:val="24"/>
        </w:rPr>
        <w:t>The Human Sciences Research Council (HSRC)</w:t>
      </w:r>
      <w:r w:rsidR="00D036E6">
        <w:rPr>
          <w:rFonts w:ascii="Times New Roman" w:eastAsia="Calibri" w:hAnsi="Times New Roman" w:cs="Times New Roman"/>
          <w:sz w:val="24"/>
          <w:szCs w:val="24"/>
        </w:rPr>
        <w:t xml:space="preserve"> gave an overview of the economic</w:t>
      </w:r>
      <w:r w:rsidRPr="00B367C8">
        <w:rPr>
          <w:rFonts w:ascii="Times New Roman" w:eastAsia="Calibri" w:hAnsi="Times New Roman" w:cs="Times New Roman"/>
          <w:sz w:val="24"/>
          <w:szCs w:val="24"/>
        </w:rPr>
        <w:t xml:space="preserve"> climate and cited the downward revision of growth forecasts, decline in tax revenue, and sectoral weaknesses in Agriculture, Mining and Manufacturing. </w:t>
      </w:r>
      <w:r w:rsidR="00D036E6">
        <w:rPr>
          <w:rFonts w:ascii="Times New Roman" w:eastAsia="Calibri" w:hAnsi="Times New Roman" w:cs="Times New Roman"/>
          <w:sz w:val="24"/>
          <w:szCs w:val="24"/>
        </w:rPr>
        <w:t xml:space="preserve">The </w:t>
      </w:r>
      <w:r w:rsidRPr="00B367C8">
        <w:rPr>
          <w:rFonts w:ascii="Times New Roman" w:eastAsia="Calibri" w:hAnsi="Times New Roman" w:cs="Times New Roman"/>
          <w:sz w:val="24"/>
          <w:szCs w:val="24"/>
        </w:rPr>
        <w:t xml:space="preserve">HSRC reported that 30.4 million people are living below the poverty line. HSRC assessed the spending priorities and alluded to the public </w:t>
      </w:r>
      <w:r w:rsidR="00D036E6">
        <w:rPr>
          <w:rFonts w:ascii="Times New Roman" w:eastAsia="Calibri" w:hAnsi="Times New Roman" w:cs="Times New Roman"/>
          <w:sz w:val="24"/>
          <w:szCs w:val="24"/>
        </w:rPr>
        <w:t xml:space="preserve">sector </w:t>
      </w:r>
      <w:r w:rsidRPr="00B367C8">
        <w:rPr>
          <w:rFonts w:ascii="Times New Roman" w:eastAsia="Calibri" w:hAnsi="Times New Roman" w:cs="Times New Roman"/>
          <w:sz w:val="24"/>
          <w:szCs w:val="24"/>
        </w:rPr>
        <w:t>wage bill crowding out other spending and that public investment on infrastructure is</w:t>
      </w:r>
      <w:r w:rsidR="003631E8">
        <w:rPr>
          <w:rFonts w:ascii="Times New Roman" w:eastAsia="Calibri" w:hAnsi="Times New Roman" w:cs="Times New Roman"/>
          <w:sz w:val="24"/>
          <w:szCs w:val="24"/>
        </w:rPr>
        <w:t xml:space="preserve"> </w:t>
      </w:r>
      <w:r w:rsidRPr="00B367C8">
        <w:rPr>
          <w:rFonts w:ascii="Times New Roman" w:eastAsia="Calibri" w:hAnsi="Times New Roman" w:cs="Times New Roman"/>
          <w:sz w:val="24"/>
          <w:szCs w:val="24"/>
        </w:rPr>
        <w:t xml:space="preserve">being squeezed. </w:t>
      </w:r>
      <w:r w:rsidR="00C06B8C" w:rsidRPr="00B367C8">
        <w:rPr>
          <w:rFonts w:ascii="Times New Roman" w:eastAsia="Calibri" w:hAnsi="Times New Roman" w:cs="Times New Roman"/>
          <w:sz w:val="24"/>
          <w:szCs w:val="24"/>
        </w:rPr>
        <w:t>T</w:t>
      </w:r>
      <w:r w:rsidR="000850EB" w:rsidRPr="00B367C8">
        <w:rPr>
          <w:rFonts w:ascii="Times New Roman" w:eastAsia="Calibri" w:hAnsi="Times New Roman" w:cs="Times New Roman"/>
          <w:sz w:val="24"/>
          <w:szCs w:val="24"/>
        </w:rPr>
        <w:t xml:space="preserve">he HSRC </w:t>
      </w:r>
      <w:r w:rsidR="003631E8">
        <w:rPr>
          <w:rFonts w:ascii="Times New Roman" w:eastAsia="Calibri" w:hAnsi="Times New Roman" w:cs="Times New Roman"/>
          <w:sz w:val="24"/>
          <w:szCs w:val="24"/>
        </w:rPr>
        <w:t>also commended</w:t>
      </w:r>
      <w:r w:rsidR="00C06B8C" w:rsidRPr="00B367C8">
        <w:rPr>
          <w:rFonts w:ascii="Times New Roman" w:eastAsia="Calibri" w:hAnsi="Times New Roman" w:cs="Times New Roman"/>
          <w:sz w:val="24"/>
          <w:szCs w:val="24"/>
        </w:rPr>
        <w:t xml:space="preserve"> the</w:t>
      </w:r>
      <w:r w:rsidR="003631E8">
        <w:rPr>
          <w:rFonts w:ascii="Times New Roman" w:eastAsia="Calibri" w:hAnsi="Times New Roman" w:cs="Times New Roman"/>
          <w:sz w:val="24"/>
          <w:szCs w:val="24"/>
        </w:rPr>
        <w:t xml:space="preserve"> </w:t>
      </w:r>
      <w:r w:rsidR="00D036E6">
        <w:rPr>
          <w:rFonts w:ascii="Times New Roman" w:eastAsia="Calibri" w:hAnsi="Times New Roman" w:cs="Times New Roman"/>
          <w:sz w:val="24"/>
          <w:szCs w:val="24"/>
        </w:rPr>
        <w:t xml:space="preserve">introduction of </w:t>
      </w:r>
      <w:r w:rsidR="003631E8">
        <w:rPr>
          <w:rFonts w:ascii="Times New Roman" w:eastAsia="Calibri" w:hAnsi="Times New Roman" w:cs="Times New Roman"/>
          <w:sz w:val="24"/>
          <w:szCs w:val="24"/>
        </w:rPr>
        <w:lastRenderedPageBreak/>
        <w:t>infrastructure fund which aims</w:t>
      </w:r>
      <w:r w:rsidR="00C06B8C" w:rsidRPr="00B367C8">
        <w:rPr>
          <w:rFonts w:ascii="Times New Roman" w:eastAsia="Calibri" w:hAnsi="Times New Roman" w:cs="Times New Roman"/>
          <w:sz w:val="24"/>
          <w:szCs w:val="24"/>
        </w:rPr>
        <w:t xml:space="preserve"> to improve the quality of expenditure through better project planning and implementation. </w:t>
      </w:r>
    </w:p>
    <w:p w14:paraId="1FA6F474" w14:textId="77777777" w:rsidR="003631E8" w:rsidRDefault="003631E8" w:rsidP="000850EB">
      <w:pPr>
        <w:spacing w:after="0" w:line="360" w:lineRule="auto"/>
        <w:jc w:val="both"/>
        <w:rPr>
          <w:rFonts w:ascii="Times New Roman" w:eastAsia="Calibri" w:hAnsi="Times New Roman" w:cs="Times New Roman"/>
          <w:sz w:val="24"/>
          <w:szCs w:val="24"/>
        </w:rPr>
      </w:pPr>
    </w:p>
    <w:p w14:paraId="0E22845B" w14:textId="47914392" w:rsidR="00DF6BAB" w:rsidRPr="00B367C8" w:rsidRDefault="001E5BB5" w:rsidP="00DF6BAB">
      <w:pPr>
        <w:spacing w:after="0" w:line="360" w:lineRule="auto"/>
        <w:jc w:val="both"/>
        <w:rPr>
          <w:rFonts w:ascii="Times New Roman" w:eastAsia="Calibri" w:hAnsi="Times New Roman" w:cs="Times New Roman"/>
          <w:sz w:val="24"/>
          <w:szCs w:val="24"/>
        </w:rPr>
      </w:pPr>
      <w:r w:rsidRPr="00B367C8">
        <w:rPr>
          <w:rFonts w:ascii="Times New Roman" w:eastAsia="Calibri" w:hAnsi="Times New Roman" w:cs="Times New Roman"/>
          <w:sz w:val="24"/>
          <w:szCs w:val="24"/>
        </w:rPr>
        <w:t xml:space="preserve">The HSRC also gave an overview of school infrastructure backlogs with specific reference to the performance challenges in </w:t>
      </w:r>
      <w:r w:rsidR="00D036E6">
        <w:rPr>
          <w:rFonts w:ascii="Times New Roman" w:eastAsia="Calibri" w:hAnsi="Times New Roman" w:cs="Times New Roman"/>
          <w:sz w:val="24"/>
          <w:szCs w:val="24"/>
        </w:rPr>
        <w:t>the Accelerated Schools Infrastructure Delivery Initiative (</w:t>
      </w:r>
      <w:r w:rsidRPr="00B367C8">
        <w:rPr>
          <w:rFonts w:ascii="Times New Roman" w:eastAsia="Calibri" w:hAnsi="Times New Roman" w:cs="Times New Roman"/>
          <w:sz w:val="24"/>
          <w:szCs w:val="24"/>
        </w:rPr>
        <w:t>ASIDI</w:t>
      </w:r>
      <w:r w:rsidR="00D036E6">
        <w:rPr>
          <w:rFonts w:ascii="Times New Roman" w:eastAsia="Calibri" w:hAnsi="Times New Roman" w:cs="Times New Roman"/>
          <w:sz w:val="24"/>
          <w:szCs w:val="24"/>
        </w:rPr>
        <w:t>)</w:t>
      </w:r>
      <w:r w:rsidRPr="00B367C8">
        <w:rPr>
          <w:rFonts w:ascii="Times New Roman" w:eastAsia="Calibri" w:hAnsi="Times New Roman" w:cs="Times New Roman"/>
          <w:sz w:val="24"/>
          <w:szCs w:val="24"/>
        </w:rPr>
        <w:t xml:space="preserve"> programme and questioned whether this should not be administered by the Department of Public Works.  It further commented on school safety and how it impacted on achievements in mathematics </w:t>
      </w:r>
      <w:r w:rsidR="00DF6BAB" w:rsidRPr="00B367C8">
        <w:rPr>
          <w:rFonts w:ascii="Times New Roman" w:eastAsia="Calibri" w:hAnsi="Times New Roman" w:cs="Times New Roman"/>
          <w:sz w:val="24"/>
          <w:szCs w:val="24"/>
        </w:rPr>
        <w:t xml:space="preserve">and expressed concerns at the overcrowded policy environment in South Africa which could be impeding on skills delivery. It further submitted that the skills requirements of the Fourth Industrial Revolution were not yet extensively reached in South Africa. Education, skills development, and the Fourth Industrial Revolution innovation capabilities were intertwined. To this end, the HSRC submitted that optimising capacity development would require understanding the nature of changes to skills supply and demand as well as resources for skills development. </w:t>
      </w:r>
    </w:p>
    <w:p w14:paraId="5D3C3F98" w14:textId="77777777" w:rsidR="00DF6BAB" w:rsidRPr="00B367C8" w:rsidRDefault="00DF6BAB" w:rsidP="000850EB">
      <w:pPr>
        <w:spacing w:after="0" w:line="360" w:lineRule="auto"/>
        <w:jc w:val="both"/>
        <w:rPr>
          <w:rFonts w:ascii="Times New Roman" w:eastAsia="Calibri" w:hAnsi="Times New Roman" w:cs="Times New Roman"/>
          <w:sz w:val="24"/>
          <w:szCs w:val="24"/>
        </w:rPr>
      </w:pPr>
    </w:p>
    <w:p w14:paraId="6B608E52" w14:textId="752FDE4A" w:rsidR="00DF6BAB" w:rsidRPr="00B367C8" w:rsidRDefault="00BD60F3" w:rsidP="000850EB">
      <w:pPr>
        <w:spacing w:after="0" w:line="360" w:lineRule="auto"/>
        <w:jc w:val="both"/>
        <w:rPr>
          <w:rFonts w:ascii="Times New Roman" w:eastAsia="Calibri" w:hAnsi="Times New Roman" w:cs="Times New Roman"/>
          <w:sz w:val="24"/>
          <w:szCs w:val="24"/>
        </w:rPr>
      </w:pPr>
      <w:r w:rsidRPr="00B367C8">
        <w:rPr>
          <w:rFonts w:ascii="Times New Roman" w:eastAsia="Calibri" w:hAnsi="Times New Roman" w:cs="Times New Roman"/>
          <w:sz w:val="24"/>
          <w:szCs w:val="24"/>
        </w:rPr>
        <w:t>With regard to the health care services allocation over the 2018 MTEF, the HSRC submitted that whilst the increase is higher than the previous, it was more associated wi</w:t>
      </w:r>
      <w:r w:rsidR="00DF6CA3">
        <w:rPr>
          <w:rFonts w:ascii="Times New Roman" w:eastAsia="Calibri" w:hAnsi="Times New Roman" w:cs="Times New Roman"/>
          <w:sz w:val="24"/>
          <w:szCs w:val="24"/>
        </w:rPr>
        <w:t>th infrastructure, National Health Insurance (NHI)</w:t>
      </w:r>
      <w:r w:rsidRPr="00B367C8">
        <w:rPr>
          <w:rFonts w:ascii="Times New Roman" w:eastAsia="Calibri" w:hAnsi="Times New Roman" w:cs="Times New Roman"/>
          <w:sz w:val="24"/>
          <w:szCs w:val="24"/>
        </w:rPr>
        <w:t>, health workers</w:t>
      </w:r>
      <w:r w:rsidR="00E6269C" w:rsidRPr="00B367C8">
        <w:rPr>
          <w:rFonts w:ascii="Times New Roman" w:eastAsia="Calibri" w:hAnsi="Times New Roman" w:cs="Times New Roman"/>
          <w:sz w:val="24"/>
          <w:szCs w:val="24"/>
        </w:rPr>
        <w:t xml:space="preserve"> and posts for medical graduates. With HIV being mostly a chronic illness, the HSRC was of the view that </w:t>
      </w:r>
      <w:r w:rsidR="003631E8">
        <w:rPr>
          <w:rFonts w:ascii="Times New Roman" w:eastAsia="Calibri" w:hAnsi="Times New Roman" w:cs="Times New Roman"/>
          <w:sz w:val="24"/>
          <w:szCs w:val="24"/>
        </w:rPr>
        <w:t xml:space="preserve">there </w:t>
      </w:r>
      <w:r w:rsidR="00E6269C" w:rsidRPr="00B367C8">
        <w:rPr>
          <w:rFonts w:ascii="Times New Roman" w:eastAsia="Calibri" w:hAnsi="Times New Roman" w:cs="Times New Roman"/>
          <w:sz w:val="24"/>
          <w:szCs w:val="24"/>
        </w:rPr>
        <w:t xml:space="preserve">was a greater need to invest more resources in emerging non-communicable diseases that were among the top causes of death in the country, including diabetes.  It also submitted that the transition to NHI was imperative in light of the NDPs aim to achieve a significant shift in equity, efficiency and quality of healthcare service provision. However, constraints in the fiscal space raised serious questions about how exactly South Africa needed to pursue the NHI in the short, medium and longer term. </w:t>
      </w:r>
      <w:r w:rsidR="00C206F6" w:rsidRPr="00B367C8">
        <w:rPr>
          <w:rFonts w:ascii="Times New Roman" w:eastAsia="Calibri" w:hAnsi="Times New Roman" w:cs="Times New Roman"/>
          <w:sz w:val="24"/>
          <w:szCs w:val="24"/>
        </w:rPr>
        <w:t xml:space="preserve">While many important programmes were being scaled up, there were instances of lack of funding for large scale prospective impact assessments for example the integrated school health programme, implementation of the sugar tax, and changes in tobacco control. </w:t>
      </w:r>
    </w:p>
    <w:p w14:paraId="7240D367" w14:textId="77777777" w:rsidR="00C206F6" w:rsidRPr="00B367C8" w:rsidRDefault="00C206F6" w:rsidP="000850EB">
      <w:pPr>
        <w:spacing w:after="0" w:line="360" w:lineRule="auto"/>
        <w:jc w:val="both"/>
        <w:rPr>
          <w:rFonts w:ascii="Times New Roman" w:eastAsia="Calibri" w:hAnsi="Times New Roman" w:cs="Times New Roman"/>
          <w:sz w:val="24"/>
          <w:szCs w:val="24"/>
        </w:rPr>
      </w:pPr>
    </w:p>
    <w:p w14:paraId="3BFAFABF" w14:textId="77777777" w:rsidR="00C206F6" w:rsidRPr="00B367C8" w:rsidRDefault="00C206F6" w:rsidP="000850EB">
      <w:pPr>
        <w:spacing w:after="0" w:line="360" w:lineRule="auto"/>
        <w:jc w:val="both"/>
        <w:rPr>
          <w:rFonts w:ascii="Times New Roman" w:eastAsia="Calibri" w:hAnsi="Times New Roman" w:cs="Times New Roman"/>
          <w:sz w:val="24"/>
          <w:szCs w:val="24"/>
        </w:rPr>
      </w:pPr>
      <w:r w:rsidRPr="00B367C8">
        <w:rPr>
          <w:rFonts w:ascii="Times New Roman" w:eastAsia="Calibri" w:hAnsi="Times New Roman" w:cs="Times New Roman"/>
          <w:sz w:val="24"/>
          <w:szCs w:val="24"/>
        </w:rPr>
        <w:t xml:space="preserve">With regard to government and the public service, the HSRC gave an overview of the satisfaction surveys in terms of the different areas of government performance, public perception of service delivery, trust in the political system, and corruption as a societal problem. </w:t>
      </w:r>
      <w:r w:rsidR="008A3B6F" w:rsidRPr="00B367C8">
        <w:rPr>
          <w:rFonts w:ascii="Times New Roman" w:eastAsia="Calibri" w:hAnsi="Times New Roman" w:cs="Times New Roman"/>
          <w:sz w:val="24"/>
          <w:szCs w:val="24"/>
        </w:rPr>
        <w:t xml:space="preserve">The HSRC emphasised the need to address the capacity constraints and weaknesses in municipalities. It submitted that the R2.5 billion allocated every year towards capacity building at a municipal level was welcomed however there was an urgent need to monitor skills </w:t>
      </w:r>
      <w:r w:rsidR="00703688" w:rsidRPr="00B367C8">
        <w:rPr>
          <w:rFonts w:ascii="Times New Roman" w:eastAsia="Calibri" w:hAnsi="Times New Roman" w:cs="Times New Roman"/>
          <w:sz w:val="24"/>
          <w:szCs w:val="24"/>
        </w:rPr>
        <w:t xml:space="preserve">capacity and its impact in all municipalities during the 25 years review of local government. The HSRC also emphasised the need to conduct a skills and capacity audit in order to understand the capacity realities and support requirements of entry-level, mid-level and senior-level municipal officials to inform training and capacity building interventions. </w:t>
      </w:r>
      <w:r w:rsidR="00405F6B" w:rsidRPr="00B367C8">
        <w:rPr>
          <w:rFonts w:ascii="Times New Roman" w:eastAsia="Calibri" w:hAnsi="Times New Roman" w:cs="Times New Roman"/>
          <w:sz w:val="24"/>
          <w:szCs w:val="24"/>
        </w:rPr>
        <w:t xml:space="preserve">It also submitted that the growing scope of government functions and the declining institutional capacity of municipalities provided an opportunity to review sections 84 and 85 of the Municipal Structures Act of 1998. The afore-mentioned review </w:t>
      </w:r>
      <w:r w:rsidR="007B563F" w:rsidRPr="00B367C8">
        <w:rPr>
          <w:rFonts w:ascii="Times New Roman" w:eastAsia="Calibri" w:hAnsi="Times New Roman" w:cs="Times New Roman"/>
          <w:sz w:val="24"/>
          <w:szCs w:val="24"/>
        </w:rPr>
        <w:t xml:space="preserve">could facilitate a differentiated approach to the structure and functions of two-tier local government to enable the creation of a single-tier local government in order to optimise service delivery. </w:t>
      </w:r>
    </w:p>
    <w:p w14:paraId="2672539F" w14:textId="77777777" w:rsidR="00703688" w:rsidRPr="00B367C8" w:rsidRDefault="00703688" w:rsidP="000850EB">
      <w:pPr>
        <w:spacing w:after="0" w:line="360" w:lineRule="auto"/>
        <w:jc w:val="both"/>
        <w:rPr>
          <w:rFonts w:ascii="Times New Roman" w:eastAsia="Calibri" w:hAnsi="Times New Roman" w:cs="Times New Roman"/>
          <w:sz w:val="24"/>
          <w:szCs w:val="24"/>
        </w:rPr>
      </w:pPr>
    </w:p>
    <w:p w14:paraId="0AFEB343" w14:textId="77777777" w:rsidR="00703688" w:rsidRPr="00B367C8" w:rsidRDefault="007B563F" w:rsidP="000850EB">
      <w:pPr>
        <w:spacing w:after="0" w:line="360" w:lineRule="auto"/>
        <w:jc w:val="both"/>
        <w:rPr>
          <w:rFonts w:ascii="Times New Roman" w:eastAsia="Calibri" w:hAnsi="Times New Roman" w:cs="Times New Roman"/>
          <w:sz w:val="24"/>
          <w:szCs w:val="24"/>
        </w:rPr>
      </w:pPr>
      <w:r w:rsidRPr="00B367C8">
        <w:rPr>
          <w:rFonts w:ascii="Times New Roman" w:eastAsia="Calibri" w:hAnsi="Times New Roman" w:cs="Times New Roman"/>
          <w:sz w:val="24"/>
          <w:szCs w:val="24"/>
        </w:rPr>
        <w:t xml:space="preserve">In terms of green research and development, the HSRC submitted that the potential for employment creation in agriculture, biogas, water treatment, power generation and bio-composites offered great opportunities for social and economic development. </w:t>
      </w:r>
    </w:p>
    <w:p w14:paraId="682FC32A" w14:textId="77777777" w:rsidR="000850EB" w:rsidRPr="00B367C8" w:rsidRDefault="000850EB" w:rsidP="000850EB">
      <w:pPr>
        <w:autoSpaceDE w:val="0"/>
        <w:autoSpaceDN w:val="0"/>
        <w:adjustRightInd w:val="0"/>
        <w:spacing w:line="360" w:lineRule="auto"/>
        <w:jc w:val="both"/>
        <w:rPr>
          <w:rFonts w:ascii="Times New Roman" w:hAnsi="Times New Roman" w:cs="Times New Roman"/>
          <w:b/>
          <w:sz w:val="24"/>
          <w:szCs w:val="24"/>
        </w:rPr>
      </w:pPr>
    </w:p>
    <w:p w14:paraId="0B5F1A72" w14:textId="77777777" w:rsidR="00A176F6" w:rsidRPr="008C6C81" w:rsidRDefault="00A176F6" w:rsidP="008C6C81">
      <w:pPr>
        <w:pStyle w:val="ListParagraph"/>
        <w:numPr>
          <w:ilvl w:val="1"/>
          <w:numId w:val="34"/>
        </w:numPr>
        <w:tabs>
          <w:tab w:val="left" w:pos="426"/>
        </w:tabs>
        <w:spacing w:line="360" w:lineRule="auto"/>
        <w:jc w:val="both"/>
        <w:rPr>
          <w:rFonts w:ascii="Times New Roman" w:hAnsi="Times New Roman" w:cs="Times New Roman"/>
          <w:b/>
          <w:sz w:val="24"/>
          <w:szCs w:val="24"/>
        </w:rPr>
      </w:pPr>
      <w:r w:rsidRPr="008C6C81">
        <w:rPr>
          <w:rFonts w:ascii="Times New Roman" w:hAnsi="Times New Roman" w:cs="Times New Roman"/>
          <w:b/>
          <w:sz w:val="24"/>
          <w:szCs w:val="24"/>
        </w:rPr>
        <w:t>Budget Justice Coalition</w:t>
      </w:r>
      <w:r w:rsidR="00BD60F3" w:rsidRPr="008C6C81">
        <w:rPr>
          <w:rFonts w:ascii="Times New Roman" w:hAnsi="Times New Roman" w:cs="Times New Roman"/>
          <w:b/>
          <w:sz w:val="24"/>
          <w:szCs w:val="24"/>
        </w:rPr>
        <w:t xml:space="preserve"> </w:t>
      </w:r>
    </w:p>
    <w:p w14:paraId="5A864860" w14:textId="77777777" w:rsidR="008737A5" w:rsidRPr="00D42D76" w:rsidRDefault="008737A5" w:rsidP="008737A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BJC is a coalition of about 20 progressive civil society whose focus is on active engagement and transformation of the budget to ensure substantive equality in society.  </w:t>
      </w:r>
      <w:r w:rsidRPr="00B257D0">
        <w:rPr>
          <w:rFonts w:ascii="Times New Roman" w:hAnsi="Times New Roman" w:cs="Times New Roman"/>
          <w:sz w:val="24"/>
          <w:szCs w:val="24"/>
        </w:rPr>
        <w:t>The BJC submission</w:t>
      </w:r>
      <w:r w:rsidRPr="00B257D0">
        <w:rPr>
          <w:rFonts w:ascii="Times New Roman" w:hAnsi="Times New Roman" w:cs="Times New Roman"/>
          <w:b/>
          <w:sz w:val="24"/>
          <w:szCs w:val="24"/>
        </w:rPr>
        <w:t xml:space="preserve"> </w:t>
      </w:r>
      <w:r w:rsidRPr="002E40FC">
        <w:rPr>
          <w:rFonts w:ascii="Times New Roman" w:hAnsi="Times New Roman" w:cs="Times New Roman"/>
          <w:sz w:val="24"/>
          <w:szCs w:val="24"/>
        </w:rPr>
        <w:t xml:space="preserve">focused on selected </w:t>
      </w:r>
      <w:r>
        <w:rPr>
          <w:rFonts w:ascii="Times New Roman" w:hAnsi="Times New Roman" w:cs="Times New Roman"/>
          <w:sz w:val="24"/>
          <w:szCs w:val="24"/>
        </w:rPr>
        <w:t>votes</w:t>
      </w:r>
      <w:r w:rsidRPr="002E40FC">
        <w:rPr>
          <w:rFonts w:ascii="Times New Roman" w:hAnsi="Times New Roman" w:cs="Times New Roman"/>
          <w:sz w:val="24"/>
          <w:szCs w:val="24"/>
        </w:rPr>
        <w:t xml:space="preserve"> which in their view needed concerted interventions in relation to budgeting and planning following the tabling of the 201</w:t>
      </w:r>
      <w:r>
        <w:rPr>
          <w:rFonts w:ascii="Times New Roman" w:hAnsi="Times New Roman" w:cs="Times New Roman"/>
          <w:sz w:val="24"/>
          <w:szCs w:val="24"/>
        </w:rPr>
        <w:t>8</w:t>
      </w:r>
      <w:r w:rsidRPr="002E40FC">
        <w:rPr>
          <w:rFonts w:ascii="Times New Roman" w:hAnsi="Times New Roman" w:cs="Times New Roman"/>
          <w:sz w:val="24"/>
          <w:szCs w:val="24"/>
        </w:rPr>
        <w:t xml:space="preserve"> </w:t>
      </w:r>
      <w:r w:rsidR="00A70799">
        <w:rPr>
          <w:rFonts w:ascii="Times New Roman" w:hAnsi="Times New Roman" w:cs="Times New Roman"/>
          <w:sz w:val="24"/>
          <w:szCs w:val="24"/>
        </w:rPr>
        <w:t>MTBPS.</w:t>
      </w:r>
      <w:r w:rsidRPr="002E40FC">
        <w:rPr>
          <w:rFonts w:ascii="Times New Roman" w:hAnsi="Times New Roman" w:cs="Times New Roman"/>
          <w:sz w:val="24"/>
          <w:szCs w:val="24"/>
        </w:rPr>
        <w:t xml:space="preserve"> </w:t>
      </w:r>
    </w:p>
    <w:p w14:paraId="6C937738" w14:textId="77777777" w:rsidR="008737A5" w:rsidRDefault="008737A5" w:rsidP="008737A5">
      <w:pPr>
        <w:spacing w:line="360" w:lineRule="auto"/>
        <w:jc w:val="both"/>
        <w:rPr>
          <w:rFonts w:ascii="Times New Roman" w:hAnsi="Times New Roman" w:cs="Times New Roman"/>
          <w:sz w:val="24"/>
          <w:szCs w:val="24"/>
        </w:rPr>
      </w:pPr>
      <w:r>
        <w:rPr>
          <w:rFonts w:ascii="Times New Roman" w:hAnsi="Times New Roman" w:cs="Times New Roman"/>
          <w:sz w:val="24"/>
          <w:szCs w:val="24"/>
        </w:rPr>
        <w:t>The table below reflects the findings and the recommendations tabled by BJC to the Committee</w:t>
      </w:r>
      <w:r w:rsidR="00A7079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81"/>
        <w:gridCol w:w="3883"/>
        <w:gridCol w:w="3600"/>
      </w:tblGrid>
      <w:tr w:rsidR="008737A5" w:rsidRPr="00B257D0" w14:paraId="00083F02" w14:textId="77777777" w:rsidTr="009A6B30">
        <w:tc>
          <w:tcPr>
            <w:tcW w:w="0" w:type="auto"/>
          </w:tcPr>
          <w:p w14:paraId="70519235" w14:textId="77777777" w:rsidR="008737A5" w:rsidRPr="00B257D0" w:rsidRDefault="008737A5" w:rsidP="009A6B30">
            <w:pPr>
              <w:spacing w:line="360" w:lineRule="auto"/>
              <w:jc w:val="both"/>
              <w:rPr>
                <w:rFonts w:ascii="Times New Roman" w:hAnsi="Times New Roman" w:cs="Times New Roman"/>
                <w:b/>
                <w:sz w:val="24"/>
                <w:szCs w:val="24"/>
              </w:rPr>
            </w:pPr>
            <w:r w:rsidRPr="00B257D0">
              <w:rPr>
                <w:rFonts w:ascii="Times New Roman" w:hAnsi="Times New Roman" w:cs="Times New Roman"/>
                <w:b/>
                <w:sz w:val="24"/>
                <w:szCs w:val="24"/>
              </w:rPr>
              <w:t>Vote</w:t>
            </w:r>
          </w:p>
        </w:tc>
        <w:tc>
          <w:tcPr>
            <w:tcW w:w="0" w:type="auto"/>
          </w:tcPr>
          <w:p w14:paraId="0462E6A1" w14:textId="77777777" w:rsidR="008737A5" w:rsidRPr="00B257D0" w:rsidRDefault="008737A5" w:rsidP="009A6B30">
            <w:pPr>
              <w:spacing w:line="360" w:lineRule="auto"/>
              <w:jc w:val="both"/>
              <w:rPr>
                <w:rFonts w:ascii="Times New Roman" w:hAnsi="Times New Roman" w:cs="Times New Roman"/>
                <w:b/>
                <w:sz w:val="24"/>
                <w:szCs w:val="24"/>
              </w:rPr>
            </w:pPr>
            <w:r w:rsidRPr="00B257D0">
              <w:rPr>
                <w:rFonts w:ascii="Times New Roman" w:hAnsi="Times New Roman" w:cs="Times New Roman"/>
                <w:b/>
                <w:sz w:val="24"/>
                <w:szCs w:val="24"/>
              </w:rPr>
              <w:t>BJC Findings</w:t>
            </w:r>
          </w:p>
        </w:tc>
        <w:tc>
          <w:tcPr>
            <w:tcW w:w="0" w:type="auto"/>
          </w:tcPr>
          <w:p w14:paraId="61366D34" w14:textId="77777777" w:rsidR="008737A5" w:rsidRPr="00B257D0" w:rsidRDefault="008737A5" w:rsidP="009A6B30">
            <w:pPr>
              <w:spacing w:line="360" w:lineRule="auto"/>
              <w:jc w:val="both"/>
              <w:rPr>
                <w:rFonts w:ascii="Times New Roman" w:hAnsi="Times New Roman" w:cs="Times New Roman"/>
                <w:b/>
                <w:sz w:val="24"/>
                <w:szCs w:val="24"/>
              </w:rPr>
            </w:pPr>
            <w:r w:rsidRPr="00B257D0">
              <w:rPr>
                <w:rFonts w:ascii="Times New Roman" w:hAnsi="Times New Roman" w:cs="Times New Roman"/>
                <w:b/>
                <w:sz w:val="24"/>
                <w:szCs w:val="24"/>
              </w:rPr>
              <w:t>BJC Recommendations</w:t>
            </w:r>
          </w:p>
        </w:tc>
      </w:tr>
      <w:tr w:rsidR="008737A5" w14:paraId="1FD209F0" w14:textId="77777777" w:rsidTr="009A6B30">
        <w:tc>
          <w:tcPr>
            <w:tcW w:w="0" w:type="auto"/>
          </w:tcPr>
          <w:p w14:paraId="5765DE68" w14:textId="77777777" w:rsidR="008737A5" w:rsidRDefault="008737A5" w:rsidP="009A6B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Basic Education </w:t>
            </w:r>
          </w:p>
        </w:tc>
        <w:tc>
          <w:tcPr>
            <w:tcW w:w="0" w:type="auto"/>
          </w:tcPr>
          <w:p w14:paraId="7A121BD6"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Concern that although DBE allocations are increasing, the annual percentage growth is slowing down.</w:t>
            </w:r>
          </w:p>
          <w:p w14:paraId="23C2E957" w14:textId="06B8B2D5" w:rsidR="008737A5" w:rsidRPr="00DE20F0"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 regarding DBE’s underspending especially continuous </w:t>
            </w:r>
            <w:r w:rsidRPr="00DE20F0">
              <w:rPr>
                <w:rFonts w:ascii="Times New Roman" w:hAnsi="Times New Roman" w:cs="Times New Roman"/>
                <w:sz w:val="24"/>
                <w:szCs w:val="24"/>
              </w:rPr>
              <w:t>trend</w:t>
            </w:r>
            <w:r>
              <w:rPr>
                <w:rFonts w:ascii="Times New Roman" w:hAnsi="Times New Roman" w:cs="Times New Roman"/>
                <w:sz w:val="24"/>
                <w:szCs w:val="24"/>
              </w:rPr>
              <w:t>s</w:t>
            </w:r>
            <w:r w:rsidRPr="00DE20F0">
              <w:rPr>
                <w:rFonts w:ascii="Times New Roman" w:hAnsi="Times New Roman" w:cs="Times New Roman"/>
                <w:sz w:val="24"/>
                <w:szCs w:val="24"/>
              </w:rPr>
              <w:t xml:space="preserve"> </w:t>
            </w:r>
            <w:r w:rsidR="00DF6CA3" w:rsidRPr="00DE20F0">
              <w:rPr>
                <w:rFonts w:ascii="Times New Roman" w:hAnsi="Times New Roman" w:cs="Times New Roman"/>
                <w:sz w:val="24"/>
                <w:szCs w:val="24"/>
              </w:rPr>
              <w:t>of underspending</w:t>
            </w:r>
            <w:r w:rsidRPr="00DE20F0">
              <w:rPr>
                <w:rFonts w:ascii="Times New Roman" w:hAnsi="Times New Roman" w:cs="Times New Roman"/>
                <w:sz w:val="24"/>
                <w:szCs w:val="24"/>
              </w:rPr>
              <w:t xml:space="preserve"> on the ASIDI programme</w:t>
            </w:r>
            <w:r>
              <w:rPr>
                <w:rFonts w:ascii="Times New Roman" w:hAnsi="Times New Roman" w:cs="Times New Roman"/>
                <w:sz w:val="24"/>
                <w:szCs w:val="24"/>
              </w:rPr>
              <w:t>.</w:t>
            </w:r>
          </w:p>
          <w:p w14:paraId="077E672E" w14:textId="77777777" w:rsidR="008737A5" w:rsidRPr="00DE20F0"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 that DBE hasn’t met any targets regarding ASIDI especially since the project was to be concluded after 3 years and yet 7 years later there is no completion. </w:t>
            </w:r>
          </w:p>
        </w:tc>
        <w:tc>
          <w:tcPr>
            <w:tcW w:w="0" w:type="auto"/>
          </w:tcPr>
          <w:p w14:paraId="17490882"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That SCOA, National treasury and DBE work together to determine which programmes contribute to underspending and mitigate this in the current and the next financial year.</w:t>
            </w:r>
          </w:p>
          <w:p w14:paraId="67D830ED"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2E255C">
              <w:rPr>
                <w:rFonts w:ascii="Times New Roman" w:hAnsi="Times New Roman" w:cs="Times New Roman"/>
                <w:sz w:val="24"/>
                <w:szCs w:val="24"/>
              </w:rPr>
              <w:t>That financial management support be provided to DBE and provincial education departments to encourage output driven expenditure, particularly on infrastructure grants.</w:t>
            </w:r>
          </w:p>
          <w:p w14:paraId="6BD9DBCC" w14:textId="77777777" w:rsidR="008737A5" w:rsidRPr="00FA0AA9"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FA0AA9">
              <w:rPr>
                <w:rFonts w:ascii="Times New Roman" w:hAnsi="Times New Roman" w:cs="Times New Roman"/>
                <w:sz w:val="24"/>
                <w:szCs w:val="24"/>
              </w:rPr>
              <w:t>Increased oversight on the ASIDI programme to ensure efficient budget expenditure and achievement of delivery targets before the 2020 Norms and Standards second deadline.</w:t>
            </w:r>
          </w:p>
        </w:tc>
      </w:tr>
      <w:tr w:rsidR="008737A5" w14:paraId="62D20D1D" w14:textId="77777777" w:rsidTr="009A6B30">
        <w:tc>
          <w:tcPr>
            <w:tcW w:w="0" w:type="auto"/>
          </w:tcPr>
          <w:p w14:paraId="57D3F428" w14:textId="77777777" w:rsidR="008737A5" w:rsidRDefault="008737A5" w:rsidP="009A6B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Post-School Education &amp; Training </w:t>
            </w:r>
          </w:p>
        </w:tc>
        <w:tc>
          <w:tcPr>
            <w:tcW w:w="0" w:type="auto"/>
          </w:tcPr>
          <w:p w14:paraId="794A96AB"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Noted the additional amount of R103 million allocated to Programme 3: university Education increasing allocation to R59.25 billion.</w:t>
            </w:r>
          </w:p>
          <w:p w14:paraId="3D830CCA"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Concerned about </w:t>
            </w:r>
            <w:r w:rsidRPr="006F54DF">
              <w:rPr>
                <w:rFonts w:ascii="Times New Roman" w:hAnsi="Times New Roman" w:cs="Times New Roman"/>
                <w:sz w:val="24"/>
                <w:szCs w:val="24"/>
              </w:rPr>
              <w:t>the consequence of these increases on other social spending budgets</w:t>
            </w:r>
            <w:r>
              <w:rPr>
                <w:rFonts w:ascii="Times New Roman" w:hAnsi="Times New Roman" w:cs="Times New Roman"/>
                <w:sz w:val="24"/>
                <w:szCs w:val="24"/>
              </w:rPr>
              <w:t xml:space="preserve"> e.g. </w:t>
            </w:r>
            <w:r w:rsidRPr="006F54DF">
              <w:rPr>
                <w:rFonts w:ascii="Times New Roman" w:hAnsi="Times New Roman" w:cs="Times New Roman"/>
                <w:sz w:val="24"/>
                <w:szCs w:val="24"/>
              </w:rPr>
              <w:t>baseline reductions across a number of sectors, including budget cuts to municipal, housi</w:t>
            </w:r>
            <w:r>
              <w:rPr>
                <w:rFonts w:ascii="Times New Roman" w:hAnsi="Times New Roman" w:cs="Times New Roman"/>
                <w:sz w:val="24"/>
                <w:szCs w:val="24"/>
              </w:rPr>
              <w:t xml:space="preserve">ng and education infrastructure in 2018/19 budget </w:t>
            </w:r>
          </w:p>
          <w:p w14:paraId="678E8629"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How does the state intend</w:t>
            </w:r>
            <w:r w:rsidRPr="006F54DF">
              <w:rPr>
                <w:rFonts w:ascii="Times New Roman" w:hAnsi="Times New Roman" w:cs="Times New Roman"/>
                <w:sz w:val="24"/>
                <w:szCs w:val="24"/>
              </w:rPr>
              <w:t xml:space="preserve"> to address these competing priorities</w:t>
            </w:r>
            <w:r>
              <w:rPr>
                <w:rFonts w:ascii="Times New Roman" w:hAnsi="Times New Roman" w:cs="Times New Roman"/>
                <w:sz w:val="24"/>
                <w:szCs w:val="24"/>
              </w:rPr>
              <w:t xml:space="preserve"> in order to </w:t>
            </w:r>
            <w:r w:rsidRPr="006F54DF">
              <w:rPr>
                <w:rFonts w:ascii="Times New Roman" w:hAnsi="Times New Roman" w:cs="Times New Roman"/>
                <w:sz w:val="24"/>
                <w:szCs w:val="24"/>
              </w:rPr>
              <w:t>sustain the funding of fee fr</w:t>
            </w:r>
            <w:r>
              <w:rPr>
                <w:rFonts w:ascii="Times New Roman" w:hAnsi="Times New Roman" w:cs="Times New Roman"/>
                <w:sz w:val="24"/>
                <w:szCs w:val="24"/>
              </w:rPr>
              <w:t>ee higher education and ensure</w:t>
            </w:r>
            <w:r w:rsidRPr="006F54DF">
              <w:rPr>
                <w:rFonts w:ascii="Times New Roman" w:hAnsi="Times New Roman" w:cs="Times New Roman"/>
                <w:sz w:val="24"/>
                <w:szCs w:val="24"/>
              </w:rPr>
              <w:t xml:space="preserve"> that other social needs are met through appropriate budget allocations.</w:t>
            </w:r>
          </w:p>
          <w:p w14:paraId="61BDB87F" w14:textId="77777777" w:rsidR="008737A5" w:rsidRPr="00D5647F"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Concerned that there’s no policy or guidelines related to fee free higher education and of view that t</w:t>
            </w:r>
            <w:r w:rsidRPr="002743E1">
              <w:rPr>
                <w:rFonts w:ascii="Times New Roman" w:hAnsi="Times New Roman" w:cs="Times New Roman"/>
                <w:sz w:val="24"/>
                <w:szCs w:val="24"/>
              </w:rPr>
              <w:t xml:space="preserve">he absence of a guiding document </w:t>
            </w:r>
            <w:r>
              <w:rPr>
                <w:rFonts w:ascii="Times New Roman" w:hAnsi="Times New Roman" w:cs="Times New Roman"/>
                <w:sz w:val="24"/>
                <w:szCs w:val="24"/>
              </w:rPr>
              <w:t xml:space="preserve">raises doubts about </w:t>
            </w:r>
            <w:r w:rsidRPr="002743E1">
              <w:rPr>
                <w:rFonts w:ascii="Times New Roman" w:hAnsi="Times New Roman" w:cs="Times New Roman"/>
                <w:sz w:val="24"/>
                <w:szCs w:val="24"/>
              </w:rPr>
              <w:t>the sustainability of this proposal.</w:t>
            </w:r>
          </w:p>
        </w:tc>
        <w:tc>
          <w:tcPr>
            <w:tcW w:w="0" w:type="auto"/>
          </w:tcPr>
          <w:p w14:paraId="465BC5AA" w14:textId="77777777" w:rsidR="008737A5" w:rsidRPr="002743E1"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 xml:space="preserve">That </w:t>
            </w:r>
            <w:r w:rsidRPr="002743E1">
              <w:rPr>
                <w:rFonts w:ascii="Times New Roman" w:hAnsi="Times New Roman" w:cs="Times New Roman"/>
                <w:sz w:val="24"/>
                <w:szCs w:val="24"/>
              </w:rPr>
              <w:t>the Department of Higher Education and Training,</w:t>
            </w:r>
            <w:r>
              <w:rPr>
                <w:rFonts w:ascii="Times New Roman" w:hAnsi="Times New Roman" w:cs="Times New Roman"/>
                <w:sz w:val="24"/>
                <w:szCs w:val="24"/>
              </w:rPr>
              <w:t xml:space="preserve"> </w:t>
            </w:r>
            <w:r w:rsidRPr="002743E1">
              <w:rPr>
                <w:rFonts w:ascii="Times New Roman" w:hAnsi="Times New Roman" w:cs="Times New Roman"/>
                <w:sz w:val="24"/>
                <w:szCs w:val="24"/>
              </w:rPr>
              <w:t xml:space="preserve">in consultation with the relevant stakeholders </w:t>
            </w:r>
            <w:r>
              <w:rPr>
                <w:rFonts w:ascii="Times New Roman" w:hAnsi="Times New Roman" w:cs="Times New Roman"/>
                <w:sz w:val="24"/>
                <w:szCs w:val="24"/>
              </w:rPr>
              <w:t xml:space="preserve">and </w:t>
            </w:r>
            <w:r w:rsidRPr="002743E1">
              <w:rPr>
                <w:rFonts w:ascii="Times New Roman" w:hAnsi="Times New Roman" w:cs="Times New Roman"/>
                <w:sz w:val="24"/>
                <w:szCs w:val="24"/>
              </w:rPr>
              <w:t xml:space="preserve">National Treasury, </w:t>
            </w:r>
            <w:r>
              <w:rPr>
                <w:rFonts w:ascii="Times New Roman" w:hAnsi="Times New Roman" w:cs="Times New Roman"/>
                <w:sz w:val="24"/>
                <w:szCs w:val="24"/>
              </w:rPr>
              <w:t>develop</w:t>
            </w:r>
            <w:r w:rsidRPr="002743E1">
              <w:rPr>
                <w:rFonts w:ascii="Times New Roman" w:hAnsi="Times New Roman" w:cs="Times New Roman"/>
                <w:sz w:val="24"/>
                <w:szCs w:val="24"/>
              </w:rPr>
              <w:t xml:space="preserve"> a policy</w:t>
            </w:r>
            <w:r>
              <w:rPr>
                <w:rFonts w:ascii="Times New Roman" w:hAnsi="Times New Roman" w:cs="Times New Roman"/>
                <w:sz w:val="24"/>
                <w:szCs w:val="24"/>
              </w:rPr>
              <w:t xml:space="preserve"> or guidelines that speak</w:t>
            </w:r>
            <w:r w:rsidRPr="002743E1">
              <w:rPr>
                <w:rFonts w:ascii="Times New Roman" w:hAnsi="Times New Roman" w:cs="Times New Roman"/>
                <w:sz w:val="24"/>
                <w:szCs w:val="24"/>
              </w:rPr>
              <w:t xml:space="preserve"> to the roll-out of fee-free higher education</w:t>
            </w:r>
            <w:r>
              <w:rPr>
                <w:rFonts w:ascii="Times New Roman" w:hAnsi="Times New Roman" w:cs="Times New Roman"/>
                <w:sz w:val="24"/>
                <w:szCs w:val="24"/>
              </w:rPr>
              <w:t xml:space="preserve">. </w:t>
            </w:r>
            <w:r w:rsidRPr="002743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BAE951" w14:textId="77777777" w:rsidR="008737A5" w:rsidRPr="002743E1"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Government to ensure t</w:t>
            </w:r>
            <w:r w:rsidRPr="002743E1">
              <w:rPr>
                <w:rFonts w:ascii="Times New Roman" w:hAnsi="Times New Roman" w:cs="Times New Roman"/>
                <w:sz w:val="24"/>
                <w:szCs w:val="24"/>
              </w:rPr>
              <w:t>h</w:t>
            </w:r>
            <w:r>
              <w:rPr>
                <w:rFonts w:ascii="Times New Roman" w:hAnsi="Times New Roman" w:cs="Times New Roman"/>
                <w:sz w:val="24"/>
                <w:szCs w:val="24"/>
              </w:rPr>
              <w:t>at th</w:t>
            </w:r>
            <w:r w:rsidRPr="002743E1">
              <w:rPr>
                <w:rFonts w:ascii="Times New Roman" w:hAnsi="Times New Roman" w:cs="Times New Roman"/>
                <w:sz w:val="24"/>
                <w:szCs w:val="24"/>
              </w:rPr>
              <w:t xml:space="preserve">e realisation of fee-free higher education </w:t>
            </w:r>
            <w:r>
              <w:rPr>
                <w:rFonts w:ascii="Times New Roman" w:hAnsi="Times New Roman" w:cs="Times New Roman"/>
                <w:sz w:val="24"/>
                <w:szCs w:val="24"/>
              </w:rPr>
              <w:t>does</w:t>
            </w:r>
            <w:r w:rsidRPr="002743E1">
              <w:rPr>
                <w:rFonts w:ascii="Times New Roman" w:hAnsi="Times New Roman" w:cs="Times New Roman"/>
                <w:sz w:val="24"/>
                <w:szCs w:val="24"/>
              </w:rPr>
              <w:t xml:space="preserve"> not compromise the provision of other social services, such as basic education – particularly in relation to budget allocations.</w:t>
            </w:r>
          </w:p>
          <w:p w14:paraId="2295AB1C" w14:textId="77777777" w:rsidR="008737A5" w:rsidRPr="00FA0AA9"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 xml:space="preserve">That </w:t>
            </w:r>
            <w:r w:rsidRPr="002743E1">
              <w:rPr>
                <w:rFonts w:ascii="Times New Roman" w:hAnsi="Times New Roman" w:cs="Times New Roman"/>
                <w:sz w:val="24"/>
                <w:szCs w:val="24"/>
              </w:rPr>
              <w:t>DHET</w:t>
            </w:r>
            <w:r>
              <w:rPr>
                <w:rFonts w:ascii="Times New Roman" w:hAnsi="Times New Roman" w:cs="Times New Roman"/>
                <w:sz w:val="24"/>
                <w:szCs w:val="24"/>
              </w:rPr>
              <w:t xml:space="preserve"> supports NSFAS in addressing </w:t>
            </w:r>
            <w:r w:rsidRPr="002743E1">
              <w:rPr>
                <w:rFonts w:ascii="Times New Roman" w:hAnsi="Times New Roman" w:cs="Times New Roman"/>
                <w:sz w:val="24"/>
                <w:szCs w:val="24"/>
              </w:rPr>
              <w:t xml:space="preserve">governance challenges as a matter of urgency. The consequences of the disarray within the funding scheme impacts those in need of financial assistance most of all.  </w:t>
            </w:r>
          </w:p>
        </w:tc>
      </w:tr>
      <w:tr w:rsidR="008737A5" w14:paraId="0B706BF5" w14:textId="77777777" w:rsidTr="009A6B30">
        <w:tc>
          <w:tcPr>
            <w:tcW w:w="0" w:type="auto"/>
          </w:tcPr>
          <w:p w14:paraId="2F4DF75D" w14:textId="77777777" w:rsidR="008737A5" w:rsidRDefault="008737A5" w:rsidP="009A6B30">
            <w:pPr>
              <w:spacing w:line="360" w:lineRule="auto"/>
              <w:jc w:val="both"/>
              <w:rPr>
                <w:rFonts w:ascii="Times New Roman" w:hAnsi="Times New Roman" w:cs="Times New Roman"/>
                <w:sz w:val="24"/>
                <w:szCs w:val="24"/>
              </w:rPr>
            </w:pPr>
            <w:r>
              <w:rPr>
                <w:rFonts w:ascii="Times New Roman" w:hAnsi="Times New Roman" w:cs="Times New Roman"/>
                <w:sz w:val="24"/>
                <w:szCs w:val="24"/>
              </w:rPr>
              <w:t>Health</w:t>
            </w:r>
          </w:p>
        </w:tc>
        <w:tc>
          <w:tcPr>
            <w:tcW w:w="0" w:type="auto"/>
          </w:tcPr>
          <w:p w14:paraId="5D177EDA"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View that current allocations are insufficient to transform health care delivery as per NHI Bill proposals for addressing immediate priorities and challenges. </w:t>
            </w:r>
          </w:p>
          <w:p w14:paraId="696A69C1"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Concern that in-year additional allocation of R300 million is inadequate in addressing health workers staffing crises.</w:t>
            </w:r>
          </w:p>
          <w:p w14:paraId="3267F4EB"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Concerned about growing accruals estimated at </w:t>
            </w:r>
            <w:r>
              <w:rPr>
                <w:rFonts w:ascii="Times New Roman" w:hAnsi="Times New Roman" w:cs="Times New Roman"/>
                <w:sz w:val="24"/>
                <w:szCs w:val="24"/>
              </w:rPr>
              <w:br/>
              <w:t>R14 billion per annum (and thus growth in wasteful and irregular expenditure) due to poor leadership and governance in the management of health resources.</w:t>
            </w:r>
          </w:p>
          <w:p w14:paraId="592BB31C" w14:textId="65277D06"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View that investments in Community Health Workers (CHW) need to be accelerated to fully </w:t>
            </w:r>
            <w:r w:rsidR="00DF6CA3">
              <w:rPr>
                <w:rFonts w:ascii="Times New Roman" w:hAnsi="Times New Roman" w:cs="Times New Roman"/>
                <w:sz w:val="24"/>
                <w:szCs w:val="24"/>
              </w:rPr>
              <w:t>integrate them</w:t>
            </w:r>
            <w:r>
              <w:rPr>
                <w:rFonts w:ascii="Times New Roman" w:hAnsi="Times New Roman" w:cs="Times New Roman"/>
                <w:sz w:val="24"/>
                <w:szCs w:val="24"/>
              </w:rPr>
              <w:t xml:space="preserve"> into the health workforce. </w:t>
            </w:r>
          </w:p>
          <w:p w14:paraId="7C832DE8"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Concerned about medico legal claim in excess of R56 billion attributed to continued underinvestment in service delivery. </w:t>
            </w:r>
          </w:p>
          <w:p w14:paraId="4F851D55" w14:textId="77777777" w:rsidR="008737A5" w:rsidRPr="00A46BE0"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Concerned about significant underperformance in health infrastructure grants e.g. R820 million reprioritised in NHI Facility Revitalisation grant in 2018. </w:t>
            </w:r>
          </w:p>
        </w:tc>
        <w:tc>
          <w:tcPr>
            <w:tcW w:w="0" w:type="auto"/>
          </w:tcPr>
          <w:p w14:paraId="40C3300D" w14:textId="6F59190D"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That NDOH compile a comprehensive</w:t>
            </w:r>
            <w:r w:rsidR="00020212">
              <w:rPr>
                <w:rFonts w:ascii="Times New Roman" w:hAnsi="Times New Roman" w:cs="Times New Roman"/>
                <w:sz w:val="24"/>
                <w:szCs w:val="24"/>
              </w:rPr>
              <w:t xml:space="preserve"> distribution analysis of the health workforce at facility, district and provincial level according to</w:t>
            </w:r>
            <w:r>
              <w:rPr>
                <w:rFonts w:ascii="Times New Roman" w:hAnsi="Times New Roman" w:cs="Times New Roman"/>
                <w:sz w:val="24"/>
                <w:szCs w:val="24"/>
              </w:rPr>
              <w:t xml:space="preserve"> Human Resource for Health (HRH) </w:t>
            </w:r>
            <w:r w:rsidR="00020212">
              <w:rPr>
                <w:rFonts w:ascii="Times New Roman" w:hAnsi="Times New Roman" w:cs="Times New Roman"/>
                <w:sz w:val="24"/>
                <w:szCs w:val="24"/>
              </w:rPr>
              <w:t xml:space="preserve">guidelines. </w:t>
            </w:r>
          </w:p>
          <w:p w14:paraId="1B174B53" w14:textId="4822F3C5"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 xml:space="preserve">That NDOH along </w:t>
            </w:r>
            <w:r w:rsidR="005A7926">
              <w:rPr>
                <w:rFonts w:ascii="Times New Roman" w:hAnsi="Times New Roman" w:cs="Times New Roman"/>
                <w:sz w:val="24"/>
                <w:szCs w:val="24"/>
              </w:rPr>
              <w:t xml:space="preserve">with </w:t>
            </w:r>
            <w:r>
              <w:rPr>
                <w:rFonts w:ascii="Times New Roman" w:hAnsi="Times New Roman" w:cs="Times New Roman"/>
                <w:sz w:val="24"/>
                <w:szCs w:val="24"/>
              </w:rPr>
              <w:t xml:space="preserve">National </w:t>
            </w:r>
            <w:r w:rsidR="005A7926">
              <w:rPr>
                <w:rFonts w:ascii="Times New Roman" w:hAnsi="Times New Roman" w:cs="Times New Roman"/>
                <w:sz w:val="24"/>
                <w:szCs w:val="24"/>
              </w:rPr>
              <w:t>T</w:t>
            </w:r>
            <w:r>
              <w:rPr>
                <w:rFonts w:ascii="Times New Roman" w:hAnsi="Times New Roman" w:cs="Times New Roman"/>
                <w:sz w:val="24"/>
                <w:szCs w:val="24"/>
              </w:rPr>
              <w:t>reasury develop a funding plan for the filling of critical frontline health posts.</w:t>
            </w:r>
          </w:p>
          <w:p w14:paraId="67B17881"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That leadership and governance challenges in provincial departments be addressed to ensure that health allocations are spent.</w:t>
            </w:r>
          </w:p>
          <w:p w14:paraId="1E68E666"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That NDOH develop a plan to address challenges in NHI indirect grant in relation to underspending.</w:t>
            </w:r>
          </w:p>
          <w:p w14:paraId="395BA25C" w14:textId="77777777" w:rsidR="008737A5" w:rsidRPr="002E255C"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That NDOH implement the National Community Health Worker policy and the recommendations of the CHW investment case.</w:t>
            </w:r>
          </w:p>
        </w:tc>
      </w:tr>
      <w:tr w:rsidR="008737A5" w14:paraId="686044E1" w14:textId="77777777" w:rsidTr="009A6B30">
        <w:tc>
          <w:tcPr>
            <w:tcW w:w="0" w:type="auto"/>
          </w:tcPr>
          <w:p w14:paraId="72EA42E2" w14:textId="77777777" w:rsidR="008737A5" w:rsidRDefault="008737A5" w:rsidP="009A6B30">
            <w:pPr>
              <w:spacing w:line="360" w:lineRule="auto"/>
              <w:jc w:val="both"/>
              <w:rPr>
                <w:rFonts w:ascii="Times New Roman" w:hAnsi="Times New Roman" w:cs="Times New Roman"/>
                <w:sz w:val="24"/>
                <w:szCs w:val="24"/>
              </w:rPr>
            </w:pPr>
            <w:r>
              <w:rPr>
                <w:rFonts w:ascii="Times New Roman" w:hAnsi="Times New Roman" w:cs="Times New Roman"/>
                <w:sz w:val="24"/>
                <w:szCs w:val="24"/>
              </w:rPr>
              <w:t>Social Development</w:t>
            </w:r>
          </w:p>
        </w:tc>
        <w:tc>
          <w:tcPr>
            <w:tcW w:w="0" w:type="auto"/>
          </w:tcPr>
          <w:p w14:paraId="2014D0BD"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Concern that potential beneficiaries of Child Support Grant are being excluded given the declared unspent funds of R630 million in 2018/19 FY.</w:t>
            </w:r>
          </w:p>
          <w:p w14:paraId="5998A738"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Concern that although SA is a signatory to the International Covenant on Socio Economic Rights, there is no commitment to social assistance to vulnerable poor people between 18-59.</w:t>
            </w:r>
          </w:p>
          <w:p w14:paraId="5053F0E6"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 about impact of VAT increases on food security of poor people: Food Relief Programme allocation is for supporting 413000 vulnerable people but only 122806 vulnerable individuals accessed support. </w:t>
            </w:r>
          </w:p>
        </w:tc>
        <w:tc>
          <w:tcPr>
            <w:tcW w:w="0" w:type="auto"/>
          </w:tcPr>
          <w:p w14:paraId="3F4D946D"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That National Treasury fully integrate pro-poor social assistance into economic recovery plans.</w:t>
            </w:r>
          </w:p>
          <w:p w14:paraId="1E43F084"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 xml:space="preserve">That the administrative exclusion of potential beneficiaries of child support grant be investigated i.e. DSOD provide insights into reported efficiencies in assessment as well as lower than expected demand despite anecdotal evidence to the contrary. </w:t>
            </w:r>
          </w:p>
          <w:p w14:paraId="2F6EC668"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 xml:space="preserve">That National Treasury along with DSOD investigate the progressive implementation of a Basic income Grant and prioritise the review of comprehensive social security. </w:t>
            </w:r>
          </w:p>
          <w:p w14:paraId="47BE3E13"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rPr>
              <w:t xml:space="preserve">That Parliament prioritises the passing of the Social Assistance Amendment Bill to create a Child Support Grant top up for orphans in line with the High Court Order. </w:t>
            </w:r>
          </w:p>
        </w:tc>
      </w:tr>
      <w:tr w:rsidR="008737A5" w14:paraId="69462F2A" w14:textId="77777777" w:rsidTr="009A6B30">
        <w:tc>
          <w:tcPr>
            <w:tcW w:w="0" w:type="auto"/>
          </w:tcPr>
          <w:p w14:paraId="503F4DBE" w14:textId="77777777" w:rsidR="008737A5" w:rsidRDefault="008737A5" w:rsidP="009A6B30">
            <w:pPr>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Governance</w:t>
            </w:r>
          </w:p>
        </w:tc>
        <w:tc>
          <w:tcPr>
            <w:tcW w:w="0" w:type="auto"/>
          </w:tcPr>
          <w:p w14:paraId="27966258"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Welcomed 4.5 increase in Department of Environmental Affairs allocation but analyses of budget mix indicate that 54 per cent of department’s budget is allocated to the Expanded Public Works Programme.</w:t>
            </w:r>
          </w:p>
          <w:p w14:paraId="4F478829" w14:textId="28014E48"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Note with concern that less than 30% of departments budget allocated on department’s core work of overseeing and </w:t>
            </w:r>
            <w:r w:rsidR="00DF6CA3">
              <w:rPr>
                <w:rFonts w:ascii="Times New Roman" w:hAnsi="Times New Roman" w:cs="Times New Roman"/>
                <w:sz w:val="24"/>
                <w:szCs w:val="24"/>
              </w:rPr>
              <w:t>fulfilling legal</w:t>
            </w:r>
            <w:r>
              <w:rPr>
                <w:rFonts w:ascii="Times New Roman" w:hAnsi="Times New Roman" w:cs="Times New Roman"/>
                <w:sz w:val="24"/>
                <w:szCs w:val="24"/>
              </w:rPr>
              <w:t xml:space="preserve"> responsibilities emanating from South Africa Environmental Statutes due to </w:t>
            </w:r>
            <w:r w:rsidRPr="00C05429">
              <w:rPr>
                <w:rFonts w:ascii="Times New Roman" w:hAnsi="Times New Roman" w:cs="Times New Roman"/>
                <w:sz w:val="24"/>
                <w:szCs w:val="24"/>
              </w:rPr>
              <w:t>green projects and EPW</w:t>
            </w:r>
            <w:r w:rsidR="00DF6CA3">
              <w:rPr>
                <w:rFonts w:ascii="Times New Roman" w:hAnsi="Times New Roman" w:cs="Times New Roman"/>
                <w:sz w:val="24"/>
                <w:szCs w:val="24"/>
              </w:rPr>
              <w:t>P focus</w:t>
            </w:r>
            <w:r>
              <w:rPr>
                <w:rFonts w:ascii="Times New Roman" w:hAnsi="Times New Roman" w:cs="Times New Roman"/>
                <w:sz w:val="24"/>
                <w:szCs w:val="24"/>
              </w:rPr>
              <w:t xml:space="preserve">. This poses a risk to department fulfilling its constitutional obligation. </w:t>
            </w:r>
          </w:p>
          <w:p w14:paraId="063F5D99" w14:textId="77777777" w:rsidR="008737A5" w:rsidRPr="00C05429"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 that a mere 9 per cent allocation of total budget to Department is alarming in light of significant environmental risks. </w:t>
            </w:r>
          </w:p>
        </w:tc>
        <w:tc>
          <w:tcPr>
            <w:tcW w:w="0" w:type="auto"/>
          </w:tcPr>
          <w:p w14:paraId="47F65BBF" w14:textId="08AD0FCC" w:rsidR="008737A5" w:rsidRPr="00C507DD"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C507DD">
              <w:rPr>
                <w:rFonts w:ascii="Times New Roman" w:hAnsi="Times New Roman" w:cs="Times New Roman"/>
                <w:sz w:val="24"/>
                <w:szCs w:val="24"/>
                <w:lang w:val="en-GB"/>
              </w:rPr>
              <w:t xml:space="preserve">There is a need to reorganise the current budget mix to </w:t>
            </w:r>
            <w:r w:rsidR="00DF6CA3" w:rsidRPr="00C507DD">
              <w:rPr>
                <w:rFonts w:ascii="Times New Roman" w:hAnsi="Times New Roman" w:cs="Times New Roman"/>
                <w:sz w:val="24"/>
                <w:szCs w:val="24"/>
                <w:lang w:val="en-GB"/>
              </w:rPr>
              <w:t>support the</w:t>
            </w:r>
            <w:r w:rsidRPr="00C507DD">
              <w:rPr>
                <w:rFonts w:ascii="Times New Roman" w:hAnsi="Times New Roman" w:cs="Times New Roman"/>
                <w:sz w:val="24"/>
                <w:szCs w:val="24"/>
                <w:lang w:val="en-GB"/>
              </w:rPr>
              <w:t xml:space="preserve"> departments core work</w:t>
            </w:r>
            <w:r>
              <w:rPr>
                <w:rFonts w:ascii="Times New Roman" w:hAnsi="Times New Roman" w:cs="Times New Roman"/>
                <w:sz w:val="24"/>
                <w:szCs w:val="24"/>
                <w:lang w:val="en-GB"/>
              </w:rPr>
              <w:t>.</w:t>
            </w:r>
            <w:r w:rsidRPr="00C507DD">
              <w:rPr>
                <w:rFonts w:ascii="Times New Roman" w:hAnsi="Times New Roman" w:cs="Times New Roman"/>
                <w:sz w:val="24"/>
                <w:szCs w:val="24"/>
                <w:lang w:val="en-GB"/>
              </w:rPr>
              <w:t xml:space="preserve"> </w:t>
            </w:r>
          </w:p>
          <w:p w14:paraId="512A8BD2" w14:textId="77777777" w:rsidR="008737A5" w:rsidRPr="00C507DD"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Pr>
                <w:rFonts w:ascii="Times New Roman" w:hAnsi="Times New Roman" w:cs="Times New Roman"/>
                <w:sz w:val="24"/>
                <w:szCs w:val="24"/>
                <w:lang w:val="en-GB"/>
              </w:rPr>
              <w:t>That c</w:t>
            </w:r>
            <w:r w:rsidRPr="00C507DD">
              <w:rPr>
                <w:rFonts w:ascii="Times New Roman" w:hAnsi="Times New Roman" w:cs="Times New Roman"/>
                <w:sz w:val="24"/>
                <w:szCs w:val="24"/>
                <w:lang w:val="en-GB"/>
              </w:rPr>
              <w:t xml:space="preserve">onsideration should be given to moving current EPW programs housed within the department to the expanded public works programs which promote more efficient implementation </w:t>
            </w:r>
          </w:p>
          <w:p w14:paraId="6842E488" w14:textId="77777777" w:rsidR="008737A5" w:rsidRPr="00C507DD"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C507DD">
              <w:rPr>
                <w:rFonts w:ascii="Times New Roman" w:hAnsi="Times New Roman" w:cs="Times New Roman"/>
                <w:sz w:val="24"/>
                <w:szCs w:val="24"/>
                <w:lang w:val="en-GB"/>
              </w:rPr>
              <w:t>Request the department of planning monitoring and evaluation to investigate current mandate of the department and report on the extent to which the department budget is suf</w:t>
            </w:r>
            <w:r>
              <w:rPr>
                <w:rFonts w:ascii="Times New Roman" w:hAnsi="Times New Roman" w:cs="Times New Roman"/>
                <w:sz w:val="24"/>
                <w:szCs w:val="24"/>
                <w:lang w:val="en-GB"/>
              </w:rPr>
              <w:t>ficient to deliver its mandate.</w:t>
            </w:r>
          </w:p>
        </w:tc>
      </w:tr>
      <w:tr w:rsidR="008737A5" w14:paraId="454A95B0" w14:textId="77777777" w:rsidTr="009A6B30">
        <w:tc>
          <w:tcPr>
            <w:tcW w:w="0" w:type="auto"/>
          </w:tcPr>
          <w:p w14:paraId="448C3E77" w14:textId="77777777" w:rsidR="008737A5" w:rsidRDefault="008737A5" w:rsidP="009A6B30">
            <w:pPr>
              <w:spacing w:line="360" w:lineRule="auto"/>
              <w:jc w:val="both"/>
              <w:rPr>
                <w:rFonts w:ascii="Times New Roman" w:hAnsi="Times New Roman" w:cs="Times New Roman"/>
                <w:sz w:val="24"/>
                <w:szCs w:val="24"/>
              </w:rPr>
            </w:pPr>
            <w:r>
              <w:rPr>
                <w:rFonts w:ascii="Times New Roman" w:hAnsi="Times New Roman" w:cs="Times New Roman"/>
                <w:sz w:val="24"/>
                <w:szCs w:val="24"/>
              </w:rPr>
              <w:t>Human Settlements</w:t>
            </w:r>
          </w:p>
        </w:tc>
        <w:tc>
          <w:tcPr>
            <w:tcW w:w="0" w:type="auto"/>
          </w:tcPr>
          <w:p w14:paraId="53453DC3" w14:textId="77777777" w:rsidR="008737A5" w:rsidRPr="00552884"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Notes that </w:t>
            </w:r>
            <w:r>
              <w:rPr>
                <w:rFonts w:ascii="Times New Roman" w:hAnsi="Times New Roman" w:cs="Times New Roman"/>
                <w:sz w:val="24"/>
                <w:szCs w:val="24"/>
                <w:lang w:val="en-GB"/>
              </w:rPr>
              <w:t>t</w:t>
            </w:r>
            <w:r w:rsidRPr="00552884">
              <w:rPr>
                <w:rFonts w:ascii="Times New Roman" w:hAnsi="Times New Roman" w:cs="Times New Roman"/>
                <w:sz w:val="24"/>
                <w:szCs w:val="24"/>
                <w:lang w:val="en-GB"/>
              </w:rPr>
              <w:t xml:space="preserve">he right to housing  is central to fulfilment of a number of fundamental rights including the right to health and the right to dignity  </w:t>
            </w:r>
          </w:p>
          <w:p w14:paraId="225F3636"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Concern that housing delivery will take the City of Cape Town about 60 years to get through its waiting list. </w:t>
            </w:r>
          </w:p>
          <w:p w14:paraId="39AF7D53" w14:textId="77777777" w:rsidR="008737A5"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Concern that over 3.1 million people live in informal settlements</w:t>
            </w:r>
          </w:p>
          <w:p w14:paraId="1C67AC7A" w14:textId="77777777" w:rsidR="008737A5" w:rsidRPr="00552884"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 xml:space="preserve">Of view that </w:t>
            </w:r>
            <w:r w:rsidRPr="00552884">
              <w:rPr>
                <w:rFonts w:ascii="Times New Roman" w:hAnsi="Times New Roman" w:cs="Times New Roman"/>
                <w:sz w:val="24"/>
                <w:szCs w:val="24"/>
                <w:lang w:val="en-GB"/>
              </w:rPr>
              <w:t>continued failure in thi</w:t>
            </w:r>
            <w:r>
              <w:rPr>
                <w:rFonts w:ascii="Times New Roman" w:hAnsi="Times New Roman" w:cs="Times New Roman"/>
                <w:sz w:val="24"/>
                <w:szCs w:val="24"/>
                <w:lang w:val="en-GB"/>
              </w:rPr>
              <w:t>s program is longer acceptable a</w:t>
            </w:r>
            <w:r w:rsidRPr="00552884">
              <w:rPr>
                <w:rFonts w:ascii="Times New Roman" w:hAnsi="Times New Roman" w:cs="Times New Roman"/>
                <w:sz w:val="24"/>
                <w:szCs w:val="24"/>
                <w:lang w:val="en-GB"/>
              </w:rPr>
              <w:t>s we move towards our 25</w:t>
            </w:r>
            <w:r w:rsidRPr="0055288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year as a democracy .</w:t>
            </w:r>
          </w:p>
        </w:tc>
        <w:tc>
          <w:tcPr>
            <w:tcW w:w="0" w:type="auto"/>
          </w:tcPr>
          <w:p w14:paraId="50507732" w14:textId="77777777" w:rsidR="008737A5" w:rsidRPr="00F53F83"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F53F83">
              <w:rPr>
                <w:rFonts w:ascii="Times New Roman" w:hAnsi="Times New Roman" w:cs="Times New Roman"/>
                <w:sz w:val="24"/>
                <w:szCs w:val="24"/>
                <w:lang w:val="en-GB"/>
              </w:rPr>
              <w:t>Request an analysis of the extent to which current intergov</w:t>
            </w:r>
            <w:r>
              <w:rPr>
                <w:rFonts w:ascii="Times New Roman" w:hAnsi="Times New Roman" w:cs="Times New Roman"/>
                <w:sz w:val="24"/>
                <w:szCs w:val="24"/>
                <w:lang w:val="en-GB"/>
              </w:rPr>
              <w:t>ernmental fiscal arrangements are</w:t>
            </w:r>
            <w:r w:rsidRPr="00F53F83">
              <w:rPr>
                <w:rFonts w:ascii="Times New Roman" w:hAnsi="Times New Roman" w:cs="Times New Roman"/>
                <w:sz w:val="24"/>
                <w:szCs w:val="24"/>
                <w:lang w:val="en-GB"/>
              </w:rPr>
              <w:t xml:space="preserve"> impacting on the delivery  of this right </w:t>
            </w:r>
          </w:p>
          <w:p w14:paraId="39F99FD1" w14:textId="77777777" w:rsidR="008737A5" w:rsidRPr="00F53F83"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F53F83">
              <w:rPr>
                <w:rFonts w:ascii="Times New Roman" w:hAnsi="Times New Roman" w:cs="Times New Roman"/>
                <w:sz w:val="24"/>
                <w:szCs w:val="24"/>
                <w:lang w:val="en-GB"/>
              </w:rPr>
              <w:t xml:space="preserve">Investigate the extent constraints on the delivery of subsidy units  with mere 33% of targeted units reached </w:t>
            </w:r>
          </w:p>
          <w:p w14:paraId="3874E8EC" w14:textId="77777777" w:rsidR="008737A5" w:rsidRPr="00F53F83"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F53F83">
              <w:rPr>
                <w:rFonts w:ascii="Times New Roman" w:hAnsi="Times New Roman" w:cs="Times New Roman"/>
                <w:sz w:val="24"/>
                <w:szCs w:val="24"/>
                <w:lang w:val="en-GB"/>
              </w:rPr>
              <w:t xml:space="preserve">Request the department to submit plans to address weaknesses in informal settlement upgrading plans </w:t>
            </w:r>
          </w:p>
          <w:p w14:paraId="781870F6" w14:textId="77777777" w:rsidR="008737A5" w:rsidRPr="00F53F83"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F53F83">
              <w:rPr>
                <w:rFonts w:ascii="Times New Roman" w:hAnsi="Times New Roman" w:cs="Times New Roman"/>
                <w:sz w:val="24"/>
                <w:szCs w:val="24"/>
                <w:lang w:val="en-GB"/>
              </w:rPr>
              <w:t xml:space="preserve">Investigate the  withholding of the Human Settlements Development Grant to Limpopo </w:t>
            </w:r>
          </w:p>
          <w:p w14:paraId="5CB2754B" w14:textId="77777777" w:rsidR="008737A5" w:rsidRPr="00F53F83"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r w:rsidRPr="00F53F83">
              <w:rPr>
                <w:rFonts w:ascii="Times New Roman" w:hAnsi="Times New Roman" w:cs="Times New Roman"/>
                <w:sz w:val="24"/>
                <w:szCs w:val="24"/>
                <w:lang w:val="en-GB"/>
              </w:rPr>
              <w:t xml:space="preserve">Request treasury to investigate the introduction of new funding conditions to improve the performance of Urban Settlements Grants </w:t>
            </w:r>
          </w:p>
        </w:tc>
      </w:tr>
      <w:tr w:rsidR="008737A5" w14:paraId="34869D66" w14:textId="77777777" w:rsidTr="009A6B30">
        <w:tc>
          <w:tcPr>
            <w:tcW w:w="0" w:type="auto"/>
          </w:tcPr>
          <w:p w14:paraId="595D59CD" w14:textId="77777777" w:rsidR="008737A5" w:rsidRDefault="008737A5" w:rsidP="009A6B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Rural Development &amp; Land Reform </w:t>
            </w:r>
          </w:p>
        </w:tc>
        <w:tc>
          <w:tcPr>
            <w:tcW w:w="0" w:type="auto"/>
          </w:tcPr>
          <w:p w14:paraId="6D4AF7A5" w14:textId="77777777" w:rsidR="008737A5" w:rsidRPr="00F53F83"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rPr>
              <w:t>Concern that d</w:t>
            </w:r>
            <w:r w:rsidRPr="00F53F83">
              <w:rPr>
                <w:rFonts w:ascii="Times New Roman" w:hAnsi="Times New Roman" w:cs="Times New Roman"/>
                <w:sz w:val="24"/>
                <w:szCs w:val="24"/>
              </w:rPr>
              <w:t>espite the dominance of the la</w:t>
            </w:r>
            <w:r>
              <w:rPr>
                <w:rFonts w:ascii="Times New Roman" w:hAnsi="Times New Roman" w:cs="Times New Roman"/>
                <w:sz w:val="24"/>
                <w:szCs w:val="24"/>
              </w:rPr>
              <w:t xml:space="preserve">nd issue in political discourse </w:t>
            </w:r>
            <w:r w:rsidRPr="00F53F83">
              <w:rPr>
                <w:rFonts w:ascii="Times New Roman" w:hAnsi="Times New Roman" w:cs="Times New Roman"/>
                <w:sz w:val="24"/>
                <w:szCs w:val="24"/>
              </w:rPr>
              <w:t xml:space="preserve">the MTBPS offers little guidance on the extent to which the deficiencies in the current program will addressed over the medium term. </w:t>
            </w:r>
          </w:p>
          <w:p w14:paraId="700B5D8A" w14:textId="77777777" w:rsidR="008737A5" w:rsidRPr="00F53F83"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lang w:val="en-US"/>
              </w:rPr>
              <w:t>Concern that i</w:t>
            </w:r>
            <w:r w:rsidRPr="00F53F83">
              <w:rPr>
                <w:rFonts w:ascii="Times New Roman" w:hAnsi="Times New Roman" w:cs="Times New Roman"/>
                <w:sz w:val="24"/>
                <w:szCs w:val="24"/>
                <w:lang w:val="en-US"/>
              </w:rPr>
              <w:t>nstead an  ready miniscule land reform budget is reduced by 35 %</w:t>
            </w:r>
          </w:p>
          <w:p w14:paraId="7F1066D9" w14:textId="77777777" w:rsidR="008737A5" w:rsidRPr="00F53F83" w:rsidRDefault="008737A5" w:rsidP="008737A5">
            <w:pPr>
              <w:pStyle w:val="ListParagraph"/>
              <w:numPr>
                <w:ilvl w:val="0"/>
                <w:numId w:val="35"/>
              </w:numPr>
              <w:spacing w:line="360" w:lineRule="auto"/>
              <w:ind w:left="262" w:hanging="262"/>
              <w:jc w:val="both"/>
              <w:rPr>
                <w:rFonts w:ascii="Times New Roman" w:hAnsi="Times New Roman" w:cs="Times New Roman"/>
                <w:sz w:val="24"/>
                <w:szCs w:val="24"/>
              </w:rPr>
            </w:pPr>
            <w:r>
              <w:rPr>
                <w:rFonts w:ascii="Times New Roman" w:hAnsi="Times New Roman" w:cs="Times New Roman"/>
                <w:sz w:val="24"/>
                <w:szCs w:val="24"/>
                <w:lang w:val="en-US"/>
              </w:rPr>
              <w:t>Concern that n</w:t>
            </w:r>
            <w:r w:rsidRPr="00F53F83">
              <w:rPr>
                <w:rFonts w:ascii="Times New Roman" w:hAnsi="Times New Roman" w:cs="Times New Roman"/>
                <w:sz w:val="24"/>
                <w:szCs w:val="24"/>
                <w:lang w:val="en-US"/>
              </w:rPr>
              <w:t>o new measures or programs are introduced to address serious problems in the program highlighted in our written submission</w:t>
            </w:r>
          </w:p>
        </w:tc>
        <w:tc>
          <w:tcPr>
            <w:tcW w:w="0" w:type="auto"/>
          </w:tcPr>
          <w:p w14:paraId="33468C71" w14:textId="77777777" w:rsidR="008737A5" w:rsidRDefault="008737A5" w:rsidP="008737A5">
            <w:pPr>
              <w:pStyle w:val="ListParagraph"/>
              <w:numPr>
                <w:ilvl w:val="0"/>
                <w:numId w:val="35"/>
              </w:numPr>
              <w:spacing w:line="360" w:lineRule="auto"/>
              <w:ind w:left="244" w:hanging="244"/>
              <w:jc w:val="both"/>
              <w:rPr>
                <w:rFonts w:ascii="Times New Roman" w:hAnsi="Times New Roman" w:cs="Times New Roman"/>
                <w:sz w:val="24"/>
                <w:szCs w:val="24"/>
              </w:rPr>
            </w:pPr>
          </w:p>
        </w:tc>
      </w:tr>
    </w:tbl>
    <w:p w14:paraId="2B511D6F" w14:textId="77777777" w:rsidR="000850EB" w:rsidRPr="008737A5" w:rsidRDefault="000850EB" w:rsidP="008737A5">
      <w:pPr>
        <w:tabs>
          <w:tab w:val="left" w:pos="426"/>
        </w:tabs>
        <w:spacing w:line="360" w:lineRule="auto"/>
        <w:jc w:val="both"/>
        <w:rPr>
          <w:rFonts w:ascii="Times New Roman" w:hAnsi="Times New Roman" w:cs="Times New Roman"/>
          <w:b/>
          <w:sz w:val="24"/>
          <w:szCs w:val="24"/>
        </w:rPr>
      </w:pPr>
    </w:p>
    <w:p w14:paraId="61E2FAD2" w14:textId="77777777" w:rsidR="000850EB" w:rsidRPr="008C6C81" w:rsidRDefault="000850EB" w:rsidP="008C6C81">
      <w:pPr>
        <w:pStyle w:val="ListParagraph"/>
        <w:numPr>
          <w:ilvl w:val="1"/>
          <w:numId w:val="34"/>
        </w:numPr>
        <w:tabs>
          <w:tab w:val="left" w:pos="426"/>
        </w:tabs>
        <w:spacing w:line="360" w:lineRule="auto"/>
        <w:jc w:val="both"/>
        <w:rPr>
          <w:rFonts w:ascii="Times New Roman" w:hAnsi="Times New Roman" w:cs="Times New Roman"/>
          <w:b/>
          <w:sz w:val="24"/>
          <w:szCs w:val="24"/>
        </w:rPr>
      </w:pPr>
      <w:r w:rsidRPr="00B367C8">
        <w:rPr>
          <w:rFonts w:ascii="Times New Roman" w:hAnsi="Times New Roman" w:cs="Times New Roman"/>
          <w:b/>
          <w:sz w:val="24"/>
          <w:szCs w:val="24"/>
        </w:rPr>
        <w:t>Rural Health Advocacy Project</w:t>
      </w:r>
    </w:p>
    <w:p w14:paraId="5BBD3FC6" w14:textId="37FBDAEF" w:rsidR="000E3234" w:rsidRPr="00B367C8" w:rsidRDefault="000E3234" w:rsidP="000E3234">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Rural Health Advocacy Project (RHAP) in its submission focused on the provision of health services in rural areas of South Africa. It submitted that while a substantial portion of the national budget was allocated to health, this amount was unlikely to meet the immediate needs of the health sector.  It was of the view that available resources are prioritised to both protect the health system from further decline while also ensuring access to quality health services for particularly vulnerable and underserved </w:t>
      </w:r>
      <w:r w:rsidR="00CC2019">
        <w:rPr>
          <w:rFonts w:ascii="Times New Roman" w:hAnsi="Times New Roman" w:cs="Times New Roman"/>
          <w:sz w:val="24"/>
          <w:szCs w:val="24"/>
        </w:rPr>
        <w:t>groups. With regard to the Human Resources for H</w:t>
      </w:r>
      <w:r w:rsidRPr="00B367C8">
        <w:rPr>
          <w:rFonts w:ascii="Times New Roman" w:hAnsi="Times New Roman" w:cs="Times New Roman"/>
          <w:sz w:val="24"/>
          <w:szCs w:val="24"/>
        </w:rPr>
        <w:t>ealth, the RHAP recommended the following:</w:t>
      </w:r>
    </w:p>
    <w:p w14:paraId="064487F1" w14:textId="77777777" w:rsidR="000E3234" w:rsidRPr="00B367C8" w:rsidRDefault="00A70799" w:rsidP="000E323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of H</w:t>
      </w:r>
      <w:r w:rsidR="000E3234" w:rsidRPr="00B367C8">
        <w:rPr>
          <w:rFonts w:ascii="Times New Roman" w:hAnsi="Times New Roman" w:cs="Times New Roman"/>
          <w:sz w:val="24"/>
          <w:szCs w:val="24"/>
        </w:rPr>
        <w:t>ealth should consider compiling a report highlighting the current distribution of health care workers across provinces, districts and level of care;</w:t>
      </w:r>
    </w:p>
    <w:p w14:paraId="0E1FE971" w14:textId="77777777" w:rsidR="000E3234" w:rsidRPr="00B367C8" w:rsidRDefault="000E3234" w:rsidP="000E3234">
      <w:pPr>
        <w:pStyle w:val="ListParagraph"/>
        <w:numPr>
          <w:ilvl w:val="0"/>
          <w:numId w:val="22"/>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The Department of Health should consider developing a transparent prioritisation tool that will inform which posts are filled; and</w:t>
      </w:r>
    </w:p>
    <w:p w14:paraId="794B5310" w14:textId="77777777" w:rsidR="000E3234" w:rsidRPr="00B367C8" w:rsidRDefault="000E3234" w:rsidP="000E3234">
      <w:pPr>
        <w:pStyle w:val="ListParagraph"/>
        <w:numPr>
          <w:ilvl w:val="0"/>
          <w:numId w:val="22"/>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Prioritise the filling of vacant rural posts where more than 95 per cent of communities rely on the state as the sole provider of health care services.</w:t>
      </w:r>
    </w:p>
    <w:p w14:paraId="59BE83CC" w14:textId="77777777" w:rsidR="000E3234" w:rsidRPr="00B367C8" w:rsidRDefault="000E3234" w:rsidP="000E3234">
      <w:pPr>
        <w:spacing w:line="360" w:lineRule="auto"/>
        <w:jc w:val="both"/>
        <w:rPr>
          <w:rFonts w:ascii="Times New Roman" w:hAnsi="Times New Roman" w:cs="Times New Roman"/>
          <w:sz w:val="24"/>
          <w:szCs w:val="24"/>
        </w:rPr>
      </w:pPr>
    </w:p>
    <w:p w14:paraId="7CD31407" w14:textId="7EEA086D" w:rsidR="000E3234" w:rsidRPr="00B367C8" w:rsidRDefault="000E3234" w:rsidP="000E3234">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In terms of the improvement of health management and information systems, the RHAP recommended that an assessment</w:t>
      </w:r>
      <w:r w:rsidR="00DE06A1">
        <w:rPr>
          <w:rFonts w:ascii="Times New Roman" w:hAnsi="Times New Roman" w:cs="Times New Roman"/>
          <w:sz w:val="24"/>
          <w:szCs w:val="24"/>
        </w:rPr>
        <w:t xml:space="preserve"> </w:t>
      </w:r>
      <w:r w:rsidR="0042567B">
        <w:rPr>
          <w:rFonts w:ascii="Times New Roman" w:hAnsi="Times New Roman" w:cs="Times New Roman"/>
          <w:sz w:val="24"/>
          <w:szCs w:val="24"/>
        </w:rPr>
        <w:t>be conducted</w:t>
      </w:r>
      <w:r w:rsidR="0042567B" w:rsidRPr="00B367C8">
        <w:rPr>
          <w:rFonts w:ascii="Times New Roman" w:hAnsi="Times New Roman" w:cs="Times New Roman"/>
          <w:sz w:val="24"/>
          <w:szCs w:val="24"/>
        </w:rPr>
        <w:t xml:space="preserve"> </w:t>
      </w:r>
      <w:r w:rsidRPr="00B367C8">
        <w:rPr>
          <w:rFonts w:ascii="Times New Roman" w:hAnsi="Times New Roman" w:cs="Times New Roman"/>
          <w:sz w:val="24"/>
          <w:szCs w:val="24"/>
        </w:rPr>
        <w:t>into the current information technology programmes in health to gauge the functionality and cost effectiveness of current systems. The stakeholder also commented on the state of rural infrastructure and submitted that a new approach was needed. To</w:t>
      </w:r>
      <w:r w:rsidR="00A70799">
        <w:rPr>
          <w:rFonts w:ascii="Times New Roman" w:hAnsi="Times New Roman" w:cs="Times New Roman"/>
          <w:sz w:val="24"/>
          <w:szCs w:val="24"/>
        </w:rPr>
        <w:t xml:space="preserve"> this end, it recommended that P</w:t>
      </w:r>
      <w:r w:rsidRPr="00B367C8">
        <w:rPr>
          <w:rFonts w:ascii="Times New Roman" w:hAnsi="Times New Roman" w:cs="Times New Roman"/>
          <w:sz w:val="24"/>
          <w:szCs w:val="24"/>
        </w:rPr>
        <w:t>arliament requests National Treasury to compile a detailed overview on the performance of health infrastructure grants over the last nine years highlighting the extent to which projects aligned to pro</w:t>
      </w:r>
      <w:r w:rsidR="0042567B">
        <w:rPr>
          <w:rFonts w:ascii="Times New Roman" w:hAnsi="Times New Roman" w:cs="Times New Roman"/>
          <w:sz w:val="24"/>
          <w:szCs w:val="24"/>
        </w:rPr>
        <w:t>ject costs. Furthermore, the RHA</w:t>
      </w:r>
      <w:r w:rsidRPr="00B367C8">
        <w:rPr>
          <w:rFonts w:ascii="Times New Roman" w:hAnsi="Times New Roman" w:cs="Times New Roman"/>
          <w:sz w:val="24"/>
          <w:szCs w:val="24"/>
        </w:rPr>
        <w:t>P recommended that the Department of Health should provide a comprehensive list of projects and engage in a process that prioritise the fixing of existing infrastructure. Given the transition into the National Health Insurance, the RHAP submitted that rural projects needed to be prioritised as these commun</w:t>
      </w:r>
      <w:r w:rsidR="00A70799">
        <w:rPr>
          <w:rFonts w:ascii="Times New Roman" w:hAnsi="Times New Roman" w:cs="Times New Roman"/>
          <w:sz w:val="24"/>
          <w:szCs w:val="24"/>
        </w:rPr>
        <w:t>ities were completely reliant on</w:t>
      </w:r>
      <w:r w:rsidRPr="00B367C8">
        <w:rPr>
          <w:rFonts w:ascii="Times New Roman" w:hAnsi="Times New Roman" w:cs="Times New Roman"/>
          <w:sz w:val="24"/>
          <w:szCs w:val="24"/>
        </w:rPr>
        <w:t xml:space="preserve"> public sector facilities. </w:t>
      </w:r>
    </w:p>
    <w:p w14:paraId="48B45876" w14:textId="77777777" w:rsidR="000E3234" w:rsidRPr="00B367C8" w:rsidRDefault="000E3234" w:rsidP="000E3234">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The RHAP further commented on the challenges relating to oversight and governance in provincial health departments and made the following recommendations:</w:t>
      </w:r>
    </w:p>
    <w:p w14:paraId="49B293E3" w14:textId="77777777" w:rsidR="000E3234" w:rsidRPr="00B367C8" w:rsidRDefault="000E3234" w:rsidP="000E3234">
      <w:pPr>
        <w:pStyle w:val="ListParagraph"/>
        <w:numPr>
          <w:ilvl w:val="0"/>
          <w:numId w:val="24"/>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a review of the current intergovernmental fiscal arrangements with view to ensuring that funding allocated for health was used for its intended purpose.</w:t>
      </w:r>
    </w:p>
    <w:p w14:paraId="62E05051" w14:textId="77777777" w:rsidR="000E3234" w:rsidRPr="00B367C8" w:rsidRDefault="000E3234" w:rsidP="000E3234">
      <w:pPr>
        <w:pStyle w:val="ListParagraph"/>
        <w:numPr>
          <w:ilvl w:val="0"/>
          <w:numId w:val="23"/>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Investigate the management of current supply chain management policies within provincial department of health.</w:t>
      </w:r>
    </w:p>
    <w:p w14:paraId="52761FFF" w14:textId="3B4913FE" w:rsidR="000E3234" w:rsidRPr="00B367C8" w:rsidRDefault="000E3234" w:rsidP="000E3234">
      <w:pPr>
        <w:pStyle w:val="ListParagraph"/>
        <w:numPr>
          <w:ilvl w:val="0"/>
          <w:numId w:val="23"/>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Request provinces to assess the capability of hospital and health committees to conduct facility based oversight and ensure that the necessary funding is available to support </w:t>
      </w:r>
      <w:r w:rsidR="00DE06A1">
        <w:rPr>
          <w:rFonts w:ascii="Times New Roman" w:hAnsi="Times New Roman" w:cs="Times New Roman"/>
          <w:sz w:val="24"/>
          <w:szCs w:val="24"/>
        </w:rPr>
        <w:t xml:space="preserve">the </w:t>
      </w:r>
      <w:r w:rsidRPr="00B367C8">
        <w:rPr>
          <w:rFonts w:ascii="Times New Roman" w:hAnsi="Times New Roman" w:cs="Times New Roman"/>
          <w:sz w:val="24"/>
          <w:szCs w:val="24"/>
        </w:rPr>
        <w:t>same.</w:t>
      </w:r>
    </w:p>
    <w:p w14:paraId="18B65B0C" w14:textId="77777777" w:rsidR="000E3234" w:rsidRPr="00B367C8" w:rsidRDefault="000E3234" w:rsidP="000850EB">
      <w:pPr>
        <w:pStyle w:val="ListParagraph"/>
        <w:numPr>
          <w:ilvl w:val="0"/>
          <w:numId w:val="23"/>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Insist on the prioritisation of the rural health system with the establishment of a rural health task team to investigate the state of delivery specifically in rural districts. </w:t>
      </w:r>
    </w:p>
    <w:p w14:paraId="26CF93EF" w14:textId="77777777" w:rsidR="003D2849" w:rsidRPr="00B367C8" w:rsidRDefault="003D2849" w:rsidP="003D2849">
      <w:pPr>
        <w:pStyle w:val="ListParagraph"/>
        <w:spacing w:line="360" w:lineRule="auto"/>
        <w:jc w:val="both"/>
        <w:rPr>
          <w:rFonts w:ascii="Times New Roman" w:hAnsi="Times New Roman" w:cs="Times New Roman"/>
          <w:sz w:val="24"/>
          <w:szCs w:val="24"/>
        </w:rPr>
      </w:pPr>
    </w:p>
    <w:p w14:paraId="046AF0A0" w14:textId="2FB3BE15" w:rsidR="000850EB" w:rsidRPr="00B367C8" w:rsidRDefault="000850EB" w:rsidP="00E91546">
      <w:pPr>
        <w:pStyle w:val="ListParagraph"/>
        <w:numPr>
          <w:ilvl w:val="1"/>
          <w:numId w:val="34"/>
        </w:numPr>
        <w:tabs>
          <w:tab w:val="left" w:pos="426"/>
        </w:tabs>
        <w:spacing w:line="360" w:lineRule="auto"/>
        <w:jc w:val="both"/>
        <w:rPr>
          <w:rFonts w:ascii="Times New Roman" w:hAnsi="Times New Roman" w:cs="Times New Roman"/>
          <w:b/>
          <w:sz w:val="24"/>
          <w:szCs w:val="24"/>
        </w:rPr>
      </w:pPr>
      <w:r w:rsidRPr="00B367C8">
        <w:rPr>
          <w:rFonts w:ascii="Times New Roman" w:hAnsi="Times New Roman" w:cs="Times New Roman"/>
          <w:b/>
          <w:sz w:val="24"/>
          <w:szCs w:val="24"/>
        </w:rPr>
        <w:t>United Nations Children’s</w:t>
      </w:r>
      <w:r w:rsidR="003572BF">
        <w:rPr>
          <w:rFonts w:ascii="Times New Roman" w:hAnsi="Times New Roman" w:cs="Times New Roman"/>
          <w:b/>
          <w:sz w:val="24"/>
          <w:szCs w:val="24"/>
        </w:rPr>
        <w:t xml:space="preserve"> Emergency</w:t>
      </w:r>
      <w:r w:rsidRPr="00B367C8">
        <w:rPr>
          <w:rFonts w:ascii="Times New Roman" w:hAnsi="Times New Roman" w:cs="Times New Roman"/>
          <w:b/>
          <w:sz w:val="24"/>
          <w:szCs w:val="24"/>
        </w:rPr>
        <w:t xml:space="preserve"> Fund (UNICEF) South Africa</w:t>
      </w:r>
    </w:p>
    <w:p w14:paraId="159DD177" w14:textId="77777777" w:rsidR="000E3234" w:rsidRPr="00B367C8" w:rsidRDefault="000E3234" w:rsidP="000E3234">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The United Nations International Children’s Emergency Fund (UNICEF) began their 2018 MTBPS submission by indicating that the downward revision to spending ceilings over the last six years produced mixed results for priority expenditure for children. However, despite the general fiscal austerity climate the South African government was at, UNICEF noted that the fiscal space for priority expenditures for children has increased and encouraged that should continue its upward trend over the 2019 MTEF, even though at a much slower rate. UNICEF further submitted that the fiscal space of South African government had grown, in part, because of demonstrated efficiencies in some departments, and the government’s own commitment to the country’s social wage. </w:t>
      </w:r>
      <w:r w:rsidR="00E631BC">
        <w:rPr>
          <w:rFonts w:ascii="Times New Roman" w:hAnsi="Times New Roman" w:cs="Times New Roman"/>
          <w:sz w:val="24"/>
          <w:szCs w:val="24"/>
        </w:rPr>
        <w:t xml:space="preserve">UNICEF </w:t>
      </w:r>
      <w:r w:rsidRPr="00B367C8">
        <w:rPr>
          <w:rFonts w:ascii="Times New Roman" w:hAnsi="Times New Roman" w:cs="Times New Roman"/>
          <w:sz w:val="24"/>
          <w:szCs w:val="24"/>
        </w:rPr>
        <w:t>attributed</w:t>
      </w:r>
      <w:r w:rsidR="00E631BC">
        <w:rPr>
          <w:rFonts w:ascii="Times New Roman" w:hAnsi="Times New Roman" w:cs="Times New Roman"/>
          <w:sz w:val="24"/>
          <w:szCs w:val="24"/>
        </w:rPr>
        <w:t xml:space="preserve"> this</w:t>
      </w:r>
      <w:r w:rsidRPr="00B367C8">
        <w:rPr>
          <w:rFonts w:ascii="Times New Roman" w:hAnsi="Times New Roman" w:cs="Times New Roman"/>
          <w:sz w:val="24"/>
          <w:szCs w:val="24"/>
        </w:rPr>
        <w:t xml:space="preserve"> to a growing record of innovation and efficiencies in the government departments. This, according to UNICEF, needed to be expanded in order to justify the allocation of additional financial resources for social sector departments. </w:t>
      </w:r>
    </w:p>
    <w:p w14:paraId="62798391" w14:textId="77777777" w:rsidR="000E3234" w:rsidRPr="00B367C8" w:rsidRDefault="000E3234" w:rsidP="000E3234">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With respect to the 2018 MTBPS, UNICEF made the following recommendations for the 2019 MTEF period: </w:t>
      </w:r>
    </w:p>
    <w:p w14:paraId="6AB93A80" w14:textId="77777777" w:rsidR="000E3234" w:rsidRPr="00B367C8" w:rsidRDefault="000E3234" w:rsidP="000E3234">
      <w:pPr>
        <w:pStyle w:val="ListParagraph"/>
        <w:numPr>
          <w:ilvl w:val="0"/>
          <w:numId w:val="25"/>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Provincial governments (Education, Health and Social Development), in concurrence with Provincial Treasuries, should develop medium-term sector plans for the gradual elimination of spending arrears</w:t>
      </w:r>
      <w:r w:rsidR="00E631BC">
        <w:rPr>
          <w:rFonts w:ascii="Times New Roman" w:hAnsi="Times New Roman" w:cs="Times New Roman"/>
          <w:sz w:val="24"/>
          <w:szCs w:val="24"/>
        </w:rPr>
        <w:t xml:space="preserve"> (accruals)</w:t>
      </w:r>
      <w:r w:rsidRPr="00B367C8">
        <w:rPr>
          <w:rFonts w:ascii="Times New Roman" w:hAnsi="Times New Roman" w:cs="Times New Roman"/>
          <w:sz w:val="24"/>
          <w:szCs w:val="24"/>
        </w:rPr>
        <w:t>.</w:t>
      </w:r>
    </w:p>
    <w:p w14:paraId="5F061EC2" w14:textId="77777777" w:rsidR="000E3234" w:rsidRPr="00B367C8" w:rsidRDefault="000E3234" w:rsidP="000E3234">
      <w:pPr>
        <w:pStyle w:val="ListParagraph"/>
        <w:numPr>
          <w:ilvl w:val="0"/>
          <w:numId w:val="25"/>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Priority programmes, such as Violence Against Women and Children, that are funded through provinces’ equitable shares should be reported in annual budgets.</w:t>
      </w:r>
    </w:p>
    <w:p w14:paraId="08D6E5A7" w14:textId="77777777" w:rsidR="000E3234" w:rsidRPr="00B367C8" w:rsidRDefault="000E3234" w:rsidP="000E3234">
      <w:pPr>
        <w:pStyle w:val="ListParagraph"/>
        <w:numPr>
          <w:ilvl w:val="0"/>
          <w:numId w:val="25"/>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Health sector efficiencies were achieved at the expense of further investments in infrastructure. Government should re-engage the health sector to increase infrastructure spending, especially in rural areas.</w:t>
      </w:r>
    </w:p>
    <w:p w14:paraId="3734DDBB" w14:textId="77777777" w:rsidR="000E3234" w:rsidRPr="00B367C8" w:rsidRDefault="000E3234" w:rsidP="000E3234">
      <w:pPr>
        <w:pStyle w:val="ListParagraph"/>
        <w:numPr>
          <w:ilvl w:val="0"/>
          <w:numId w:val="25"/>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Urgently improve the take-up of the Child Support Grant among infants and very young children. This should </w:t>
      </w:r>
      <w:r w:rsidR="00E631BC">
        <w:rPr>
          <w:rFonts w:ascii="Times New Roman" w:hAnsi="Times New Roman" w:cs="Times New Roman"/>
          <w:sz w:val="24"/>
          <w:szCs w:val="24"/>
        </w:rPr>
        <w:t xml:space="preserve">be enhanced by </w:t>
      </w:r>
      <w:r w:rsidRPr="00B367C8">
        <w:rPr>
          <w:rFonts w:ascii="Times New Roman" w:hAnsi="Times New Roman" w:cs="Times New Roman"/>
          <w:sz w:val="24"/>
          <w:szCs w:val="24"/>
        </w:rPr>
        <w:t>reporting to the National Assembly on how the identification and registration of potential beneficiaries’ progress against set targets.</w:t>
      </w:r>
    </w:p>
    <w:p w14:paraId="022B3344" w14:textId="77777777" w:rsidR="000E3234" w:rsidRPr="00B367C8" w:rsidRDefault="000E3234" w:rsidP="000E3234">
      <w:pPr>
        <w:pStyle w:val="ListParagraph"/>
        <w:numPr>
          <w:ilvl w:val="0"/>
          <w:numId w:val="25"/>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The financing of the school sanitation programme should be fully implemented and education planners should carefully balance spending on school sanitation and other parts of the school in</w:t>
      </w:r>
      <w:r w:rsidR="00E631BC">
        <w:rPr>
          <w:rFonts w:ascii="Times New Roman" w:hAnsi="Times New Roman" w:cs="Times New Roman"/>
          <w:sz w:val="24"/>
          <w:szCs w:val="24"/>
        </w:rPr>
        <w:t>frastructure budget. To enhance</w:t>
      </w:r>
      <w:r w:rsidRPr="00B367C8">
        <w:rPr>
          <w:rFonts w:ascii="Times New Roman" w:hAnsi="Times New Roman" w:cs="Times New Roman"/>
          <w:sz w:val="24"/>
          <w:szCs w:val="24"/>
        </w:rPr>
        <w:t xml:space="preserve"> transparency, the detailed unit costs models for school sanitation should be published. </w:t>
      </w:r>
    </w:p>
    <w:p w14:paraId="4E5A737F" w14:textId="77777777" w:rsidR="000E3234" w:rsidRPr="00B367C8" w:rsidRDefault="000E3234" w:rsidP="000E3234">
      <w:pPr>
        <w:pStyle w:val="ListParagraph"/>
        <w:numPr>
          <w:ilvl w:val="0"/>
          <w:numId w:val="25"/>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Budget transfers to Non-Profit Organisations have suffered in both national and provincial governments. This led to recurring under-spending. The government should expedite the new NPO financing framework and report on progress in implementing provincial equitable share funding set aside for this purpose.</w:t>
      </w:r>
    </w:p>
    <w:p w14:paraId="7F0DA707" w14:textId="77777777" w:rsidR="000E3234" w:rsidRPr="00B367C8" w:rsidRDefault="000E3234" w:rsidP="000E3234">
      <w:pPr>
        <w:pStyle w:val="ListParagraph"/>
        <w:numPr>
          <w:ilvl w:val="0"/>
          <w:numId w:val="25"/>
        </w:num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Provincial Basic Education can and should capitalise on the surge in funding for the post-schooling sector by sharply increasing the number of university trained teachers in Mathematics, Science and English. </w:t>
      </w:r>
    </w:p>
    <w:p w14:paraId="49CDAADB" w14:textId="77777777" w:rsidR="000E3234" w:rsidRPr="00B367C8" w:rsidRDefault="000E3234" w:rsidP="000E3234">
      <w:pPr>
        <w:spacing w:line="360" w:lineRule="auto"/>
        <w:jc w:val="both"/>
        <w:rPr>
          <w:rFonts w:ascii="Times New Roman" w:hAnsi="Times New Roman" w:cs="Times New Roman"/>
          <w:sz w:val="24"/>
          <w:szCs w:val="24"/>
        </w:rPr>
      </w:pPr>
    </w:p>
    <w:p w14:paraId="72208260" w14:textId="77777777" w:rsidR="000E3234" w:rsidRPr="00B367C8" w:rsidRDefault="000E3234" w:rsidP="000E3234">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UNICEF also submitted that innovation and efficiency are needed at both departmental level and in service delivery institutions to expand access and improve the quality of service for </w:t>
      </w:r>
      <w:r w:rsidR="00375CBB" w:rsidRPr="00B367C8">
        <w:rPr>
          <w:rFonts w:ascii="Times New Roman" w:hAnsi="Times New Roman" w:cs="Times New Roman"/>
          <w:sz w:val="24"/>
          <w:szCs w:val="24"/>
        </w:rPr>
        <w:t xml:space="preserve">children. </w:t>
      </w:r>
      <w:r w:rsidRPr="00B367C8">
        <w:rPr>
          <w:rFonts w:ascii="Times New Roman" w:hAnsi="Times New Roman" w:cs="Times New Roman"/>
          <w:sz w:val="24"/>
          <w:szCs w:val="24"/>
        </w:rPr>
        <w:t>In conclusion, UNICEF commented that the Zero-Rating of sanitary pads and the provision of free sanitary towels were important interventions and they should be implemented uniformly across provinces. Furthermore, UNICEF commented that the 2018 Budget and MTBPS did not provide sufficient information on progress in implementing the National Health Insurance or anticipating financial implications of roll-out over the MTEF.</w:t>
      </w:r>
    </w:p>
    <w:p w14:paraId="64368F83" w14:textId="77777777" w:rsidR="00375CBB" w:rsidRPr="00B367C8" w:rsidRDefault="00375CBB" w:rsidP="000E3234">
      <w:pPr>
        <w:spacing w:line="360" w:lineRule="auto"/>
        <w:jc w:val="both"/>
        <w:rPr>
          <w:rFonts w:ascii="Times New Roman" w:hAnsi="Times New Roman" w:cs="Times New Roman"/>
          <w:sz w:val="24"/>
          <w:szCs w:val="24"/>
        </w:rPr>
      </w:pPr>
    </w:p>
    <w:p w14:paraId="1C2C917F" w14:textId="77777777" w:rsidR="00711E8E" w:rsidRPr="00B367C8" w:rsidRDefault="00711E8E" w:rsidP="000E3234">
      <w:pPr>
        <w:spacing w:line="360" w:lineRule="auto"/>
        <w:jc w:val="both"/>
        <w:rPr>
          <w:rFonts w:ascii="Times New Roman" w:hAnsi="Times New Roman" w:cs="Times New Roman"/>
          <w:sz w:val="24"/>
          <w:szCs w:val="24"/>
        </w:rPr>
      </w:pPr>
    </w:p>
    <w:p w14:paraId="74D6871B" w14:textId="77777777" w:rsidR="000E3234" w:rsidRPr="00B367C8" w:rsidRDefault="000E3234" w:rsidP="00E91546">
      <w:pPr>
        <w:pStyle w:val="ListParagraph"/>
        <w:numPr>
          <w:ilvl w:val="1"/>
          <w:numId w:val="34"/>
        </w:numPr>
        <w:tabs>
          <w:tab w:val="left" w:pos="426"/>
        </w:tabs>
        <w:spacing w:line="360" w:lineRule="auto"/>
        <w:jc w:val="both"/>
        <w:rPr>
          <w:rFonts w:ascii="Times New Roman" w:hAnsi="Times New Roman" w:cs="Times New Roman"/>
          <w:b/>
          <w:sz w:val="24"/>
          <w:szCs w:val="24"/>
        </w:rPr>
      </w:pPr>
      <w:r w:rsidRPr="00B367C8">
        <w:rPr>
          <w:rFonts w:ascii="Times New Roman" w:hAnsi="Times New Roman" w:cs="Times New Roman"/>
          <w:b/>
          <w:sz w:val="24"/>
          <w:szCs w:val="24"/>
        </w:rPr>
        <w:t>FairPlay Movement</w:t>
      </w:r>
    </w:p>
    <w:p w14:paraId="650A0C12" w14:textId="77777777" w:rsidR="000E3234" w:rsidRPr="00B367C8" w:rsidRDefault="000E3234" w:rsidP="000E3234">
      <w:pPr>
        <w:spacing w:line="360" w:lineRule="auto"/>
        <w:jc w:val="both"/>
        <w:rPr>
          <w:rFonts w:ascii="Times New Roman" w:hAnsi="Times New Roman" w:cs="Times New Roman"/>
          <w:sz w:val="24"/>
          <w:szCs w:val="24"/>
        </w:rPr>
      </w:pPr>
      <w:r w:rsidRPr="00B367C8">
        <w:rPr>
          <w:rFonts w:ascii="Times New Roman" w:hAnsi="Times New Roman" w:cs="Times New Roman"/>
          <w:sz w:val="24"/>
          <w:szCs w:val="24"/>
        </w:rPr>
        <w:t xml:space="preserve">FairPlay commended government’s initiative to add sanitary towels and flour to the zero-rated bucket list. The revenue loss associated with the addition of these items was estimated to be R1.2 billion.   </w:t>
      </w:r>
      <w:r w:rsidR="00E631BC">
        <w:rPr>
          <w:rFonts w:ascii="Times New Roman" w:hAnsi="Times New Roman" w:cs="Times New Roman"/>
          <w:sz w:val="24"/>
          <w:szCs w:val="24"/>
        </w:rPr>
        <w:t xml:space="preserve">However, </w:t>
      </w:r>
      <w:r w:rsidRPr="00B367C8">
        <w:rPr>
          <w:rFonts w:ascii="Times New Roman" w:hAnsi="Times New Roman" w:cs="Times New Roman"/>
          <w:sz w:val="24"/>
          <w:szCs w:val="24"/>
        </w:rPr>
        <w:t xml:space="preserve">FairPlay </w:t>
      </w:r>
      <w:r w:rsidR="00E631BC">
        <w:rPr>
          <w:rFonts w:ascii="Times New Roman" w:hAnsi="Times New Roman" w:cs="Times New Roman"/>
          <w:sz w:val="24"/>
          <w:szCs w:val="24"/>
        </w:rPr>
        <w:t xml:space="preserve">was of the view that </w:t>
      </w:r>
      <w:r w:rsidRPr="00B367C8">
        <w:rPr>
          <w:rFonts w:ascii="Times New Roman" w:hAnsi="Times New Roman" w:cs="Times New Roman"/>
          <w:sz w:val="24"/>
          <w:szCs w:val="24"/>
        </w:rPr>
        <w:t>the needs and demands of t</w:t>
      </w:r>
      <w:r w:rsidR="00E631BC">
        <w:rPr>
          <w:rFonts w:ascii="Times New Roman" w:hAnsi="Times New Roman" w:cs="Times New Roman"/>
          <w:sz w:val="24"/>
          <w:szCs w:val="24"/>
        </w:rPr>
        <w:t>he poor and poorer household were</w:t>
      </w:r>
      <w:r w:rsidRPr="00B367C8">
        <w:rPr>
          <w:rFonts w:ascii="Times New Roman" w:hAnsi="Times New Roman" w:cs="Times New Roman"/>
          <w:sz w:val="24"/>
          <w:szCs w:val="24"/>
        </w:rPr>
        <w:t xml:space="preserve"> not sufficiently addressed by the 2018 MTBPS.</w:t>
      </w:r>
      <w:r w:rsidR="00E631BC">
        <w:rPr>
          <w:rFonts w:ascii="Times New Roman" w:hAnsi="Times New Roman" w:cs="Times New Roman"/>
          <w:sz w:val="24"/>
          <w:szCs w:val="24"/>
        </w:rPr>
        <w:t xml:space="preserve"> FairPlay highlighted that the zero-r</w:t>
      </w:r>
      <w:r w:rsidRPr="00B367C8">
        <w:rPr>
          <w:rFonts w:ascii="Times New Roman" w:hAnsi="Times New Roman" w:cs="Times New Roman"/>
          <w:sz w:val="24"/>
          <w:szCs w:val="24"/>
        </w:rPr>
        <w:t>ated list did not adequately address nutritional concerns such as stunting, malnutrition and the dietary and consumption needs of the poor. According to FairPlay, chicken remained a popular source of meat for poorer households and its exclusion from zero-rating continued to be the detriment of the poor. In addition, FairPlay stated that if chicken was to be added to the zero-rating list, 11 000 new jobs would be created; R1 billion in tax revenue would be collected and R3.7 bill</w:t>
      </w:r>
      <w:r w:rsidR="000F10D3">
        <w:rPr>
          <w:rFonts w:ascii="Times New Roman" w:hAnsi="Times New Roman" w:cs="Times New Roman"/>
          <w:sz w:val="24"/>
          <w:szCs w:val="24"/>
        </w:rPr>
        <w:t>ion would be added to the Gross</w:t>
      </w:r>
      <w:r w:rsidRPr="00B367C8">
        <w:rPr>
          <w:rFonts w:ascii="Times New Roman" w:hAnsi="Times New Roman" w:cs="Times New Roman"/>
          <w:sz w:val="24"/>
          <w:szCs w:val="24"/>
        </w:rPr>
        <w:t xml:space="preserve"> Domestic Product (GDP). FairPlay strongly recommended that chicken shou</w:t>
      </w:r>
      <w:r w:rsidR="00E631BC">
        <w:rPr>
          <w:rFonts w:ascii="Times New Roman" w:hAnsi="Times New Roman" w:cs="Times New Roman"/>
          <w:sz w:val="24"/>
          <w:szCs w:val="24"/>
        </w:rPr>
        <w:t>ld be added to the z</w:t>
      </w:r>
      <w:r w:rsidRPr="00B367C8">
        <w:rPr>
          <w:rFonts w:ascii="Times New Roman" w:hAnsi="Times New Roman" w:cs="Times New Roman"/>
          <w:sz w:val="24"/>
          <w:szCs w:val="24"/>
        </w:rPr>
        <w:t>ero-</w:t>
      </w:r>
      <w:r w:rsidR="00E631BC">
        <w:rPr>
          <w:rFonts w:ascii="Times New Roman" w:hAnsi="Times New Roman" w:cs="Times New Roman"/>
          <w:sz w:val="24"/>
          <w:szCs w:val="24"/>
        </w:rPr>
        <w:t>r</w:t>
      </w:r>
      <w:r w:rsidRPr="00B367C8">
        <w:rPr>
          <w:rFonts w:ascii="Times New Roman" w:hAnsi="Times New Roman" w:cs="Times New Roman"/>
          <w:sz w:val="24"/>
          <w:szCs w:val="24"/>
        </w:rPr>
        <w:t xml:space="preserve">ated bucket list. </w:t>
      </w:r>
    </w:p>
    <w:p w14:paraId="4D7DF2B8" w14:textId="77777777" w:rsidR="000850EB" w:rsidRPr="00915F77" w:rsidRDefault="000850EB" w:rsidP="00915F77">
      <w:pPr>
        <w:spacing w:line="360" w:lineRule="auto"/>
        <w:jc w:val="both"/>
        <w:rPr>
          <w:rFonts w:ascii="Times New Roman" w:hAnsi="Times New Roman" w:cs="Times New Roman"/>
          <w:b/>
          <w:sz w:val="24"/>
          <w:szCs w:val="24"/>
        </w:rPr>
      </w:pPr>
    </w:p>
    <w:p w14:paraId="73D5510F" w14:textId="77777777" w:rsidR="000850EB" w:rsidRPr="009179BB" w:rsidRDefault="000850EB" w:rsidP="009179BB">
      <w:pPr>
        <w:pStyle w:val="ListParagraph"/>
        <w:numPr>
          <w:ilvl w:val="0"/>
          <w:numId w:val="29"/>
        </w:numPr>
        <w:spacing w:after="0" w:line="360" w:lineRule="auto"/>
        <w:ind w:left="284" w:hanging="284"/>
        <w:jc w:val="both"/>
        <w:rPr>
          <w:rFonts w:ascii="Times New Roman" w:hAnsi="Times New Roman" w:cs="Times New Roman"/>
          <w:b/>
          <w:sz w:val="24"/>
          <w:szCs w:val="24"/>
        </w:rPr>
      </w:pPr>
      <w:r w:rsidRPr="009179BB">
        <w:rPr>
          <w:rFonts w:ascii="Times New Roman" w:hAnsi="Times New Roman" w:cs="Times New Roman"/>
          <w:b/>
          <w:sz w:val="24"/>
          <w:szCs w:val="24"/>
        </w:rPr>
        <w:t>Committee obser</w:t>
      </w:r>
      <w:r w:rsidR="00915F77" w:rsidRPr="009179BB">
        <w:rPr>
          <w:rFonts w:ascii="Times New Roman" w:hAnsi="Times New Roman" w:cs="Times New Roman"/>
          <w:b/>
          <w:sz w:val="24"/>
          <w:szCs w:val="24"/>
        </w:rPr>
        <w:t xml:space="preserve">vations and findings on the 2018 </w:t>
      </w:r>
      <w:r w:rsidRPr="009179BB">
        <w:rPr>
          <w:rFonts w:ascii="Times New Roman" w:hAnsi="Times New Roman" w:cs="Times New Roman"/>
          <w:b/>
          <w:sz w:val="24"/>
          <w:szCs w:val="24"/>
        </w:rPr>
        <w:t>MTBPS</w:t>
      </w:r>
    </w:p>
    <w:p w14:paraId="5993B2F2" w14:textId="77777777" w:rsidR="000850EB" w:rsidRPr="002E40FC" w:rsidRDefault="000850EB" w:rsidP="000850EB">
      <w:pPr>
        <w:spacing w:after="0" w:line="360" w:lineRule="auto"/>
        <w:jc w:val="both"/>
        <w:rPr>
          <w:rFonts w:ascii="Times New Roman" w:eastAsia="Times New Roman" w:hAnsi="Times New Roman" w:cs="Times New Roman"/>
          <w:color w:val="000000"/>
          <w:spacing w:val="6"/>
          <w:sz w:val="24"/>
          <w:szCs w:val="24"/>
          <w:lang w:val="en-GB" w:eastAsia="en-GB"/>
        </w:rPr>
      </w:pPr>
    </w:p>
    <w:p w14:paraId="1244C98E" w14:textId="77777777" w:rsidR="000850EB" w:rsidRPr="002E40FC" w:rsidRDefault="000850EB" w:rsidP="000850EB">
      <w:pPr>
        <w:spacing w:after="0" w:line="360" w:lineRule="auto"/>
        <w:jc w:val="both"/>
        <w:rPr>
          <w:rFonts w:ascii="Times New Roman" w:eastAsia="Times New Roman" w:hAnsi="Times New Roman" w:cs="Times New Roman"/>
          <w:spacing w:val="6"/>
          <w:sz w:val="24"/>
          <w:szCs w:val="24"/>
          <w:lang w:val="en-GB" w:eastAsia="en-GB"/>
        </w:rPr>
      </w:pPr>
      <w:r w:rsidRPr="002E40FC">
        <w:rPr>
          <w:rFonts w:ascii="Times New Roman" w:eastAsia="Times New Roman" w:hAnsi="Times New Roman" w:cs="Times New Roman"/>
          <w:spacing w:val="6"/>
          <w:sz w:val="24"/>
          <w:szCs w:val="24"/>
          <w:lang w:val="en-GB" w:eastAsia="en-GB"/>
        </w:rPr>
        <w:t>The Standing Committee on Appropriat</w:t>
      </w:r>
      <w:r w:rsidR="00C2495A">
        <w:rPr>
          <w:rFonts w:ascii="Times New Roman" w:eastAsia="Times New Roman" w:hAnsi="Times New Roman" w:cs="Times New Roman"/>
          <w:spacing w:val="6"/>
          <w:sz w:val="24"/>
          <w:szCs w:val="24"/>
          <w:lang w:val="en-GB" w:eastAsia="en-GB"/>
        </w:rPr>
        <w:t>ions, having considered the 2018</w:t>
      </w:r>
      <w:r w:rsidRPr="002E40FC">
        <w:rPr>
          <w:rFonts w:ascii="Times New Roman" w:eastAsia="Times New Roman" w:hAnsi="Times New Roman" w:cs="Times New Roman"/>
          <w:spacing w:val="6"/>
          <w:sz w:val="24"/>
          <w:szCs w:val="24"/>
          <w:lang w:val="en-GB" w:eastAsia="en-GB"/>
        </w:rPr>
        <w:t xml:space="preserve"> Medium Term Budget Policy Statement, and having engaged with the various stakeholders makes the following findings and observations: </w:t>
      </w:r>
    </w:p>
    <w:p w14:paraId="73F505AE" w14:textId="77777777" w:rsidR="000850EB" w:rsidRPr="002E40FC" w:rsidRDefault="000850EB" w:rsidP="000850EB">
      <w:pPr>
        <w:spacing w:after="0" w:line="360" w:lineRule="auto"/>
        <w:jc w:val="both"/>
        <w:rPr>
          <w:rFonts w:ascii="Times New Roman" w:eastAsia="Times New Roman" w:hAnsi="Times New Roman" w:cs="Times New Roman"/>
          <w:spacing w:val="6"/>
          <w:sz w:val="24"/>
          <w:szCs w:val="24"/>
          <w:lang w:val="en-GB" w:eastAsia="en-GB"/>
        </w:rPr>
      </w:pPr>
    </w:p>
    <w:p w14:paraId="19E7CDCA" w14:textId="77777777" w:rsidR="00B85BEB" w:rsidRDefault="000850EB" w:rsidP="00B85BEB">
      <w:pPr>
        <w:spacing w:after="0" w:line="360" w:lineRule="auto"/>
        <w:jc w:val="both"/>
        <w:rPr>
          <w:rFonts w:ascii="Times New Roman" w:hAnsi="Times New Roman" w:cs="Times New Roman"/>
          <w:b/>
          <w:sz w:val="24"/>
          <w:szCs w:val="24"/>
        </w:rPr>
      </w:pPr>
      <w:r w:rsidRPr="00B85BEB">
        <w:rPr>
          <w:rFonts w:ascii="Times New Roman" w:hAnsi="Times New Roman" w:cs="Times New Roman"/>
          <w:b/>
          <w:sz w:val="24"/>
          <w:szCs w:val="24"/>
        </w:rPr>
        <w:t>In terms o</w:t>
      </w:r>
      <w:r w:rsidR="00771017" w:rsidRPr="00B85BEB">
        <w:rPr>
          <w:rFonts w:ascii="Times New Roman" w:hAnsi="Times New Roman" w:cs="Times New Roman"/>
          <w:b/>
          <w:sz w:val="24"/>
          <w:szCs w:val="24"/>
        </w:rPr>
        <w:t>f the overall thrust of the 2018</w:t>
      </w:r>
      <w:r w:rsidRPr="00B85BEB">
        <w:rPr>
          <w:rFonts w:ascii="Times New Roman" w:hAnsi="Times New Roman" w:cs="Times New Roman"/>
          <w:b/>
          <w:sz w:val="24"/>
          <w:szCs w:val="24"/>
        </w:rPr>
        <w:t xml:space="preserve"> MTBPS:</w:t>
      </w:r>
    </w:p>
    <w:p w14:paraId="6CCE6F4F" w14:textId="77777777" w:rsidR="00B85BEB" w:rsidRPr="00B85BEB" w:rsidRDefault="00B85BEB" w:rsidP="00B85BEB">
      <w:pPr>
        <w:spacing w:after="0" w:line="360" w:lineRule="auto"/>
        <w:jc w:val="both"/>
        <w:rPr>
          <w:rFonts w:ascii="Times New Roman" w:hAnsi="Times New Roman" w:cs="Times New Roman"/>
          <w:b/>
          <w:sz w:val="24"/>
          <w:szCs w:val="24"/>
        </w:rPr>
      </w:pPr>
    </w:p>
    <w:p w14:paraId="46911AFE" w14:textId="77777777" w:rsidR="00B85BEB" w:rsidRPr="00B85BEB" w:rsidRDefault="000850EB" w:rsidP="00B85BEB">
      <w:pPr>
        <w:pStyle w:val="ListParagraph"/>
        <w:numPr>
          <w:ilvl w:val="1"/>
          <w:numId w:val="38"/>
        </w:numPr>
        <w:spacing w:after="0" w:line="360" w:lineRule="auto"/>
        <w:ind w:left="567" w:hanging="567"/>
        <w:jc w:val="both"/>
        <w:rPr>
          <w:rFonts w:ascii="Times New Roman" w:hAnsi="Times New Roman" w:cs="Times New Roman"/>
          <w:b/>
          <w:sz w:val="24"/>
          <w:szCs w:val="24"/>
        </w:rPr>
      </w:pPr>
      <w:r w:rsidRPr="00B85BEB">
        <w:rPr>
          <w:rFonts w:ascii="Times New Roman" w:eastAsia="Times New Roman" w:hAnsi="Times New Roman" w:cs="Times New Roman"/>
          <w:spacing w:val="6"/>
          <w:sz w:val="24"/>
          <w:szCs w:val="24"/>
          <w:lang w:eastAsia="en-GB"/>
        </w:rPr>
        <w:t xml:space="preserve">The Committee notes the introduction of the </w:t>
      </w:r>
      <w:r w:rsidR="00893B2A" w:rsidRPr="00B85BEB">
        <w:rPr>
          <w:rFonts w:ascii="Times New Roman" w:eastAsia="Times New Roman" w:hAnsi="Times New Roman" w:cs="Times New Roman"/>
          <w:spacing w:val="6"/>
          <w:sz w:val="24"/>
          <w:szCs w:val="24"/>
          <w:lang w:eastAsia="en-GB"/>
        </w:rPr>
        <w:t>Economic Stimulus and Recovery Plan</w:t>
      </w:r>
      <w:r w:rsidRPr="00B85BEB">
        <w:rPr>
          <w:rFonts w:ascii="Times New Roman" w:eastAsia="Times New Roman" w:hAnsi="Times New Roman" w:cs="Times New Roman"/>
          <w:spacing w:val="6"/>
          <w:sz w:val="24"/>
          <w:szCs w:val="24"/>
          <w:lang w:eastAsia="en-GB"/>
        </w:rPr>
        <w:t xml:space="preserve"> </w:t>
      </w:r>
      <w:r w:rsidR="00893B2A" w:rsidRPr="00B85BEB">
        <w:rPr>
          <w:rFonts w:ascii="Times New Roman" w:eastAsia="Times New Roman" w:hAnsi="Times New Roman" w:cs="Times New Roman"/>
          <w:spacing w:val="6"/>
          <w:sz w:val="24"/>
          <w:szCs w:val="24"/>
          <w:lang w:eastAsia="en-GB"/>
        </w:rPr>
        <w:t>by the President of the Republic of South Africa in September 2018</w:t>
      </w:r>
      <w:r w:rsidRPr="00B85BEB">
        <w:rPr>
          <w:rFonts w:ascii="Times New Roman" w:eastAsia="Times New Roman" w:hAnsi="Times New Roman" w:cs="Times New Roman"/>
          <w:spacing w:val="6"/>
          <w:sz w:val="24"/>
          <w:szCs w:val="24"/>
          <w:lang w:eastAsia="en-GB"/>
        </w:rPr>
        <w:t xml:space="preserve">. </w:t>
      </w:r>
      <w:r w:rsidR="00893B2A" w:rsidRPr="00B85BEB">
        <w:rPr>
          <w:rFonts w:ascii="Times New Roman" w:eastAsia="Times New Roman" w:hAnsi="Times New Roman" w:cs="Times New Roman"/>
          <w:spacing w:val="6"/>
          <w:sz w:val="24"/>
          <w:szCs w:val="24"/>
          <w:lang w:eastAsia="en-GB"/>
        </w:rPr>
        <w:t xml:space="preserve">The initiative focuses on five interventions, namely: implementation growth-enhancing economic </w:t>
      </w:r>
      <w:r w:rsidR="00771017" w:rsidRPr="00B85BEB">
        <w:rPr>
          <w:rFonts w:ascii="Times New Roman" w:eastAsia="Times New Roman" w:hAnsi="Times New Roman" w:cs="Times New Roman"/>
          <w:spacing w:val="6"/>
          <w:sz w:val="24"/>
          <w:szCs w:val="24"/>
          <w:lang w:eastAsia="en-GB"/>
        </w:rPr>
        <w:t>reforms,</w:t>
      </w:r>
      <w:r w:rsidR="00893B2A" w:rsidRPr="00B85BEB">
        <w:rPr>
          <w:rFonts w:ascii="Times New Roman" w:eastAsia="Times New Roman" w:hAnsi="Times New Roman" w:cs="Times New Roman"/>
          <w:spacing w:val="6"/>
          <w:sz w:val="24"/>
          <w:szCs w:val="24"/>
          <w:lang w:eastAsia="en-GB"/>
        </w:rPr>
        <w:t xml:space="preserve"> reprioritising public spending to support economic gro</w:t>
      </w:r>
      <w:r w:rsidR="00771017" w:rsidRPr="00B85BEB">
        <w:rPr>
          <w:rFonts w:ascii="Times New Roman" w:eastAsia="Times New Roman" w:hAnsi="Times New Roman" w:cs="Times New Roman"/>
          <w:spacing w:val="6"/>
          <w:sz w:val="24"/>
          <w:szCs w:val="24"/>
          <w:lang w:eastAsia="en-GB"/>
        </w:rPr>
        <w:t>wth and job creation,</w:t>
      </w:r>
      <w:r w:rsidR="00893B2A" w:rsidRPr="00B85BEB">
        <w:rPr>
          <w:rFonts w:ascii="Times New Roman" w:eastAsia="Times New Roman" w:hAnsi="Times New Roman" w:cs="Times New Roman"/>
          <w:spacing w:val="6"/>
          <w:sz w:val="24"/>
          <w:szCs w:val="24"/>
          <w:lang w:eastAsia="en-GB"/>
        </w:rPr>
        <w:t xml:space="preserve"> establishing </w:t>
      </w:r>
      <w:r w:rsidR="00771017" w:rsidRPr="00B85BEB">
        <w:rPr>
          <w:rFonts w:ascii="Times New Roman" w:eastAsia="Times New Roman" w:hAnsi="Times New Roman" w:cs="Times New Roman"/>
          <w:spacing w:val="6"/>
          <w:sz w:val="24"/>
          <w:szCs w:val="24"/>
          <w:lang w:eastAsia="en-GB"/>
        </w:rPr>
        <w:t>an infrastructure fund,</w:t>
      </w:r>
      <w:r w:rsidR="00893B2A" w:rsidRPr="00B85BEB">
        <w:rPr>
          <w:rFonts w:ascii="Times New Roman" w:eastAsia="Times New Roman" w:hAnsi="Times New Roman" w:cs="Times New Roman"/>
          <w:spacing w:val="6"/>
          <w:sz w:val="24"/>
          <w:szCs w:val="24"/>
          <w:lang w:eastAsia="en-GB"/>
        </w:rPr>
        <w:t xml:space="preserve"> addressing urgent matters in education and health</w:t>
      </w:r>
      <w:r w:rsidR="00771017" w:rsidRPr="00B85BEB">
        <w:rPr>
          <w:rFonts w:ascii="Times New Roman" w:eastAsia="Times New Roman" w:hAnsi="Times New Roman" w:cs="Times New Roman"/>
          <w:spacing w:val="6"/>
          <w:sz w:val="24"/>
          <w:szCs w:val="24"/>
          <w:lang w:eastAsia="en-GB"/>
        </w:rPr>
        <w:t>,</w:t>
      </w:r>
      <w:r w:rsidR="00893B2A" w:rsidRPr="00B85BEB">
        <w:rPr>
          <w:rFonts w:ascii="Times New Roman" w:eastAsia="Times New Roman" w:hAnsi="Times New Roman" w:cs="Times New Roman"/>
          <w:spacing w:val="6"/>
          <w:sz w:val="24"/>
          <w:szCs w:val="24"/>
          <w:lang w:eastAsia="en-GB"/>
        </w:rPr>
        <w:t xml:space="preserve"> and investing in municipal social infrastructure development. </w:t>
      </w:r>
      <w:r w:rsidRPr="00B85BEB">
        <w:rPr>
          <w:rFonts w:ascii="Times New Roman" w:eastAsia="Times New Roman" w:hAnsi="Times New Roman" w:cs="Times New Roman"/>
          <w:spacing w:val="6"/>
          <w:sz w:val="24"/>
          <w:szCs w:val="24"/>
          <w:lang w:eastAsia="en-GB"/>
        </w:rPr>
        <w:t xml:space="preserve">The Committee </w:t>
      </w:r>
      <w:r w:rsidR="00ED72F8" w:rsidRPr="00B85BEB">
        <w:rPr>
          <w:rFonts w:ascii="Times New Roman" w:eastAsia="Times New Roman" w:hAnsi="Times New Roman" w:cs="Times New Roman"/>
          <w:spacing w:val="6"/>
          <w:sz w:val="24"/>
          <w:szCs w:val="24"/>
          <w:lang w:eastAsia="en-GB"/>
        </w:rPr>
        <w:t xml:space="preserve">welcomes these </w:t>
      </w:r>
      <w:r w:rsidR="00893B2A" w:rsidRPr="00B85BEB">
        <w:rPr>
          <w:rFonts w:ascii="Times New Roman" w:eastAsia="Times New Roman" w:hAnsi="Times New Roman" w:cs="Times New Roman"/>
          <w:spacing w:val="6"/>
          <w:sz w:val="24"/>
          <w:szCs w:val="24"/>
          <w:lang w:eastAsia="en-GB"/>
        </w:rPr>
        <w:t xml:space="preserve">short to medium term interventions </w:t>
      </w:r>
      <w:r w:rsidR="00ED72F8" w:rsidRPr="00B85BEB">
        <w:rPr>
          <w:rFonts w:ascii="Times New Roman" w:eastAsia="Times New Roman" w:hAnsi="Times New Roman" w:cs="Times New Roman"/>
          <w:spacing w:val="6"/>
          <w:sz w:val="24"/>
          <w:szCs w:val="24"/>
          <w:lang w:eastAsia="en-GB"/>
        </w:rPr>
        <w:t>and views them as critical in</w:t>
      </w:r>
      <w:r w:rsidR="009A6B30" w:rsidRPr="00B85BEB">
        <w:rPr>
          <w:rFonts w:ascii="Times New Roman" w:eastAsia="Times New Roman" w:hAnsi="Times New Roman" w:cs="Times New Roman"/>
          <w:spacing w:val="6"/>
          <w:sz w:val="24"/>
          <w:szCs w:val="24"/>
          <w:lang w:eastAsia="en-GB"/>
        </w:rPr>
        <w:t xml:space="preserve"> </w:t>
      </w:r>
      <w:r w:rsidR="00ED72F8" w:rsidRPr="00B85BEB">
        <w:rPr>
          <w:rFonts w:ascii="Times New Roman" w:eastAsia="Times New Roman" w:hAnsi="Times New Roman" w:cs="Times New Roman"/>
          <w:spacing w:val="6"/>
          <w:sz w:val="24"/>
          <w:szCs w:val="24"/>
          <w:lang w:eastAsia="en-GB"/>
        </w:rPr>
        <w:t xml:space="preserve">strengthening the economy towards the attainment of the </w:t>
      </w:r>
      <w:r w:rsidR="00893B2A" w:rsidRPr="00B85BEB">
        <w:rPr>
          <w:rFonts w:ascii="Times New Roman" w:eastAsia="Times New Roman" w:hAnsi="Times New Roman" w:cs="Times New Roman"/>
          <w:spacing w:val="6"/>
          <w:sz w:val="24"/>
          <w:szCs w:val="24"/>
          <w:lang w:eastAsia="en-GB"/>
        </w:rPr>
        <w:t>goals of the NDP</w:t>
      </w:r>
      <w:r w:rsidR="00ED72F8" w:rsidRPr="00B85BEB">
        <w:rPr>
          <w:rFonts w:ascii="Times New Roman" w:eastAsia="Times New Roman" w:hAnsi="Times New Roman" w:cs="Times New Roman"/>
          <w:spacing w:val="6"/>
          <w:sz w:val="24"/>
          <w:szCs w:val="24"/>
          <w:lang w:eastAsia="en-GB"/>
        </w:rPr>
        <w:t xml:space="preserve">. </w:t>
      </w:r>
    </w:p>
    <w:p w14:paraId="47C54E53" w14:textId="77777777" w:rsidR="00B85BEB" w:rsidRPr="00B85BEB" w:rsidRDefault="00B85BEB" w:rsidP="00B85BEB">
      <w:pPr>
        <w:pStyle w:val="ListParagraph"/>
        <w:spacing w:after="0" w:line="360" w:lineRule="auto"/>
        <w:ind w:left="360"/>
        <w:jc w:val="both"/>
        <w:rPr>
          <w:rFonts w:ascii="Times New Roman" w:hAnsi="Times New Roman" w:cs="Times New Roman"/>
          <w:b/>
          <w:sz w:val="24"/>
          <w:szCs w:val="24"/>
        </w:rPr>
      </w:pPr>
    </w:p>
    <w:p w14:paraId="775AAE00" w14:textId="7337A9DA" w:rsidR="007C5899" w:rsidRDefault="000850EB" w:rsidP="007C5899">
      <w:pPr>
        <w:pStyle w:val="ListParagraph"/>
        <w:numPr>
          <w:ilvl w:val="1"/>
          <w:numId w:val="38"/>
        </w:numPr>
        <w:spacing w:after="0" w:line="360" w:lineRule="auto"/>
        <w:ind w:left="567" w:hanging="567"/>
        <w:jc w:val="both"/>
        <w:rPr>
          <w:rFonts w:ascii="Times New Roman" w:eastAsia="Times New Roman" w:hAnsi="Times New Roman" w:cs="Times New Roman"/>
          <w:spacing w:val="6"/>
          <w:sz w:val="24"/>
          <w:szCs w:val="24"/>
          <w:lang w:eastAsia="en-GB"/>
        </w:rPr>
      </w:pPr>
      <w:r w:rsidRPr="00B85BEB">
        <w:rPr>
          <w:rFonts w:ascii="Times New Roman" w:eastAsia="Times New Roman" w:hAnsi="Times New Roman" w:cs="Times New Roman"/>
          <w:spacing w:val="6"/>
          <w:sz w:val="24"/>
          <w:szCs w:val="24"/>
          <w:lang w:eastAsia="en-GB"/>
        </w:rPr>
        <w:t xml:space="preserve">The Committee notes that the fastest growing category of expenditure is debt-service costs, </w:t>
      </w:r>
      <w:r w:rsidR="00743AF0" w:rsidRPr="00B85BEB">
        <w:rPr>
          <w:rFonts w:ascii="Times New Roman" w:eastAsia="Times New Roman" w:hAnsi="Times New Roman" w:cs="Times New Roman"/>
          <w:spacing w:val="6"/>
          <w:sz w:val="24"/>
          <w:szCs w:val="24"/>
          <w:lang w:eastAsia="en-GB"/>
        </w:rPr>
        <w:t>at an average annual growth rate</w:t>
      </w:r>
      <w:r w:rsidR="00D70820">
        <w:rPr>
          <w:rFonts w:ascii="Times New Roman" w:eastAsia="Times New Roman" w:hAnsi="Times New Roman" w:cs="Times New Roman"/>
          <w:spacing w:val="6"/>
          <w:sz w:val="24"/>
          <w:szCs w:val="24"/>
          <w:lang w:eastAsia="en-GB"/>
        </w:rPr>
        <w:t xml:space="preserve"> of 10.9 per cent over the MTEF.</w:t>
      </w:r>
      <w:r w:rsidRPr="00B85BEB">
        <w:rPr>
          <w:rFonts w:ascii="Times New Roman" w:eastAsia="Times New Roman" w:hAnsi="Times New Roman" w:cs="Times New Roman"/>
          <w:spacing w:val="6"/>
          <w:sz w:val="24"/>
          <w:szCs w:val="24"/>
          <w:lang w:eastAsia="en-GB"/>
        </w:rPr>
        <w:t xml:space="preserve"> The fastest-growing elements of spending are Learning and Culture (which includes post-school educ</w:t>
      </w:r>
      <w:r w:rsidR="00807C44" w:rsidRPr="00B85BEB">
        <w:rPr>
          <w:rFonts w:ascii="Times New Roman" w:eastAsia="Times New Roman" w:hAnsi="Times New Roman" w:cs="Times New Roman"/>
          <w:spacing w:val="6"/>
          <w:sz w:val="24"/>
          <w:szCs w:val="24"/>
          <w:lang w:eastAsia="en-GB"/>
        </w:rPr>
        <w:t xml:space="preserve">ation and training), Health, </w:t>
      </w:r>
      <w:r w:rsidRPr="00B85BEB">
        <w:rPr>
          <w:rFonts w:ascii="Times New Roman" w:eastAsia="Times New Roman" w:hAnsi="Times New Roman" w:cs="Times New Roman"/>
          <w:spacing w:val="6"/>
          <w:sz w:val="24"/>
          <w:szCs w:val="24"/>
          <w:lang w:eastAsia="en-GB"/>
        </w:rPr>
        <w:t>Community Development</w:t>
      </w:r>
      <w:r w:rsidR="00807C44" w:rsidRPr="00B85BEB">
        <w:rPr>
          <w:rFonts w:ascii="Times New Roman" w:eastAsia="Times New Roman" w:hAnsi="Times New Roman" w:cs="Times New Roman"/>
          <w:spacing w:val="6"/>
          <w:sz w:val="24"/>
          <w:szCs w:val="24"/>
          <w:lang w:eastAsia="en-GB"/>
        </w:rPr>
        <w:t xml:space="preserve"> and Social Development</w:t>
      </w:r>
      <w:r w:rsidRPr="00B85BEB">
        <w:rPr>
          <w:rFonts w:ascii="Times New Roman" w:eastAsia="Times New Roman" w:hAnsi="Times New Roman" w:cs="Times New Roman"/>
          <w:spacing w:val="6"/>
          <w:sz w:val="24"/>
          <w:szCs w:val="24"/>
          <w:lang w:eastAsia="en-GB"/>
        </w:rPr>
        <w:t xml:space="preserve">, with growth rates of </w:t>
      </w:r>
      <w:r w:rsidR="00743AF0" w:rsidRPr="00B85BEB">
        <w:rPr>
          <w:rFonts w:ascii="Times New Roman" w:eastAsia="Times New Roman" w:hAnsi="Times New Roman" w:cs="Times New Roman"/>
          <w:spacing w:val="6"/>
          <w:sz w:val="24"/>
          <w:szCs w:val="24"/>
          <w:lang w:eastAsia="en-GB"/>
        </w:rPr>
        <w:t>8.2</w:t>
      </w:r>
      <w:r w:rsidRPr="00B85BEB">
        <w:rPr>
          <w:rFonts w:ascii="Times New Roman" w:eastAsia="Times New Roman" w:hAnsi="Times New Roman" w:cs="Times New Roman"/>
          <w:spacing w:val="6"/>
          <w:sz w:val="24"/>
          <w:szCs w:val="24"/>
          <w:lang w:eastAsia="en-GB"/>
        </w:rPr>
        <w:t xml:space="preserve"> per cent, 7.5 per cent and 7.9 per cent respectively.</w:t>
      </w:r>
    </w:p>
    <w:p w14:paraId="6CD22CC2" w14:textId="77777777" w:rsidR="007C5899" w:rsidRPr="007C5899" w:rsidRDefault="007C5899" w:rsidP="007C5899">
      <w:pPr>
        <w:pStyle w:val="ListParagraph"/>
        <w:rPr>
          <w:rFonts w:ascii="Times New Roman" w:eastAsia="Times New Roman" w:hAnsi="Times New Roman" w:cs="Times New Roman"/>
          <w:spacing w:val="6"/>
          <w:sz w:val="24"/>
          <w:szCs w:val="24"/>
          <w:lang w:eastAsia="en-GB"/>
        </w:rPr>
      </w:pPr>
    </w:p>
    <w:p w14:paraId="560C0AEE" w14:textId="68C5BC0D" w:rsidR="007C5899" w:rsidRPr="00535831" w:rsidRDefault="007C5899" w:rsidP="00724EC2">
      <w:pPr>
        <w:pStyle w:val="ListParagraph"/>
        <w:numPr>
          <w:ilvl w:val="1"/>
          <w:numId w:val="38"/>
        </w:numPr>
        <w:spacing w:after="0" w:line="360" w:lineRule="auto"/>
        <w:ind w:left="567" w:hanging="567"/>
        <w:jc w:val="both"/>
        <w:rPr>
          <w:rFonts w:ascii="Times New Roman" w:eastAsia="Times New Roman" w:hAnsi="Times New Roman" w:cs="Times New Roman"/>
          <w:spacing w:val="6"/>
          <w:sz w:val="24"/>
          <w:szCs w:val="24"/>
          <w:lang w:eastAsia="en-GB"/>
        </w:rPr>
      </w:pPr>
      <w:r w:rsidRPr="00535831">
        <w:rPr>
          <w:rFonts w:ascii="Times New Roman" w:eastAsia="Times New Roman" w:hAnsi="Times New Roman" w:cs="Times New Roman"/>
          <w:spacing w:val="6"/>
          <w:sz w:val="24"/>
          <w:szCs w:val="24"/>
          <w:lang w:eastAsia="en-GB"/>
        </w:rPr>
        <w:t xml:space="preserve">The Committee notes that spending on Social Development grows by 7.9 per cent over the MTEF and that the number of people covered by the various social grants grows by about 2 per cent a year. </w:t>
      </w:r>
      <w:r w:rsidRPr="00535831">
        <w:rPr>
          <w:rFonts w:ascii="Times New Roman" w:hAnsi="Times New Roman"/>
          <w:sz w:val="24"/>
          <w:szCs w:val="24"/>
        </w:rPr>
        <w:t>Th</w:t>
      </w:r>
      <w:r w:rsidR="00535831" w:rsidRPr="00535831">
        <w:rPr>
          <w:rFonts w:ascii="Times New Roman" w:hAnsi="Times New Roman"/>
          <w:sz w:val="24"/>
          <w:szCs w:val="24"/>
        </w:rPr>
        <w:t xml:space="preserve">e Committee also notes with concern a trend by the </w:t>
      </w:r>
      <w:r w:rsidRPr="00535831">
        <w:rPr>
          <w:rFonts w:ascii="Times New Roman" w:hAnsi="Times New Roman"/>
          <w:sz w:val="24"/>
          <w:szCs w:val="24"/>
        </w:rPr>
        <w:t xml:space="preserve">Department of Social Development </w:t>
      </w:r>
      <w:r w:rsidR="00535831" w:rsidRPr="00535831">
        <w:rPr>
          <w:rFonts w:ascii="Times New Roman" w:hAnsi="Times New Roman"/>
          <w:sz w:val="24"/>
          <w:szCs w:val="24"/>
        </w:rPr>
        <w:t>to declare</w:t>
      </w:r>
      <w:r w:rsidRPr="00535831">
        <w:rPr>
          <w:rFonts w:ascii="Times New Roman" w:hAnsi="Times New Roman"/>
          <w:sz w:val="24"/>
          <w:szCs w:val="24"/>
        </w:rPr>
        <w:t xml:space="preserve"> unspent funds due to a lower than anticipated take-up of the child support grant. </w:t>
      </w:r>
      <w:r w:rsidR="00535831" w:rsidRPr="00535831">
        <w:rPr>
          <w:rFonts w:ascii="Times New Roman" w:hAnsi="Times New Roman"/>
          <w:sz w:val="24"/>
          <w:szCs w:val="24"/>
        </w:rPr>
        <w:t>T</w:t>
      </w:r>
      <w:r w:rsidRPr="00535831">
        <w:rPr>
          <w:rFonts w:ascii="Times New Roman" w:hAnsi="Times New Roman"/>
          <w:sz w:val="24"/>
          <w:szCs w:val="24"/>
        </w:rPr>
        <w:t>he rationale for these unspent funds is questionable given the number of people and specifically children who live below the poverty line. The Committee</w:t>
      </w:r>
      <w:r w:rsidR="00535831" w:rsidRPr="00535831">
        <w:rPr>
          <w:rFonts w:ascii="Times New Roman" w:hAnsi="Times New Roman"/>
          <w:sz w:val="24"/>
          <w:szCs w:val="24"/>
        </w:rPr>
        <w:t xml:space="preserve"> also note</w:t>
      </w:r>
      <w:r w:rsidR="00D70820">
        <w:rPr>
          <w:rFonts w:ascii="Times New Roman" w:hAnsi="Times New Roman"/>
          <w:sz w:val="24"/>
          <w:szCs w:val="24"/>
        </w:rPr>
        <w:t>s</w:t>
      </w:r>
      <w:r w:rsidR="00535831" w:rsidRPr="00535831">
        <w:rPr>
          <w:rFonts w:ascii="Times New Roman" w:hAnsi="Times New Roman"/>
          <w:sz w:val="24"/>
          <w:szCs w:val="24"/>
        </w:rPr>
        <w:t xml:space="preserve"> concern</w:t>
      </w:r>
      <w:r w:rsidR="00D70820">
        <w:rPr>
          <w:rFonts w:ascii="Times New Roman" w:hAnsi="Times New Roman"/>
          <w:sz w:val="24"/>
          <w:szCs w:val="24"/>
        </w:rPr>
        <w:t>s</w:t>
      </w:r>
      <w:r w:rsidR="00535831" w:rsidRPr="00535831">
        <w:rPr>
          <w:rFonts w:ascii="Times New Roman" w:hAnsi="Times New Roman"/>
          <w:sz w:val="24"/>
          <w:szCs w:val="24"/>
        </w:rPr>
        <w:t xml:space="preserve"> raised by the Budget J</w:t>
      </w:r>
      <w:r w:rsidR="00D70820">
        <w:rPr>
          <w:rFonts w:ascii="Times New Roman" w:hAnsi="Times New Roman"/>
          <w:sz w:val="24"/>
          <w:szCs w:val="24"/>
        </w:rPr>
        <w:t xml:space="preserve">ustice Coalition and the United Nations International Children Emergency Fund in </w:t>
      </w:r>
      <w:r w:rsidR="00535831" w:rsidRPr="00535831">
        <w:rPr>
          <w:rFonts w:ascii="Times New Roman" w:hAnsi="Times New Roman"/>
          <w:sz w:val="24"/>
          <w:szCs w:val="24"/>
        </w:rPr>
        <w:t>this</w:t>
      </w:r>
      <w:r w:rsidR="00D70820">
        <w:rPr>
          <w:rFonts w:ascii="Times New Roman" w:hAnsi="Times New Roman"/>
          <w:sz w:val="24"/>
          <w:szCs w:val="24"/>
        </w:rPr>
        <w:t xml:space="preserve"> regard</w:t>
      </w:r>
      <w:r w:rsidR="00535831" w:rsidRPr="00535831">
        <w:rPr>
          <w:rFonts w:ascii="Times New Roman" w:hAnsi="Times New Roman"/>
          <w:sz w:val="24"/>
          <w:szCs w:val="24"/>
        </w:rPr>
        <w:t xml:space="preserve">.  </w:t>
      </w:r>
      <w:r w:rsidRPr="00535831">
        <w:rPr>
          <w:rFonts w:ascii="Times New Roman" w:hAnsi="Times New Roman"/>
          <w:sz w:val="24"/>
          <w:szCs w:val="24"/>
        </w:rPr>
        <w:t xml:space="preserve"> </w:t>
      </w:r>
    </w:p>
    <w:p w14:paraId="270C416D" w14:textId="77777777" w:rsidR="007C5899" w:rsidRPr="007C5899" w:rsidRDefault="007C5899" w:rsidP="007C5899">
      <w:pPr>
        <w:pStyle w:val="ListParagraph"/>
        <w:rPr>
          <w:rFonts w:ascii="Times New Roman" w:eastAsia="Times New Roman" w:hAnsi="Times New Roman" w:cs="Times New Roman"/>
          <w:spacing w:val="6"/>
          <w:sz w:val="24"/>
          <w:szCs w:val="24"/>
          <w:lang w:eastAsia="en-GB"/>
        </w:rPr>
      </w:pPr>
    </w:p>
    <w:p w14:paraId="1C36BAD5" w14:textId="1507DC3B" w:rsidR="008D659A" w:rsidRPr="008D659A" w:rsidRDefault="000850EB" w:rsidP="008D659A">
      <w:pPr>
        <w:pStyle w:val="ListParagraph"/>
        <w:numPr>
          <w:ilvl w:val="1"/>
          <w:numId w:val="38"/>
        </w:numPr>
        <w:spacing w:after="0" w:line="360" w:lineRule="auto"/>
        <w:ind w:left="567" w:hanging="567"/>
        <w:jc w:val="both"/>
        <w:rPr>
          <w:rFonts w:ascii="Times New Roman" w:eastAsia="Times New Roman" w:hAnsi="Times New Roman" w:cs="Times New Roman"/>
          <w:spacing w:val="6"/>
          <w:sz w:val="24"/>
          <w:szCs w:val="24"/>
          <w:lang w:eastAsia="en-GB"/>
        </w:rPr>
      </w:pPr>
      <w:r w:rsidRPr="004161B0">
        <w:rPr>
          <w:rFonts w:ascii="Times New Roman" w:eastAsia="Times New Roman" w:hAnsi="Times New Roman" w:cs="Times New Roman"/>
          <w:spacing w:val="6"/>
          <w:sz w:val="24"/>
          <w:szCs w:val="24"/>
          <w:lang w:eastAsia="en-GB"/>
        </w:rPr>
        <w:t xml:space="preserve">The Committee notes that significant fiscal risks over the next three years </w:t>
      </w:r>
      <w:r w:rsidR="006A4D7D">
        <w:rPr>
          <w:rFonts w:ascii="Times New Roman" w:eastAsia="Times New Roman" w:hAnsi="Times New Roman" w:cs="Times New Roman"/>
          <w:spacing w:val="6"/>
          <w:sz w:val="24"/>
          <w:szCs w:val="24"/>
          <w:lang w:eastAsia="en-GB"/>
        </w:rPr>
        <w:t xml:space="preserve">include: </w:t>
      </w:r>
      <w:r w:rsidR="004161B0" w:rsidRPr="004161B0">
        <w:rPr>
          <w:rFonts w:ascii="Times New Roman" w:hAnsi="Times New Roman" w:cs="Times New Roman"/>
          <w:color w:val="000000"/>
          <w:spacing w:val="6"/>
          <w:sz w:val="24"/>
          <w:szCs w:val="24"/>
        </w:rPr>
        <w:t>slow</w:t>
      </w:r>
      <w:r w:rsidR="00DE06A1">
        <w:rPr>
          <w:rFonts w:ascii="Times New Roman" w:hAnsi="Times New Roman" w:cs="Times New Roman"/>
          <w:color w:val="000000"/>
          <w:spacing w:val="6"/>
          <w:sz w:val="24"/>
          <w:szCs w:val="24"/>
        </w:rPr>
        <w:t>er</w:t>
      </w:r>
      <w:r w:rsidR="004161B0" w:rsidRPr="004161B0">
        <w:rPr>
          <w:rFonts w:ascii="Times New Roman" w:hAnsi="Times New Roman" w:cs="Times New Roman"/>
          <w:color w:val="000000"/>
          <w:spacing w:val="6"/>
          <w:sz w:val="24"/>
          <w:szCs w:val="24"/>
        </w:rPr>
        <w:t xml:space="preserve"> than expected</w:t>
      </w:r>
      <w:r w:rsidR="004161B0">
        <w:rPr>
          <w:rFonts w:ascii="Times New Roman" w:hAnsi="Times New Roman" w:cs="Times New Roman"/>
          <w:color w:val="000000"/>
          <w:spacing w:val="6"/>
          <w:sz w:val="24"/>
          <w:szCs w:val="24"/>
        </w:rPr>
        <w:t xml:space="preserve"> nominal GDP and revenue growth,</w:t>
      </w:r>
      <w:r w:rsidR="004161B0" w:rsidRPr="004161B0">
        <w:rPr>
          <w:rFonts w:ascii="Times New Roman" w:hAnsi="Times New Roman" w:cs="Times New Roman"/>
          <w:color w:val="000000"/>
          <w:spacing w:val="6"/>
          <w:sz w:val="24"/>
          <w:szCs w:val="24"/>
        </w:rPr>
        <w:t xml:space="preserve"> debt sustainability under different economic scenarios</w:t>
      </w:r>
      <w:r w:rsidR="004161B0">
        <w:rPr>
          <w:rFonts w:ascii="Times New Roman" w:eastAsia="Times New Roman" w:hAnsi="Times New Roman" w:cs="Times New Roman"/>
          <w:spacing w:val="6"/>
          <w:sz w:val="24"/>
          <w:szCs w:val="24"/>
          <w:lang w:eastAsia="en-GB"/>
        </w:rPr>
        <w:t>,</w:t>
      </w:r>
      <w:r w:rsidRPr="004161B0">
        <w:rPr>
          <w:rFonts w:ascii="Times New Roman" w:eastAsia="Times New Roman" w:hAnsi="Times New Roman" w:cs="Times New Roman"/>
          <w:spacing w:val="6"/>
          <w:sz w:val="24"/>
          <w:szCs w:val="24"/>
          <w:lang w:eastAsia="en-GB"/>
        </w:rPr>
        <w:t xml:space="preserve"> </w:t>
      </w:r>
      <w:r w:rsidR="00B85BEB" w:rsidRPr="004161B0">
        <w:rPr>
          <w:rFonts w:ascii="Times New Roman" w:eastAsia="Times New Roman" w:hAnsi="Times New Roman" w:cs="Times New Roman"/>
          <w:spacing w:val="6"/>
          <w:sz w:val="24"/>
          <w:szCs w:val="24"/>
          <w:lang w:eastAsia="en-GB"/>
        </w:rPr>
        <w:t xml:space="preserve">unpaid bills and accruals within </w:t>
      </w:r>
      <w:r w:rsidR="004161B0">
        <w:rPr>
          <w:rFonts w:ascii="Times New Roman" w:eastAsia="Times New Roman" w:hAnsi="Times New Roman" w:cs="Times New Roman"/>
          <w:spacing w:val="6"/>
          <w:sz w:val="24"/>
          <w:szCs w:val="24"/>
          <w:lang w:eastAsia="en-GB"/>
        </w:rPr>
        <w:t>provincial and local government,</w:t>
      </w:r>
      <w:r w:rsidR="00B85BEB" w:rsidRPr="004161B0">
        <w:rPr>
          <w:rFonts w:ascii="Times New Roman" w:eastAsia="Times New Roman" w:hAnsi="Times New Roman" w:cs="Times New Roman"/>
          <w:spacing w:val="6"/>
          <w:sz w:val="24"/>
          <w:szCs w:val="24"/>
          <w:lang w:eastAsia="en-GB"/>
        </w:rPr>
        <w:t xml:space="preserve"> failure of municipalities to</w:t>
      </w:r>
      <w:r w:rsidR="004161B0">
        <w:rPr>
          <w:rFonts w:ascii="Times New Roman" w:eastAsia="Times New Roman" w:hAnsi="Times New Roman" w:cs="Times New Roman"/>
          <w:spacing w:val="6"/>
          <w:sz w:val="24"/>
          <w:szCs w:val="24"/>
          <w:lang w:eastAsia="en-GB"/>
        </w:rPr>
        <w:t xml:space="preserve"> fully fund operational budgets,</w:t>
      </w:r>
      <w:r w:rsidR="00B85BEB" w:rsidRPr="004161B0">
        <w:rPr>
          <w:rFonts w:ascii="Times New Roman" w:eastAsia="Times New Roman" w:hAnsi="Times New Roman" w:cs="Times New Roman"/>
          <w:spacing w:val="6"/>
          <w:sz w:val="24"/>
          <w:szCs w:val="24"/>
          <w:lang w:eastAsia="en-GB"/>
        </w:rPr>
        <w:t xml:space="preserve"> contingency liability risks faced by provincial health </w:t>
      </w:r>
      <w:r w:rsidR="00D70820" w:rsidRPr="004161B0">
        <w:rPr>
          <w:rFonts w:ascii="Times New Roman" w:eastAsia="Times New Roman" w:hAnsi="Times New Roman" w:cs="Times New Roman"/>
          <w:spacing w:val="6"/>
          <w:sz w:val="24"/>
          <w:szCs w:val="24"/>
          <w:lang w:eastAsia="en-GB"/>
        </w:rPr>
        <w:t>departments</w:t>
      </w:r>
      <w:r w:rsidR="00D70820">
        <w:rPr>
          <w:rFonts w:ascii="Times New Roman" w:eastAsia="Times New Roman" w:hAnsi="Times New Roman" w:cs="Times New Roman"/>
          <w:spacing w:val="6"/>
          <w:sz w:val="24"/>
          <w:szCs w:val="24"/>
          <w:lang w:eastAsia="en-GB"/>
        </w:rPr>
        <w:t>,</w:t>
      </w:r>
      <w:r w:rsidR="00D70820" w:rsidRPr="004161B0">
        <w:rPr>
          <w:rFonts w:ascii="Times New Roman" w:eastAsia="Times New Roman" w:hAnsi="Times New Roman" w:cs="Times New Roman"/>
          <w:spacing w:val="6"/>
          <w:sz w:val="24"/>
          <w:szCs w:val="24"/>
          <w:lang w:eastAsia="en-GB"/>
        </w:rPr>
        <w:t xml:space="preserve"> </w:t>
      </w:r>
      <w:r w:rsidR="00D70820">
        <w:rPr>
          <w:rFonts w:ascii="Times New Roman" w:eastAsia="Times New Roman" w:hAnsi="Times New Roman" w:cs="Times New Roman"/>
          <w:spacing w:val="6"/>
          <w:sz w:val="24"/>
          <w:szCs w:val="24"/>
          <w:lang w:eastAsia="en-GB"/>
        </w:rPr>
        <w:t>and</w:t>
      </w:r>
      <w:r w:rsidR="004161B0">
        <w:rPr>
          <w:rFonts w:ascii="Times New Roman" w:eastAsia="Times New Roman" w:hAnsi="Times New Roman" w:cs="Times New Roman"/>
          <w:spacing w:val="6"/>
          <w:sz w:val="24"/>
          <w:szCs w:val="24"/>
          <w:lang w:eastAsia="en-GB"/>
        </w:rPr>
        <w:t xml:space="preserve"> the </w:t>
      </w:r>
      <w:r w:rsidR="00B85BEB" w:rsidRPr="004161B0">
        <w:rPr>
          <w:rFonts w:ascii="Times New Roman" w:eastAsia="Times New Roman" w:hAnsi="Times New Roman" w:cs="Times New Roman"/>
          <w:spacing w:val="6"/>
          <w:sz w:val="24"/>
          <w:szCs w:val="24"/>
          <w:lang w:eastAsia="en-GB"/>
        </w:rPr>
        <w:t>quality and quantity of guarantee expo</w:t>
      </w:r>
      <w:r w:rsidR="004161B0" w:rsidRPr="004161B0">
        <w:rPr>
          <w:rFonts w:ascii="Times New Roman" w:eastAsia="Times New Roman" w:hAnsi="Times New Roman" w:cs="Times New Roman"/>
          <w:spacing w:val="6"/>
          <w:sz w:val="24"/>
          <w:szCs w:val="24"/>
          <w:lang w:eastAsia="en-GB"/>
        </w:rPr>
        <w:t xml:space="preserve">sures and SOCs debt obligations. </w:t>
      </w:r>
      <w:r w:rsidR="00CF32C9">
        <w:rPr>
          <w:rFonts w:ascii="Times New Roman" w:eastAsia="Times New Roman" w:hAnsi="Times New Roman" w:cs="Times New Roman"/>
          <w:spacing w:val="6"/>
          <w:sz w:val="24"/>
          <w:szCs w:val="24"/>
          <w:lang w:eastAsia="en-GB"/>
        </w:rPr>
        <w:t xml:space="preserve"> </w:t>
      </w:r>
    </w:p>
    <w:p w14:paraId="7AAA34BF" w14:textId="77777777" w:rsidR="00927ABA" w:rsidRPr="004E4FC8" w:rsidRDefault="00927ABA" w:rsidP="00927ABA">
      <w:pPr>
        <w:pStyle w:val="ListParagraph"/>
        <w:spacing w:after="0" w:line="360" w:lineRule="auto"/>
        <w:ind w:left="567"/>
        <w:jc w:val="both"/>
        <w:rPr>
          <w:rFonts w:ascii="Times New Roman" w:eastAsia="Times New Roman" w:hAnsi="Times New Roman" w:cs="Times New Roman"/>
          <w:spacing w:val="6"/>
          <w:sz w:val="24"/>
          <w:szCs w:val="24"/>
          <w:highlight w:val="yellow"/>
          <w:lang w:eastAsia="en-GB"/>
        </w:rPr>
      </w:pPr>
    </w:p>
    <w:p w14:paraId="6EB68C81" w14:textId="6845BD3C" w:rsidR="000850EB" w:rsidRDefault="000850EB" w:rsidP="00927ABA">
      <w:pPr>
        <w:pStyle w:val="ListParagraph"/>
        <w:numPr>
          <w:ilvl w:val="1"/>
          <w:numId w:val="38"/>
        </w:numPr>
        <w:spacing w:after="0" w:line="360" w:lineRule="auto"/>
        <w:ind w:left="567" w:hanging="567"/>
        <w:jc w:val="both"/>
        <w:rPr>
          <w:rFonts w:ascii="Times New Roman" w:eastAsia="Times New Roman" w:hAnsi="Times New Roman" w:cs="Times New Roman"/>
          <w:spacing w:val="6"/>
          <w:sz w:val="24"/>
          <w:szCs w:val="24"/>
          <w:lang w:eastAsia="en-GB"/>
        </w:rPr>
      </w:pPr>
      <w:r w:rsidRPr="00A52F9D">
        <w:rPr>
          <w:rFonts w:ascii="Times New Roman" w:eastAsia="Times New Roman" w:hAnsi="Times New Roman" w:cs="Times New Roman"/>
          <w:spacing w:val="6"/>
          <w:sz w:val="24"/>
          <w:szCs w:val="24"/>
          <w:lang w:eastAsia="en-GB"/>
        </w:rPr>
        <w:t>The Committee notes that t</w:t>
      </w:r>
      <w:r w:rsidR="00D57D25" w:rsidRPr="00A52F9D">
        <w:rPr>
          <w:rFonts w:ascii="Times New Roman" w:eastAsia="Times New Roman" w:hAnsi="Times New Roman" w:cs="Times New Roman"/>
          <w:spacing w:val="6"/>
          <w:sz w:val="24"/>
          <w:szCs w:val="24"/>
          <w:lang w:eastAsia="en-GB"/>
        </w:rPr>
        <w:t xml:space="preserve">otal </w:t>
      </w:r>
      <w:r w:rsidR="00D70820">
        <w:rPr>
          <w:rFonts w:ascii="Times New Roman" w:eastAsia="Times New Roman" w:hAnsi="Times New Roman" w:cs="Times New Roman"/>
          <w:spacing w:val="6"/>
          <w:sz w:val="24"/>
          <w:szCs w:val="24"/>
          <w:lang w:eastAsia="en-GB"/>
        </w:rPr>
        <w:t>government guarantee exposure is</w:t>
      </w:r>
      <w:r w:rsidR="00D57D25" w:rsidRPr="00A52F9D">
        <w:rPr>
          <w:rFonts w:ascii="Times New Roman" w:eastAsia="Times New Roman" w:hAnsi="Times New Roman" w:cs="Times New Roman"/>
          <w:spacing w:val="6"/>
          <w:sz w:val="24"/>
          <w:szCs w:val="24"/>
          <w:lang w:eastAsia="en-GB"/>
        </w:rPr>
        <w:t xml:space="preserve"> R670</w:t>
      </w:r>
      <w:r w:rsidRPr="00A52F9D">
        <w:rPr>
          <w:rFonts w:ascii="Times New Roman" w:eastAsia="Times New Roman" w:hAnsi="Times New Roman" w:cs="Times New Roman"/>
          <w:spacing w:val="6"/>
          <w:sz w:val="24"/>
          <w:szCs w:val="24"/>
          <w:lang w:eastAsia="en-GB"/>
        </w:rPr>
        <w:t xml:space="preserve"> billion. The weak financial positions of several major public entities remains a significant risk to th</w:t>
      </w:r>
      <w:r w:rsidR="00D70820">
        <w:rPr>
          <w:rFonts w:ascii="Times New Roman" w:eastAsia="Times New Roman" w:hAnsi="Times New Roman" w:cs="Times New Roman"/>
          <w:spacing w:val="6"/>
          <w:sz w:val="24"/>
          <w:szCs w:val="24"/>
          <w:lang w:eastAsia="en-GB"/>
        </w:rPr>
        <w:t>e fiscal outlook. The Committee</w:t>
      </w:r>
      <w:r w:rsidRPr="00A52F9D">
        <w:rPr>
          <w:rFonts w:ascii="Times New Roman" w:eastAsia="Times New Roman" w:hAnsi="Times New Roman" w:cs="Times New Roman"/>
          <w:spacing w:val="6"/>
          <w:sz w:val="24"/>
          <w:szCs w:val="24"/>
          <w:lang w:eastAsia="en-GB"/>
        </w:rPr>
        <w:t xml:space="preserve"> welcomes the </w:t>
      </w:r>
      <w:r w:rsidR="00D57D25" w:rsidRPr="00A52F9D">
        <w:rPr>
          <w:rFonts w:ascii="Times New Roman" w:eastAsia="Times New Roman" w:hAnsi="Times New Roman" w:cs="Times New Roman"/>
          <w:spacing w:val="6"/>
          <w:sz w:val="24"/>
          <w:szCs w:val="24"/>
          <w:lang w:eastAsia="en-GB"/>
        </w:rPr>
        <w:t xml:space="preserve">reforms initiated by government to restore good governance and financial stability at public institutions and state-owned companies. </w:t>
      </w:r>
      <w:r w:rsidRPr="00A52F9D">
        <w:rPr>
          <w:rFonts w:ascii="Times New Roman" w:eastAsia="Times New Roman" w:hAnsi="Times New Roman" w:cs="Times New Roman"/>
          <w:spacing w:val="6"/>
          <w:sz w:val="24"/>
          <w:szCs w:val="24"/>
          <w:lang w:eastAsia="en-GB"/>
        </w:rPr>
        <w:t xml:space="preserve">The Committee </w:t>
      </w:r>
      <w:r w:rsidR="00A52F9D">
        <w:rPr>
          <w:rFonts w:ascii="Times New Roman" w:eastAsia="Times New Roman" w:hAnsi="Times New Roman" w:cs="Times New Roman"/>
          <w:spacing w:val="6"/>
          <w:sz w:val="24"/>
          <w:szCs w:val="24"/>
          <w:lang w:eastAsia="en-GB"/>
        </w:rPr>
        <w:t>notes</w:t>
      </w:r>
      <w:r w:rsidRPr="00A52F9D">
        <w:rPr>
          <w:rFonts w:ascii="Times New Roman" w:eastAsia="Times New Roman" w:hAnsi="Times New Roman" w:cs="Times New Roman"/>
          <w:spacing w:val="6"/>
          <w:sz w:val="24"/>
          <w:szCs w:val="24"/>
          <w:lang w:eastAsia="en-GB"/>
        </w:rPr>
        <w:t xml:space="preserve"> FFC’s view </w:t>
      </w:r>
      <w:r w:rsidR="003E460D" w:rsidRPr="00A52F9D">
        <w:rPr>
          <w:rFonts w:ascii="Times New Roman" w:eastAsia="Times New Roman" w:hAnsi="Times New Roman" w:cs="Times New Roman"/>
          <w:spacing w:val="6"/>
          <w:sz w:val="24"/>
          <w:szCs w:val="24"/>
          <w:lang w:eastAsia="en-GB"/>
        </w:rPr>
        <w:t xml:space="preserve">of </w:t>
      </w:r>
      <w:r w:rsidR="003E460D" w:rsidRPr="00A52F9D">
        <w:rPr>
          <w:rFonts w:ascii="Times New Roman" w:hAnsi="Times New Roman" w:cs="Times New Roman"/>
          <w:sz w:val="24"/>
          <w:szCs w:val="24"/>
          <w:lang w:eastAsia="en-ZA"/>
        </w:rPr>
        <w:t>rethinking the business models of SOEs</w:t>
      </w:r>
      <w:r w:rsidR="006C1EE7">
        <w:rPr>
          <w:rFonts w:ascii="Times New Roman" w:hAnsi="Times New Roman" w:cs="Times New Roman"/>
          <w:sz w:val="24"/>
          <w:szCs w:val="24"/>
          <w:lang w:eastAsia="en-ZA"/>
        </w:rPr>
        <w:t xml:space="preserve">. </w:t>
      </w:r>
      <w:r w:rsidRPr="006C1EE7">
        <w:rPr>
          <w:rFonts w:ascii="Times New Roman" w:eastAsia="Times New Roman" w:hAnsi="Times New Roman" w:cs="Times New Roman"/>
          <w:spacing w:val="6"/>
          <w:sz w:val="24"/>
          <w:szCs w:val="24"/>
          <w:lang w:eastAsia="en-GB"/>
        </w:rPr>
        <w:t>The Committee</w:t>
      </w:r>
      <w:r w:rsidR="006C1EE7" w:rsidRPr="006C1EE7">
        <w:rPr>
          <w:rFonts w:ascii="Times New Roman" w:eastAsia="Times New Roman" w:hAnsi="Times New Roman" w:cs="Times New Roman"/>
          <w:spacing w:val="6"/>
          <w:sz w:val="24"/>
          <w:szCs w:val="24"/>
          <w:lang w:eastAsia="en-GB"/>
        </w:rPr>
        <w:t xml:space="preserve"> welcomes the announcement regarding the reconfiguration of SOEs and is of the view that this should not duplicate efforts of the</w:t>
      </w:r>
      <w:r w:rsidR="006C1EE7">
        <w:rPr>
          <w:rFonts w:ascii="Times New Roman" w:eastAsia="Times New Roman" w:hAnsi="Times New Roman" w:cs="Times New Roman"/>
          <w:spacing w:val="6"/>
          <w:sz w:val="24"/>
          <w:szCs w:val="24"/>
          <w:lang w:eastAsia="en-GB"/>
        </w:rPr>
        <w:t xml:space="preserve"> </w:t>
      </w:r>
      <w:r w:rsidR="006C1EE7" w:rsidRPr="006C1EE7">
        <w:rPr>
          <w:rFonts w:ascii="Times New Roman" w:eastAsia="Times New Roman" w:hAnsi="Times New Roman" w:cs="Times New Roman"/>
          <w:spacing w:val="6"/>
          <w:sz w:val="24"/>
          <w:szCs w:val="24"/>
          <w:lang w:eastAsia="en-GB"/>
        </w:rPr>
        <w:t xml:space="preserve">Presidential </w:t>
      </w:r>
      <w:r w:rsidR="006C1EE7" w:rsidRPr="006C1EE7">
        <w:rPr>
          <w:rFonts w:ascii="Times New Roman" w:eastAsia="Times New Roman" w:hAnsi="Times New Roman" w:cs="Times New Roman"/>
          <w:iCs/>
          <w:spacing w:val="6"/>
          <w:sz w:val="24"/>
          <w:szCs w:val="24"/>
          <w:lang w:eastAsia="en-GB"/>
        </w:rPr>
        <w:t>Review</w:t>
      </w:r>
      <w:r w:rsidR="006C1EE7" w:rsidRPr="006C1EE7">
        <w:rPr>
          <w:rFonts w:ascii="Times New Roman" w:eastAsia="Times New Roman" w:hAnsi="Times New Roman" w:cs="Times New Roman"/>
          <w:spacing w:val="6"/>
          <w:sz w:val="24"/>
          <w:szCs w:val="24"/>
          <w:lang w:eastAsia="en-GB"/>
        </w:rPr>
        <w:t xml:space="preserve"> Committee of state-owned entities but focus on the implementation of their recommendation</w:t>
      </w:r>
      <w:r w:rsidR="006C1EE7">
        <w:rPr>
          <w:rFonts w:ascii="Times New Roman" w:eastAsia="Times New Roman" w:hAnsi="Times New Roman" w:cs="Times New Roman"/>
          <w:spacing w:val="6"/>
          <w:sz w:val="24"/>
          <w:szCs w:val="24"/>
          <w:lang w:eastAsia="en-GB"/>
        </w:rPr>
        <w:t xml:space="preserve">s. </w:t>
      </w:r>
    </w:p>
    <w:p w14:paraId="6C391A49" w14:textId="77777777" w:rsidR="00F1120B" w:rsidRPr="00F1120B" w:rsidRDefault="00F1120B" w:rsidP="00F1120B">
      <w:pPr>
        <w:pStyle w:val="ListParagraph"/>
        <w:rPr>
          <w:rFonts w:ascii="Times New Roman" w:eastAsia="Times New Roman" w:hAnsi="Times New Roman" w:cs="Times New Roman"/>
          <w:spacing w:val="6"/>
          <w:sz w:val="24"/>
          <w:szCs w:val="24"/>
          <w:lang w:eastAsia="en-GB"/>
        </w:rPr>
      </w:pPr>
    </w:p>
    <w:p w14:paraId="65B2523C" w14:textId="77777777" w:rsidR="00F1120B" w:rsidRPr="00374AD6" w:rsidRDefault="00F1120B" w:rsidP="00374AD6">
      <w:pPr>
        <w:pStyle w:val="ListParagraph"/>
        <w:numPr>
          <w:ilvl w:val="1"/>
          <w:numId w:val="38"/>
        </w:numPr>
        <w:spacing w:after="0" w:line="360" w:lineRule="auto"/>
        <w:ind w:left="567" w:hanging="567"/>
        <w:jc w:val="both"/>
        <w:rPr>
          <w:rFonts w:ascii="Times New Roman" w:eastAsia="Times New Roman" w:hAnsi="Times New Roman" w:cs="Times New Roman"/>
          <w:sz w:val="24"/>
          <w:szCs w:val="24"/>
          <w:lang w:val="en-US"/>
        </w:rPr>
      </w:pPr>
      <w:r w:rsidRPr="00911AC9">
        <w:rPr>
          <w:rFonts w:ascii="Times New Roman" w:hAnsi="Times New Roman" w:cs="Times New Roman"/>
          <w:sz w:val="24"/>
          <w:szCs w:val="24"/>
          <w:lang w:eastAsia="en-ZA"/>
        </w:rPr>
        <w:t>The Committee n</w:t>
      </w:r>
      <w:r w:rsidR="00911AC9" w:rsidRPr="00911AC9">
        <w:rPr>
          <w:rFonts w:ascii="Times New Roman" w:hAnsi="Times New Roman" w:cs="Times New Roman"/>
          <w:sz w:val="24"/>
          <w:szCs w:val="24"/>
          <w:lang w:eastAsia="en-ZA"/>
        </w:rPr>
        <w:t>otes that over the 2019 MTEF the higher than anticipated wage agreements will put</w:t>
      </w:r>
      <w:r w:rsidRPr="00911AC9">
        <w:rPr>
          <w:rFonts w:ascii="Times New Roman" w:hAnsi="Times New Roman" w:cs="Times New Roman"/>
          <w:sz w:val="24"/>
          <w:szCs w:val="24"/>
          <w:lang w:eastAsia="en-ZA"/>
        </w:rPr>
        <w:t xml:space="preserve"> pressure on </w:t>
      </w:r>
      <w:r w:rsidR="00911AC9" w:rsidRPr="00911AC9">
        <w:rPr>
          <w:rFonts w:ascii="Times New Roman" w:hAnsi="Times New Roman" w:cs="Times New Roman"/>
          <w:sz w:val="24"/>
          <w:szCs w:val="24"/>
          <w:lang w:eastAsia="en-ZA"/>
        </w:rPr>
        <w:t>provincial budgets because over 60 per cent of these budgets are spent on wages</w:t>
      </w:r>
      <w:r w:rsidRPr="00911AC9">
        <w:rPr>
          <w:rFonts w:ascii="Times New Roman" w:hAnsi="Times New Roman" w:cs="Times New Roman"/>
          <w:sz w:val="24"/>
          <w:szCs w:val="24"/>
          <w:lang w:eastAsia="en-ZA"/>
        </w:rPr>
        <w:t xml:space="preserve">. </w:t>
      </w:r>
      <w:r w:rsidR="00911AC9" w:rsidRPr="00911AC9">
        <w:rPr>
          <w:rFonts w:ascii="Times New Roman" w:hAnsi="Times New Roman" w:cs="Times New Roman"/>
          <w:sz w:val="24"/>
          <w:szCs w:val="24"/>
          <w:lang w:eastAsia="en-ZA"/>
        </w:rPr>
        <w:t xml:space="preserve"> </w:t>
      </w:r>
      <w:r w:rsidR="00911AC9">
        <w:rPr>
          <w:rFonts w:ascii="Times New Roman" w:hAnsi="Times New Roman" w:cs="Times New Roman"/>
          <w:sz w:val="24"/>
          <w:szCs w:val="24"/>
          <w:lang w:eastAsia="en-ZA"/>
        </w:rPr>
        <w:t xml:space="preserve">The Committee is concerned that this might </w:t>
      </w:r>
      <w:r w:rsidR="00911AC9" w:rsidRPr="00B20E2A">
        <w:rPr>
          <w:rFonts w:ascii="Times New Roman" w:hAnsi="Times New Roman" w:cs="Times New Roman"/>
          <w:sz w:val="24"/>
          <w:szCs w:val="24"/>
          <w:lang w:eastAsia="en-ZA"/>
        </w:rPr>
        <w:t xml:space="preserve">divert resources away from key </w:t>
      </w:r>
      <w:r w:rsidR="00911AC9">
        <w:rPr>
          <w:rFonts w:ascii="Times New Roman" w:hAnsi="Times New Roman" w:cs="Times New Roman"/>
          <w:sz w:val="24"/>
          <w:szCs w:val="24"/>
          <w:lang w:eastAsia="en-ZA"/>
        </w:rPr>
        <w:t xml:space="preserve">service delivery inputs such as health and education. </w:t>
      </w:r>
      <w:r w:rsidRPr="00374AD6">
        <w:rPr>
          <w:rFonts w:ascii="Times New Roman" w:hAnsi="Times New Roman" w:cs="Times New Roman"/>
          <w:sz w:val="24"/>
          <w:szCs w:val="24"/>
          <w:lang w:eastAsia="en-ZA"/>
        </w:rPr>
        <w:t xml:space="preserve">The Committee </w:t>
      </w:r>
      <w:r w:rsidR="00911AC9" w:rsidRPr="00374AD6">
        <w:rPr>
          <w:rFonts w:ascii="Times New Roman" w:hAnsi="Times New Roman" w:cs="Times New Roman"/>
          <w:sz w:val="24"/>
          <w:szCs w:val="24"/>
          <w:lang w:eastAsia="en-ZA"/>
        </w:rPr>
        <w:t xml:space="preserve">notes National Treasury’s report that no reductions are proposed to the provincial equitable share in order to allow provinces fiscal space to manage the pressures. </w:t>
      </w:r>
    </w:p>
    <w:p w14:paraId="0509C169" w14:textId="77777777" w:rsidR="000850EB" w:rsidRPr="009179BB" w:rsidRDefault="000850EB" w:rsidP="000850EB">
      <w:pPr>
        <w:spacing w:after="0" w:line="360" w:lineRule="auto"/>
        <w:jc w:val="both"/>
        <w:rPr>
          <w:rFonts w:ascii="Times New Roman" w:eastAsia="Times New Roman" w:hAnsi="Times New Roman" w:cs="Times New Roman"/>
          <w:spacing w:val="6"/>
          <w:sz w:val="24"/>
          <w:szCs w:val="24"/>
          <w:lang w:eastAsia="en-GB"/>
        </w:rPr>
      </w:pPr>
    </w:p>
    <w:p w14:paraId="624D850D" w14:textId="77777777" w:rsidR="000850EB" w:rsidRPr="002E40FC" w:rsidRDefault="000850EB" w:rsidP="000850EB">
      <w:pPr>
        <w:spacing w:after="0" w:line="360" w:lineRule="auto"/>
        <w:jc w:val="both"/>
        <w:rPr>
          <w:rFonts w:ascii="Times New Roman" w:eastAsia="Times New Roman" w:hAnsi="Times New Roman" w:cs="Times New Roman"/>
          <w:b/>
          <w:spacing w:val="6"/>
          <w:sz w:val="24"/>
          <w:szCs w:val="24"/>
          <w:lang w:val="en-GB" w:eastAsia="en-GB"/>
        </w:rPr>
      </w:pPr>
    </w:p>
    <w:p w14:paraId="52F62E7F" w14:textId="77777777" w:rsidR="000850EB" w:rsidRPr="002E40FC" w:rsidRDefault="000850EB" w:rsidP="000850EB">
      <w:pPr>
        <w:spacing w:after="0" w:line="360" w:lineRule="auto"/>
        <w:jc w:val="both"/>
        <w:rPr>
          <w:rFonts w:ascii="Times New Roman" w:eastAsia="Times New Roman" w:hAnsi="Times New Roman" w:cs="Times New Roman"/>
          <w:b/>
          <w:spacing w:val="6"/>
          <w:sz w:val="24"/>
          <w:szCs w:val="24"/>
          <w:lang w:val="en-GB" w:eastAsia="en-GB"/>
        </w:rPr>
      </w:pPr>
      <w:r w:rsidRPr="002E40FC">
        <w:rPr>
          <w:rFonts w:ascii="Times New Roman" w:eastAsia="Times New Roman" w:hAnsi="Times New Roman" w:cs="Times New Roman"/>
          <w:b/>
          <w:spacing w:val="6"/>
          <w:sz w:val="24"/>
          <w:szCs w:val="24"/>
          <w:lang w:val="en-GB" w:eastAsia="en-GB"/>
        </w:rPr>
        <w:t xml:space="preserve">On the budget principles of efficiency, effectiveness and economy: </w:t>
      </w:r>
    </w:p>
    <w:p w14:paraId="496291C2" w14:textId="77777777" w:rsidR="000850EB" w:rsidRPr="002E40FC" w:rsidRDefault="000850EB" w:rsidP="000850EB">
      <w:pPr>
        <w:spacing w:after="0" w:line="360" w:lineRule="auto"/>
        <w:jc w:val="both"/>
        <w:rPr>
          <w:rFonts w:ascii="Times New Roman" w:eastAsia="Times New Roman" w:hAnsi="Times New Roman" w:cs="Times New Roman"/>
          <w:b/>
          <w:spacing w:val="6"/>
          <w:sz w:val="24"/>
          <w:szCs w:val="24"/>
          <w:lang w:val="en-GB" w:eastAsia="en-GB"/>
        </w:rPr>
      </w:pPr>
    </w:p>
    <w:p w14:paraId="657E8E39" w14:textId="77777777" w:rsidR="00417AF2" w:rsidRPr="00417AF2" w:rsidRDefault="00215F8B" w:rsidP="00417AF2">
      <w:pPr>
        <w:pStyle w:val="ListParagraph"/>
        <w:numPr>
          <w:ilvl w:val="1"/>
          <w:numId w:val="38"/>
        </w:num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B27AAE">
        <w:rPr>
          <w:rFonts w:ascii="Times New Roman" w:eastAsia="Times New Roman" w:hAnsi="Times New Roman" w:cs="Times New Roman"/>
          <w:spacing w:val="6"/>
          <w:sz w:val="24"/>
          <w:szCs w:val="24"/>
          <w:lang w:eastAsia="en-GB"/>
        </w:rPr>
        <w:t>The Committee is seriously concerned about trends in service delivery performance versus expenditure that show that while departments regularly exhaust their allocated budgets, the attainment of stated performance targets continues to be a challenge and is uneven across sectors.</w:t>
      </w:r>
      <w:r w:rsidR="00505B73" w:rsidRPr="00B27AAE">
        <w:rPr>
          <w:rFonts w:ascii="Times New Roman" w:eastAsia="Times New Roman" w:hAnsi="Times New Roman" w:cs="Times New Roman"/>
          <w:spacing w:val="6"/>
          <w:sz w:val="24"/>
          <w:szCs w:val="24"/>
          <w:lang w:eastAsia="en-GB"/>
        </w:rPr>
        <w:t xml:space="preserve"> </w:t>
      </w:r>
    </w:p>
    <w:p w14:paraId="43231D3D" w14:textId="77777777" w:rsidR="00417AF2" w:rsidRPr="00417AF2" w:rsidRDefault="00417AF2" w:rsidP="00417AF2">
      <w:pPr>
        <w:pStyle w:val="ListParagraph"/>
        <w:tabs>
          <w:tab w:val="left" w:pos="567"/>
        </w:tabs>
        <w:spacing w:after="0" w:line="360" w:lineRule="auto"/>
        <w:ind w:left="567"/>
        <w:jc w:val="both"/>
        <w:rPr>
          <w:rFonts w:ascii="Times New Roman" w:eastAsia="Times New Roman" w:hAnsi="Times New Roman" w:cs="Times New Roman"/>
          <w:color w:val="000000"/>
          <w:spacing w:val="6"/>
          <w:sz w:val="24"/>
          <w:szCs w:val="24"/>
          <w:lang w:val="en-GB" w:eastAsia="en-GB"/>
        </w:rPr>
      </w:pPr>
    </w:p>
    <w:p w14:paraId="352582A8" w14:textId="77777777" w:rsidR="000850EB" w:rsidRPr="007835AE" w:rsidRDefault="00FB7ECA" w:rsidP="007835AE">
      <w:pPr>
        <w:pStyle w:val="ListParagraph"/>
        <w:numPr>
          <w:ilvl w:val="1"/>
          <w:numId w:val="38"/>
        </w:num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417AF2">
        <w:rPr>
          <w:rFonts w:ascii="Times New Roman" w:eastAsia="Times New Roman" w:hAnsi="Times New Roman" w:cs="Times New Roman"/>
          <w:spacing w:val="6"/>
          <w:sz w:val="24"/>
          <w:szCs w:val="24"/>
          <w:lang w:eastAsia="en-GB"/>
        </w:rPr>
        <w:t xml:space="preserve">The Committee notes with concern the </w:t>
      </w:r>
      <w:r w:rsidR="007835AE">
        <w:rPr>
          <w:rFonts w:ascii="Times New Roman" w:eastAsia="Times New Roman" w:hAnsi="Times New Roman" w:cs="Times New Roman"/>
          <w:spacing w:val="6"/>
          <w:sz w:val="24"/>
          <w:szCs w:val="24"/>
          <w:lang w:eastAsia="en-GB"/>
        </w:rPr>
        <w:t xml:space="preserve">number of departments that </w:t>
      </w:r>
      <w:r w:rsidR="007835AE" w:rsidRPr="00417AF2">
        <w:rPr>
          <w:rFonts w:ascii="Times New Roman" w:eastAsia="Times New Roman" w:hAnsi="Times New Roman" w:cs="Times New Roman"/>
          <w:spacing w:val="6"/>
          <w:sz w:val="24"/>
          <w:szCs w:val="24"/>
          <w:lang w:eastAsia="en-GB"/>
        </w:rPr>
        <w:t>have transgressed in respect of the pay</w:t>
      </w:r>
      <w:r w:rsidR="007835AE">
        <w:rPr>
          <w:rFonts w:ascii="Times New Roman" w:eastAsia="Times New Roman" w:hAnsi="Times New Roman" w:cs="Times New Roman"/>
          <w:spacing w:val="6"/>
          <w:sz w:val="24"/>
          <w:szCs w:val="24"/>
          <w:lang w:eastAsia="en-GB"/>
        </w:rPr>
        <w:t xml:space="preserve">ment of invoices within 30 days. Of concern is the high quantity and high value of unpaid invoices as at August 2018. The Committee also notes with concern the PSC’s submission that </w:t>
      </w:r>
      <w:r w:rsidRPr="00417AF2">
        <w:rPr>
          <w:rFonts w:ascii="Times New Roman" w:eastAsia="Times New Roman" w:hAnsi="Times New Roman" w:cs="Times New Roman"/>
          <w:spacing w:val="6"/>
          <w:sz w:val="24"/>
          <w:szCs w:val="24"/>
          <w:lang w:eastAsia="en-GB"/>
        </w:rPr>
        <w:t xml:space="preserve">most of the departments who </w:t>
      </w:r>
      <w:r w:rsidR="007835AE">
        <w:rPr>
          <w:rFonts w:ascii="Times New Roman" w:eastAsia="Times New Roman" w:hAnsi="Times New Roman" w:cs="Times New Roman"/>
          <w:spacing w:val="6"/>
          <w:sz w:val="24"/>
          <w:szCs w:val="24"/>
          <w:lang w:eastAsia="en-GB"/>
        </w:rPr>
        <w:t xml:space="preserve">transgressed </w:t>
      </w:r>
      <w:r w:rsidRPr="00417AF2">
        <w:rPr>
          <w:rFonts w:ascii="Times New Roman" w:eastAsia="Times New Roman" w:hAnsi="Times New Roman" w:cs="Times New Roman"/>
          <w:spacing w:val="6"/>
          <w:sz w:val="24"/>
          <w:szCs w:val="24"/>
          <w:lang w:eastAsia="en-GB"/>
        </w:rPr>
        <w:t xml:space="preserve">were important role players in the economic sector </w:t>
      </w:r>
      <w:r w:rsidR="007835AE">
        <w:rPr>
          <w:rFonts w:ascii="Times New Roman" w:eastAsia="Times New Roman" w:hAnsi="Times New Roman" w:cs="Times New Roman"/>
          <w:spacing w:val="6"/>
          <w:sz w:val="24"/>
          <w:szCs w:val="24"/>
          <w:lang w:eastAsia="en-GB"/>
        </w:rPr>
        <w:t xml:space="preserve">and </w:t>
      </w:r>
      <w:r w:rsidRPr="00417AF2">
        <w:rPr>
          <w:rFonts w:ascii="Times New Roman" w:eastAsia="Times New Roman" w:hAnsi="Times New Roman" w:cs="Times New Roman"/>
          <w:spacing w:val="6"/>
          <w:sz w:val="24"/>
          <w:szCs w:val="24"/>
          <w:lang w:eastAsia="en-GB"/>
        </w:rPr>
        <w:t xml:space="preserve">with the planned injection of additional funds, it was essential to ensure effective financial management. </w:t>
      </w:r>
      <w:r w:rsidR="007835AE">
        <w:rPr>
          <w:rFonts w:ascii="Times New Roman" w:eastAsia="Times New Roman" w:hAnsi="Times New Roman" w:cs="Times New Roman"/>
          <w:spacing w:val="6"/>
          <w:sz w:val="24"/>
          <w:szCs w:val="24"/>
          <w:lang w:eastAsia="en-GB"/>
        </w:rPr>
        <w:t xml:space="preserve">The transgressing departments are as follows: </w:t>
      </w:r>
      <w:r w:rsidR="007835AE">
        <w:rPr>
          <w:rFonts w:ascii="Times New Roman" w:hAnsi="Times New Roman" w:cs="Times New Roman"/>
          <w:sz w:val="24"/>
          <w:szCs w:val="24"/>
        </w:rPr>
        <w:t>Water and Sanitation</w:t>
      </w:r>
      <w:r w:rsidR="00244E70">
        <w:rPr>
          <w:rFonts w:ascii="Times New Roman" w:hAnsi="Times New Roman" w:cs="Times New Roman"/>
          <w:sz w:val="24"/>
          <w:szCs w:val="24"/>
        </w:rPr>
        <w:t>; Energy</w:t>
      </w:r>
      <w:r w:rsidR="007835AE">
        <w:rPr>
          <w:rFonts w:ascii="Times New Roman" w:hAnsi="Times New Roman" w:cs="Times New Roman"/>
          <w:sz w:val="24"/>
          <w:szCs w:val="24"/>
        </w:rPr>
        <w:t xml:space="preserve">; </w:t>
      </w:r>
      <w:r w:rsidR="00417AF2" w:rsidRPr="00417AF2">
        <w:rPr>
          <w:rFonts w:ascii="Times New Roman" w:hAnsi="Times New Roman" w:cs="Times New Roman"/>
          <w:sz w:val="24"/>
          <w:szCs w:val="24"/>
        </w:rPr>
        <w:t>Public Works</w:t>
      </w:r>
      <w:r w:rsidR="00244E70">
        <w:rPr>
          <w:rFonts w:ascii="Times New Roman" w:hAnsi="Times New Roman" w:cs="Times New Roman"/>
          <w:sz w:val="24"/>
          <w:szCs w:val="24"/>
        </w:rPr>
        <w:t>; Cooperative Governance</w:t>
      </w:r>
      <w:r w:rsidR="00417AF2" w:rsidRPr="00417AF2">
        <w:rPr>
          <w:rFonts w:ascii="Times New Roman" w:hAnsi="Times New Roman" w:cs="Times New Roman"/>
          <w:sz w:val="24"/>
          <w:szCs w:val="24"/>
        </w:rPr>
        <w:t>; Police; Agriculture, Forestry and Fisheries; Women; and</w:t>
      </w:r>
      <w:r w:rsidR="007835AE">
        <w:rPr>
          <w:rFonts w:ascii="Times New Roman" w:hAnsi="Times New Roman" w:cs="Times New Roman"/>
          <w:sz w:val="24"/>
          <w:szCs w:val="24"/>
        </w:rPr>
        <w:t xml:space="preserve"> Social Development. </w:t>
      </w:r>
      <w:r w:rsidR="000850EB" w:rsidRPr="007835AE">
        <w:rPr>
          <w:rFonts w:ascii="Times New Roman" w:eastAsia="Times New Roman" w:hAnsi="Times New Roman" w:cs="Times New Roman"/>
          <w:spacing w:val="6"/>
          <w:sz w:val="24"/>
          <w:szCs w:val="24"/>
          <w:lang w:eastAsia="en-GB"/>
        </w:rPr>
        <w:t xml:space="preserve">The Committee is of the view that the payment of invoices to suppliers within the prescribed 30 days is critical for SMMEs and cooperatives. </w:t>
      </w:r>
    </w:p>
    <w:p w14:paraId="7B12242B" w14:textId="77777777" w:rsidR="000850EB" w:rsidRPr="00377E2B" w:rsidRDefault="000850EB" w:rsidP="00377E2B">
      <w:pPr>
        <w:pStyle w:val="ListParagraph"/>
        <w:spacing w:after="0" w:line="360" w:lineRule="auto"/>
        <w:ind w:left="567"/>
        <w:jc w:val="both"/>
        <w:rPr>
          <w:rFonts w:ascii="Times New Roman" w:eastAsia="Times New Roman" w:hAnsi="Times New Roman" w:cs="Times New Roman"/>
          <w:spacing w:val="6"/>
          <w:sz w:val="24"/>
          <w:szCs w:val="24"/>
          <w:lang w:eastAsia="en-GB"/>
        </w:rPr>
      </w:pPr>
    </w:p>
    <w:p w14:paraId="02028E38" w14:textId="1A592648" w:rsidR="0007611B" w:rsidRPr="0007611B" w:rsidRDefault="000850EB" w:rsidP="0007611B">
      <w:pPr>
        <w:pStyle w:val="ListParagraph"/>
        <w:numPr>
          <w:ilvl w:val="1"/>
          <w:numId w:val="38"/>
        </w:numPr>
        <w:spacing w:after="0" w:line="360" w:lineRule="auto"/>
        <w:ind w:left="567" w:hanging="567"/>
        <w:jc w:val="both"/>
        <w:rPr>
          <w:rFonts w:ascii="Times New Roman" w:eastAsia="Times New Roman" w:hAnsi="Times New Roman" w:cs="Times New Roman"/>
          <w:spacing w:val="6"/>
          <w:sz w:val="24"/>
          <w:szCs w:val="24"/>
          <w:lang w:eastAsia="en-GB"/>
        </w:rPr>
      </w:pPr>
      <w:r w:rsidRPr="00377E2B">
        <w:rPr>
          <w:rFonts w:ascii="Times New Roman" w:eastAsia="Times New Roman" w:hAnsi="Times New Roman" w:cs="Times New Roman"/>
          <w:spacing w:val="6"/>
          <w:sz w:val="24"/>
          <w:szCs w:val="24"/>
          <w:lang w:eastAsia="en-GB"/>
        </w:rPr>
        <w:t>The Committee</w:t>
      </w:r>
      <w:r w:rsidR="00980CDD">
        <w:rPr>
          <w:rFonts w:ascii="Times New Roman" w:eastAsia="Times New Roman" w:hAnsi="Times New Roman" w:cs="Times New Roman"/>
          <w:spacing w:val="6"/>
          <w:sz w:val="24"/>
          <w:szCs w:val="24"/>
          <w:lang w:eastAsia="en-GB"/>
        </w:rPr>
        <w:t xml:space="preserve"> views compliance with governance as important in closing the gaps of misconduct and financial</w:t>
      </w:r>
      <w:r w:rsidR="000A793B">
        <w:rPr>
          <w:rFonts w:ascii="Times New Roman" w:eastAsia="Times New Roman" w:hAnsi="Times New Roman" w:cs="Times New Roman"/>
          <w:spacing w:val="6"/>
          <w:sz w:val="24"/>
          <w:szCs w:val="24"/>
          <w:lang w:eastAsia="en-GB"/>
        </w:rPr>
        <w:t xml:space="preserve"> leakages in the public </w:t>
      </w:r>
      <w:r w:rsidR="00D70820">
        <w:rPr>
          <w:rFonts w:ascii="Times New Roman" w:eastAsia="Times New Roman" w:hAnsi="Times New Roman" w:cs="Times New Roman"/>
          <w:spacing w:val="6"/>
          <w:sz w:val="24"/>
          <w:szCs w:val="24"/>
          <w:lang w:eastAsia="en-GB"/>
        </w:rPr>
        <w:t>sector.</w:t>
      </w:r>
      <w:r w:rsidR="00980CDD">
        <w:rPr>
          <w:rFonts w:ascii="Times New Roman" w:eastAsia="Times New Roman" w:hAnsi="Times New Roman" w:cs="Times New Roman"/>
          <w:spacing w:val="6"/>
          <w:sz w:val="24"/>
          <w:szCs w:val="24"/>
          <w:lang w:eastAsia="en-GB"/>
        </w:rPr>
        <w:t xml:space="preserve"> The Committee therefore</w:t>
      </w:r>
      <w:r w:rsidRPr="00377E2B">
        <w:rPr>
          <w:rFonts w:ascii="Times New Roman" w:eastAsia="Times New Roman" w:hAnsi="Times New Roman" w:cs="Times New Roman"/>
          <w:spacing w:val="6"/>
          <w:sz w:val="24"/>
          <w:szCs w:val="24"/>
          <w:lang w:eastAsia="en-GB"/>
        </w:rPr>
        <w:t xml:space="preserve"> </w:t>
      </w:r>
      <w:r w:rsidR="0007611B">
        <w:rPr>
          <w:rFonts w:ascii="Times New Roman" w:eastAsia="Times New Roman" w:hAnsi="Times New Roman" w:cs="Times New Roman"/>
          <w:spacing w:val="6"/>
          <w:sz w:val="24"/>
          <w:szCs w:val="24"/>
          <w:lang w:eastAsia="en-GB"/>
        </w:rPr>
        <w:t xml:space="preserve">welcomes the improvement reported by PSC in terms of </w:t>
      </w:r>
      <w:r w:rsidR="0007611B" w:rsidRPr="00377E2B">
        <w:rPr>
          <w:rFonts w:ascii="Times New Roman" w:eastAsia="Times New Roman" w:hAnsi="Times New Roman" w:cs="Times New Roman"/>
          <w:spacing w:val="6"/>
          <w:sz w:val="24"/>
          <w:szCs w:val="24"/>
          <w:lang w:eastAsia="en-GB"/>
        </w:rPr>
        <w:t>submission of performance agr</w:t>
      </w:r>
      <w:r w:rsidR="0007611B">
        <w:rPr>
          <w:rFonts w:ascii="Times New Roman" w:eastAsia="Times New Roman" w:hAnsi="Times New Roman" w:cs="Times New Roman"/>
          <w:spacing w:val="6"/>
          <w:sz w:val="24"/>
          <w:szCs w:val="24"/>
          <w:lang w:eastAsia="en-GB"/>
        </w:rPr>
        <w:t>eements by Head</w:t>
      </w:r>
      <w:r w:rsidR="00D70820">
        <w:rPr>
          <w:rFonts w:ascii="Times New Roman" w:eastAsia="Times New Roman" w:hAnsi="Times New Roman" w:cs="Times New Roman"/>
          <w:spacing w:val="6"/>
          <w:sz w:val="24"/>
          <w:szCs w:val="24"/>
          <w:lang w:eastAsia="en-GB"/>
        </w:rPr>
        <w:t>s</w:t>
      </w:r>
      <w:r w:rsidR="0007611B">
        <w:rPr>
          <w:rFonts w:ascii="Times New Roman" w:eastAsia="Times New Roman" w:hAnsi="Times New Roman" w:cs="Times New Roman"/>
          <w:spacing w:val="6"/>
          <w:sz w:val="24"/>
          <w:szCs w:val="24"/>
          <w:lang w:eastAsia="en-GB"/>
        </w:rPr>
        <w:t xml:space="preserve"> of Departments</w:t>
      </w:r>
      <w:r w:rsidR="000A793B">
        <w:rPr>
          <w:rFonts w:ascii="Times New Roman" w:eastAsia="Times New Roman" w:hAnsi="Times New Roman" w:cs="Times New Roman"/>
          <w:spacing w:val="6"/>
          <w:sz w:val="24"/>
          <w:szCs w:val="24"/>
          <w:lang w:eastAsia="en-GB"/>
        </w:rPr>
        <w:t xml:space="preserve"> and the improvement in number and duration of employees suspended with pay</w:t>
      </w:r>
      <w:r w:rsidR="0007611B">
        <w:rPr>
          <w:rFonts w:ascii="Times New Roman" w:eastAsia="Times New Roman" w:hAnsi="Times New Roman" w:cs="Times New Roman"/>
          <w:spacing w:val="6"/>
          <w:sz w:val="24"/>
          <w:szCs w:val="24"/>
          <w:lang w:eastAsia="en-GB"/>
        </w:rPr>
        <w:t xml:space="preserve">.  </w:t>
      </w:r>
      <w:r w:rsidR="00980CDD">
        <w:rPr>
          <w:rFonts w:ascii="Times New Roman" w:hAnsi="Times New Roman" w:cs="Times New Roman"/>
          <w:sz w:val="24"/>
          <w:szCs w:val="24"/>
        </w:rPr>
        <w:t xml:space="preserve">However, </w:t>
      </w:r>
      <w:r w:rsidR="0007611B">
        <w:rPr>
          <w:rFonts w:ascii="Times New Roman" w:hAnsi="Times New Roman" w:cs="Times New Roman"/>
          <w:sz w:val="24"/>
          <w:szCs w:val="24"/>
        </w:rPr>
        <w:t xml:space="preserve">the Committee notes with concern that </w:t>
      </w:r>
      <w:r w:rsidR="0007611B">
        <w:rPr>
          <w:rFonts w:ascii="Times New Roman" w:eastAsia="Times New Roman" w:hAnsi="Times New Roman" w:cs="Times New Roman"/>
          <w:spacing w:val="6"/>
          <w:sz w:val="24"/>
          <w:szCs w:val="24"/>
          <w:lang w:eastAsia="en-GB"/>
        </w:rPr>
        <w:t xml:space="preserve">compliance with the </w:t>
      </w:r>
      <w:r w:rsidR="0007611B" w:rsidRPr="00B367C8">
        <w:rPr>
          <w:rFonts w:ascii="Times New Roman" w:hAnsi="Times New Roman" w:cs="Times New Roman"/>
          <w:sz w:val="24"/>
          <w:szCs w:val="24"/>
        </w:rPr>
        <w:t xml:space="preserve">submission of forms for the financial disclosure framework for SMS employees </w:t>
      </w:r>
      <w:r w:rsidR="0007611B">
        <w:rPr>
          <w:rFonts w:ascii="Times New Roman" w:hAnsi="Times New Roman" w:cs="Times New Roman"/>
          <w:sz w:val="24"/>
          <w:szCs w:val="24"/>
        </w:rPr>
        <w:t xml:space="preserve">declined </w:t>
      </w:r>
      <w:r w:rsidR="0007611B" w:rsidRPr="00B367C8">
        <w:rPr>
          <w:rFonts w:ascii="Times New Roman" w:hAnsi="Times New Roman" w:cs="Times New Roman"/>
          <w:sz w:val="24"/>
          <w:szCs w:val="24"/>
        </w:rPr>
        <w:t>in 2017/18</w:t>
      </w:r>
      <w:r w:rsidR="00980CDD">
        <w:rPr>
          <w:rFonts w:ascii="Times New Roman" w:hAnsi="Times New Roman" w:cs="Times New Roman"/>
          <w:sz w:val="24"/>
          <w:szCs w:val="24"/>
        </w:rPr>
        <w:t>. T</w:t>
      </w:r>
      <w:r w:rsidR="0007611B">
        <w:rPr>
          <w:rFonts w:ascii="Times New Roman" w:hAnsi="Times New Roman" w:cs="Times New Roman"/>
          <w:sz w:val="24"/>
          <w:szCs w:val="24"/>
        </w:rPr>
        <w:t xml:space="preserve">he </w:t>
      </w:r>
      <w:r w:rsidR="00980CDD">
        <w:rPr>
          <w:rFonts w:ascii="Times New Roman" w:hAnsi="Times New Roman" w:cs="Times New Roman"/>
          <w:sz w:val="24"/>
          <w:szCs w:val="24"/>
        </w:rPr>
        <w:t>Committee also notes that although HODs submitted the forms to their respective Executive Authorities</w:t>
      </w:r>
      <w:r w:rsidR="00D70820">
        <w:rPr>
          <w:rFonts w:ascii="Times New Roman" w:hAnsi="Times New Roman" w:cs="Times New Roman"/>
          <w:sz w:val="24"/>
          <w:szCs w:val="24"/>
        </w:rPr>
        <w:t xml:space="preserve"> (EAs)</w:t>
      </w:r>
      <w:r w:rsidR="00980CDD">
        <w:rPr>
          <w:rFonts w:ascii="Times New Roman" w:hAnsi="Times New Roman" w:cs="Times New Roman"/>
          <w:sz w:val="24"/>
          <w:szCs w:val="24"/>
        </w:rPr>
        <w:t xml:space="preserve">, some EAs failed to submit to the Public Service Commission. The Committee is also concerned at the report regarding reduction in the number of completed disciplinary proceedings related to financial misconduct. </w:t>
      </w:r>
    </w:p>
    <w:p w14:paraId="3716B2EA" w14:textId="77777777" w:rsidR="0007611B" w:rsidRPr="00980CDD" w:rsidRDefault="0007611B" w:rsidP="00980CDD">
      <w:pPr>
        <w:spacing w:after="0" w:line="360" w:lineRule="auto"/>
        <w:jc w:val="both"/>
        <w:rPr>
          <w:rFonts w:ascii="Times New Roman" w:eastAsia="Times New Roman" w:hAnsi="Times New Roman" w:cs="Times New Roman"/>
          <w:spacing w:val="6"/>
          <w:sz w:val="24"/>
          <w:szCs w:val="24"/>
          <w:lang w:eastAsia="en-GB"/>
        </w:rPr>
      </w:pPr>
    </w:p>
    <w:p w14:paraId="7CDA9A2A" w14:textId="02FBD4DC" w:rsidR="0072467A" w:rsidRDefault="000850EB" w:rsidP="0072467A">
      <w:pPr>
        <w:pStyle w:val="ListParagraph"/>
        <w:numPr>
          <w:ilvl w:val="1"/>
          <w:numId w:val="38"/>
        </w:numPr>
        <w:spacing w:after="0" w:line="360" w:lineRule="auto"/>
        <w:ind w:left="567" w:hanging="567"/>
        <w:jc w:val="both"/>
        <w:rPr>
          <w:rFonts w:ascii="Times New Roman" w:eastAsia="Times New Roman" w:hAnsi="Times New Roman" w:cs="Times New Roman"/>
          <w:spacing w:val="6"/>
          <w:sz w:val="24"/>
          <w:szCs w:val="24"/>
          <w:lang w:eastAsia="en-GB"/>
        </w:rPr>
      </w:pPr>
      <w:r w:rsidRPr="00377E2B">
        <w:rPr>
          <w:rFonts w:ascii="Times New Roman" w:eastAsia="Times New Roman" w:hAnsi="Times New Roman" w:cs="Times New Roman"/>
          <w:spacing w:val="6"/>
          <w:sz w:val="24"/>
          <w:szCs w:val="24"/>
          <w:lang w:eastAsia="en-GB"/>
        </w:rPr>
        <w:t xml:space="preserve">The Committee also notes that there are financial leakages in departments resulting from </w:t>
      </w:r>
      <w:r w:rsidR="0007611B">
        <w:rPr>
          <w:rFonts w:ascii="Times New Roman" w:eastAsia="Times New Roman" w:hAnsi="Times New Roman" w:cs="Times New Roman"/>
          <w:spacing w:val="6"/>
          <w:sz w:val="24"/>
          <w:szCs w:val="24"/>
          <w:lang w:eastAsia="en-GB"/>
        </w:rPr>
        <w:t xml:space="preserve">the increases in the number and costs in the </w:t>
      </w:r>
      <w:r w:rsidRPr="00377E2B">
        <w:rPr>
          <w:rFonts w:ascii="Times New Roman" w:eastAsia="Times New Roman" w:hAnsi="Times New Roman" w:cs="Times New Roman"/>
          <w:spacing w:val="6"/>
          <w:sz w:val="24"/>
          <w:szCs w:val="24"/>
          <w:lang w:eastAsia="en-GB"/>
        </w:rPr>
        <w:t>use of consultants. The Committee views non-compli</w:t>
      </w:r>
      <w:r w:rsidR="00D70820">
        <w:rPr>
          <w:rFonts w:ascii="Times New Roman" w:eastAsia="Times New Roman" w:hAnsi="Times New Roman" w:cs="Times New Roman"/>
          <w:spacing w:val="6"/>
          <w:sz w:val="24"/>
          <w:szCs w:val="24"/>
          <w:lang w:eastAsia="en-GB"/>
        </w:rPr>
        <w:t xml:space="preserve">ance with laws and regulations </w:t>
      </w:r>
      <w:r w:rsidRPr="00377E2B">
        <w:rPr>
          <w:rFonts w:ascii="Times New Roman" w:eastAsia="Times New Roman" w:hAnsi="Times New Roman" w:cs="Times New Roman"/>
          <w:spacing w:val="6"/>
          <w:sz w:val="24"/>
          <w:szCs w:val="24"/>
          <w:lang w:eastAsia="en-GB"/>
        </w:rPr>
        <w:t xml:space="preserve">and </w:t>
      </w:r>
      <w:r w:rsidR="00D70820">
        <w:rPr>
          <w:rFonts w:ascii="Times New Roman" w:eastAsia="Times New Roman" w:hAnsi="Times New Roman" w:cs="Times New Roman"/>
          <w:spacing w:val="6"/>
          <w:sz w:val="24"/>
          <w:szCs w:val="24"/>
          <w:lang w:eastAsia="en-GB"/>
        </w:rPr>
        <w:t xml:space="preserve">the </w:t>
      </w:r>
      <w:r w:rsidRPr="00377E2B">
        <w:rPr>
          <w:rFonts w:ascii="Times New Roman" w:eastAsia="Times New Roman" w:hAnsi="Times New Roman" w:cs="Times New Roman"/>
          <w:spacing w:val="6"/>
          <w:sz w:val="24"/>
          <w:szCs w:val="24"/>
          <w:lang w:eastAsia="en-GB"/>
        </w:rPr>
        <w:t>resulting financial leakages in a serious light</w:t>
      </w:r>
      <w:r w:rsidR="00D70820">
        <w:rPr>
          <w:rFonts w:ascii="Times New Roman" w:eastAsia="Times New Roman" w:hAnsi="Times New Roman" w:cs="Times New Roman"/>
          <w:spacing w:val="6"/>
          <w:sz w:val="24"/>
          <w:szCs w:val="24"/>
          <w:lang w:eastAsia="en-GB"/>
        </w:rPr>
        <w:t>. This</w:t>
      </w:r>
      <w:r w:rsidRPr="00377E2B">
        <w:rPr>
          <w:rFonts w:ascii="Times New Roman" w:eastAsia="Times New Roman" w:hAnsi="Times New Roman" w:cs="Times New Roman"/>
          <w:spacing w:val="6"/>
          <w:sz w:val="24"/>
          <w:szCs w:val="24"/>
          <w:lang w:eastAsia="en-GB"/>
        </w:rPr>
        <w:t xml:space="preserve"> impacts negatively on the efficiency and effectiveness of the public sector thus compromising prudent budget implementation and the attainment of government objectives.  The Committee is of the view that </w:t>
      </w:r>
      <w:r w:rsidR="00D70820">
        <w:rPr>
          <w:rFonts w:ascii="Times New Roman" w:eastAsia="Times New Roman" w:hAnsi="Times New Roman" w:cs="Times New Roman"/>
          <w:spacing w:val="6"/>
          <w:sz w:val="24"/>
          <w:szCs w:val="24"/>
          <w:lang w:eastAsia="en-GB"/>
        </w:rPr>
        <w:t xml:space="preserve">there needs to be </w:t>
      </w:r>
      <w:r w:rsidRPr="00377E2B">
        <w:rPr>
          <w:rFonts w:ascii="Times New Roman" w:eastAsia="Times New Roman" w:hAnsi="Times New Roman" w:cs="Times New Roman"/>
          <w:spacing w:val="6"/>
          <w:sz w:val="24"/>
          <w:szCs w:val="24"/>
          <w:lang w:eastAsia="en-GB"/>
        </w:rPr>
        <w:t>visible consequence management applied in government f</w:t>
      </w:r>
      <w:r w:rsidR="00215F8B" w:rsidRPr="00377E2B">
        <w:rPr>
          <w:rFonts w:ascii="Times New Roman" w:eastAsia="Times New Roman" w:hAnsi="Times New Roman" w:cs="Times New Roman"/>
          <w:spacing w:val="6"/>
          <w:sz w:val="24"/>
          <w:szCs w:val="24"/>
          <w:lang w:eastAsia="en-GB"/>
        </w:rPr>
        <w:t>or the flouting of regulations.</w:t>
      </w:r>
    </w:p>
    <w:p w14:paraId="69594853" w14:textId="77777777" w:rsidR="0072467A" w:rsidRPr="0072467A" w:rsidRDefault="0072467A" w:rsidP="0072467A">
      <w:pPr>
        <w:pStyle w:val="ListParagraph"/>
        <w:rPr>
          <w:rFonts w:ascii="Times New Roman" w:eastAsia="Times New Roman" w:hAnsi="Times New Roman" w:cs="Times New Roman"/>
          <w:spacing w:val="6"/>
          <w:sz w:val="24"/>
          <w:szCs w:val="24"/>
          <w:lang w:eastAsia="en-GB"/>
        </w:rPr>
      </w:pPr>
    </w:p>
    <w:p w14:paraId="213876CA" w14:textId="77777777" w:rsidR="00FF61CC" w:rsidRDefault="000850EB" w:rsidP="0072467A">
      <w:pPr>
        <w:pStyle w:val="ListParagraph"/>
        <w:numPr>
          <w:ilvl w:val="1"/>
          <w:numId w:val="38"/>
        </w:numPr>
        <w:spacing w:after="0" w:line="360" w:lineRule="auto"/>
        <w:ind w:left="567" w:hanging="567"/>
        <w:jc w:val="both"/>
        <w:rPr>
          <w:rFonts w:ascii="Times New Roman" w:eastAsia="Times New Roman" w:hAnsi="Times New Roman" w:cs="Times New Roman"/>
          <w:spacing w:val="6"/>
          <w:sz w:val="24"/>
          <w:szCs w:val="24"/>
          <w:lang w:eastAsia="en-GB"/>
        </w:rPr>
      </w:pPr>
      <w:r w:rsidRPr="0072467A">
        <w:rPr>
          <w:rFonts w:ascii="Times New Roman" w:eastAsia="Times New Roman" w:hAnsi="Times New Roman" w:cs="Times New Roman"/>
          <w:spacing w:val="6"/>
          <w:sz w:val="24"/>
          <w:szCs w:val="24"/>
          <w:lang w:eastAsia="en-GB"/>
        </w:rPr>
        <w:t xml:space="preserve">The Committee is also concerned about the ballooning debt owed to municipalities by all categories of debtors and most especially government departments. </w:t>
      </w:r>
      <w:r w:rsidR="0072467A">
        <w:rPr>
          <w:rFonts w:ascii="Times New Roman" w:eastAsia="Times New Roman" w:hAnsi="Times New Roman" w:cs="Times New Roman"/>
          <w:spacing w:val="6"/>
          <w:sz w:val="24"/>
          <w:szCs w:val="24"/>
          <w:lang w:eastAsia="en-GB"/>
        </w:rPr>
        <w:t xml:space="preserve">The Committee views </w:t>
      </w:r>
      <w:r w:rsidR="00F96738">
        <w:rPr>
          <w:rFonts w:ascii="Times New Roman" w:eastAsia="Times New Roman" w:hAnsi="Times New Roman" w:cs="Times New Roman"/>
          <w:spacing w:val="6"/>
          <w:sz w:val="24"/>
          <w:szCs w:val="24"/>
          <w:lang w:eastAsia="en-GB"/>
        </w:rPr>
        <w:t xml:space="preserve">the </w:t>
      </w:r>
      <w:r w:rsidR="0072467A">
        <w:rPr>
          <w:rFonts w:ascii="Times New Roman" w:eastAsia="Times New Roman" w:hAnsi="Times New Roman" w:cs="Times New Roman"/>
          <w:spacing w:val="6"/>
          <w:sz w:val="24"/>
          <w:szCs w:val="24"/>
          <w:lang w:eastAsia="en-GB"/>
        </w:rPr>
        <w:t xml:space="preserve">non-adherence </w:t>
      </w:r>
      <w:r w:rsidR="00F96738">
        <w:rPr>
          <w:rFonts w:ascii="Times New Roman" w:eastAsia="Times New Roman" w:hAnsi="Times New Roman" w:cs="Times New Roman"/>
          <w:spacing w:val="6"/>
          <w:sz w:val="24"/>
          <w:szCs w:val="24"/>
          <w:lang w:eastAsia="en-GB"/>
        </w:rPr>
        <w:t xml:space="preserve">of </w:t>
      </w:r>
      <w:r w:rsidR="0072467A">
        <w:rPr>
          <w:rFonts w:ascii="Times New Roman" w:eastAsia="Times New Roman" w:hAnsi="Times New Roman" w:cs="Times New Roman"/>
          <w:spacing w:val="6"/>
          <w:sz w:val="24"/>
          <w:szCs w:val="24"/>
          <w:lang w:eastAsia="en-GB"/>
        </w:rPr>
        <w:t xml:space="preserve">government departments and entities to </w:t>
      </w:r>
      <w:r w:rsidR="00CF32C9">
        <w:rPr>
          <w:rFonts w:ascii="Times New Roman" w:eastAsia="Times New Roman" w:hAnsi="Times New Roman" w:cs="Times New Roman"/>
          <w:spacing w:val="6"/>
          <w:sz w:val="24"/>
          <w:szCs w:val="24"/>
          <w:lang w:eastAsia="en-GB"/>
        </w:rPr>
        <w:t xml:space="preserve">payment </w:t>
      </w:r>
      <w:r w:rsidR="0072467A">
        <w:rPr>
          <w:rFonts w:ascii="Times New Roman" w:eastAsia="Times New Roman" w:hAnsi="Times New Roman" w:cs="Times New Roman"/>
          <w:spacing w:val="6"/>
          <w:sz w:val="24"/>
          <w:szCs w:val="24"/>
          <w:lang w:eastAsia="en-GB"/>
        </w:rPr>
        <w:t xml:space="preserve">directives by the Minister of Finance and National Treasury in this regard </w:t>
      </w:r>
      <w:r w:rsidR="00F96738">
        <w:rPr>
          <w:rFonts w:ascii="Times New Roman" w:eastAsia="Times New Roman" w:hAnsi="Times New Roman" w:cs="Times New Roman"/>
          <w:spacing w:val="6"/>
          <w:sz w:val="24"/>
          <w:szCs w:val="24"/>
          <w:lang w:eastAsia="en-GB"/>
        </w:rPr>
        <w:t xml:space="preserve">as </w:t>
      </w:r>
      <w:r w:rsidR="0072467A">
        <w:rPr>
          <w:rFonts w:ascii="Times New Roman" w:eastAsia="Times New Roman" w:hAnsi="Times New Roman" w:cs="Times New Roman"/>
          <w:spacing w:val="6"/>
          <w:sz w:val="24"/>
          <w:szCs w:val="24"/>
          <w:lang w:eastAsia="en-GB"/>
        </w:rPr>
        <w:t>serious</w:t>
      </w:r>
      <w:r w:rsidR="00B80D0B">
        <w:rPr>
          <w:rFonts w:ascii="Times New Roman" w:eastAsia="Times New Roman" w:hAnsi="Times New Roman" w:cs="Times New Roman"/>
          <w:spacing w:val="6"/>
          <w:sz w:val="24"/>
          <w:szCs w:val="24"/>
          <w:lang w:eastAsia="en-GB"/>
        </w:rPr>
        <w:t xml:space="preserve">ly concerning given the dire financial state of most municipalities. </w:t>
      </w:r>
      <w:r w:rsidR="00E03B31">
        <w:rPr>
          <w:rFonts w:ascii="Times New Roman" w:eastAsia="Times New Roman" w:hAnsi="Times New Roman" w:cs="Times New Roman"/>
          <w:spacing w:val="6"/>
          <w:sz w:val="24"/>
          <w:szCs w:val="24"/>
          <w:lang w:eastAsia="en-GB"/>
        </w:rPr>
        <w:t xml:space="preserve"> </w:t>
      </w:r>
    </w:p>
    <w:p w14:paraId="0E31E6AC" w14:textId="77777777" w:rsidR="00FF61CC" w:rsidRPr="00FF61CC" w:rsidRDefault="00FF61CC" w:rsidP="00FF61CC">
      <w:pPr>
        <w:pStyle w:val="ListParagraph"/>
        <w:rPr>
          <w:rFonts w:ascii="Times New Roman" w:eastAsia="Times New Roman" w:hAnsi="Times New Roman" w:cs="Times New Roman"/>
          <w:spacing w:val="6"/>
          <w:sz w:val="24"/>
          <w:szCs w:val="24"/>
          <w:lang w:eastAsia="en-GB"/>
        </w:rPr>
      </w:pPr>
    </w:p>
    <w:p w14:paraId="2B6B0C4F" w14:textId="599AB974" w:rsidR="0072467A" w:rsidRDefault="000D59AB" w:rsidP="0072467A">
      <w:pPr>
        <w:pStyle w:val="ListParagraph"/>
        <w:numPr>
          <w:ilvl w:val="1"/>
          <w:numId w:val="38"/>
        </w:numPr>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Committee </w:t>
      </w:r>
      <w:r w:rsidR="00FF61CC">
        <w:rPr>
          <w:rFonts w:ascii="Times New Roman" w:eastAsia="Times New Roman" w:hAnsi="Times New Roman" w:cs="Times New Roman"/>
          <w:spacing w:val="6"/>
          <w:sz w:val="24"/>
          <w:szCs w:val="24"/>
          <w:lang w:eastAsia="en-GB"/>
        </w:rPr>
        <w:t xml:space="preserve">also notes that </w:t>
      </w:r>
      <w:r w:rsidR="00D70820">
        <w:rPr>
          <w:rFonts w:ascii="Times New Roman" w:eastAsia="Times New Roman" w:hAnsi="Times New Roman" w:cs="Times New Roman"/>
          <w:spacing w:val="6"/>
          <w:sz w:val="24"/>
          <w:szCs w:val="24"/>
          <w:lang w:eastAsia="en-GB"/>
        </w:rPr>
        <w:t xml:space="preserve">the </w:t>
      </w:r>
      <w:r w:rsidR="00FF61CC">
        <w:rPr>
          <w:rFonts w:ascii="Times New Roman" w:eastAsia="Times New Roman" w:hAnsi="Times New Roman" w:cs="Times New Roman"/>
          <w:spacing w:val="6"/>
          <w:sz w:val="24"/>
          <w:szCs w:val="24"/>
          <w:lang w:eastAsia="en-GB"/>
        </w:rPr>
        <w:t>non-payment of debts owed to municipalities by government departments relates to disputes around ownerships of buildings. The Committee therefore w</w:t>
      </w:r>
      <w:r>
        <w:rPr>
          <w:rFonts w:ascii="Times New Roman" w:eastAsia="Times New Roman" w:hAnsi="Times New Roman" w:cs="Times New Roman"/>
          <w:spacing w:val="6"/>
          <w:sz w:val="24"/>
          <w:szCs w:val="24"/>
          <w:lang w:eastAsia="en-GB"/>
        </w:rPr>
        <w:t>elcomes the allocation of R100 million to the Dep</w:t>
      </w:r>
      <w:r w:rsidR="00D70820">
        <w:rPr>
          <w:rFonts w:ascii="Times New Roman" w:eastAsia="Times New Roman" w:hAnsi="Times New Roman" w:cs="Times New Roman"/>
          <w:spacing w:val="6"/>
          <w:sz w:val="24"/>
          <w:szCs w:val="24"/>
          <w:lang w:eastAsia="en-GB"/>
        </w:rPr>
        <w:t xml:space="preserve">artment of Public Works for </w:t>
      </w:r>
      <w:r>
        <w:rPr>
          <w:rFonts w:ascii="Times New Roman" w:eastAsia="Times New Roman" w:hAnsi="Times New Roman" w:cs="Times New Roman"/>
          <w:spacing w:val="6"/>
          <w:sz w:val="24"/>
          <w:szCs w:val="24"/>
          <w:lang w:eastAsia="en-GB"/>
        </w:rPr>
        <w:t xml:space="preserve">resolving </w:t>
      </w:r>
      <w:r w:rsidR="00FF61CC">
        <w:rPr>
          <w:rFonts w:ascii="Times New Roman" w:eastAsia="Times New Roman" w:hAnsi="Times New Roman" w:cs="Times New Roman"/>
          <w:spacing w:val="6"/>
          <w:sz w:val="24"/>
          <w:szCs w:val="24"/>
          <w:lang w:eastAsia="en-GB"/>
        </w:rPr>
        <w:t xml:space="preserve">the ownership of buildings and correction of the deeds registry. </w:t>
      </w:r>
    </w:p>
    <w:p w14:paraId="44C3F28A" w14:textId="77777777" w:rsidR="0072467A" w:rsidRPr="0072467A" w:rsidRDefault="0072467A" w:rsidP="0072467A">
      <w:pPr>
        <w:pStyle w:val="ListParagraph"/>
        <w:rPr>
          <w:rFonts w:ascii="Times New Roman" w:eastAsia="Times New Roman" w:hAnsi="Times New Roman" w:cs="Times New Roman"/>
          <w:spacing w:val="6"/>
          <w:sz w:val="24"/>
          <w:szCs w:val="24"/>
          <w:highlight w:val="yellow"/>
          <w:lang w:eastAsia="en-GB"/>
        </w:rPr>
      </w:pPr>
    </w:p>
    <w:p w14:paraId="2C3C68AF" w14:textId="77777777" w:rsidR="00EC0C18" w:rsidRPr="00EC0C18" w:rsidRDefault="00C13D40" w:rsidP="00EC0C18">
      <w:pPr>
        <w:pStyle w:val="ListParagraph"/>
        <w:numPr>
          <w:ilvl w:val="1"/>
          <w:numId w:val="38"/>
        </w:numPr>
        <w:spacing w:after="0" w:line="360" w:lineRule="auto"/>
        <w:ind w:left="567" w:hanging="567"/>
        <w:jc w:val="both"/>
        <w:rPr>
          <w:rFonts w:ascii="Times New Roman" w:eastAsia="Times New Roman" w:hAnsi="Times New Roman" w:cs="Times New Roman"/>
          <w:sz w:val="24"/>
          <w:szCs w:val="24"/>
          <w:lang w:val="en-US"/>
        </w:rPr>
      </w:pPr>
      <w:r w:rsidRPr="00B80D0B">
        <w:rPr>
          <w:rFonts w:ascii="Times New Roman" w:eastAsia="Times New Roman" w:hAnsi="Times New Roman" w:cs="Times New Roman"/>
          <w:spacing w:val="6"/>
          <w:sz w:val="24"/>
          <w:szCs w:val="24"/>
          <w:lang w:eastAsia="en-GB"/>
        </w:rPr>
        <w:t>The Committee notes with serious concern th</w:t>
      </w:r>
      <w:r w:rsidR="00B80D0B" w:rsidRPr="00B80D0B">
        <w:rPr>
          <w:rFonts w:ascii="Times New Roman" w:eastAsia="Times New Roman" w:hAnsi="Times New Roman" w:cs="Times New Roman"/>
          <w:spacing w:val="6"/>
          <w:sz w:val="24"/>
          <w:szCs w:val="24"/>
          <w:lang w:eastAsia="en-GB"/>
        </w:rPr>
        <w:t xml:space="preserve">at in the 2018/19 financial </w:t>
      </w:r>
      <w:r w:rsidR="00B80D0B">
        <w:rPr>
          <w:rFonts w:ascii="Times New Roman" w:eastAsia="Times New Roman" w:hAnsi="Times New Roman" w:cs="Times New Roman"/>
          <w:spacing w:val="6"/>
          <w:sz w:val="24"/>
          <w:szCs w:val="24"/>
          <w:lang w:eastAsia="en-GB"/>
        </w:rPr>
        <w:t xml:space="preserve">year </w:t>
      </w:r>
      <w:r w:rsidR="00B80D0B" w:rsidRPr="00B80D0B">
        <w:rPr>
          <w:rFonts w:ascii="Times New Roman" w:eastAsia="Times New Roman" w:hAnsi="Times New Roman" w:cs="Times New Roman"/>
          <w:spacing w:val="6"/>
          <w:sz w:val="24"/>
          <w:szCs w:val="24"/>
          <w:lang w:eastAsia="en-GB"/>
        </w:rPr>
        <w:t xml:space="preserve">113 </w:t>
      </w:r>
      <w:r w:rsidRPr="00B80D0B">
        <w:rPr>
          <w:rFonts w:ascii="Times New Roman" w:eastAsia="Times New Roman" w:hAnsi="Times New Roman" w:cs="Times New Roman"/>
          <w:spacing w:val="6"/>
          <w:sz w:val="24"/>
          <w:szCs w:val="24"/>
          <w:lang w:eastAsia="en-GB"/>
        </w:rPr>
        <w:t>municipalities adopted unfunded budgets</w:t>
      </w:r>
      <w:r w:rsidR="00B80D0B" w:rsidRPr="00B80D0B">
        <w:rPr>
          <w:rFonts w:ascii="Times New Roman" w:eastAsia="Times New Roman" w:hAnsi="Times New Roman" w:cs="Times New Roman"/>
          <w:spacing w:val="6"/>
          <w:sz w:val="24"/>
          <w:szCs w:val="24"/>
          <w:lang w:eastAsia="en-GB"/>
        </w:rPr>
        <w:t xml:space="preserve">, whilst, debt owed to ESKOM and water boards by municipalities exceeds R23 billion. Municipal audit outcomes also regressed in the 2017/18 financial year.  </w:t>
      </w:r>
      <w:r w:rsidRPr="00B80D0B">
        <w:rPr>
          <w:rFonts w:ascii="Times New Roman" w:eastAsia="Times New Roman" w:hAnsi="Times New Roman" w:cs="Times New Roman"/>
          <w:spacing w:val="6"/>
          <w:sz w:val="24"/>
          <w:szCs w:val="24"/>
          <w:lang w:eastAsia="en-GB"/>
        </w:rPr>
        <w:t xml:space="preserve"> </w:t>
      </w:r>
      <w:r w:rsidR="000850EB" w:rsidRPr="00B80D0B">
        <w:rPr>
          <w:rFonts w:ascii="Times New Roman" w:eastAsia="Times New Roman" w:hAnsi="Times New Roman" w:cs="Times New Roman"/>
          <w:spacing w:val="6"/>
          <w:sz w:val="24"/>
          <w:szCs w:val="24"/>
          <w:lang w:eastAsia="en-GB"/>
        </w:rPr>
        <w:t xml:space="preserve">The Committee </w:t>
      </w:r>
      <w:r w:rsidRPr="00B80D0B">
        <w:rPr>
          <w:rFonts w:ascii="Times New Roman" w:eastAsia="Times New Roman" w:hAnsi="Times New Roman" w:cs="Times New Roman"/>
          <w:spacing w:val="6"/>
          <w:sz w:val="24"/>
          <w:szCs w:val="24"/>
          <w:lang w:eastAsia="en-GB"/>
        </w:rPr>
        <w:t xml:space="preserve">welcomes </w:t>
      </w:r>
      <w:r w:rsidR="00B80D0B" w:rsidRPr="00B80D0B">
        <w:rPr>
          <w:rFonts w:ascii="Times New Roman" w:eastAsia="Times New Roman" w:hAnsi="Times New Roman" w:cs="Times New Roman"/>
          <w:spacing w:val="6"/>
          <w:sz w:val="24"/>
          <w:szCs w:val="24"/>
          <w:lang w:eastAsia="en-GB"/>
        </w:rPr>
        <w:t xml:space="preserve">the reallocation of resources to enable national and provincial treasuries to better manage interventions such as financial recovery plans, and the augmentation of capacity for the implementation of these plans. </w:t>
      </w:r>
    </w:p>
    <w:p w14:paraId="2488BF2B" w14:textId="77777777" w:rsidR="00EC0C18" w:rsidRPr="00EC0C18" w:rsidRDefault="00EC0C18" w:rsidP="00EC0C18">
      <w:pPr>
        <w:pStyle w:val="ListParagraph"/>
        <w:rPr>
          <w:rFonts w:ascii="Times New Roman" w:eastAsia="Times New Roman" w:hAnsi="Times New Roman" w:cs="Times New Roman"/>
          <w:spacing w:val="6"/>
          <w:sz w:val="24"/>
          <w:szCs w:val="24"/>
          <w:lang w:eastAsia="en-GB"/>
        </w:rPr>
      </w:pPr>
    </w:p>
    <w:p w14:paraId="2D1A93F0" w14:textId="77777777" w:rsidR="00B20E2A" w:rsidRPr="00DC4ACF" w:rsidRDefault="00B80D0B" w:rsidP="00724EC2">
      <w:pPr>
        <w:pStyle w:val="ListParagraph"/>
        <w:numPr>
          <w:ilvl w:val="1"/>
          <w:numId w:val="38"/>
        </w:numPr>
        <w:spacing w:after="0" w:line="360" w:lineRule="auto"/>
        <w:ind w:left="567" w:hanging="567"/>
        <w:jc w:val="both"/>
        <w:rPr>
          <w:rFonts w:ascii="Times New Roman" w:eastAsia="Times New Roman" w:hAnsi="Times New Roman" w:cs="Times New Roman"/>
          <w:sz w:val="24"/>
          <w:szCs w:val="24"/>
          <w:lang w:val="en-US"/>
        </w:rPr>
      </w:pPr>
      <w:r w:rsidRPr="00DC4ACF">
        <w:rPr>
          <w:rFonts w:ascii="Times New Roman" w:eastAsia="Times New Roman" w:hAnsi="Times New Roman" w:cs="Times New Roman"/>
          <w:spacing w:val="6"/>
          <w:sz w:val="24"/>
          <w:szCs w:val="24"/>
          <w:lang w:eastAsia="en-GB"/>
        </w:rPr>
        <w:t>The Committee also notes that R2.5 billi</w:t>
      </w:r>
      <w:r w:rsidR="00CF65CD" w:rsidRPr="00DC4ACF">
        <w:rPr>
          <w:rFonts w:ascii="Times New Roman" w:eastAsia="Times New Roman" w:hAnsi="Times New Roman" w:cs="Times New Roman"/>
          <w:spacing w:val="6"/>
          <w:sz w:val="24"/>
          <w:szCs w:val="24"/>
          <w:lang w:eastAsia="en-GB"/>
        </w:rPr>
        <w:t xml:space="preserve">on per year has been allocated </w:t>
      </w:r>
      <w:r w:rsidRPr="00DC4ACF">
        <w:rPr>
          <w:rFonts w:ascii="Times New Roman" w:eastAsia="Times New Roman" w:hAnsi="Times New Roman" w:cs="Times New Roman"/>
          <w:spacing w:val="6"/>
          <w:sz w:val="24"/>
          <w:szCs w:val="24"/>
          <w:lang w:eastAsia="en-GB"/>
        </w:rPr>
        <w:t xml:space="preserve">for building municipal capacity. </w:t>
      </w:r>
      <w:r w:rsidR="00CF6063" w:rsidRPr="00DC4ACF">
        <w:rPr>
          <w:rFonts w:ascii="Times New Roman" w:eastAsia="Times New Roman" w:hAnsi="Times New Roman" w:cs="Times New Roman"/>
          <w:spacing w:val="6"/>
          <w:sz w:val="24"/>
          <w:szCs w:val="24"/>
          <w:lang w:eastAsia="en-GB"/>
        </w:rPr>
        <w:t xml:space="preserve">However, the Committee is concerned </w:t>
      </w:r>
      <w:r w:rsidR="00CF65CD" w:rsidRPr="00DC4ACF">
        <w:rPr>
          <w:rFonts w:ascii="Times New Roman" w:eastAsia="Times New Roman" w:hAnsi="Times New Roman" w:cs="Times New Roman"/>
          <w:spacing w:val="6"/>
          <w:sz w:val="24"/>
          <w:szCs w:val="24"/>
          <w:lang w:eastAsia="en-GB"/>
        </w:rPr>
        <w:t>that capacity</w:t>
      </w:r>
      <w:r w:rsidR="00CF6063" w:rsidRPr="00DC4ACF">
        <w:rPr>
          <w:rFonts w:ascii="Times New Roman" w:eastAsia="Times New Roman" w:hAnsi="Times New Roman" w:cs="Times New Roman"/>
          <w:spacing w:val="6"/>
          <w:sz w:val="24"/>
          <w:szCs w:val="24"/>
          <w:lang w:eastAsia="en-GB"/>
        </w:rPr>
        <w:t xml:space="preserve"> building allocations to </w:t>
      </w:r>
      <w:r w:rsidR="00CF65CD" w:rsidRPr="00DC4ACF">
        <w:rPr>
          <w:rFonts w:ascii="Times New Roman" w:eastAsia="Times New Roman" w:hAnsi="Times New Roman" w:cs="Times New Roman"/>
          <w:spacing w:val="6"/>
          <w:sz w:val="24"/>
          <w:szCs w:val="24"/>
          <w:lang w:eastAsia="en-GB"/>
        </w:rPr>
        <w:t>municipalities have not yielded any value for money given the number of municipalities in distress.  The Committee emphasises efficient and effective use of these funds in order to see a turnaround in municipalities</w:t>
      </w:r>
      <w:r w:rsidR="00DC4ACF">
        <w:rPr>
          <w:rFonts w:ascii="Times New Roman" w:eastAsia="Times New Roman" w:hAnsi="Times New Roman" w:cs="Times New Roman"/>
          <w:spacing w:val="6"/>
          <w:sz w:val="24"/>
          <w:szCs w:val="24"/>
          <w:lang w:eastAsia="en-GB"/>
        </w:rPr>
        <w:t>.</w:t>
      </w:r>
      <w:r w:rsidR="00CF65CD" w:rsidRPr="00DC4ACF">
        <w:rPr>
          <w:rFonts w:ascii="Times New Roman" w:eastAsia="Times New Roman" w:hAnsi="Times New Roman" w:cs="Times New Roman"/>
          <w:spacing w:val="6"/>
          <w:sz w:val="24"/>
          <w:szCs w:val="24"/>
          <w:lang w:val="en-GB" w:eastAsia="en-GB"/>
        </w:rPr>
        <w:t xml:space="preserve"> </w:t>
      </w:r>
      <w:r w:rsidR="00EC0C18" w:rsidRPr="00DC4ACF">
        <w:rPr>
          <w:rFonts w:ascii="Times New Roman" w:eastAsia="Times New Roman" w:hAnsi="Times New Roman" w:cs="Times New Roman"/>
          <w:spacing w:val="6"/>
          <w:sz w:val="24"/>
          <w:szCs w:val="24"/>
          <w:lang w:val="en-GB" w:eastAsia="en-GB"/>
        </w:rPr>
        <w:t xml:space="preserve">The Committee </w:t>
      </w:r>
      <w:r w:rsidR="00CF65CD" w:rsidRPr="00DC4ACF">
        <w:rPr>
          <w:rFonts w:ascii="Times New Roman" w:eastAsia="Times New Roman" w:hAnsi="Times New Roman" w:cs="Times New Roman"/>
          <w:spacing w:val="6"/>
          <w:sz w:val="24"/>
          <w:szCs w:val="24"/>
          <w:lang w:val="en-GB" w:eastAsia="en-GB"/>
        </w:rPr>
        <w:t xml:space="preserve">therefore </w:t>
      </w:r>
      <w:r w:rsidR="00EC0C18" w:rsidRPr="00DC4ACF">
        <w:rPr>
          <w:rFonts w:ascii="Times New Roman" w:eastAsia="Times New Roman" w:hAnsi="Times New Roman" w:cs="Times New Roman"/>
          <w:spacing w:val="6"/>
          <w:sz w:val="24"/>
          <w:szCs w:val="24"/>
          <w:lang w:val="en-GB" w:eastAsia="en-GB"/>
        </w:rPr>
        <w:t xml:space="preserve">supports the </w:t>
      </w:r>
      <w:r w:rsidR="00DC4ACF" w:rsidRPr="00DC4ACF">
        <w:rPr>
          <w:rFonts w:ascii="Times New Roman" w:eastAsia="Times New Roman" w:hAnsi="Times New Roman" w:cs="Times New Roman"/>
          <w:spacing w:val="6"/>
          <w:sz w:val="24"/>
          <w:szCs w:val="24"/>
          <w:lang w:val="en-GB" w:eastAsia="en-GB"/>
        </w:rPr>
        <w:t xml:space="preserve">FFC and </w:t>
      </w:r>
      <w:r w:rsidR="00EC0C18" w:rsidRPr="00DC4ACF">
        <w:rPr>
          <w:rFonts w:ascii="Times New Roman" w:eastAsia="Calibri" w:hAnsi="Times New Roman" w:cs="Times New Roman"/>
          <w:sz w:val="24"/>
          <w:szCs w:val="24"/>
        </w:rPr>
        <w:t xml:space="preserve">HSRC’s </w:t>
      </w:r>
      <w:r w:rsidR="00DC4ACF" w:rsidRPr="00DC4ACF">
        <w:rPr>
          <w:rFonts w:ascii="Times New Roman" w:eastAsia="Calibri" w:hAnsi="Times New Roman" w:cs="Times New Roman"/>
          <w:sz w:val="24"/>
          <w:szCs w:val="24"/>
        </w:rPr>
        <w:t>recommendations</w:t>
      </w:r>
      <w:r w:rsidR="00EC0C18" w:rsidRPr="00DC4ACF">
        <w:rPr>
          <w:rFonts w:ascii="Times New Roman" w:eastAsia="Calibri" w:hAnsi="Times New Roman" w:cs="Times New Roman"/>
          <w:sz w:val="24"/>
          <w:szCs w:val="24"/>
        </w:rPr>
        <w:t xml:space="preserve"> </w:t>
      </w:r>
      <w:r w:rsidR="00DC4ACF" w:rsidRPr="00DC4ACF">
        <w:rPr>
          <w:rFonts w:ascii="Times New Roman" w:eastAsia="+mn-ea" w:hAnsi="Times New Roman" w:cs="Times New Roman"/>
          <w:bCs/>
          <w:kern w:val="24"/>
          <w:sz w:val="24"/>
          <w:szCs w:val="24"/>
          <w:lang w:eastAsia="en-ZA"/>
        </w:rPr>
        <w:t>for an urgent review of government capacity initiatives</w:t>
      </w:r>
      <w:r w:rsidR="00DC4ACF" w:rsidRPr="00DC4ACF">
        <w:rPr>
          <w:rFonts w:ascii="Times New Roman" w:eastAsia="+mn-ea" w:hAnsi="Times New Roman" w:cs="Times New Roman"/>
          <w:kern w:val="24"/>
          <w:sz w:val="24"/>
          <w:szCs w:val="24"/>
          <w:lang w:eastAsia="en-ZA"/>
        </w:rPr>
        <w:t xml:space="preserve"> within the local government space</w:t>
      </w:r>
      <w:r w:rsidR="00DC4ACF" w:rsidRPr="00DC4ACF">
        <w:rPr>
          <w:rFonts w:ascii="Times New Roman" w:eastAsia="Calibri" w:hAnsi="Times New Roman" w:cs="Times New Roman"/>
          <w:sz w:val="24"/>
          <w:szCs w:val="24"/>
        </w:rPr>
        <w:t xml:space="preserve">. </w:t>
      </w:r>
    </w:p>
    <w:p w14:paraId="6FAA2451" w14:textId="77777777" w:rsidR="00B20E2A" w:rsidRPr="00B20E2A" w:rsidRDefault="00B20E2A" w:rsidP="00B20E2A">
      <w:pPr>
        <w:pStyle w:val="ListParagraph"/>
        <w:rPr>
          <w:rFonts w:ascii="Times New Roman" w:hAnsi="Times New Roman" w:cs="Times New Roman"/>
          <w:sz w:val="24"/>
          <w:szCs w:val="24"/>
          <w:lang w:eastAsia="en-ZA"/>
        </w:rPr>
      </w:pPr>
    </w:p>
    <w:p w14:paraId="6D40383A" w14:textId="36079063" w:rsidR="003148E3" w:rsidRPr="003148E3" w:rsidRDefault="003148E3" w:rsidP="003148E3">
      <w:pPr>
        <w:pStyle w:val="ListParagraph"/>
        <w:numPr>
          <w:ilvl w:val="1"/>
          <w:numId w:val="38"/>
        </w:numPr>
        <w:spacing w:after="0" w:line="360" w:lineRule="auto"/>
        <w:ind w:left="567" w:hanging="567"/>
        <w:jc w:val="both"/>
        <w:rPr>
          <w:rFonts w:ascii="Times New Roman" w:eastAsia="Times New Roman" w:hAnsi="Times New Roman" w:cs="Times New Roman"/>
          <w:sz w:val="24"/>
          <w:szCs w:val="24"/>
          <w:lang w:val="en-US"/>
        </w:rPr>
      </w:pPr>
      <w:r>
        <w:rPr>
          <w:rFonts w:ascii="Times New Roman" w:hAnsi="Times New Roman" w:cs="Times New Roman"/>
          <w:sz w:val="24"/>
          <w:szCs w:val="24"/>
        </w:rPr>
        <w:t>The Committee</w:t>
      </w:r>
      <w:r w:rsidR="00CF65CD">
        <w:rPr>
          <w:rFonts w:ascii="Times New Roman" w:hAnsi="Times New Roman" w:cs="Times New Roman"/>
          <w:sz w:val="24"/>
          <w:szCs w:val="24"/>
        </w:rPr>
        <w:t xml:space="preserve"> also</w:t>
      </w:r>
      <w:r>
        <w:rPr>
          <w:rFonts w:ascii="Times New Roman" w:hAnsi="Times New Roman" w:cs="Times New Roman"/>
          <w:sz w:val="24"/>
          <w:szCs w:val="24"/>
        </w:rPr>
        <w:t xml:space="preserve"> welcomes SALGA’s proposal </w:t>
      </w:r>
      <w:r w:rsidRPr="00B367C8">
        <w:rPr>
          <w:rFonts w:ascii="Times New Roman" w:hAnsi="Times New Roman" w:cs="Times New Roman"/>
          <w:sz w:val="24"/>
          <w:szCs w:val="24"/>
        </w:rPr>
        <w:t xml:space="preserve">for the development of a Consequence Management Framework that would focus on both individual and institutional performance. SALGA proposed that the framework could entail </w:t>
      </w:r>
      <w:r w:rsidRPr="00B367C8">
        <w:rPr>
          <w:rFonts w:ascii="Times New Roman" w:eastAsia="Times New Roman" w:hAnsi="Times New Roman" w:cs="Times New Roman"/>
          <w:spacing w:val="6"/>
          <w:sz w:val="24"/>
          <w:szCs w:val="24"/>
          <w:lang w:val="en-GB" w:eastAsia="en-GB"/>
        </w:rPr>
        <w:t>elements such as the grading of municipalities based on performance and awarding of pay increases and bonuses based on institutional performance.</w:t>
      </w:r>
    </w:p>
    <w:p w14:paraId="53B9EC33" w14:textId="77777777" w:rsidR="003148E3" w:rsidRPr="003148E3" w:rsidRDefault="003148E3" w:rsidP="003148E3">
      <w:pPr>
        <w:pStyle w:val="ListParagraph"/>
        <w:rPr>
          <w:rFonts w:ascii="Times New Roman" w:hAnsi="Times New Roman" w:cs="Times New Roman"/>
          <w:sz w:val="24"/>
          <w:szCs w:val="24"/>
          <w:lang w:eastAsia="en-ZA"/>
        </w:rPr>
      </w:pPr>
    </w:p>
    <w:p w14:paraId="1EA7465B" w14:textId="2FD160EC" w:rsidR="00B20E2A" w:rsidRPr="00B80D0B" w:rsidRDefault="00B20E2A" w:rsidP="00A6774A">
      <w:pPr>
        <w:pStyle w:val="ListParagraph"/>
        <w:spacing w:after="0" w:line="360" w:lineRule="auto"/>
        <w:ind w:left="567"/>
        <w:jc w:val="both"/>
        <w:rPr>
          <w:rFonts w:ascii="Times New Roman" w:eastAsia="Times New Roman" w:hAnsi="Times New Roman" w:cs="Times New Roman"/>
          <w:sz w:val="24"/>
          <w:szCs w:val="24"/>
          <w:lang w:val="en-US"/>
        </w:rPr>
      </w:pPr>
    </w:p>
    <w:p w14:paraId="1242E522" w14:textId="77777777" w:rsidR="000850EB" w:rsidRPr="002E40FC" w:rsidRDefault="000850EB" w:rsidP="000850EB">
      <w:pPr>
        <w:spacing w:after="0" w:line="360" w:lineRule="auto"/>
        <w:ind w:left="720"/>
        <w:jc w:val="both"/>
        <w:rPr>
          <w:rFonts w:ascii="Times New Roman" w:hAnsi="Times New Roman" w:cs="Times New Roman"/>
          <w:color w:val="000000"/>
          <w:spacing w:val="6"/>
          <w:sz w:val="24"/>
          <w:szCs w:val="24"/>
        </w:rPr>
      </w:pPr>
    </w:p>
    <w:p w14:paraId="2B5CF530" w14:textId="77777777" w:rsidR="000850EB" w:rsidRPr="002E40FC" w:rsidRDefault="000850EB" w:rsidP="000850EB">
      <w:pPr>
        <w:spacing w:after="0" w:line="360" w:lineRule="auto"/>
        <w:jc w:val="both"/>
        <w:rPr>
          <w:rFonts w:ascii="Times New Roman" w:eastAsia="Times New Roman" w:hAnsi="Times New Roman" w:cs="Times New Roman"/>
          <w:b/>
          <w:spacing w:val="6"/>
          <w:sz w:val="24"/>
          <w:szCs w:val="24"/>
          <w:lang w:val="en-GB" w:eastAsia="en-GB"/>
        </w:rPr>
      </w:pPr>
      <w:r w:rsidRPr="002E40FC">
        <w:rPr>
          <w:rFonts w:ascii="Times New Roman" w:eastAsia="Times New Roman" w:hAnsi="Times New Roman" w:cs="Times New Roman"/>
          <w:b/>
          <w:spacing w:val="6"/>
          <w:sz w:val="24"/>
          <w:szCs w:val="24"/>
          <w:lang w:val="en-GB" w:eastAsia="en-GB"/>
        </w:rPr>
        <w:t xml:space="preserve">On the focus area of education, job creation and skills development: </w:t>
      </w:r>
    </w:p>
    <w:p w14:paraId="2836EFE1" w14:textId="77777777" w:rsidR="000850EB" w:rsidRPr="002E40FC" w:rsidRDefault="000850EB" w:rsidP="000850EB">
      <w:pPr>
        <w:spacing w:after="0" w:line="360" w:lineRule="auto"/>
        <w:jc w:val="both"/>
        <w:rPr>
          <w:rFonts w:ascii="Times New Roman" w:eastAsia="Times New Roman" w:hAnsi="Times New Roman" w:cs="Times New Roman"/>
          <w:b/>
          <w:spacing w:val="6"/>
          <w:sz w:val="24"/>
          <w:szCs w:val="24"/>
          <w:lang w:val="en-GB" w:eastAsia="en-GB"/>
        </w:rPr>
      </w:pPr>
    </w:p>
    <w:p w14:paraId="5E9D627A" w14:textId="77777777" w:rsidR="009F7A61" w:rsidRDefault="000A793B" w:rsidP="007835AE">
      <w:pPr>
        <w:pStyle w:val="ListParagraph"/>
        <w:numPr>
          <w:ilvl w:val="1"/>
          <w:numId w:val="3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Pr="00DD7907">
        <w:rPr>
          <w:rFonts w:ascii="Times New Roman" w:hAnsi="Times New Roman" w:cs="Times New Roman"/>
          <w:sz w:val="24"/>
          <w:szCs w:val="24"/>
        </w:rPr>
        <w:t xml:space="preserve">he Committee notes the HSRC submission that the skills requirements of the Fourth Industrial Revolution were not yet extensively reached in South Africa.  To this end, the HSRC submitted that optimising capacity development would require understanding the nature of changes to skills supply and demand as well as resources for skills development. </w:t>
      </w:r>
    </w:p>
    <w:p w14:paraId="56D7D70F" w14:textId="77777777" w:rsidR="00A27CBD" w:rsidRDefault="00A27CBD" w:rsidP="00A27CBD">
      <w:pPr>
        <w:pStyle w:val="ListParagraph"/>
        <w:spacing w:after="0" w:line="360" w:lineRule="auto"/>
        <w:ind w:left="567"/>
        <w:jc w:val="both"/>
        <w:rPr>
          <w:rFonts w:ascii="Times New Roman" w:hAnsi="Times New Roman" w:cs="Times New Roman"/>
          <w:sz w:val="24"/>
          <w:szCs w:val="24"/>
        </w:rPr>
      </w:pPr>
    </w:p>
    <w:p w14:paraId="31623424" w14:textId="341A7293" w:rsidR="00C65528" w:rsidRPr="00A27CBD" w:rsidRDefault="00A27CBD" w:rsidP="007835AE">
      <w:pPr>
        <w:pStyle w:val="ListParagraph"/>
        <w:numPr>
          <w:ilvl w:val="1"/>
          <w:numId w:val="38"/>
        </w:numPr>
        <w:spacing w:after="0" w:line="360" w:lineRule="auto"/>
        <w:ind w:left="567" w:hanging="567"/>
        <w:jc w:val="both"/>
        <w:rPr>
          <w:rFonts w:ascii="Times New Roman" w:hAnsi="Times New Roman" w:cs="Times New Roman"/>
          <w:sz w:val="24"/>
          <w:szCs w:val="24"/>
        </w:rPr>
      </w:pPr>
      <w:r w:rsidRPr="00A27CBD">
        <w:rPr>
          <w:rFonts w:ascii="Times New Roman" w:hAnsi="Times New Roman" w:cs="Times New Roman"/>
          <w:sz w:val="24"/>
          <w:szCs w:val="24"/>
        </w:rPr>
        <w:t>The Committee notes submission by FFC and the BJC about the need for a</w:t>
      </w:r>
      <w:r w:rsidRPr="00A27CBD">
        <w:rPr>
          <w:rFonts w:ascii="Times New Roman" w:eastAsia="+mn-ea" w:hAnsi="Times New Roman" w:cs="Times New Roman"/>
          <w:bCs/>
          <w:kern w:val="24"/>
          <w:sz w:val="24"/>
          <w:szCs w:val="24"/>
          <w:lang w:eastAsia="en-ZA"/>
        </w:rPr>
        <w:t xml:space="preserve"> clearer plan and guidelines for implementing the comprehensive fee-free higher education policy</w:t>
      </w:r>
      <w:r w:rsidR="005A203C">
        <w:rPr>
          <w:rFonts w:ascii="Times New Roman" w:eastAsia="+mn-ea" w:hAnsi="Times New Roman" w:cs="Times New Roman"/>
          <w:bCs/>
          <w:kern w:val="24"/>
          <w:sz w:val="24"/>
          <w:szCs w:val="24"/>
          <w:lang w:eastAsia="en-ZA"/>
        </w:rPr>
        <w:t xml:space="preserve">. This is </w:t>
      </w:r>
      <w:r w:rsidRPr="00A27CBD">
        <w:rPr>
          <w:rFonts w:ascii="Times New Roman" w:eastAsia="+mn-ea" w:hAnsi="Times New Roman" w:cs="Times New Roman"/>
          <w:bCs/>
          <w:kern w:val="24"/>
          <w:sz w:val="24"/>
          <w:szCs w:val="24"/>
          <w:lang w:eastAsia="en-ZA"/>
        </w:rPr>
        <w:t xml:space="preserve">in </w:t>
      </w:r>
      <w:r w:rsidR="005A203C" w:rsidRPr="00A27CBD">
        <w:rPr>
          <w:rFonts w:ascii="Times New Roman" w:eastAsia="+mn-ea" w:hAnsi="Times New Roman" w:cs="Times New Roman"/>
          <w:bCs/>
          <w:kern w:val="24"/>
          <w:sz w:val="24"/>
          <w:szCs w:val="24"/>
          <w:lang w:eastAsia="en-ZA"/>
        </w:rPr>
        <w:t xml:space="preserve">order </w:t>
      </w:r>
      <w:r w:rsidR="005A203C" w:rsidRPr="00A27CBD">
        <w:rPr>
          <w:rFonts w:ascii="Times New Roman" w:eastAsia="+mn-ea" w:hAnsi="Times New Roman" w:cs="Times New Roman"/>
          <w:kern w:val="24"/>
          <w:sz w:val="24"/>
          <w:szCs w:val="24"/>
          <w:lang w:eastAsia="en-ZA"/>
        </w:rPr>
        <w:t>to</w:t>
      </w:r>
      <w:r w:rsidRPr="00A27CBD">
        <w:rPr>
          <w:rFonts w:ascii="Times New Roman" w:eastAsia="+mn-ea" w:hAnsi="Times New Roman" w:cs="Times New Roman"/>
          <w:kern w:val="24"/>
          <w:sz w:val="24"/>
          <w:szCs w:val="24"/>
          <w:lang w:eastAsia="en-ZA"/>
        </w:rPr>
        <w:t xml:space="preserve"> address uncertainty in the institutions of higher learning and to ensure efficient and effective utilisation of</w:t>
      </w:r>
      <w:r w:rsidR="00FB1841">
        <w:rPr>
          <w:rFonts w:ascii="Times New Roman" w:eastAsia="+mn-ea" w:hAnsi="Times New Roman" w:cs="Times New Roman"/>
          <w:kern w:val="24"/>
          <w:sz w:val="24"/>
          <w:szCs w:val="24"/>
          <w:lang w:eastAsia="en-ZA"/>
        </w:rPr>
        <w:t xml:space="preserve"> the allocated resources. </w:t>
      </w:r>
    </w:p>
    <w:p w14:paraId="1F770CD1" w14:textId="132BDCCE" w:rsidR="000850EB" w:rsidRDefault="000850EB" w:rsidP="005A203C">
      <w:pPr>
        <w:suppressAutoHyphens/>
        <w:autoSpaceDN w:val="0"/>
        <w:spacing w:after="0" w:line="360" w:lineRule="auto"/>
        <w:ind w:left="567"/>
        <w:jc w:val="both"/>
        <w:textAlignment w:val="baseline"/>
        <w:rPr>
          <w:rFonts w:ascii="Times New Roman" w:eastAsia="Times New Roman" w:hAnsi="Times New Roman" w:cs="Times New Roman"/>
          <w:color w:val="FF0000"/>
          <w:spacing w:val="6"/>
          <w:sz w:val="24"/>
          <w:szCs w:val="24"/>
          <w:lang w:eastAsia="en-GB"/>
        </w:rPr>
      </w:pPr>
    </w:p>
    <w:p w14:paraId="27B7BA51" w14:textId="56AD56B0" w:rsidR="005A203C" w:rsidRDefault="005A203C" w:rsidP="000850EB">
      <w:pPr>
        <w:suppressAutoHyphens/>
        <w:autoSpaceDN w:val="0"/>
        <w:spacing w:after="0" w:line="360" w:lineRule="auto"/>
        <w:ind w:left="567" w:hanging="567"/>
        <w:jc w:val="both"/>
        <w:textAlignment w:val="baseline"/>
        <w:rPr>
          <w:rFonts w:ascii="Times New Roman" w:eastAsia="Times New Roman" w:hAnsi="Times New Roman" w:cs="Times New Roman"/>
          <w:color w:val="FF0000"/>
          <w:spacing w:val="6"/>
          <w:sz w:val="24"/>
          <w:szCs w:val="24"/>
          <w:lang w:eastAsia="en-GB"/>
        </w:rPr>
      </w:pPr>
    </w:p>
    <w:p w14:paraId="52E376CD" w14:textId="5A27669B" w:rsidR="005A203C" w:rsidRDefault="005A203C" w:rsidP="000850EB">
      <w:pPr>
        <w:suppressAutoHyphens/>
        <w:autoSpaceDN w:val="0"/>
        <w:spacing w:after="0" w:line="360" w:lineRule="auto"/>
        <w:ind w:left="567" w:hanging="567"/>
        <w:jc w:val="both"/>
        <w:textAlignment w:val="baseline"/>
        <w:rPr>
          <w:rFonts w:ascii="Times New Roman" w:eastAsia="Times New Roman" w:hAnsi="Times New Roman" w:cs="Times New Roman"/>
          <w:color w:val="FF0000"/>
          <w:spacing w:val="6"/>
          <w:sz w:val="24"/>
          <w:szCs w:val="24"/>
          <w:lang w:eastAsia="en-GB"/>
        </w:rPr>
      </w:pPr>
    </w:p>
    <w:p w14:paraId="34982957" w14:textId="05A9FD11" w:rsidR="005A203C" w:rsidRDefault="005A203C" w:rsidP="000850EB">
      <w:pPr>
        <w:suppressAutoHyphens/>
        <w:autoSpaceDN w:val="0"/>
        <w:spacing w:after="0" w:line="360" w:lineRule="auto"/>
        <w:ind w:left="567" w:hanging="567"/>
        <w:jc w:val="both"/>
        <w:textAlignment w:val="baseline"/>
        <w:rPr>
          <w:rFonts w:ascii="Times New Roman" w:eastAsia="Times New Roman" w:hAnsi="Times New Roman" w:cs="Times New Roman"/>
          <w:color w:val="FF0000"/>
          <w:spacing w:val="6"/>
          <w:sz w:val="24"/>
          <w:szCs w:val="24"/>
          <w:lang w:eastAsia="en-GB"/>
        </w:rPr>
      </w:pPr>
    </w:p>
    <w:p w14:paraId="655E238E" w14:textId="1B3FF1B7" w:rsidR="005A203C" w:rsidRDefault="005A203C" w:rsidP="000850EB">
      <w:pPr>
        <w:suppressAutoHyphens/>
        <w:autoSpaceDN w:val="0"/>
        <w:spacing w:after="0" w:line="360" w:lineRule="auto"/>
        <w:ind w:left="567" w:hanging="567"/>
        <w:jc w:val="both"/>
        <w:textAlignment w:val="baseline"/>
        <w:rPr>
          <w:rFonts w:ascii="Times New Roman" w:eastAsia="Times New Roman" w:hAnsi="Times New Roman" w:cs="Times New Roman"/>
          <w:color w:val="FF0000"/>
          <w:spacing w:val="6"/>
          <w:sz w:val="24"/>
          <w:szCs w:val="24"/>
          <w:lang w:eastAsia="en-GB"/>
        </w:rPr>
      </w:pPr>
    </w:p>
    <w:p w14:paraId="7F28C96D" w14:textId="77777777" w:rsidR="005A203C" w:rsidRPr="00F874D9" w:rsidRDefault="005A203C" w:rsidP="000850EB">
      <w:pPr>
        <w:suppressAutoHyphens/>
        <w:autoSpaceDN w:val="0"/>
        <w:spacing w:after="0" w:line="360" w:lineRule="auto"/>
        <w:ind w:left="567" w:hanging="567"/>
        <w:jc w:val="both"/>
        <w:textAlignment w:val="baseline"/>
        <w:rPr>
          <w:rFonts w:ascii="Times New Roman" w:eastAsia="Times New Roman" w:hAnsi="Times New Roman" w:cs="Times New Roman"/>
          <w:color w:val="FF0000"/>
          <w:spacing w:val="6"/>
          <w:sz w:val="24"/>
          <w:szCs w:val="24"/>
          <w:lang w:eastAsia="en-GB"/>
        </w:rPr>
      </w:pPr>
    </w:p>
    <w:p w14:paraId="35336932" w14:textId="77777777" w:rsidR="000850EB" w:rsidRPr="002E40FC" w:rsidRDefault="000850EB" w:rsidP="000850EB">
      <w:pPr>
        <w:spacing w:after="0" w:line="360" w:lineRule="auto"/>
        <w:jc w:val="both"/>
        <w:rPr>
          <w:rFonts w:ascii="Times New Roman" w:eastAsia="Times New Roman" w:hAnsi="Times New Roman" w:cs="Times New Roman"/>
          <w:color w:val="000000"/>
          <w:spacing w:val="6"/>
          <w:sz w:val="24"/>
          <w:szCs w:val="24"/>
          <w:lang w:eastAsia="en-GB"/>
        </w:rPr>
      </w:pPr>
    </w:p>
    <w:p w14:paraId="105770A5" w14:textId="77777777" w:rsidR="000850EB" w:rsidRPr="002E40FC" w:rsidRDefault="000850EB" w:rsidP="000850EB">
      <w:pPr>
        <w:spacing w:after="0" w:line="360" w:lineRule="auto"/>
        <w:ind w:left="-142" w:firstLine="142"/>
        <w:jc w:val="both"/>
        <w:rPr>
          <w:rFonts w:ascii="Times New Roman" w:eastAsia="Times New Roman" w:hAnsi="Times New Roman" w:cs="Times New Roman"/>
          <w:b/>
          <w:sz w:val="24"/>
          <w:szCs w:val="24"/>
          <w:lang w:val="en-GB" w:eastAsia="en-GB"/>
        </w:rPr>
      </w:pPr>
      <w:r w:rsidRPr="002E40FC">
        <w:rPr>
          <w:rFonts w:ascii="Times New Roman" w:eastAsia="Times New Roman" w:hAnsi="Times New Roman" w:cs="Times New Roman"/>
          <w:b/>
          <w:sz w:val="24"/>
          <w:szCs w:val="24"/>
          <w:lang w:val="en-GB" w:eastAsia="en-GB"/>
        </w:rPr>
        <w:t xml:space="preserve">On improving health care services: </w:t>
      </w:r>
    </w:p>
    <w:p w14:paraId="05891661" w14:textId="77777777" w:rsidR="000850EB" w:rsidRPr="002E40FC" w:rsidRDefault="000850EB" w:rsidP="000850EB">
      <w:pPr>
        <w:spacing w:after="0" w:line="360" w:lineRule="auto"/>
        <w:ind w:left="-142" w:firstLine="142"/>
        <w:jc w:val="both"/>
        <w:rPr>
          <w:rFonts w:ascii="Times New Roman" w:eastAsia="Times New Roman" w:hAnsi="Times New Roman" w:cs="Times New Roman"/>
          <w:b/>
          <w:sz w:val="24"/>
          <w:szCs w:val="24"/>
          <w:lang w:val="en-GB" w:eastAsia="en-GB"/>
        </w:rPr>
      </w:pPr>
    </w:p>
    <w:p w14:paraId="772C2FB2" w14:textId="77777777" w:rsidR="00641C46" w:rsidRDefault="000850EB" w:rsidP="00641C46">
      <w:pPr>
        <w:pStyle w:val="ListParagraph"/>
        <w:numPr>
          <w:ilvl w:val="1"/>
          <w:numId w:val="38"/>
        </w:numPr>
        <w:spacing w:after="0" w:line="360" w:lineRule="auto"/>
        <w:ind w:left="567" w:hanging="567"/>
        <w:jc w:val="both"/>
        <w:rPr>
          <w:rFonts w:ascii="Times New Roman" w:hAnsi="Times New Roman" w:cs="Times New Roman"/>
          <w:sz w:val="24"/>
          <w:szCs w:val="24"/>
        </w:rPr>
      </w:pPr>
      <w:r w:rsidRPr="00641C46">
        <w:rPr>
          <w:rFonts w:ascii="Times New Roman" w:hAnsi="Times New Roman" w:cs="Times New Roman"/>
          <w:sz w:val="24"/>
          <w:szCs w:val="24"/>
        </w:rPr>
        <w:t xml:space="preserve">The Committee is concerned about the reported failure of provincial health departments to implement sound financial management resulting in an increase in </w:t>
      </w:r>
      <w:r w:rsidR="008A0671" w:rsidRPr="00641C46">
        <w:rPr>
          <w:rFonts w:ascii="Times New Roman" w:hAnsi="Times New Roman" w:cs="Times New Roman"/>
          <w:sz w:val="24"/>
          <w:szCs w:val="24"/>
        </w:rPr>
        <w:t xml:space="preserve">unpaid bills and </w:t>
      </w:r>
      <w:r w:rsidRPr="00641C46">
        <w:rPr>
          <w:rFonts w:ascii="Times New Roman" w:hAnsi="Times New Roman" w:cs="Times New Roman"/>
          <w:sz w:val="24"/>
          <w:szCs w:val="24"/>
        </w:rPr>
        <w:t xml:space="preserve">unfunded commitments or accruals as well as significant irregular expenditure in a number of provinces. </w:t>
      </w:r>
    </w:p>
    <w:p w14:paraId="752EC329" w14:textId="77777777" w:rsidR="00641C46" w:rsidRDefault="00641C46" w:rsidP="00641C46">
      <w:pPr>
        <w:pStyle w:val="ListParagraph"/>
        <w:spacing w:after="0" w:line="360" w:lineRule="auto"/>
        <w:ind w:left="567"/>
        <w:jc w:val="both"/>
        <w:rPr>
          <w:rFonts w:ascii="Times New Roman" w:hAnsi="Times New Roman" w:cs="Times New Roman"/>
          <w:sz w:val="24"/>
          <w:szCs w:val="24"/>
        </w:rPr>
      </w:pPr>
    </w:p>
    <w:p w14:paraId="1E01F3B5" w14:textId="6E0A02CA" w:rsidR="00641C46" w:rsidRPr="00641C46" w:rsidRDefault="00641C46" w:rsidP="00641C46">
      <w:pPr>
        <w:pStyle w:val="ListParagraph"/>
        <w:numPr>
          <w:ilvl w:val="1"/>
          <w:numId w:val="38"/>
        </w:numPr>
        <w:spacing w:after="0" w:line="360" w:lineRule="auto"/>
        <w:ind w:left="567" w:hanging="567"/>
        <w:jc w:val="both"/>
        <w:rPr>
          <w:rFonts w:ascii="Times New Roman" w:hAnsi="Times New Roman" w:cs="Times New Roman"/>
          <w:sz w:val="24"/>
          <w:szCs w:val="24"/>
        </w:rPr>
      </w:pPr>
      <w:r w:rsidRPr="00641C46">
        <w:rPr>
          <w:rFonts w:ascii="Times New Roman" w:hAnsi="Times New Roman" w:cs="Times New Roman"/>
          <w:sz w:val="24"/>
          <w:szCs w:val="24"/>
        </w:rPr>
        <w:t>The Committee also notes with concern that provincial health departments</w:t>
      </w:r>
      <w:r>
        <w:rPr>
          <w:rFonts w:ascii="Times New Roman" w:hAnsi="Times New Roman" w:cs="Times New Roman"/>
          <w:sz w:val="24"/>
          <w:szCs w:val="24"/>
        </w:rPr>
        <w:t xml:space="preserve"> face</w:t>
      </w:r>
      <w:r w:rsidRPr="00641C46">
        <w:rPr>
          <w:rFonts w:ascii="Times New Roman" w:hAnsi="Times New Roman" w:cs="Times New Roman"/>
          <w:sz w:val="24"/>
          <w:szCs w:val="24"/>
        </w:rPr>
        <w:t xml:space="preserve"> contingency liability risks</w:t>
      </w:r>
      <w:r>
        <w:rPr>
          <w:rFonts w:ascii="Times New Roman" w:hAnsi="Times New Roman" w:cs="Times New Roman"/>
          <w:sz w:val="24"/>
          <w:szCs w:val="24"/>
        </w:rPr>
        <w:t xml:space="preserve"> due medico-</w:t>
      </w:r>
      <w:r w:rsidRPr="00641C46">
        <w:rPr>
          <w:rFonts w:ascii="Times New Roman" w:hAnsi="Times New Roman" w:cs="Times New Roman"/>
          <w:sz w:val="24"/>
          <w:szCs w:val="24"/>
        </w:rPr>
        <w:t>legal claims.</w:t>
      </w:r>
      <w:r>
        <w:rPr>
          <w:rFonts w:ascii="Times New Roman" w:hAnsi="Times New Roman" w:cs="Times New Roman"/>
          <w:sz w:val="24"/>
          <w:szCs w:val="24"/>
        </w:rPr>
        <w:t xml:space="preserve"> The Committee welcomes undertakings by the Department of Health to establish expert teams to assist provinces in mediation and litigation processes. </w:t>
      </w:r>
    </w:p>
    <w:p w14:paraId="4BEF2B50" w14:textId="77777777" w:rsidR="000850EB" w:rsidRPr="00C0671D" w:rsidRDefault="000850EB" w:rsidP="00641C46">
      <w:pPr>
        <w:pStyle w:val="ListParagraph"/>
        <w:spacing w:after="0" w:line="360" w:lineRule="auto"/>
        <w:ind w:left="567"/>
        <w:jc w:val="both"/>
        <w:rPr>
          <w:rFonts w:ascii="Times New Roman" w:hAnsi="Times New Roman" w:cs="Times New Roman"/>
          <w:sz w:val="24"/>
          <w:szCs w:val="24"/>
        </w:rPr>
      </w:pPr>
    </w:p>
    <w:p w14:paraId="6AA90344" w14:textId="7248752B" w:rsidR="000850EB" w:rsidRPr="002E40FC" w:rsidRDefault="000850EB" w:rsidP="000850EB">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p>
    <w:p w14:paraId="70EF44FB" w14:textId="77777777" w:rsidR="000850EB" w:rsidRPr="002E40FC" w:rsidRDefault="000850EB" w:rsidP="000850EB">
      <w:pPr>
        <w:spacing w:after="0" w:line="360" w:lineRule="auto"/>
        <w:jc w:val="both"/>
        <w:rPr>
          <w:rFonts w:ascii="Times New Roman" w:eastAsia="Times New Roman" w:hAnsi="Times New Roman" w:cs="Times New Roman"/>
          <w:b/>
          <w:color w:val="000000"/>
          <w:spacing w:val="6"/>
          <w:sz w:val="24"/>
          <w:szCs w:val="24"/>
          <w:lang w:val="en-GB" w:eastAsia="en-GB"/>
        </w:rPr>
      </w:pPr>
    </w:p>
    <w:p w14:paraId="26364600" w14:textId="77777777" w:rsidR="000850EB" w:rsidRPr="002E40FC" w:rsidRDefault="000850EB" w:rsidP="000850EB">
      <w:pPr>
        <w:spacing w:line="360" w:lineRule="auto"/>
        <w:jc w:val="both"/>
        <w:rPr>
          <w:rFonts w:ascii="Times New Roman" w:eastAsia="Times New Roman" w:hAnsi="Times New Roman" w:cs="Times New Roman"/>
          <w:b/>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On accelerating economic growth and development, investment and infrastructure delivery:</w:t>
      </w:r>
    </w:p>
    <w:p w14:paraId="0B28285F" w14:textId="77777777" w:rsidR="009F7A61" w:rsidRPr="00641C46" w:rsidRDefault="000850EB" w:rsidP="00641C46">
      <w:pPr>
        <w:spacing w:after="0" w:line="360" w:lineRule="auto"/>
        <w:ind w:left="567" w:hanging="567"/>
        <w:jc w:val="both"/>
        <w:rPr>
          <w:rFonts w:ascii="Times New Roman" w:eastAsia="Times New Roman" w:hAnsi="Times New Roman" w:cs="Times New Roman"/>
          <w:color w:val="FF0000"/>
          <w:spacing w:val="6"/>
          <w:sz w:val="24"/>
          <w:szCs w:val="24"/>
          <w:lang w:eastAsia="en-GB"/>
        </w:rPr>
      </w:pPr>
      <w:r w:rsidRPr="009F7A61">
        <w:rPr>
          <w:rFonts w:ascii="Times New Roman" w:eastAsia="Times New Roman" w:hAnsi="Times New Roman" w:cs="Times New Roman"/>
          <w:color w:val="FF0000"/>
          <w:spacing w:val="6"/>
          <w:sz w:val="24"/>
          <w:szCs w:val="24"/>
          <w:lang w:eastAsia="en-GB"/>
        </w:rPr>
        <w:tab/>
      </w:r>
    </w:p>
    <w:p w14:paraId="1EA18B19" w14:textId="77777777" w:rsidR="00DC4ACF" w:rsidRDefault="000850EB" w:rsidP="00EC0C18">
      <w:pPr>
        <w:pStyle w:val="ListParagraph"/>
        <w:numPr>
          <w:ilvl w:val="1"/>
          <w:numId w:val="38"/>
        </w:numPr>
        <w:spacing w:after="0" w:line="360" w:lineRule="auto"/>
        <w:ind w:left="567" w:hanging="567"/>
        <w:jc w:val="both"/>
        <w:rPr>
          <w:rFonts w:ascii="Times New Roman" w:hAnsi="Times New Roman" w:cs="Times New Roman"/>
          <w:sz w:val="24"/>
          <w:szCs w:val="24"/>
        </w:rPr>
      </w:pPr>
      <w:r w:rsidRPr="00641C46">
        <w:rPr>
          <w:rFonts w:ascii="Times New Roman" w:hAnsi="Times New Roman" w:cs="Times New Roman"/>
          <w:sz w:val="24"/>
          <w:szCs w:val="24"/>
        </w:rPr>
        <w:t xml:space="preserve">The Committees welcomes the </w:t>
      </w:r>
      <w:r w:rsidR="001731A7" w:rsidRPr="00641C46">
        <w:rPr>
          <w:rFonts w:ascii="Times New Roman" w:hAnsi="Times New Roman" w:cs="Times New Roman"/>
          <w:sz w:val="24"/>
          <w:szCs w:val="24"/>
        </w:rPr>
        <w:t>proposed spending of R855.2</w:t>
      </w:r>
      <w:r w:rsidRPr="00641C46">
        <w:rPr>
          <w:rFonts w:ascii="Times New Roman" w:hAnsi="Times New Roman" w:cs="Times New Roman"/>
          <w:sz w:val="24"/>
          <w:szCs w:val="24"/>
        </w:rPr>
        <w:t xml:space="preserve"> billion on infrast</w:t>
      </w:r>
      <w:r w:rsidR="001731A7" w:rsidRPr="00641C46">
        <w:rPr>
          <w:rFonts w:ascii="Times New Roman" w:hAnsi="Times New Roman" w:cs="Times New Roman"/>
          <w:sz w:val="24"/>
          <w:szCs w:val="24"/>
        </w:rPr>
        <w:t>ructure investment over the 2019</w:t>
      </w:r>
      <w:r w:rsidRPr="00641C46">
        <w:rPr>
          <w:rFonts w:ascii="Times New Roman" w:hAnsi="Times New Roman" w:cs="Times New Roman"/>
          <w:sz w:val="24"/>
          <w:szCs w:val="24"/>
        </w:rPr>
        <w:t xml:space="preserve"> MTEF. The Committee views infrastructure development as critical to stimulate economic growth and yet notes with concern that infrastructure spending and delivery has consistently been hampered by poor performance at all levels of government. The Committee is of the view that continuous underspending on infrastructure and the resultant reprioritisation of funds will be counterproductive to the intended goal of stimulating economic growth. </w:t>
      </w:r>
    </w:p>
    <w:p w14:paraId="3661F59B" w14:textId="77777777" w:rsidR="00DC4ACF" w:rsidRDefault="00DC4ACF" w:rsidP="00DC4ACF">
      <w:pPr>
        <w:pStyle w:val="ListParagraph"/>
        <w:spacing w:after="0" w:line="360" w:lineRule="auto"/>
        <w:ind w:left="567"/>
        <w:jc w:val="both"/>
        <w:rPr>
          <w:rFonts w:ascii="Times New Roman" w:hAnsi="Times New Roman" w:cs="Times New Roman"/>
          <w:sz w:val="24"/>
          <w:szCs w:val="24"/>
        </w:rPr>
      </w:pPr>
    </w:p>
    <w:p w14:paraId="671805A3" w14:textId="60C2AD40" w:rsidR="00EC0C18" w:rsidRDefault="00DC4ACF" w:rsidP="00F33933">
      <w:pPr>
        <w:pStyle w:val="ListParagraph"/>
        <w:numPr>
          <w:ilvl w:val="1"/>
          <w:numId w:val="38"/>
        </w:numPr>
        <w:spacing w:after="0" w:line="360" w:lineRule="auto"/>
        <w:ind w:left="567" w:hanging="567"/>
        <w:jc w:val="both"/>
        <w:rPr>
          <w:rFonts w:ascii="Times New Roman" w:hAnsi="Times New Roman" w:cs="Times New Roman"/>
          <w:sz w:val="24"/>
          <w:szCs w:val="24"/>
        </w:rPr>
      </w:pPr>
      <w:r w:rsidRPr="00DC4ACF">
        <w:rPr>
          <w:rFonts w:ascii="Times New Roman" w:hAnsi="Times New Roman" w:cs="Times New Roman"/>
          <w:sz w:val="24"/>
          <w:szCs w:val="24"/>
        </w:rPr>
        <w:t xml:space="preserve">The Committee therefore supports </w:t>
      </w:r>
      <w:r>
        <w:rPr>
          <w:rFonts w:ascii="Times New Roman" w:hAnsi="Times New Roman" w:cs="Times New Roman"/>
          <w:sz w:val="24"/>
          <w:szCs w:val="24"/>
        </w:rPr>
        <w:t xml:space="preserve">the reform </w:t>
      </w:r>
      <w:r w:rsidR="00F33933">
        <w:rPr>
          <w:rFonts w:ascii="Times New Roman" w:hAnsi="Times New Roman" w:cs="Times New Roman"/>
          <w:sz w:val="24"/>
          <w:szCs w:val="24"/>
        </w:rPr>
        <w:t>regarding the publishing of</w:t>
      </w:r>
      <w:r w:rsidRPr="00DC4ACF">
        <w:rPr>
          <w:rFonts w:ascii="Times New Roman" w:hAnsi="Times New Roman" w:cs="Times New Roman"/>
          <w:sz w:val="24"/>
          <w:szCs w:val="24"/>
        </w:rPr>
        <w:t xml:space="preserve"> expenditure reports of existing infrastructure projects to enhance accountability and transparency. This will minimise cost overruns and ensure timely completion of the projects</w:t>
      </w:r>
      <w:r w:rsidR="00F33933">
        <w:rPr>
          <w:rFonts w:ascii="Times New Roman" w:hAnsi="Times New Roman" w:cs="Times New Roman"/>
          <w:sz w:val="24"/>
          <w:szCs w:val="24"/>
        </w:rPr>
        <w:t>. The Committee also supports the F</w:t>
      </w:r>
      <w:r w:rsidR="00F33933" w:rsidRPr="00F33933">
        <w:rPr>
          <w:rFonts w:ascii="Times New Roman" w:hAnsi="Times New Roman" w:cs="Times New Roman"/>
          <w:sz w:val="24"/>
          <w:szCs w:val="24"/>
        </w:rPr>
        <w:t xml:space="preserve">FC proposal </w:t>
      </w:r>
      <w:r w:rsidR="00F33933">
        <w:rPr>
          <w:rFonts w:ascii="Times New Roman" w:hAnsi="Times New Roman" w:cs="Times New Roman"/>
          <w:sz w:val="24"/>
          <w:szCs w:val="24"/>
        </w:rPr>
        <w:t xml:space="preserve">for </w:t>
      </w:r>
      <w:r w:rsidR="00F33933" w:rsidRPr="00F33933">
        <w:rPr>
          <w:rFonts w:ascii="Times New Roman" w:hAnsi="Times New Roman" w:cs="Times New Roman"/>
          <w:sz w:val="24"/>
          <w:szCs w:val="24"/>
        </w:rPr>
        <w:t>government to invest in an infrastructure delivery inspector</w:t>
      </w:r>
      <w:r w:rsidR="005A203C">
        <w:rPr>
          <w:rFonts w:ascii="Times New Roman" w:hAnsi="Times New Roman" w:cs="Times New Roman"/>
          <w:sz w:val="24"/>
          <w:szCs w:val="24"/>
        </w:rPr>
        <w:t>ate to ensure that projects are</w:t>
      </w:r>
      <w:r w:rsidR="00F33933" w:rsidRPr="00F33933">
        <w:rPr>
          <w:rFonts w:ascii="Times New Roman" w:hAnsi="Times New Roman" w:cs="Times New Roman"/>
          <w:sz w:val="24"/>
          <w:szCs w:val="24"/>
        </w:rPr>
        <w:t xml:space="preserve"> delivered in accordance with the required standards and quality. </w:t>
      </w:r>
    </w:p>
    <w:p w14:paraId="1F9D1F40" w14:textId="77777777" w:rsidR="00EC0C18" w:rsidRDefault="00EC0C18" w:rsidP="00EC0C18">
      <w:pPr>
        <w:pStyle w:val="ListParagraph"/>
        <w:spacing w:after="0" w:line="360" w:lineRule="auto"/>
        <w:ind w:left="567"/>
        <w:jc w:val="both"/>
        <w:rPr>
          <w:rFonts w:ascii="Times New Roman" w:hAnsi="Times New Roman" w:cs="Times New Roman"/>
          <w:sz w:val="24"/>
          <w:szCs w:val="24"/>
        </w:rPr>
      </w:pPr>
    </w:p>
    <w:p w14:paraId="69C49657" w14:textId="71FF4F10" w:rsidR="000850EB" w:rsidRPr="00EC0C18" w:rsidRDefault="000850EB" w:rsidP="00EC0C18">
      <w:pPr>
        <w:pStyle w:val="ListParagraph"/>
        <w:numPr>
          <w:ilvl w:val="1"/>
          <w:numId w:val="38"/>
        </w:numPr>
        <w:spacing w:after="0" w:line="360" w:lineRule="auto"/>
        <w:ind w:left="567" w:hanging="567"/>
        <w:jc w:val="both"/>
        <w:rPr>
          <w:rFonts w:ascii="Times New Roman" w:hAnsi="Times New Roman" w:cs="Times New Roman"/>
          <w:sz w:val="24"/>
          <w:szCs w:val="24"/>
        </w:rPr>
      </w:pPr>
      <w:r w:rsidRPr="00EC0C18">
        <w:rPr>
          <w:rFonts w:ascii="Times New Roman" w:hAnsi="Times New Roman" w:cs="Times New Roman"/>
          <w:sz w:val="24"/>
          <w:szCs w:val="24"/>
        </w:rPr>
        <w:t>The Committee emphasises the need for balancing new infrastructure develop</w:t>
      </w:r>
      <w:r w:rsidR="005A203C">
        <w:rPr>
          <w:rFonts w:ascii="Times New Roman" w:hAnsi="Times New Roman" w:cs="Times New Roman"/>
          <w:sz w:val="24"/>
          <w:szCs w:val="24"/>
        </w:rPr>
        <w:t>ment with proper maintenance of</w:t>
      </w:r>
      <w:r w:rsidRPr="00EC0C18">
        <w:rPr>
          <w:rFonts w:ascii="Times New Roman" w:hAnsi="Times New Roman" w:cs="Times New Roman"/>
          <w:sz w:val="24"/>
          <w:szCs w:val="24"/>
        </w:rPr>
        <w:t xml:space="preserve"> existing assets. The Committee views infrastructure build programmes as integral in promoting economic growth and job creation, specifically, the utilisation of local content on projects as well as the transferring of skills to local communities for the maintenance of infrastructure.</w:t>
      </w:r>
      <w:r w:rsidR="00EC0C18" w:rsidRPr="00EC0C18">
        <w:rPr>
          <w:rFonts w:ascii="Times New Roman" w:hAnsi="Times New Roman" w:cs="Times New Roman"/>
          <w:sz w:val="24"/>
          <w:szCs w:val="24"/>
        </w:rPr>
        <w:t xml:space="preserve"> In relation to this, the Committee welcomes the report that the Department of Trade Industry will improve capacity of the South African Bureau of Standards to certify local content and simplify the verification process.</w:t>
      </w:r>
    </w:p>
    <w:p w14:paraId="35C87B5F" w14:textId="77777777" w:rsidR="000850EB" w:rsidRPr="002E40FC" w:rsidRDefault="000850EB" w:rsidP="000850EB">
      <w:pPr>
        <w:spacing w:after="0" w:line="360" w:lineRule="auto"/>
        <w:ind w:left="567" w:hanging="567"/>
        <w:jc w:val="both"/>
        <w:rPr>
          <w:rFonts w:ascii="Times New Roman" w:eastAsia="Times New Roman" w:hAnsi="Times New Roman" w:cs="Times New Roman"/>
          <w:color w:val="000000"/>
          <w:spacing w:val="6"/>
          <w:sz w:val="24"/>
          <w:szCs w:val="24"/>
          <w:lang w:eastAsia="en-GB"/>
        </w:rPr>
      </w:pPr>
    </w:p>
    <w:p w14:paraId="6731B756" w14:textId="77777777" w:rsidR="000850EB" w:rsidRPr="002E40FC" w:rsidRDefault="000850EB" w:rsidP="000850EB">
      <w:pPr>
        <w:spacing w:after="0" w:line="360" w:lineRule="auto"/>
        <w:ind w:left="567" w:hanging="567"/>
        <w:jc w:val="both"/>
        <w:rPr>
          <w:rFonts w:ascii="Times New Roman" w:eastAsia="Times New Roman" w:hAnsi="Times New Roman" w:cs="Times New Roman"/>
          <w:color w:val="000000"/>
          <w:spacing w:val="6"/>
          <w:sz w:val="24"/>
          <w:szCs w:val="24"/>
          <w:lang w:eastAsia="en-GB"/>
        </w:rPr>
      </w:pPr>
    </w:p>
    <w:p w14:paraId="7953578C" w14:textId="77777777" w:rsidR="000850EB" w:rsidRPr="002E40FC" w:rsidRDefault="000850EB" w:rsidP="000850EB">
      <w:pPr>
        <w:spacing w:after="0" w:line="360" w:lineRule="auto"/>
        <w:ind w:left="567" w:hanging="567"/>
        <w:jc w:val="both"/>
        <w:rPr>
          <w:rFonts w:ascii="Times New Roman" w:eastAsia="Times New Roman" w:hAnsi="Times New Roman" w:cs="Times New Roman"/>
          <w:b/>
          <w:spacing w:val="6"/>
          <w:sz w:val="24"/>
          <w:szCs w:val="24"/>
          <w:lang w:val="en-GB" w:eastAsia="en-GB"/>
        </w:rPr>
      </w:pPr>
    </w:p>
    <w:p w14:paraId="0D5298FD" w14:textId="77777777" w:rsidR="000850EB" w:rsidRPr="002E40FC" w:rsidRDefault="000850EB" w:rsidP="000850EB">
      <w:pPr>
        <w:spacing w:after="0" w:line="360" w:lineRule="auto"/>
        <w:ind w:left="720" w:hanging="720"/>
        <w:jc w:val="both"/>
        <w:rPr>
          <w:rFonts w:ascii="Times New Roman" w:eastAsia="Times New Roman" w:hAnsi="Times New Roman" w:cs="Times New Roman"/>
          <w:b/>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 xml:space="preserve">On developing a capable and effective public service: </w:t>
      </w:r>
    </w:p>
    <w:p w14:paraId="34C3D097" w14:textId="77777777" w:rsidR="000850EB" w:rsidRPr="002E40FC" w:rsidRDefault="000850EB" w:rsidP="000850EB">
      <w:pPr>
        <w:spacing w:after="0" w:line="360" w:lineRule="auto"/>
        <w:jc w:val="both"/>
        <w:rPr>
          <w:rFonts w:ascii="Times New Roman" w:eastAsia="Times New Roman" w:hAnsi="Times New Roman" w:cs="Times New Roman"/>
          <w:color w:val="000000"/>
          <w:spacing w:val="6"/>
          <w:sz w:val="24"/>
          <w:szCs w:val="24"/>
          <w:lang w:val="en-GB" w:eastAsia="en-GB"/>
        </w:rPr>
      </w:pPr>
    </w:p>
    <w:p w14:paraId="572610EA" w14:textId="77777777" w:rsidR="00B27AAE" w:rsidRPr="009C2746" w:rsidRDefault="00EE2E4D" w:rsidP="009C2746">
      <w:pPr>
        <w:pStyle w:val="ListParagraph"/>
        <w:numPr>
          <w:ilvl w:val="1"/>
          <w:numId w:val="38"/>
        </w:numPr>
        <w:spacing w:after="0" w:line="360" w:lineRule="auto"/>
        <w:ind w:left="567" w:hanging="567"/>
        <w:jc w:val="both"/>
        <w:rPr>
          <w:rFonts w:ascii="Times New Roman" w:hAnsi="Times New Roman" w:cs="Times New Roman"/>
          <w:sz w:val="24"/>
          <w:szCs w:val="24"/>
        </w:rPr>
      </w:pPr>
      <w:r w:rsidRPr="00EC0C18">
        <w:rPr>
          <w:rFonts w:ascii="Times New Roman" w:hAnsi="Times New Roman" w:cs="Times New Roman"/>
          <w:sz w:val="24"/>
          <w:szCs w:val="24"/>
        </w:rPr>
        <w:t xml:space="preserve">The Committee notes with concern the submission from the PSC that increases in the number and </w:t>
      </w:r>
      <w:r w:rsidR="00087E27" w:rsidRPr="00EC0C18">
        <w:rPr>
          <w:rFonts w:ascii="Times New Roman" w:hAnsi="Times New Roman" w:cs="Times New Roman"/>
          <w:sz w:val="24"/>
          <w:szCs w:val="24"/>
        </w:rPr>
        <w:t xml:space="preserve">costs related to the </w:t>
      </w:r>
      <w:r w:rsidRPr="00EC0C18">
        <w:rPr>
          <w:rFonts w:ascii="Times New Roman" w:hAnsi="Times New Roman" w:cs="Times New Roman"/>
          <w:sz w:val="24"/>
          <w:szCs w:val="24"/>
        </w:rPr>
        <w:t>use of consultants are especially within departments that have a key role to play in the Economic Stimulus and Recover Plan. Furthermore, the consultants were mostly used for governance related work such as project management and financial reviews.</w:t>
      </w:r>
      <w:r w:rsidR="00A56343">
        <w:rPr>
          <w:rFonts w:ascii="Times New Roman" w:hAnsi="Times New Roman" w:cs="Times New Roman"/>
          <w:sz w:val="24"/>
          <w:szCs w:val="24"/>
        </w:rPr>
        <w:t xml:space="preserve"> </w:t>
      </w:r>
      <w:r w:rsidR="00EC0C18" w:rsidRPr="00EC0C18">
        <w:rPr>
          <w:rFonts w:ascii="Times New Roman" w:hAnsi="Times New Roman" w:cs="Times New Roman"/>
          <w:sz w:val="24"/>
          <w:szCs w:val="24"/>
        </w:rPr>
        <w:t xml:space="preserve">The Committee views this as counter-productive </w:t>
      </w:r>
      <w:r w:rsidR="009B7D09">
        <w:rPr>
          <w:rFonts w:ascii="Times New Roman" w:hAnsi="Times New Roman" w:cs="Times New Roman"/>
          <w:sz w:val="24"/>
          <w:szCs w:val="24"/>
        </w:rPr>
        <w:t>in</w:t>
      </w:r>
      <w:r w:rsidR="00EC0C18" w:rsidRPr="00EC0C18">
        <w:rPr>
          <w:rFonts w:ascii="Times New Roman" w:hAnsi="Times New Roman" w:cs="Times New Roman"/>
          <w:sz w:val="24"/>
          <w:szCs w:val="24"/>
        </w:rPr>
        <w:t xml:space="preserve"> building a capable developmental stat</w:t>
      </w:r>
      <w:r w:rsidR="00A56343">
        <w:rPr>
          <w:rFonts w:ascii="Times New Roman" w:hAnsi="Times New Roman" w:cs="Times New Roman"/>
          <w:sz w:val="24"/>
          <w:szCs w:val="24"/>
        </w:rPr>
        <w:t>e.</w:t>
      </w:r>
    </w:p>
    <w:p w14:paraId="6A63B599" w14:textId="77777777" w:rsidR="00A56343" w:rsidRDefault="00A56343" w:rsidP="00A56343">
      <w:pPr>
        <w:pStyle w:val="ListParagraph"/>
        <w:spacing w:after="0" w:line="360" w:lineRule="auto"/>
        <w:ind w:left="567"/>
        <w:jc w:val="both"/>
        <w:rPr>
          <w:rFonts w:ascii="Times New Roman" w:hAnsi="Times New Roman" w:cs="Times New Roman"/>
          <w:sz w:val="24"/>
          <w:szCs w:val="24"/>
        </w:rPr>
      </w:pPr>
    </w:p>
    <w:p w14:paraId="0E3AB18F" w14:textId="6CCEDDF9" w:rsidR="00F45512" w:rsidRPr="00F45512" w:rsidRDefault="00A56343" w:rsidP="00F45512">
      <w:pPr>
        <w:pStyle w:val="ListParagraph"/>
        <w:numPr>
          <w:ilvl w:val="1"/>
          <w:numId w:val="3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Committee notes </w:t>
      </w:r>
      <w:r w:rsidRPr="00F45512">
        <w:rPr>
          <w:rFonts w:ascii="Times New Roman" w:hAnsi="Times New Roman" w:cs="Times New Roman"/>
          <w:sz w:val="24"/>
          <w:szCs w:val="24"/>
        </w:rPr>
        <w:t>that the escalating public sector wage bill is attributed to growth in earnings due to above–inflation cost of living adjustments as well as pay progression or notch increases. The HSRC analysis of growth in salaries in the public sector indicated that increases have pushed lower and middle management to top management salary levels.  The Committee also notes that although the publi</w:t>
      </w:r>
      <w:r w:rsidR="005A203C">
        <w:rPr>
          <w:rFonts w:ascii="Times New Roman" w:hAnsi="Times New Roman" w:cs="Times New Roman"/>
          <w:sz w:val="24"/>
          <w:szCs w:val="24"/>
        </w:rPr>
        <w:t>c sector wage bill is substantial</w:t>
      </w:r>
      <w:r w:rsidRPr="00F45512">
        <w:rPr>
          <w:rFonts w:ascii="Times New Roman" w:hAnsi="Times New Roman" w:cs="Times New Roman"/>
          <w:sz w:val="24"/>
          <w:szCs w:val="24"/>
        </w:rPr>
        <w:t>, there is still a need for more people in frontline service delivery departments such as health, education and social development.</w:t>
      </w:r>
      <w:r w:rsidR="00F45512" w:rsidRPr="00F45512">
        <w:rPr>
          <w:rFonts w:ascii="Times New Roman" w:hAnsi="Times New Roman" w:cs="Times New Roman"/>
          <w:sz w:val="24"/>
          <w:szCs w:val="24"/>
        </w:rPr>
        <w:t xml:space="preserve"> In this regard, t</w:t>
      </w:r>
      <w:r w:rsidRPr="00F45512">
        <w:rPr>
          <w:rFonts w:ascii="Times New Roman" w:hAnsi="Times New Roman" w:cs="Times New Roman"/>
          <w:sz w:val="24"/>
          <w:szCs w:val="24"/>
        </w:rPr>
        <w:t xml:space="preserve">he Committee welcomes PSC proposals for reducing the structural deficit in the public sector wage bill. These are: </w:t>
      </w:r>
    </w:p>
    <w:p w14:paraId="7CBA81E7" w14:textId="77777777" w:rsidR="00F45512" w:rsidRDefault="00F45512" w:rsidP="00F45512">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Ri</w:t>
      </w:r>
      <w:r w:rsidR="00A56343" w:rsidRPr="00F45512">
        <w:rPr>
          <w:rFonts w:ascii="Times New Roman" w:hAnsi="Times New Roman" w:cs="Times New Roman"/>
          <w:sz w:val="24"/>
          <w:szCs w:val="24"/>
        </w:rPr>
        <w:t xml:space="preserve">ght sizing of government through detailed work studies to make evidence based decisions; </w:t>
      </w:r>
    </w:p>
    <w:p w14:paraId="1A167BA6" w14:textId="77777777" w:rsidR="00F45512" w:rsidRDefault="00F45512" w:rsidP="00F45512">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A56343" w:rsidRPr="00F45512">
        <w:rPr>
          <w:rFonts w:ascii="Times New Roman" w:hAnsi="Times New Roman" w:cs="Times New Roman"/>
          <w:sz w:val="24"/>
          <w:szCs w:val="24"/>
        </w:rPr>
        <w:t xml:space="preserve">nsuring a gainfully employed workforce; </w:t>
      </w:r>
    </w:p>
    <w:p w14:paraId="6B92452D" w14:textId="6C90084C" w:rsidR="00F45512" w:rsidRDefault="00F45512" w:rsidP="00F45512">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A56343" w:rsidRPr="00F45512">
        <w:rPr>
          <w:rFonts w:ascii="Times New Roman" w:hAnsi="Times New Roman" w:cs="Times New Roman"/>
          <w:sz w:val="24"/>
          <w:szCs w:val="24"/>
        </w:rPr>
        <w:t>e</w:t>
      </w:r>
      <w:r w:rsidR="005F6917">
        <w:rPr>
          <w:rFonts w:ascii="Times New Roman" w:hAnsi="Times New Roman" w:cs="Times New Roman"/>
          <w:sz w:val="24"/>
          <w:szCs w:val="24"/>
        </w:rPr>
        <w:t>-</w:t>
      </w:r>
      <w:r w:rsidR="00A56343" w:rsidRPr="00F45512">
        <w:rPr>
          <w:rFonts w:ascii="Times New Roman" w:hAnsi="Times New Roman" w:cs="Times New Roman"/>
          <w:sz w:val="24"/>
          <w:szCs w:val="24"/>
        </w:rPr>
        <w:t xml:space="preserve">skilling and re-training of officials to do more; </w:t>
      </w:r>
      <w:r>
        <w:rPr>
          <w:rFonts w:ascii="Times New Roman" w:hAnsi="Times New Roman" w:cs="Times New Roman"/>
          <w:sz w:val="24"/>
          <w:szCs w:val="24"/>
        </w:rPr>
        <w:t>and</w:t>
      </w:r>
    </w:p>
    <w:p w14:paraId="6574C030" w14:textId="77777777" w:rsidR="00A56343" w:rsidRPr="00F45512" w:rsidRDefault="00F45512" w:rsidP="00F45512">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A56343" w:rsidRPr="00F45512">
        <w:rPr>
          <w:rFonts w:ascii="Times New Roman" w:hAnsi="Times New Roman" w:cs="Times New Roman"/>
          <w:sz w:val="24"/>
          <w:szCs w:val="24"/>
        </w:rPr>
        <w:t xml:space="preserve">uilding a workforce that is versatile, adaptive and flexible. </w:t>
      </w:r>
    </w:p>
    <w:p w14:paraId="4AFDE08E" w14:textId="77777777" w:rsidR="00F45512" w:rsidRPr="00F45512" w:rsidRDefault="00F45512" w:rsidP="00F45512">
      <w:pPr>
        <w:spacing w:after="0" w:line="360" w:lineRule="auto"/>
        <w:jc w:val="both"/>
        <w:rPr>
          <w:rFonts w:ascii="Times New Roman" w:hAnsi="Times New Roman" w:cs="Times New Roman"/>
          <w:sz w:val="24"/>
          <w:szCs w:val="24"/>
        </w:rPr>
      </w:pPr>
    </w:p>
    <w:p w14:paraId="089C8FBD" w14:textId="3FC2B194" w:rsidR="00A03232" w:rsidRPr="00F45512" w:rsidRDefault="009C2746" w:rsidP="00F45512">
      <w:pPr>
        <w:pStyle w:val="ListParagraph"/>
        <w:numPr>
          <w:ilvl w:val="1"/>
          <w:numId w:val="3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 relation </w:t>
      </w:r>
      <w:r w:rsidR="005A203C">
        <w:rPr>
          <w:rFonts w:ascii="Times New Roman" w:hAnsi="Times New Roman" w:cs="Times New Roman"/>
          <w:sz w:val="24"/>
          <w:szCs w:val="24"/>
        </w:rPr>
        <w:t>to 5.24</w:t>
      </w:r>
      <w:r w:rsidR="00F45512" w:rsidRPr="009101B8">
        <w:rPr>
          <w:rFonts w:ascii="Times New Roman" w:hAnsi="Times New Roman" w:cs="Times New Roman"/>
          <w:sz w:val="24"/>
          <w:szCs w:val="24"/>
        </w:rPr>
        <w:t xml:space="preserve"> above,</w:t>
      </w:r>
      <w:r w:rsidR="00F45512">
        <w:rPr>
          <w:rFonts w:ascii="Times New Roman" w:hAnsi="Times New Roman" w:cs="Times New Roman"/>
          <w:sz w:val="24"/>
          <w:szCs w:val="24"/>
        </w:rPr>
        <w:t xml:space="preserve"> the Committee views the strategic work underway to reconfigure and consolidate government departments as presenting an opportunity for addressing the structural deficit in the public wage bill especially by implementing the proposals of the PSC reflected above. </w:t>
      </w:r>
    </w:p>
    <w:p w14:paraId="79430B91" w14:textId="77777777" w:rsidR="00F45512" w:rsidRDefault="00F45512" w:rsidP="000850EB">
      <w:pPr>
        <w:spacing w:after="0" w:line="360" w:lineRule="auto"/>
        <w:jc w:val="both"/>
        <w:rPr>
          <w:rFonts w:ascii="Times New Roman" w:eastAsia="Times New Roman" w:hAnsi="Times New Roman" w:cs="Times New Roman"/>
          <w:b/>
          <w:sz w:val="24"/>
          <w:szCs w:val="24"/>
          <w:lang w:val="en-GB" w:eastAsia="en-GB"/>
        </w:rPr>
      </w:pPr>
    </w:p>
    <w:p w14:paraId="1C1FA593" w14:textId="3816CE00" w:rsidR="009C2746" w:rsidRPr="003703CC" w:rsidRDefault="009C2746" w:rsidP="003703CC">
      <w:pPr>
        <w:pStyle w:val="ListParagraph"/>
        <w:numPr>
          <w:ilvl w:val="1"/>
          <w:numId w:val="38"/>
        </w:num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B27AAE">
        <w:rPr>
          <w:rFonts w:ascii="Times New Roman" w:eastAsia="Times New Roman" w:hAnsi="Times New Roman" w:cs="Times New Roman"/>
          <w:spacing w:val="6"/>
          <w:sz w:val="24"/>
          <w:szCs w:val="24"/>
          <w:lang w:eastAsia="en-GB"/>
        </w:rPr>
        <w:t xml:space="preserve">The Committee </w:t>
      </w:r>
      <w:r>
        <w:rPr>
          <w:rFonts w:ascii="Times New Roman" w:eastAsia="Times New Roman" w:hAnsi="Times New Roman" w:cs="Times New Roman"/>
          <w:spacing w:val="6"/>
          <w:sz w:val="24"/>
          <w:szCs w:val="24"/>
          <w:lang w:eastAsia="en-GB"/>
        </w:rPr>
        <w:t>notes with concern that although the cost drivers of the escalating public sector wage bill include notch increases and performance bonuses, there are no gains in terms of public sector productivity and efficiency. Evidence for this r</w:t>
      </w:r>
      <w:r w:rsidR="005A203C">
        <w:rPr>
          <w:rFonts w:ascii="Times New Roman" w:eastAsia="Times New Roman" w:hAnsi="Times New Roman" w:cs="Times New Roman"/>
          <w:spacing w:val="6"/>
          <w:sz w:val="24"/>
          <w:szCs w:val="24"/>
          <w:lang w:eastAsia="en-GB"/>
        </w:rPr>
        <w:t xml:space="preserve">elates to non-attainment of Annual Performance Plan </w:t>
      </w:r>
      <w:r>
        <w:rPr>
          <w:rFonts w:ascii="Times New Roman" w:eastAsia="Times New Roman" w:hAnsi="Times New Roman" w:cs="Times New Roman"/>
          <w:spacing w:val="6"/>
          <w:sz w:val="24"/>
          <w:szCs w:val="24"/>
          <w:lang w:eastAsia="en-GB"/>
        </w:rPr>
        <w:t>targets, conti</w:t>
      </w:r>
      <w:r w:rsidR="00E80110">
        <w:rPr>
          <w:rFonts w:ascii="Times New Roman" w:eastAsia="Times New Roman" w:hAnsi="Times New Roman" w:cs="Times New Roman"/>
          <w:spacing w:val="6"/>
          <w:sz w:val="24"/>
          <w:szCs w:val="24"/>
          <w:lang w:eastAsia="en-GB"/>
        </w:rPr>
        <w:t>nued under spending on infrastructure</w:t>
      </w:r>
      <w:r>
        <w:rPr>
          <w:rFonts w:ascii="Times New Roman" w:eastAsia="Times New Roman" w:hAnsi="Times New Roman" w:cs="Times New Roman"/>
          <w:spacing w:val="6"/>
          <w:sz w:val="24"/>
          <w:szCs w:val="24"/>
          <w:lang w:eastAsia="en-GB"/>
        </w:rPr>
        <w:t xml:space="preserve"> programmes, and poor service delivery.  The Committee </w:t>
      </w:r>
      <w:r w:rsidRPr="00B27AAE">
        <w:rPr>
          <w:rFonts w:ascii="Times New Roman" w:eastAsia="Times New Roman" w:hAnsi="Times New Roman" w:cs="Times New Roman"/>
          <w:spacing w:val="6"/>
          <w:sz w:val="24"/>
          <w:szCs w:val="24"/>
          <w:lang w:eastAsia="en-GB"/>
        </w:rPr>
        <w:t xml:space="preserve">supports </w:t>
      </w:r>
      <w:r>
        <w:rPr>
          <w:rFonts w:ascii="Times New Roman" w:eastAsia="Times New Roman" w:hAnsi="Times New Roman" w:cs="Times New Roman"/>
          <w:spacing w:val="6"/>
          <w:sz w:val="24"/>
          <w:szCs w:val="24"/>
          <w:lang w:eastAsia="en-GB"/>
        </w:rPr>
        <w:t xml:space="preserve">the call by stakeholders for </w:t>
      </w:r>
      <w:r w:rsidR="00E80110">
        <w:rPr>
          <w:rFonts w:ascii="Times New Roman" w:eastAsia="Times New Roman" w:hAnsi="Times New Roman" w:cs="Times New Roman"/>
          <w:spacing w:val="6"/>
          <w:sz w:val="24"/>
          <w:szCs w:val="24"/>
          <w:lang w:eastAsia="en-GB"/>
        </w:rPr>
        <w:t xml:space="preserve">clear links between </w:t>
      </w:r>
      <w:r>
        <w:rPr>
          <w:rFonts w:ascii="Times New Roman" w:eastAsia="Times New Roman" w:hAnsi="Times New Roman" w:cs="Times New Roman"/>
          <w:spacing w:val="6"/>
          <w:sz w:val="24"/>
          <w:szCs w:val="24"/>
          <w:lang w:eastAsia="en-GB"/>
        </w:rPr>
        <w:t>institutional ou</w:t>
      </w:r>
      <w:r w:rsidR="00853817">
        <w:rPr>
          <w:rFonts w:ascii="Times New Roman" w:eastAsia="Times New Roman" w:hAnsi="Times New Roman" w:cs="Times New Roman"/>
          <w:spacing w:val="6"/>
          <w:sz w:val="24"/>
          <w:szCs w:val="24"/>
          <w:lang w:eastAsia="en-GB"/>
        </w:rPr>
        <w:t>t</w:t>
      </w:r>
      <w:r>
        <w:rPr>
          <w:rFonts w:ascii="Times New Roman" w:eastAsia="Times New Roman" w:hAnsi="Times New Roman" w:cs="Times New Roman"/>
          <w:spacing w:val="6"/>
          <w:sz w:val="24"/>
          <w:szCs w:val="24"/>
          <w:lang w:eastAsia="en-GB"/>
        </w:rPr>
        <w:t xml:space="preserve">puts </w:t>
      </w:r>
      <w:r w:rsidR="00E80110">
        <w:rPr>
          <w:rFonts w:ascii="Times New Roman" w:eastAsia="Times New Roman" w:hAnsi="Times New Roman" w:cs="Times New Roman"/>
          <w:spacing w:val="6"/>
          <w:sz w:val="24"/>
          <w:szCs w:val="24"/>
          <w:lang w:eastAsia="en-GB"/>
        </w:rPr>
        <w:t>and</w:t>
      </w:r>
      <w:r>
        <w:rPr>
          <w:rFonts w:ascii="Times New Roman" w:eastAsia="Times New Roman" w:hAnsi="Times New Roman" w:cs="Times New Roman"/>
          <w:spacing w:val="6"/>
          <w:sz w:val="24"/>
          <w:szCs w:val="24"/>
          <w:lang w:eastAsia="en-GB"/>
        </w:rPr>
        <w:t xml:space="preserve"> the performance </w:t>
      </w:r>
      <w:r w:rsidR="003703CC">
        <w:rPr>
          <w:rFonts w:ascii="Times New Roman" w:eastAsia="Times New Roman" w:hAnsi="Times New Roman" w:cs="Times New Roman"/>
          <w:spacing w:val="6"/>
          <w:sz w:val="24"/>
          <w:szCs w:val="24"/>
          <w:lang w:eastAsia="en-GB"/>
        </w:rPr>
        <w:t xml:space="preserve">management system as well as </w:t>
      </w:r>
      <w:r w:rsidR="003703CC" w:rsidRPr="003703CC">
        <w:rPr>
          <w:rFonts w:ascii="Times New Roman" w:hAnsi="Times New Roman" w:cs="Times New Roman"/>
          <w:sz w:val="24"/>
          <w:szCs w:val="24"/>
        </w:rPr>
        <w:t xml:space="preserve">linking the public sector wage bill to public sector productivity. </w:t>
      </w:r>
    </w:p>
    <w:p w14:paraId="051FC176" w14:textId="77777777" w:rsidR="009C2746" w:rsidRPr="00B27AAE" w:rsidRDefault="009C2746" w:rsidP="009C2746">
      <w:pPr>
        <w:pStyle w:val="ListParagraph"/>
        <w:tabs>
          <w:tab w:val="left" w:pos="567"/>
        </w:tabs>
        <w:spacing w:after="0" w:line="360" w:lineRule="auto"/>
        <w:ind w:left="567"/>
        <w:jc w:val="both"/>
        <w:rPr>
          <w:rFonts w:ascii="Times New Roman" w:eastAsia="Times New Roman" w:hAnsi="Times New Roman" w:cs="Times New Roman"/>
          <w:color w:val="000000"/>
          <w:spacing w:val="6"/>
          <w:sz w:val="24"/>
          <w:szCs w:val="24"/>
          <w:lang w:val="en-GB" w:eastAsia="en-GB"/>
        </w:rPr>
      </w:pPr>
    </w:p>
    <w:p w14:paraId="2E4D832A" w14:textId="77777777" w:rsidR="006871B5" w:rsidRDefault="000850EB" w:rsidP="006871B5">
      <w:pPr>
        <w:pStyle w:val="ListParagraph"/>
        <w:numPr>
          <w:ilvl w:val="0"/>
          <w:numId w:val="29"/>
        </w:numPr>
        <w:spacing w:after="0" w:line="360" w:lineRule="auto"/>
        <w:ind w:left="284" w:hanging="284"/>
        <w:jc w:val="both"/>
        <w:rPr>
          <w:rFonts w:ascii="Times New Roman" w:eastAsia="Times New Roman" w:hAnsi="Times New Roman" w:cs="Times New Roman"/>
          <w:b/>
          <w:sz w:val="24"/>
          <w:szCs w:val="24"/>
          <w:lang w:val="en-GB" w:eastAsia="en-GB"/>
        </w:rPr>
      </w:pPr>
      <w:r w:rsidRPr="008737A5">
        <w:rPr>
          <w:rFonts w:ascii="Times New Roman" w:eastAsia="Times New Roman" w:hAnsi="Times New Roman" w:cs="Times New Roman"/>
          <w:b/>
          <w:sz w:val="24"/>
          <w:szCs w:val="24"/>
          <w:lang w:val="en-GB" w:eastAsia="en-GB"/>
        </w:rPr>
        <w:t>Recommendations</w:t>
      </w:r>
    </w:p>
    <w:p w14:paraId="6EADBE0B" w14:textId="77777777" w:rsidR="006871B5" w:rsidRDefault="006871B5" w:rsidP="006871B5">
      <w:pPr>
        <w:spacing w:after="0" w:line="360" w:lineRule="auto"/>
        <w:jc w:val="both"/>
        <w:rPr>
          <w:rFonts w:ascii="Times New Roman" w:eastAsia="Times New Roman" w:hAnsi="Times New Roman" w:cs="Times New Roman"/>
          <w:sz w:val="24"/>
          <w:szCs w:val="24"/>
          <w:lang w:val="en-GB" w:eastAsia="en-GB"/>
        </w:rPr>
      </w:pPr>
    </w:p>
    <w:p w14:paraId="1A609965" w14:textId="77777777" w:rsidR="006871B5" w:rsidRPr="006871B5" w:rsidRDefault="006871B5" w:rsidP="006871B5">
      <w:pPr>
        <w:spacing w:after="0" w:line="360" w:lineRule="auto"/>
        <w:jc w:val="both"/>
        <w:rPr>
          <w:rFonts w:ascii="Times New Roman" w:eastAsia="Times New Roman" w:hAnsi="Times New Roman" w:cs="Times New Roman"/>
          <w:sz w:val="24"/>
          <w:szCs w:val="24"/>
          <w:lang w:val="en-GB" w:eastAsia="en-GB"/>
        </w:rPr>
      </w:pPr>
      <w:r w:rsidRPr="006871B5">
        <w:rPr>
          <w:rFonts w:ascii="Times New Roman" w:eastAsia="Times New Roman" w:hAnsi="Times New Roman" w:cs="Times New Roman"/>
          <w:sz w:val="24"/>
          <w:szCs w:val="24"/>
          <w:lang w:val="en-GB" w:eastAsia="en-GB"/>
        </w:rPr>
        <w:t xml:space="preserve">The Standing Committee on Appropriations having engaged with the above mentioned invited stakeholders and considered the written submissions on the 2018 Medium Term Budget Policy Statement, recommends the following: </w:t>
      </w:r>
    </w:p>
    <w:p w14:paraId="06E972AA" w14:textId="77777777" w:rsidR="006871B5" w:rsidRDefault="006871B5" w:rsidP="006871B5">
      <w:pPr>
        <w:pStyle w:val="ListParagraph"/>
        <w:spacing w:after="0" w:line="360" w:lineRule="auto"/>
        <w:ind w:left="284"/>
        <w:jc w:val="both"/>
        <w:rPr>
          <w:rFonts w:ascii="Times New Roman" w:eastAsia="Times New Roman" w:hAnsi="Times New Roman" w:cs="Times New Roman"/>
          <w:b/>
          <w:sz w:val="24"/>
          <w:szCs w:val="24"/>
          <w:lang w:val="en-GB" w:eastAsia="en-GB"/>
        </w:rPr>
      </w:pPr>
    </w:p>
    <w:p w14:paraId="44E0955C" w14:textId="0B06FE7C" w:rsidR="006871B5" w:rsidRPr="006871B5" w:rsidRDefault="006871B5" w:rsidP="006A5475">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sidRPr="006871B5">
        <w:rPr>
          <w:rFonts w:ascii="Times New Roman" w:eastAsia="Times New Roman" w:hAnsi="Times New Roman" w:cs="Times New Roman"/>
          <w:sz w:val="24"/>
          <w:szCs w:val="24"/>
          <w:lang w:val="en-GB" w:eastAsia="en-GB"/>
        </w:rPr>
        <w:t xml:space="preserve">That the Minister of Finance </w:t>
      </w:r>
      <w:r w:rsidR="005A203C">
        <w:rPr>
          <w:rFonts w:ascii="Times New Roman" w:eastAsia="Times New Roman" w:hAnsi="Times New Roman" w:cs="Times New Roman"/>
          <w:sz w:val="24"/>
          <w:szCs w:val="24"/>
          <w:lang w:val="en-GB" w:eastAsia="en-GB"/>
        </w:rPr>
        <w:t>should ensure</w:t>
      </w:r>
      <w:r w:rsidRPr="006871B5">
        <w:rPr>
          <w:rFonts w:ascii="Times New Roman" w:eastAsia="Times New Roman" w:hAnsi="Times New Roman" w:cs="Times New Roman"/>
          <w:sz w:val="24"/>
          <w:szCs w:val="24"/>
          <w:lang w:val="en-GB" w:eastAsia="en-GB"/>
        </w:rPr>
        <w:t xml:space="preserve"> the following: </w:t>
      </w:r>
    </w:p>
    <w:p w14:paraId="76CECDB3" w14:textId="58DA3413" w:rsidR="006871B5" w:rsidRPr="006871B5" w:rsidRDefault="006871B5" w:rsidP="006A5475">
      <w:pPr>
        <w:pStyle w:val="ListParagraph"/>
        <w:numPr>
          <w:ilvl w:val="2"/>
          <w:numId w:val="47"/>
        </w:numPr>
        <w:tabs>
          <w:tab w:val="left" w:pos="851"/>
        </w:tabs>
        <w:spacing w:after="0" w:line="360" w:lineRule="auto"/>
        <w:ind w:left="1134" w:hanging="567"/>
        <w:jc w:val="both"/>
        <w:rPr>
          <w:rFonts w:ascii="Times New Roman" w:eastAsia="Times New Roman" w:hAnsi="Times New Roman" w:cs="Times New Roman"/>
          <w:b/>
          <w:sz w:val="24"/>
          <w:szCs w:val="24"/>
          <w:lang w:val="en-GB" w:eastAsia="en-GB"/>
        </w:rPr>
      </w:pPr>
      <w:r w:rsidRPr="006871B5">
        <w:rPr>
          <w:rFonts w:ascii="Times New Roman" w:eastAsia="Times New Roman" w:hAnsi="Times New Roman" w:cs="Times New Roman"/>
          <w:sz w:val="24"/>
          <w:szCs w:val="24"/>
          <w:lang w:val="en-GB" w:eastAsia="en-GB"/>
        </w:rPr>
        <w:t xml:space="preserve">That National Treasury in consultation with </w:t>
      </w:r>
      <w:r w:rsidR="0025677D">
        <w:rPr>
          <w:rFonts w:ascii="Times New Roman" w:eastAsia="Times New Roman" w:hAnsi="Times New Roman" w:cs="Times New Roman"/>
          <w:sz w:val="24"/>
          <w:szCs w:val="24"/>
          <w:lang w:val="en-GB" w:eastAsia="en-GB"/>
        </w:rPr>
        <w:t>P</w:t>
      </w:r>
      <w:r w:rsidRPr="006871B5">
        <w:rPr>
          <w:rFonts w:ascii="Times New Roman" w:eastAsia="Times New Roman" w:hAnsi="Times New Roman" w:cs="Times New Roman"/>
          <w:sz w:val="24"/>
          <w:szCs w:val="24"/>
          <w:lang w:val="en-GB" w:eastAsia="en-GB"/>
        </w:rPr>
        <w:t xml:space="preserve">rovincial </w:t>
      </w:r>
      <w:r w:rsidR="0025677D">
        <w:rPr>
          <w:rFonts w:ascii="Times New Roman" w:eastAsia="Times New Roman" w:hAnsi="Times New Roman" w:cs="Times New Roman"/>
          <w:sz w:val="24"/>
          <w:szCs w:val="24"/>
          <w:lang w:val="en-GB" w:eastAsia="en-GB"/>
        </w:rPr>
        <w:t>T</w:t>
      </w:r>
      <w:r w:rsidRPr="006871B5">
        <w:rPr>
          <w:rFonts w:ascii="Times New Roman" w:eastAsia="Times New Roman" w:hAnsi="Times New Roman" w:cs="Times New Roman"/>
          <w:sz w:val="24"/>
          <w:szCs w:val="24"/>
          <w:lang w:val="en-GB" w:eastAsia="en-GB"/>
        </w:rPr>
        <w:t xml:space="preserve">reasuries and the relevant </w:t>
      </w:r>
      <w:r>
        <w:rPr>
          <w:rFonts w:ascii="Times New Roman" w:eastAsia="Times New Roman" w:hAnsi="Times New Roman" w:cs="Times New Roman"/>
          <w:sz w:val="24"/>
          <w:szCs w:val="24"/>
          <w:lang w:val="en-GB" w:eastAsia="en-GB"/>
        </w:rPr>
        <w:t>n</w:t>
      </w:r>
      <w:r w:rsidRPr="006871B5">
        <w:rPr>
          <w:rFonts w:ascii="Times New Roman" w:eastAsia="Times New Roman" w:hAnsi="Times New Roman" w:cs="Times New Roman"/>
          <w:sz w:val="24"/>
          <w:szCs w:val="24"/>
          <w:lang w:val="en-GB" w:eastAsia="en-GB"/>
        </w:rPr>
        <w:t xml:space="preserve">ational </w:t>
      </w:r>
      <w:r>
        <w:rPr>
          <w:rFonts w:ascii="Times New Roman" w:eastAsia="Times New Roman" w:hAnsi="Times New Roman" w:cs="Times New Roman"/>
          <w:sz w:val="24"/>
          <w:szCs w:val="24"/>
          <w:lang w:val="en-GB" w:eastAsia="en-GB"/>
        </w:rPr>
        <w:t>d</w:t>
      </w:r>
      <w:r w:rsidRPr="006871B5">
        <w:rPr>
          <w:rFonts w:ascii="Times New Roman" w:eastAsia="Times New Roman" w:hAnsi="Times New Roman" w:cs="Times New Roman"/>
          <w:sz w:val="24"/>
          <w:szCs w:val="24"/>
          <w:lang w:val="en-GB" w:eastAsia="en-GB"/>
        </w:rPr>
        <w:t>epartments assists provinci</w:t>
      </w:r>
      <w:r w:rsidR="005A203C">
        <w:rPr>
          <w:rFonts w:ascii="Times New Roman" w:eastAsia="Times New Roman" w:hAnsi="Times New Roman" w:cs="Times New Roman"/>
          <w:sz w:val="24"/>
          <w:szCs w:val="24"/>
          <w:lang w:val="en-GB" w:eastAsia="en-GB"/>
        </w:rPr>
        <w:t xml:space="preserve">al departments of health, </w:t>
      </w:r>
      <w:r w:rsidRPr="006871B5">
        <w:rPr>
          <w:rFonts w:ascii="Times New Roman" w:eastAsia="Times New Roman" w:hAnsi="Times New Roman" w:cs="Times New Roman"/>
          <w:sz w:val="24"/>
          <w:szCs w:val="24"/>
          <w:lang w:val="en-GB" w:eastAsia="en-GB"/>
        </w:rPr>
        <w:t>education and social development with th</w:t>
      </w:r>
      <w:r>
        <w:rPr>
          <w:rFonts w:ascii="Times New Roman" w:eastAsia="Times New Roman" w:hAnsi="Times New Roman" w:cs="Times New Roman"/>
          <w:sz w:val="24"/>
          <w:szCs w:val="24"/>
          <w:lang w:val="en-GB" w:eastAsia="en-GB"/>
        </w:rPr>
        <w:t xml:space="preserve">e development of funding plans </w:t>
      </w:r>
      <w:r w:rsidRPr="006871B5">
        <w:rPr>
          <w:rFonts w:ascii="Times New Roman" w:eastAsia="Times New Roman" w:hAnsi="Times New Roman" w:cs="Times New Roman"/>
          <w:sz w:val="24"/>
          <w:szCs w:val="24"/>
          <w:lang w:val="en-GB" w:eastAsia="en-GB"/>
        </w:rPr>
        <w:t>for filling of critical frontline posts to mitigate the diversion of resources from frontline services</w:t>
      </w:r>
      <w:r>
        <w:rPr>
          <w:rFonts w:ascii="Times New Roman" w:eastAsia="Times New Roman" w:hAnsi="Times New Roman" w:cs="Times New Roman"/>
          <w:sz w:val="24"/>
          <w:szCs w:val="24"/>
          <w:lang w:val="en-GB" w:eastAsia="en-GB"/>
        </w:rPr>
        <w:t xml:space="preserve"> </w:t>
      </w:r>
      <w:r w:rsidRPr="006871B5">
        <w:rPr>
          <w:rFonts w:ascii="Times New Roman" w:eastAsia="Times New Roman" w:hAnsi="Times New Roman" w:cs="Times New Roman"/>
          <w:sz w:val="24"/>
          <w:szCs w:val="24"/>
          <w:lang w:val="en-GB" w:eastAsia="en-GB"/>
        </w:rPr>
        <w:t>due to the pressure of the wage bill.</w:t>
      </w:r>
    </w:p>
    <w:p w14:paraId="76B63FB7" w14:textId="6C20D73E" w:rsidR="00863856" w:rsidRPr="006A5475" w:rsidRDefault="006871B5" w:rsidP="006A5475">
      <w:pPr>
        <w:pStyle w:val="ListParagraph"/>
        <w:numPr>
          <w:ilvl w:val="2"/>
          <w:numId w:val="47"/>
        </w:numPr>
        <w:tabs>
          <w:tab w:val="left" w:pos="851"/>
        </w:tabs>
        <w:spacing w:after="0" w:line="360" w:lineRule="auto"/>
        <w:ind w:left="1134" w:hanging="567"/>
        <w:jc w:val="both"/>
        <w:rPr>
          <w:rFonts w:ascii="Times New Roman" w:eastAsia="Times New Roman" w:hAnsi="Times New Roman" w:cs="Times New Roman"/>
          <w:sz w:val="24"/>
          <w:szCs w:val="24"/>
          <w:lang w:val="en-GB" w:eastAsia="en-GB"/>
        </w:rPr>
      </w:pPr>
      <w:r w:rsidRPr="006871B5">
        <w:rPr>
          <w:rFonts w:ascii="Times New Roman" w:eastAsia="Times New Roman" w:hAnsi="Times New Roman" w:cs="Times New Roman"/>
          <w:sz w:val="24"/>
          <w:szCs w:val="24"/>
          <w:lang w:val="en-GB" w:eastAsia="en-GB"/>
        </w:rPr>
        <w:t xml:space="preserve">That National Treasury in consultation with </w:t>
      </w:r>
      <w:r w:rsidR="0025677D">
        <w:rPr>
          <w:rFonts w:ascii="Times New Roman" w:eastAsia="Times New Roman" w:hAnsi="Times New Roman" w:cs="Times New Roman"/>
          <w:sz w:val="24"/>
          <w:szCs w:val="24"/>
          <w:lang w:val="en-GB" w:eastAsia="en-GB"/>
        </w:rPr>
        <w:t>P</w:t>
      </w:r>
      <w:r w:rsidRPr="006871B5">
        <w:rPr>
          <w:rFonts w:ascii="Times New Roman" w:eastAsia="Times New Roman" w:hAnsi="Times New Roman" w:cs="Times New Roman"/>
          <w:sz w:val="24"/>
          <w:szCs w:val="24"/>
          <w:lang w:val="en-GB" w:eastAsia="en-GB"/>
        </w:rPr>
        <w:t xml:space="preserve">rovincial </w:t>
      </w:r>
      <w:r w:rsidR="0025677D">
        <w:rPr>
          <w:rFonts w:ascii="Times New Roman" w:eastAsia="Times New Roman" w:hAnsi="Times New Roman" w:cs="Times New Roman"/>
          <w:sz w:val="24"/>
          <w:szCs w:val="24"/>
          <w:lang w:val="en-GB" w:eastAsia="en-GB"/>
        </w:rPr>
        <w:t>T</w:t>
      </w:r>
      <w:r w:rsidRPr="006871B5">
        <w:rPr>
          <w:rFonts w:ascii="Times New Roman" w:eastAsia="Times New Roman" w:hAnsi="Times New Roman" w:cs="Times New Roman"/>
          <w:sz w:val="24"/>
          <w:szCs w:val="24"/>
          <w:lang w:val="en-GB" w:eastAsia="en-GB"/>
        </w:rPr>
        <w:t xml:space="preserve">reasuries and the National Department of Health assists provincial departments of health with the development of medium-term plans for the gradual elimination of unpaid bills and accruals.  </w:t>
      </w:r>
    </w:p>
    <w:p w14:paraId="48B73AB4" w14:textId="14325D6D" w:rsidR="00863856" w:rsidRPr="00863856" w:rsidRDefault="00863856" w:rsidP="006A5475">
      <w:pPr>
        <w:pStyle w:val="ListParagraph"/>
        <w:numPr>
          <w:ilvl w:val="2"/>
          <w:numId w:val="47"/>
        </w:numPr>
        <w:tabs>
          <w:tab w:val="left" w:pos="851"/>
        </w:tabs>
        <w:spacing w:after="0" w:line="360" w:lineRule="auto"/>
        <w:ind w:left="1134" w:hanging="567"/>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sz w:val="24"/>
          <w:szCs w:val="24"/>
          <w:lang w:val="en-GB" w:eastAsia="en-GB"/>
        </w:rPr>
        <w:t xml:space="preserve">That National Treasury in consultation with relevant stakeholders investigates the possibility for government to </w:t>
      </w:r>
      <w:r w:rsidRPr="006A5475">
        <w:rPr>
          <w:rFonts w:ascii="Times New Roman" w:eastAsia="Times New Roman" w:hAnsi="Times New Roman" w:cs="Times New Roman"/>
          <w:sz w:val="24"/>
          <w:szCs w:val="24"/>
          <w:lang w:val="en-GB" w:eastAsia="en-GB"/>
        </w:rPr>
        <w:t>invest in an infrastructure delivery inspectorate to</w:t>
      </w:r>
      <w:r w:rsidRPr="00863856">
        <w:rPr>
          <w:rFonts w:ascii="Times New Roman" w:hAnsi="Times New Roman" w:cs="Times New Roman"/>
          <w:sz w:val="24"/>
          <w:szCs w:val="24"/>
        </w:rPr>
        <w:t xml:space="preserve"> ensure that </w:t>
      </w:r>
      <w:r>
        <w:rPr>
          <w:rFonts w:ascii="Times New Roman" w:hAnsi="Times New Roman" w:cs="Times New Roman"/>
          <w:sz w:val="24"/>
          <w:szCs w:val="24"/>
        </w:rPr>
        <w:t xml:space="preserve">infrastructure </w:t>
      </w:r>
      <w:r w:rsidR="005A203C">
        <w:rPr>
          <w:rFonts w:ascii="Times New Roman" w:hAnsi="Times New Roman" w:cs="Times New Roman"/>
          <w:sz w:val="24"/>
          <w:szCs w:val="24"/>
        </w:rPr>
        <w:t>projects are</w:t>
      </w:r>
      <w:r w:rsidR="006A5475">
        <w:rPr>
          <w:rFonts w:ascii="Times New Roman" w:hAnsi="Times New Roman" w:cs="Times New Roman"/>
          <w:sz w:val="24"/>
          <w:szCs w:val="24"/>
        </w:rPr>
        <w:t xml:space="preserve"> </w:t>
      </w:r>
      <w:r w:rsidRPr="00863856">
        <w:rPr>
          <w:rFonts w:ascii="Times New Roman" w:hAnsi="Times New Roman" w:cs="Times New Roman"/>
          <w:sz w:val="24"/>
          <w:szCs w:val="24"/>
        </w:rPr>
        <w:t xml:space="preserve">delivered in accordance with the required standards and quality. </w:t>
      </w:r>
    </w:p>
    <w:p w14:paraId="3853E288" w14:textId="77777777" w:rsidR="000850EB" w:rsidRPr="008737A5" w:rsidRDefault="000850EB" w:rsidP="000850EB">
      <w:pPr>
        <w:spacing w:after="0" w:line="360" w:lineRule="auto"/>
        <w:jc w:val="both"/>
        <w:rPr>
          <w:rFonts w:ascii="Times New Roman" w:eastAsia="Times New Roman" w:hAnsi="Times New Roman" w:cs="Times New Roman"/>
          <w:b/>
          <w:sz w:val="24"/>
          <w:szCs w:val="24"/>
          <w:lang w:val="en-GB" w:eastAsia="en-GB"/>
        </w:rPr>
      </w:pPr>
    </w:p>
    <w:p w14:paraId="05265EC4" w14:textId="4C1C92F2" w:rsidR="006871B5" w:rsidRDefault="006871B5" w:rsidP="00936BA1">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sidRPr="006871B5">
        <w:rPr>
          <w:rFonts w:ascii="Times New Roman" w:eastAsia="Times New Roman" w:hAnsi="Times New Roman" w:cs="Times New Roman"/>
          <w:sz w:val="24"/>
          <w:szCs w:val="24"/>
          <w:lang w:val="en-GB" w:eastAsia="en-GB"/>
        </w:rPr>
        <w:t xml:space="preserve">That the Minister of Cooperative and Governance </w:t>
      </w:r>
      <w:r w:rsidR="005A203C">
        <w:rPr>
          <w:rFonts w:ascii="Times New Roman" w:eastAsia="Times New Roman" w:hAnsi="Times New Roman" w:cs="Times New Roman"/>
          <w:sz w:val="24"/>
          <w:szCs w:val="24"/>
          <w:lang w:val="en-GB" w:eastAsia="en-GB"/>
        </w:rPr>
        <w:t xml:space="preserve">should </w:t>
      </w:r>
      <w:r w:rsidRPr="006871B5">
        <w:rPr>
          <w:rFonts w:ascii="Times New Roman" w:eastAsia="Times New Roman" w:hAnsi="Times New Roman" w:cs="Times New Roman"/>
          <w:sz w:val="24"/>
          <w:szCs w:val="24"/>
          <w:lang w:val="en-GB" w:eastAsia="en-GB"/>
        </w:rPr>
        <w:t>ensure the following:</w:t>
      </w:r>
    </w:p>
    <w:p w14:paraId="2C0E3323" w14:textId="77777777" w:rsidR="006871B5" w:rsidRPr="006871B5" w:rsidRDefault="006871B5" w:rsidP="00936BA1">
      <w:pPr>
        <w:pStyle w:val="ListParagraph"/>
        <w:numPr>
          <w:ilvl w:val="2"/>
          <w:numId w:val="47"/>
        </w:numPr>
        <w:spacing w:after="0" w:line="360" w:lineRule="auto"/>
        <w:ind w:left="1134" w:hanging="567"/>
        <w:jc w:val="both"/>
        <w:rPr>
          <w:rFonts w:ascii="Times New Roman" w:eastAsia="Times New Roman" w:hAnsi="Times New Roman" w:cs="Times New Roman"/>
          <w:sz w:val="24"/>
          <w:szCs w:val="24"/>
          <w:lang w:val="en-GB" w:eastAsia="en-GB"/>
        </w:rPr>
      </w:pPr>
      <w:r w:rsidRPr="006871B5">
        <w:rPr>
          <w:rFonts w:ascii="Times New Roman" w:hAnsi="Times New Roman" w:cs="Times New Roman"/>
          <w:sz w:val="24"/>
          <w:szCs w:val="24"/>
        </w:rPr>
        <w:t xml:space="preserve">That Department of Cooperative and Governance in consultation with National Treasury and </w:t>
      </w:r>
      <w:r w:rsidRPr="006871B5">
        <w:rPr>
          <w:rFonts w:ascii="Times New Roman" w:eastAsia="Calibri" w:hAnsi="Times New Roman" w:cs="Times New Roman"/>
          <w:sz w:val="24"/>
          <w:szCs w:val="24"/>
        </w:rPr>
        <w:t>the South African Association of Local Government conduct a skills and capacity audit in order to understand the capacity realities and support requirements of entry-level, mid-level and senior-level municipal officials to inform training and capacity building interventions.</w:t>
      </w:r>
    </w:p>
    <w:p w14:paraId="3C4EE795" w14:textId="2A942F5E" w:rsidR="004A618B" w:rsidRPr="005A203C" w:rsidRDefault="006871B5" w:rsidP="005A203C">
      <w:pPr>
        <w:pStyle w:val="ListParagraph"/>
        <w:numPr>
          <w:ilvl w:val="2"/>
          <w:numId w:val="47"/>
        </w:numPr>
        <w:spacing w:after="0" w:line="360" w:lineRule="auto"/>
        <w:ind w:left="1134" w:hanging="567"/>
        <w:jc w:val="both"/>
        <w:rPr>
          <w:rFonts w:ascii="Times New Roman" w:hAnsi="Times New Roman" w:cs="Times New Roman"/>
          <w:sz w:val="24"/>
          <w:szCs w:val="24"/>
        </w:rPr>
      </w:pPr>
      <w:r w:rsidRPr="00936BA1">
        <w:rPr>
          <w:rFonts w:ascii="Times New Roman" w:hAnsi="Times New Roman" w:cs="Times New Roman"/>
          <w:sz w:val="24"/>
          <w:szCs w:val="24"/>
        </w:rPr>
        <w:t>That the Department of Cooperative and Governance in consultation with the South African Association of Local Government consider the development of a Consequence Management Framework focusing on individual and institutional performance for local government</w:t>
      </w:r>
      <w:r w:rsidR="00083DAB">
        <w:rPr>
          <w:rFonts w:ascii="Times New Roman" w:hAnsi="Times New Roman" w:cs="Times New Roman"/>
          <w:sz w:val="24"/>
          <w:szCs w:val="24"/>
        </w:rPr>
        <w:t>.</w:t>
      </w:r>
      <w:r w:rsidRPr="00936BA1">
        <w:rPr>
          <w:rFonts w:ascii="Times New Roman" w:hAnsi="Times New Roman" w:cs="Times New Roman"/>
          <w:sz w:val="24"/>
          <w:szCs w:val="24"/>
        </w:rPr>
        <w:t xml:space="preserve"> </w:t>
      </w:r>
    </w:p>
    <w:p w14:paraId="3A1717FF" w14:textId="77777777" w:rsidR="000850EB" w:rsidRPr="008737A5" w:rsidRDefault="000850EB" w:rsidP="000850EB">
      <w:pPr>
        <w:numPr>
          <w:ilvl w:val="0"/>
          <w:numId w:val="2"/>
        </w:numPr>
        <w:spacing w:after="0" w:line="360" w:lineRule="auto"/>
        <w:ind w:firstLine="0"/>
        <w:jc w:val="both"/>
        <w:rPr>
          <w:rFonts w:ascii="Times New Roman" w:eastAsia="Calibri" w:hAnsi="Times New Roman" w:cs="Times New Roman"/>
          <w:vanish/>
          <w:sz w:val="24"/>
          <w:szCs w:val="24"/>
        </w:rPr>
      </w:pPr>
    </w:p>
    <w:p w14:paraId="23005573" w14:textId="77777777" w:rsidR="000850EB" w:rsidRPr="008737A5" w:rsidRDefault="000850EB" w:rsidP="000850EB">
      <w:pPr>
        <w:numPr>
          <w:ilvl w:val="0"/>
          <w:numId w:val="2"/>
        </w:numPr>
        <w:spacing w:after="0" w:line="360" w:lineRule="auto"/>
        <w:ind w:firstLine="0"/>
        <w:jc w:val="both"/>
        <w:rPr>
          <w:rFonts w:ascii="Times New Roman" w:eastAsia="Calibri" w:hAnsi="Times New Roman" w:cs="Times New Roman"/>
          <w:vanish/>
          <w:sz w:val="24"/>
          <w:szCs w:val="24"/>
        </w:rPr>
      </w:pPr>
    </w:p>
    <w:p w14:paraId="5EDADF03" w14:textId="77777777" w:rsidR="000850EB" w:rsidRPr="008737A5" w:rsidRDefault="000850EB" w:rsidP="000850EB">
      <w:pPr>
        <w:numPr>
          <w:ilvl w:val="0"/>
          <w:numId w:val="2"/>
        </w:numPr>
        <w:spacing w:after="0" w:line="360" w:lineRule="auto"/>
        <w:ind w:firstLine="0"/>
        <w:jc w:val="both"/>
        <w:rPr>
          <w:rFonts w:ascii="Times New Roman" w:eastAsia="Calibri" w:hAnsi="Times New Roman" w:cs="Times New Roman"/>
          <w:vanish/>
          <w:sz w:val="24"/>
          <w:szCs w:val="24"/>
        </w:rPr>
      </w:pPr>
    </w:p>
    <w:p w14:paraId="0DAA65D0" w14:textId="77777777" w:rsidR="000850EB" w:rsidRPr="008737A5" w:rsidRDefault="000850EB" w:rsidP="000850EB">
      <w:pPr>
        <w:numPr>
          <w:ilvl w:val="1"/>
          <w:numId w:val="2"/>
        </w:numPr>
        <w:spacing w:after="0" w:line="360" w:lineRule="auto"/>
        <w:ind w:firstLine="0"/>
        <w:jc w:val="both"/>
        <w:rPr>
          <w:rFonts w:ascii="Times New Roman" w:eastAsia="Calibri" w:hAnsi="Times New Roman" w:cs="Times New Roman"/>
          <w:vanish/>
          <w:sz w:val="24"/>
          <w:szCs w:val="24"/>
        </w:rPr>
      </w:pPr>
    </w:p>
    <w:p w14:paraId="5E72CCD0" w14:textId="3C62A481" w:rsidR="00AA707C" w:rsidRDefault="00AA707C" w:rsidP="00B272EB">
      <w:pPr>
        <w:spacing w:after="0" w:line="360" w:lineRule="auto"/>
        <w:jc w:val="both"/>
        <w:rPr>
          <w:rFonts w:ascii="Times New Roman" w:eastAsia="Times New Roman" w:hAnsi="Times New Roman" w:cs="Times New Roman"/>
          <w:sz w:val="24"/>
          <w:szCs w:val="24"/>
          <w:lang w:val="en-GB" w:eastAsia="en-GB"/>
        </w:rPr>
      </w:pPr>
    </w:p>
    <w:p w14:paraId="75283674" w14:textId="49904045" w:rsidR="00FB1841" w:rsidRPr="00FB1841" w:rsidRDefault="00FB1841" w:rsidP="00083DAB">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sidRPr="00FB1841">
        <w:rPr>
          <w:rFonts w:ascii="Times New Roman" w:eastAsia="Times New Roman" w:hAnsi="Times New Roman" w:cs="Times New Roman"/>
          <w:sz w:val="24"/>
          <w:szCs w:val="24"/>
          <w:lang w:val="en-GB" w:eastAsia="en-GB"/>
        </w:rPr>
        <w:t>That the Minister of Higher Education and Training ensures that the Department of Higher Education and Training</w:t>
      </w:r>
      <w:r w:rsidR="006A5475">
        <w:rPr>
          <w:rFonts w:ascii="Times New Roman" w:eastAsia="Times New Roman" w:hAnsi="Times New Roman" w:cs="Times New Roman"/>
          <w:sz w:val="24"/>
          <w:szCs w:val="24"/>
          <w:lang w:val="en-GB" w:eastAsia="en-GB"/>
        </w:rPr>
        <w:t xml:space="preserve"> in consultation with the relevant stakeholders</w:t>
      </w:r>
      <w:r w:rsidR="005A203C">
        <w:rPr>
          <w:rFonts w:ascii="Times New Roman" w:eastAsia="Times New Roman" w:hAnsi="Times New Roman" w:cs="Times New Roman"/>
          <w:sz w:val="24"/>
          <w:szCs w:val="24"/>
          <w:lang w:val="en-GB" w:eastAsia="en-GB"/>
        </w:rPr>
        <w:t xml:space="preserve"> develops a plan including </w:t>
      </w:r>
      <w:r w:rsidRPr="00FB1841">
        <w:rPr>
          <w:rFonts w:ascii="Times New Roman" w:eastAsia="Times New Roman" w:hAnsi="Times New Roman" w:cs="Times New Roman"/>
          <w:sz w:val="24"/>
          <w:szCs w:val="24"/>
          <w:lang w:val="en-GB" w:eastAsia="en-GB"/>
        </w:rPr>
        <w:t xml:space="preserve">guidelines </w:t>
      </w:r>
      <w:r w:rsidRPr="00083DAB">
        <w:rPr>
          <w:rFonts w:ascii="Times New Roman" w:eastAsia="Times New Roman" w:hAnsi="Times New Roman" w:cs="Times New Roman"/>
          <w:sz w:val="24"/>
          <w:szCs w:val="24"/>
          <w:lang w:val="en-GB" w:eastAsia="en-GB"/>
        </w:rPr>
        <w:t>for implementing the comprehensive fee-free higher education policy both to address uncertainty in the institutions of higher learning</w:t>
      </w:r>
      <w:r w:rsidR="002F3502">
        <w:rPr>
          <w:rFonts w:ascii="Times New Roman" w:eastAsia="Times New Roman" w:hAnsi="Times New Roman" w:cs="Times New Roman"/>
          <w:sz w:val="24"/>
          <w:szCs w:val="24"/>
          <w:lang w:val="en-GB" w:eastAsia="en-GB"/>
        </w:rPr>
        <w:t xml:space="preserve">, </w:t>
      </w:r>
      <w:r w:rsidR="00DF5A09">
        <w:rPr>
          <w:rFonts w:ascii="Times New Roman" w:eastAsia="Times New Roman" w:hAnsi="Times New Roman" w:cs="Times New Roman"/>
          <w:sz w:val="24"/>
          <w:szCs w:val="24"/>
          <w:lang w:val="en-GB" w:eastAsia="en-GB"/>
        </w:rPr>
        <w:t>the National Student</w:t>
      </w:r>
      <w:r w:rsidR="00DC2F41">
        <w:rPr>
          <w:rFonts w:ascii="Times New Roman" w:eastAsia="Times New Roman" w:hAnsi="Times New Roman" w:cs="Times New Roman"/>
          <w:sz w:val="24"/>
          <w:szCs w:val="24"/>
          <w:lang w:val="en-GB" w:eastAsia="en-GB"/>
        </w:rPr>
        <w:t xml:space="preserve"> Financial Aid Scheme </w:t>
      </w:r>
      <w:r w:rsidRPr="00083DAB">
        <w:rPr>
          <w:rFonts w:ascii="Times New Roman" w:eastAsia="Times New Roman" w:hAnsi="Times New Roman" w:cs="Times New Roman"/>
          <w:sz w:val="24"/>
          <w:szCs w:val="24"/>
          <w:lang w:val="en-GB" w:eastAsia="en-GB"/>
        </w:rPr>
        <w:t xml:space="preserve"> and to ensure efficient and effective utilisation of</w:t>
      </w:r>
      <w:r w:rsidR="006A5475" w:rsidRPr="00083DAB">
        <w:rPr>
          <w:rFonts w:ascii="Times New Roman" w:eastAsia="Times New Roman" w:hAnsi="Times New Roman" w:cs="Times New Roman"/>
          <w:sz w:val="24"/>
          <w:szCs w:val="24"/>
          <w:lang w:val="en-GB" w:eastAsia="en-GB"/>
        </w:rPr>
        <w:t xml:space="preserve"> the allocated </w:t>
      </w:r>
      <w:r w:rsidRPr="00083DAB">
        <w:rPr>
          <w:rFonts w:ascii="Times New Roman" w:eastAsia="Times New Roman" w:hAnsi="Times New Roman" w:cs="Times New Roman"/>
          <w:sz w:val="24"/>
          <w:szCs w:val="24"/>
          <w:lang w:val="en-GB" w:eastAsia="en-GB"/>
        </w:rPr>
        <w:t>resources.</w:t>
      </w:r>
    </w:p>
    <w:p w14:paraId="22BDF9C0" w14:textId="77777777" w:rsidR="00FB1841" w:rsidRDefault="00FB1841" w:rsidP="00083DAB">
      <w:pPr>
        <w:pStyle w:val="ListParagraph"/>
        <w:spacing w:after="0" w:line="360" w:lineRule="auto"/>
        <w:ind w:left="567"/>
        <w:jc w:val="both"/>
        <w:rPr>
          <w:rFonts w:ascii="Times New Roman" w:eastAsia="Times New Roman" w:hAnsi="Times New Roman" w:cs="Times New Roman"/>
          <w:sz w:val="24"/>
          <w:szCs w:val="24"/>
          <w:lang w:val="en-GB" w:eastAsia="en-GB"/>
        </w:rPr>
      </w:pPr>
    </w:p>
    <w:p w14:paraId="6D230D18" w14:textId="77777777" w:rsidR="00083DAB" w:rsidRPr="00083DAB" w:rsidRDefault="00535831" w:rsidP="00083DAB">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sidRPr="003D5FD3">
        <w:rPr>
          <w:rFonts w:ascii="Times New Roman" w:eastAsia="Times New Roman" w:hAnsi="Times New Roman" w:cs="Times New Roman"/>
          <w:sz w:val="24"/>
          <w:szCs w:val="24"/>
          <w:lang w:val="en-GB" w:eastAsia="en-GB"/>
        </w:rPr>
        <w:t xml:space="preserve">That the Minister of Social Development should ensure the following: </w:t>
      </w:r>
    </w:p>
    <w:p w14:paraId="74BA4375" w14:textId="77777777" w:rsidR="00083DAB" w:rsidRPr="00083DAB" w:rsidRDefault="00535831" w:rsidP="00083DAB">
      <w:pPr>
        <w:pStyle w:val="ListParagraph"/>
        <w:numPr>
          <w:ilvl w:val="2"/>
          <w:numId w:val="47"/>
        </w:numPr>
        <w:tabs>
          <w:tab w:val="left" w:pos="1134"/>
        </w:tabs>
        <w:spacing w:after="0" w:line="360" w:lineRule="auto"/>
        <w:ind w:left="1134" w:hanging="567"/>
        <w:jc w:val="both"/>
        <w:rPr>
          <w:rFonts w:ascii="Times New Roman" w:eastAsia="Times New Roman" w:hAnsi="Times New Roman" w:cs="Times New Roman"/>
          <w:sz w:val="24"/>
          <w:szCs w:val="24"/>
          <w:lang w:val="en-GB" w:eastAsia="en-GB"/>
        </w:rPr>
      </w:pPr>
      <w:r w:rsidRPr="00083DAB">
        <w:rPr>
          <w:rFonts w:ascii="Times New Roman" w:hAnsi="Times New Roman"/>
          <w:sz w:val="24"/>
          <w:szCs w:val="24"/>
        </w:rPr>
        <w:t xml:space="preserve">That the Department of Social Development </w:t>
      </w:r>
      <w:r w:rsidR="000A3DA8" w:rsidRPr="00083DAB">
        <w:rPr>
          <w:rFonts w:ascii="Times New Roman" w:hAnsi="Times New Roman"/>
          <w:sz w:val="24"/>
          <w:szCs w:val="24"/>
        </w:rPr>
        <w:t xml:space="preserve">submits a detailed report </w:t>
      </w:r>
      <w:r w:rsidR="00F7169E" w:rsidRPr="00083DAB">
        <w:rPr>
          <w:rFonts w:ascii="Times New Roman" w:hAnsi="Times New Roman"/>
          <w:sz w:val="24"/>
          <w:szCs w:val="24"/>
        </w:rPr>
        <w:t xml:space="preserve">to the Committee </w:t>
      </w:r>
      <w:r w:rsidR="000A3DA8" w:rsidRPr="00083DAB">
        <w:rPr>
          <w:rFonts w:ascii="Times New Roman" w:hAnsi="Times New Roman"/>
          <w:sz w:val="24"/>
          <w:szCs w:val="24"/>
        </w:rPr>
        <w:t xml:space="preserve">on its assessments regarding administrative </w:t>
      </w:r>
      <w:r w:rsidR="00083DAB">
        <w:rPr>
          <w:rFonts w:ascii="Times New Roman" w:hAnsi="Times New Roman"/>
          <w:sz w:val="24"/>
          <w:szCs w:val="24"/>
        </w:rPr>
        <w:t xml:space="preserve">efficiencies </w:t>
      </w:r>
      <w:r w:rsidR="000A3DA8" w:rsidRPr="00083DAB">
        <w:rPr>
          <w:rFonts w:ascii="Times New Roman" w:hAnsi="Times New Roman"/>
          <w:sz w:val="24"/>
          <w:szCs w:val="24"/>
        </w:rPr>
        <w:t xml:space="preserve">which have resulted in lower than expected demand for the Child Support Grant.  </w:t>
      </w:r>
    </w:p>
    <w:p w14:paraId="229E0617" w14:textId="0F66E4D4" w:rsidR="00F7169E" w:rsidRPr="004B2C1D" w:rsidRDefault="004E4BB1" w:rsidP="004B2C1D">
      <w:pPr>
        <w:pStyle w:val="ListParagraph"/>
        <w:numPr>
          <w:ilvl w:val="2"/>
          <w:numId w:val="47"/>
        </w:numPr>
        <w:tabs>
          <w:tab w:val="left" w:pos="1134"/>
        </w:tabs>
        <w:spacing w:after="0" w:line="360" w:lineRule="auto"/>
        <w:ind w:left="1134" w:hanging="567"/>
        <w:jc w:val="both"/>
        <w:rPr>
          <w:rFonts w:ascii="Times New Roman" w:eastAsia="Times New Roman" w:hAnsi="Times New Roman" w:cs="Times New Roman"/>
          <w:sz w:val="24"/>
          <w:szCs w:val="24"/>
          <w:lang w:val="en-GB" w:eastAsia="en-GB"/>
        </w:rPr>
      </w:pPr>
      <w:r w:rsidRPr="00083DAB">
        <w:rPr>
          <w:rFonts w:ascii="Times New Roman" w:hAnsi="Times New Roman"/>
          <w:sz w:val="24"/>
          <w:szCs w:val="24"/>
        </w:rPr>
        <w:t xml:space="preserve">That the report referred to </w:t>
      </w:r>
      <w:r w:rsidR="004B2C1D">
        <w:rPr>
          <w:rFonts w:ascii="Times New Roman" w:hAnsi="Times New Roman"/>
          <w:sz w:val="24"/>
          <w:szCs w:val="24"/>
        </w:rPr>
        <w:t xml:space="preserve">in 6.4.1 </w:t>
      </w:r>
      <w:r w:rsidRPr="00083DAB">
        <w:rPr>
          <w:rFonts w:ascii="Times New Roman" w:hAnsi="Times New Roman"/>
          <w:sz w:val="24"/>
          <w:szCs w:val="24"/>
        </w:rPr>
        <w:t xml:space="preserve">above should detail how the identification and registration of potential </w:t>
      </w:r>
      <w:r w:rsidR="004B2C1D" w:rsidRPr="00083DAB">
        <w:rPr>
          <w:rFonts w:ascii="Times New Roman" w:hAnsi="Times New Roman"/>
          <w:sz w:val="24"/>
          <w:szCs w:val="24"/>
        </w:rPr>
        <w:t>beneficiaries’</w:t>
      </w:r>
      <w:r w:rsidRPr="00083DAB">
        <w:rPr>
          <w:rFonts w:ascii="Times New Roman" w:hAnsi="Times New Roman"/>
          <w:sz w:val="24"/>
          <w:szCs w:val="24"/>
        </w:rPr>
        <w:t xml:space="preserve"> progress against set targets.  </w:t>
      </w:r>
    </w:p>
    <w:p w14:paraId="235C71BB" w14:textId="224A291D" w:rsidR="00AA707C" w:rsidRDefault="00AA707C" w:rsidP="00B272EB">
      <w:pPr>
        <w:spacing w:after="0" w:line="360" w:lineRule="auto"/>
        <w:jc w:val="both"/>
        <w:rPr>
          <w:rFonts w:ascii="Times New Roman" w:eastAsia="Times New Roman" w:hAnsi="Times New Roman" w:cs="Times New Roman"/>
          <w:sz w:val="24"/>
          <w:szCs w:val="24"/>
          <w:lang w:val="en-GB" w:eastAsia="en-GB"/>
        </w:rPr>
      </w:pPr>
    </w:p>
    <w:p w14:paraId="2C83D074" w14:textId="42EE5FBB" w:rsidR="00381290" w:rsidRPr="003D5FD3" w:rsidRDefault="00374AD6" w:rsidP="00083DAB">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sidRPr="00B272EB">
        <w:rPr>
          <w:rFonts w:ascii="Times New Roman" w:eastAsia="Times New Roman" w:hAnsi="Times New Roman" w:cs="Times New Roman"/>
          <w:sz w:val="24"/>
          <w:szCs w:val="24"/>
          <w:lang w:val="en-GB" w:eastAsia="en-GB"/>
        </w:rPr>
        <w:t>That the Min</w:t>
      </w:r>
      <w:r w:rsidR="00B272EB">
        <w:rPr>
          <w:rFonts w:ascii="Times New Roman" w:eastAsia="Times New Roman" w:hAnsi="Times New Roman" w:cs="Times New Roman"/>
          <w:sz w:val="24"/>
          <w:szCs w:val="24"/>
          <w:lang w:val="en-GB" w:eastAsia="en-GB"/>
        </w:rPr>
        <w:t>i</w:t>
      </w:r>
      <w:r w:rsidRPr="00B272EB">
        <w:rPr>
          <w:rFonts w:ascii="Times New Roman" w:eastAsia="Times New Roman" w:hAnsi="Times New Roman" w:cs="Times New Roman"/>
          <w:sz w:val="24"/>
          <w:szCs w:val="24"/>
          <w:lang w:val="en-GB" w:eastAsia="en-GB"/>
        </w:rPr>
        <w:t xml:space="preserve">ster of Public </w:t>
      </w:r>
      <w:r w:rsidR="002F3502">
        <w:rPr>
          <w:rFonts w:ascii="Times New Roman" w:eastAsia="Times New Roman" w:hAnsi="Times New Roman" w:cs="Times New Roman"/>
          <w:sz w:val="24"/>
          <w:szCs w:val="24"/>
          <w:lang w:val="en-GB" w:eastAsia="en-GB"/>
        </w:rPr>
        <w:t xml:space="preserve">Service and </w:t>
      </w:r>
      <w:r w:rsidR="00B272EB">
        <w:rPr>
          <w:rFonts w:ascii="Times New Roman" w:eastAsia="Times New Roman" w:hAnsi="Times New Roman" w:cs="Times New Roman"/>
          <w:sz w:val="24"/>
          <w:szCs w:val="24"/>
          <w:lang w:val="en-GB" w:eastAsia="en-GB"/>
        </w:rPr>
        <w:t xml:space="preserve">Administration </w:t>
      </w:r>
      <w:r w:rsidR="00381290" w:rsidRPr="00B272EB">
        <w:rPr>
          <w:rFonts w:ascii="Times New Roman" w:eastAsia="Times New Roman" w:hAnsi="Times New Roman" w:cs="Times New Roman"/>
          <w:sz w:val="24"/>
          <w:szCs w:val="24"/>
          <w:lang w:val="en-GB" w:eastAsia="en-GB"/>
        </w:rPr>
        <w:t>as part of the reconfiguration and consolidation of government departments</w:t>
      </w:r>
      <w:r w:rsidR="00381290">
        <w:rPr>
          <w:rFonts w:ascii="Times New Roman" w:eastAsia="Times New Roman" w:hAnsi="Times New Roman" w:cs="Times New Roman"/>
          <w:sz w:val="24"/>
          <w:szCs w:val="24"/>
          <w:lang w:val="en-GB" w:eastAsia="en-GB"/>
        </w:rPr>
        <w:t xml:space="preserve"> </w:t>
      </w:r>
      <w:r w:rsidR="006A10D4">
        <w:rPr>
          <w:rFonts w:ascii="Times New Roman" w:eastAsia="Times New Roman" w:hAnsi="Times New Roman" w:cs="Times New Roman"/>
          <w:sz w:val="24"/>
          <w:szCs w:val="24"/>
          <w:lang w:val="en-GB" w:eastAsia="en-GB"/>
        </w:rPr>
        <w:t xml:space="preserve">provides guidelines to government departments related to </w:t>
      </w:r>
      <w:r w:rsidR="00B272EB" w:rsidRPr="00B272EB">
        <w:rPr>
          <w:rFonts w:ascii="Times New Roman" w:eastAsia="Times New Roman" w:hAnsi="Times New Roman" w:cs="Times New Roman"/>
          <w:sz w:val="24"/>
          <w:szCs w:val="24"/>
          <w:lang w:val="en-GB" w:eastAsia="en-GB"/>
        </w:rPr>
        <w:t xml:space="preserve">the following proposals </w:t>
      </w:r>
      <w:r w:rsidR="00B272EB" w:rsidRPr="003D5FD3">
        <w:rPr>
          <w:rFonts w:ascii="Times New Roman" w:eastAsia="Times New Roman" w:hAnsi="Times New Roman" w:cs="Times New Roman"/>
          <w:sz w:val="24"/>
          <w:szCs w:val="24"/>
          <w:lang w:val="en-GB" w:eastAsia="en-GB"/>
        </w:rPr>
        <w:t>for reducing the structural deficit in the public sector wage bill</w:t>
      </w:r>
      <w:r w:rsidR="00381290" w:rsidRPr="003D5FD3">
        <w:rPr>
          <w:rFonts w:ascii="Times New Roman" w:eastAsia="Times New Roman" w:hAnsi="Times New Roman" w:cs="Times New Roman"/>
          <w:sz w:val="24"/>
          <w:szCs w:val="24"/>
          <w:lang w:val="en-GB" w:eastAsia="en-GB"/>
        </w:rPr>
        <w:t>:</w:t>
      </w:r>
    </w:p>
    <w:p w14:paraId="57E0AA7C" w14:textId="77777777" w:rsidR="00B272EB" w:rsidRPr="00381290" w:rsidRDefault="00B272EB" w:rsidP="00593424">
      <w:pPr>
        <w:pStyle w:val="ListParagraph"/>
        <w:numPr>
          <w:ilvl w:val="0"/>
          <w:numId w:val="40"/>
        </w:numPr>
        <w:spacing w:after="0" w:line="360" w:lineRule="auto"/>
        <w:jc w:val="both"/>
        <w:rPr>
          <w:rFonts w:ascii="Times New Roman" w:hAnsi="Times New Roman" w:cs="Times New Roman"/>
          <w:sz w:val="24"/>
          <w:szCs w:val="24"/>
        </w:rPr>
      </w:pPr>
      <w:r w:rsidRPr="00381290">
        <w:rPr>
          <w:rFonts w:ascii="Times New Roman" w:hAnsi="Times New Roman" w:cs="Times New Roman"/>
          <w:sz w:val="24"/>
          <w:szCs w:val="24"/>
        </w:rPr>
        <w:t xml:space="preserve">Right sizing of government through detailed work studies to make evidence based decisions; </w:t>
      </w:r>
    </w:p>
    <w:p w14:paraId="60F947AA" w14:textId="77777777" w:rsidR="00B272EB" w:rsidRDefault="00B272EB" w:rsidP="00B272EB">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F45512">
        <w:rPr>
          <w:rFonts w:ascii="Times New Roman" w:hAnsi="Times New Roman" w:cs="Times New Roman"/>
          <w:sz w:val="24"/>
          <w:szCs w:val="24"/>
        </w:rPr>
        <w:t xml:space="preserve">nsuring a gainfully employed workforce; </w:t>
      </w:r>
    </w:p>
    <w:p w14:paraId="563F1ED2" w14:textId="2C52FC91" w:rsidR="00B272EB" w:rsidRDefault="00B272EB" w:rsidP="00B272EB">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F45512">
        <w:rPr>
          <w:rFonts w:ascii="Times New Roman" w:hAnsi="Times New Roman" w:cs="Times New Roman"/>
          <w:sz w:val="24"/>
          <w:szCs w:val="24"/>
        </w:rPr>
        <w:t>e</w:t>
      </w:r>
      <w:r w:rsidR="00133367">
        <w:rPr>
          <w:rFonts w:ascii="Times New Roman" w:hAnsi="Times New Roman" w:cs="Times New Roman"/>
          <w:sz w:val="24"/>
          <w:szCs w:val="24"/>
        </w:rPr>
        <w:t>-</w:t>
      </w:r>
      <w:r w:rsidRPr="00F45512">
        <w:rPr>
          <w:rFonts w:ascii="Times New Roman" w:hAnsi="Times New Roman" w:cs="Times New Roman"/>
          <w:sz w:val="24"/>
          <w:szCs w:val="24"/>
        </w:rPr>
        <w:t xml:space="preserve">skilling and re-training of officials to do more; </w:t>
      </w:r>
      <w:r>
        <w:rPr>
          <w:rFonts w:ascii="Times New Roman" w:hAnsi="Times New Roman" w:cs="Times New Roman"/>
          <w:sz w:val="24"/>
          <w:szCs w:val="24"/>
        </w:rPr>
        <w:t>and</w:t>
      </w:r>
    </w:p>
    <w:p w14:paraId="42F4C5AD" w14:textId="0A696F6D" w:rsidR="00374AD6" w:rsidRPr="004B2C1D" w:rsidRDefault="00B272EB" w:rsidP="00374AD6">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F45512">
        <w:rPr>
          <w:rFonts w:ascii="Times New Roman" w:hAnsi="Times New Roman" w:cs="Times New Roman"/>
          <w:sz w:val="24"/>
          <w:szCs w:val="24"/>
        </w:rPr>
        <w:t xml:space="preserve">uilding a workforce that is versatile, adaptive and flexible. </w:t>
      </w:r>
    </w:p>
    <w:p w14:paraId="43504D32" w14:textId="77777777" w:rsidR="000850EB" w:rsidRPr="008737A5" w:rsidRDefault="000850EB" w:rsidP="000850EB">
      <w:pPr>
        <w:spacing w:after="0" w:line="360" w:lineRule="auto"/>
        <w:jc w:val="both"/>
        <w:rPr>
          <w:rFonts w:ascii="Times New Roman" w:eastAsia="Times New Roman" w:hAnsi="Times New Roman" w:cs="Times New Roman"/>
          <w:spacing w:val="6"/>
          <w:sz w:val="24"/>
          <w:szCs w:val="24"/>
          <w:lang w:val="en-GB" w:eastAsia="en-GB"/>
        </w:rPr>
      </w:pPr>
    </w:p>
    <w:p w14:paraId="7AAE5EB6" w14:textId="7F6EE21F" w:rsidR="003D5FD3" w:rsidRDefault="009057FE" w:rsidP="00587E61">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sidRPr="009057FE">
        <w:rPr>
          <w:rFonts w:ascii="Times New Roman" w:eastAsia="Times New Roman" w:hAnsi="Times New Roman" w:cs="Times New Roman"/>
          <w:sz w:val="24"/>
          <w:szCs w:val="24"/>
          <w:lang w:val="en-GB" w:eastAsia="en-GB"/>
        </w:rPr>
        <w:t xml:space="preserve">That the Minister of Public </w:t>
      </w:r>
      <w:r w:rsidR="00853817">
        <w:rPr>
          <w:rFonts w:ascii="Times New Roman" w:eastAsia="Times New Roman" w:hAnsi="Times New Roman" w:cs="Times New Roman"/>
          <w:sz w:val="24"/>
          <w:szCs w:val="24"/>
          <w:lang w:val="en-GB" w:eastAsia="en-GB"/>
        </w:rPr>
        <w:t xml:space="preserve">Service and </w:t>
      </w:r>
      <w:r w:rsidRPr="009057FE">
        <w:rPr>
          <w:rFonts w:ascii="Times New Roman" w:eastAsia="Times New Roman" w:hAnsi="Times New Roman" w:cs="Times New Roman"/>
          <w:sz w:val="24"/>
          <w:szCs w:val="24"/>
          <w:lang w:val="en-GB" w:eastAsia="en-GB"/>
        </w:rPr>
        <w:t xml:space="preserve">Administration </w:t>
      </w:r>
      <w:r w:rsidR="003703CC">
        <w:rPr>
          <w:rFonts w:ascii="Times New Roman" w:eastAsia="Times New Roman" w:hAnsi="Times New Roman" w:cs="Times New Roman"/>
          <w:sz w:val="24"/>
          <w:szCs w:val="24"/>
          <w:lang w:val="en-GB" w:eastAsia="en-GB"/>
        </w:rPr>
        <w:t>considers mechanisms for enhancing</w:t>
      </w:r>
      <w:r>
        <w:rPr>
          <w:rFonts w:ascii="Times New Roman" w:eastAsia="Times New Roman" w:hAnsi="Times New Roman" w:cs="Times New Roman"/>
          <w:sz w:val="24"/>
          <w:szCs w:val="24"/>
          <w:lang w:val="en-GB" w:eastAsia="en-GB"/>
        </w:rPr>
        <w:t xml:space="preserve"> </w:t>
      </w:r>
      <w:r w:rsidR="003703CC">
        <w:rPr>
          <w:rFonts w:ascii="Times New Roman" w:eastAsia="Times New Roman" w:hAnsi="Times New Roman" w:cs="Times New Roman"/>
          <w:sz w:val="24"/>
          <w:szCs w:val="24"/>
          <w:lang w:val="en-GB" w:eastAsia="en-GB"/>
        </w:rPr>
        <w:t xml:space="preserve">productivity </w:t>
      </w:r>
      <w:r w:rsidR="00E33822">
        <w:rPr>
          <w:rFonts w:ascii="Times New Roman" w:eastAsia="Times New Roman" w:hAnsi="Times New Roman" w:cs="Times New Roman"/>
          <w:sz w:val="24"/>
          <w:szCs w:val="24"/>
          <w:lang w:val="en-GB" w:eastAsia="en-GB"/>
        </w:rPr>
        <w:t xml:space="preserve">in the public </w:t>
      </w:r>
      <w:r w:rsidR="000C51FE">
        <w:rPr>
          <w:rFonts w:ascii="Times New Roman" w:eastAsia="Times New Roman" w:hAnsi="Times New Roman" w:cs="Times New Roman"/>
          <w:sz w:val="24"/>
          <w:szCs w:val="24"/>
          <w:lang w:val="en-GB" w:eastAsia="en-GB"/>
        </w:rPr>
        <w:t>sector by</w:t>
      </w:r>
      <w:r w:rsidR="003703CC">
        <w:rPr>
          <w:rFonts w:ascii="Times New Roman" w:eastAsia="Times New Roman" w:hAnsi="Times New Roman" w:cs="Times New Roman"/>
          <w:sz w:val="24"/>
          <w:szCs w:val="24"/>
          <w:lang w:val="en-GB" w:eastAsia="en-GB"/>
        </w:rPr>
        <w:t xml:space="preserve"> ensuring </w:t>
      </w:r>
      <w:r w:rsidR="00853817">
        <w:rPr>
          <w:rFonts w:ascii="Times New Roman" w:eastAsia="Times New Roman" w:hAnsi="Times New Roman" w:cs="Times New Roman"/>
          <w:sz w:val="24"/>
          <w:szCs w:val="24"/>
          <w:lang w:val="en-GB" w:eastAsia="en-GB"/>
        </w:rPr>
        <w:t>the following:</w:t>
      </w:r>
    </w:p>
    <w:p w14:paraId="0E746D5F" w14:textId="120E93F8" w:rsidR="008D659A" w:rsidRDefault="00853817" w:rsidP="008D659A">
      <w:pPr>
        <w:pStyle w:val="ListParagraph"/>
        <w:numPr>
          <w:ilvl w:val="2"/>
          <w:numId w:val="47"/>
        </w:numPr>
        <w:tabs>
          <w:tab w:val="left" w:pos="1134"/>
        </w:tabs>
        <w:spacing w:after="0" w:line="360" w:lineRule="auto"/>
        <w:ind w:left="1134" w:hanging="567"/>
        <w:jc w:val="both"/>
        <w:rPr>
          <w:rFonts w:ascii="Times New Roman" w:eastAsia="Times New Roman" w:hAnsi="Times New Roman" w:cs="Times New Roman"/>
          <w:sz w:val="24"/>
          <w:szCs w:val="24"/>
          <w:lang w:val="en-GB" w:eastAsia="en-GB"/>
        </w:rPr>
      </w:pPr>
      <w:r w:rsidRPr="003D5FD3">
        <w:rPr>
          <w:rFonts w:ascii="Times New Roman" w:eastAsia="Times New Roman" w:hAnsi="Times New Roman" w:cs="Times New Roman"/>
          <w:sz w:val="24"/>
          <w:szCs w:val="24"/>
          <w:lang w:val="en-GB" w:eastAsia="en-GB"/>
        </w:rPr>
        <w:t>That the Department of Public Service and Admin</w:t>
      </w:r>
      <w:r w:rsidR="003703CC" w:rsidRPr="003D5FD3">
        <w:rPr>
          <w:rFonts w:ascii="Times New Roman" w:eastAsia="Times New Roman" w:hAnsi="Times New Roman" w:cs="Times New Roman"/>
          <w:sz w:val="24"/>
          <w:szCs w:val="24"/>
          <w:lang w:val="en-GB" w:eastAsia="en-GB"/>
        </w:rPr>
        <w:t>i</w:t>
      </w:r>
      <w:r w:rsidRPr="003D5FD3">
        <w:rPr>
          <w:rFonts w:ascii="Times New Roman" w:eastAsia="Times New Roman" w:hAnsi="Times New Roman" w:cs="Times New Roman"/>
          <w:sz w:val="24"/>
          <w:szCs w:val="24"/>
          <w:lang w:val="en-GB" w:eastAsia="en-GB"/>
        </w:rPr>
        <w:t xml:space="preserve">stration </w:t>
      </w:r>
      <w:r w:rsidR="00E33822" w:rsidRPr="003D5FD3">
        <w:rPr>
          <w:rFonts w:ascii="Times New Roman" w:eastAsia="Times New Roman" w:hAnsi="Times New Roman" w:cs="Times New Roman"/>
          <w:sz w:val="24"/>
          <w:szCs w:val="24"/>
          <w:lang w:val="en-GB" w:eastAsia="en-GB"/>
        </w:rPr>
        <w:t>consults the Financial and Fiscal Commissio</w:t>
      </w:r>
      <w:r w:rsidRPr="003D5FD3">
        <w:rPr>
          <w:rFonts w:ascii="Times New Roman" w:eastAsia="Times New Roman" w:hAnsi="Times New Roman" w:cs="Times New Roman"/>
          <w:sz w:val="24"/>
          <w:szCs w:val="24"/>
          <w:lang w:val="en-GB" w:eastAsia="en-GB"/>
        </w:rPr>
        <w:t xml:space="preserve">n with regard to their studies and recommendations on Public Sector </w:t>
      </w:r>
      <w:r w:rsidR="00E33822" w:rsidRPr="003D5FD3">
        <w:rPr>
          <w:rFonts w:ascii="Times New Roman" w:eastAsia="Times New Roman" w:hAnsi="Times New Roman" w:cs="Times New Roman"/>
          <w:sz w:val="24"/>
          <w:szCs w:val="24"/>
          <w:lang w:val="en-GB" w:eastAsia="en-GB"/>
        </w:rPr>
        <w:t xml:space="preserve">productivity </w:t>
      </w:r>
      <w:r w:rsidR="003703CC" w:rsidRPr="003D5FD3">
        <w:rPr>
          <w:rFonts w:ascii="Times New Roman" w:eastAsia="Times New Roman" w:hAnsi="Times New Roman" w:cs="Times New Roman"/>
          <w:sz w:val="24"/>
          <w:szCs w:val="24"/>
          <w:lang w:val="en-GB" w:eastAsia="en-GB"/>
        </w:rPr>
        <w:t>as per the 2016/17 Division of Revenue submission</w:t>
      </w:r>
      <w:r w:rsidR="008D659A">
        <w:rPr>
          <w:rFonts w:ascii="Times New Roman" w:eastAsia="Times New Roman" w:hAnsi="Times New Roman" w:cs="Times New Roman"/>
          <w:sz w:val="24"/>
          <w:szCs w:val="24"/>
          <w:lang w:val="en-GB" w:eastAsia="en-GB"/>
        </w:rPr>
        <w:t>.</w:t>
      </w:r>
    </w:p>
    <w:p w14:paraId="239495BA" w14:textId="77777777" w:rsidR="003703CC" w:rsidRPr="008D659A" w:rsidRDefault="003703CC" w:rsidP="008D659A">
      <w:pPr>
        <w:pStyle w:val="ListParagraph"/>
        <w:numPr>
          <w:ilvl w:val="2"/>
          <w:numId w:val="47"/>
        </w:numPr>
        <w:tabs>
          <w:tab w:val="left" w:pos="1134"/>
        </w:tabs>
        <w:spacing w:after="0" w:line="360" w:lineRule="auto"/>
        <w:ind w:left="1134" w:hanging="567"/>
        <w:jc w:val="both"/>
        <w:rPr>
          <w:rFonts w:ascii="Times New Roman" w:eastAsia="Times New Roman" w:hAnsi="Times New Roman" w:cs="Times New Roman"/>
          <w:sz w:val="24"/>
          <w:szCs w:val="24"/>
          <w:lang w:val="en-GB" w:eastAsia="en-GB"/>
        </w:rPr>
      </w:pPr>
      <w:r w:rsidRPr="008D659A">
        <w:rPr>
          <w:rFonts w:ascii="Times New Roman" w:eastAsia="Times New Roman" w:hAnsi="Times New Roman" w:cs="Times New Roman"/>
          <w:sz w:val="24"/>
          <w:szCs w:val="24"/>
          <w:lang w:val="en-GB" w:eastAsia="en-GB"/>
        </w:rPr>
        <w:t xml:space="preserve">That the Department of Public Service and Administration reports back to the Committee on the extent to which recommendations of the FFC have been considered and implemented.  </w:t>
      </w:r>
    </w:p>
    <w:p w14:paraId="1640CD99" w14:textId="77777777" w:rsidR="00527858" w:rsidRDefault="00527858" w:rsidP="003703CC">
      <w:pPr>
        <w:autoSpaceDE w:val="0"/>
        <w:autoSpaceDN w:val="0"/>
        <w:adjustRightInd w:val="0"/>
        <w:spacing w:line="360" w:lineRule="auto"/>
        <w:rPr>
          <w:rFonts w:ascii="Times New Roman" w:hAnsi="Times New Roman" w:cs="Times New Roman"/>
          <w:b/>
          <w:sz w:val="24"/>
          <w:szCs w:val="24"/>
        </w:rPr>
      </w:pPr>
    </w:p>
    <w:p w14:paraId="02486BD5" w14:textId="26D85CEA" w:rsidR="00F66A30" w:rsidRDefault="00F66A30" w:rsidP="008D659A">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That the Minister of Defence and the Minister of Energy should ensure that the</w:t>
      </w:r>
      <w:r w:rsidR="002528EF">
        <w:rPr>
          <w:rFonts w:ascii="Times New Roman" w:eastAsia="Times New Roman" w:hAnsi="Times New Roman" w:cs="Times New Roman"/>
          <w:sz w:val="24"/>
          <w:szCs w:val="24"/>
          <w:lang w:val="en-GB" w:eastAsia="en-GB"/>
        </w:rPr>
        <w:t>ir respective department</w:t>
      </w:r>
      <w:r w:rsidR="00501BD1">
        <w:rPr>
          <w:rFonts w:ascii="Times New Roman" w:eastAsia="Times New Roman" w:hAnsi="Times New Roman" w:cs="Times New Roman"/>
          <w:sz w:val="24"/>
          <w:szCs w:val="24"/>
          <w:lang w:val="en-GB" w:eastAsia="en-GB"/>
        </w:rPr>
        <w:t>s comply with the submission of</w:t>
      </w:r>
      <w:r w:rsidR="002528EF">
        <w:rPr>
          <w:rFonts w:ascii="Times New Roman" w:eastAsia="Times New Roman" w:hAnsi="Times New Roman" w:cs="Times New Roman"/>
          <w:sz w:val="24"/>
          <w:szCs w:val="24"/>
          <w:lang w:val="en-GB" w:eastAsia="en-GB"/>
        </w:rPr>
        <w:t xml:space="preserve"> forms for the financial disclosure framework for all </w:t>
      </w:r>
      <w:r>
        <w:rPr>
          <w:rFonts w:ascii="Times New Roman" w:eastAsia="Times New Roman" w:hAnsi="Times New Roman" w:cs="Times New Roman"/>
          <w:sz w:val="24"/>
          <w:szCs w:val="24"/>
          <w:lang w:val="en-GB" w:eastAsia="en-GB"/>
        </w:rPr>
        <w:t>senior management service</w:t>
      </w:r>
      <w:r w:rsidR="002528EF">
        <w:rPr>
          <w:rFonts w:ascii="Times New Roman" w:eastAsia="Times New Roman" w:hAnsi="Times New Roman" w:cs="Times New Roman"/>
          <w:sz w:val="24"/>
          <w:szCs w:val="24"/>
          <w:lang w:val="en-GB" w:eastAsia="en-GB"/>
        </w:rPr>
        <w:t>s.</w:t>
      </w:r>
      <w:r>
        <w:rPr>
          <w:rFonts w:ascii="Times New Roman" w:eastAsia="Times New Roman" w:hAnsi="Times New Roman" w:cs="Times New Roman"/>
          <w:sz w:val="24"/>
          <w:szCs w:val="24"/>
          <w:lang w:val="en-GB" w:eastAsia="en-GB"/>
        </w:rPr>
        <w:t xml:space="preserve"> </w:t>
      </w:r>
    </w:p>
    <w:p w14:paraId="3A8789D9" w14:textId="77777777" w:rsidR="00F66A30" w:rsidRDefault="00F66A30" w:rsidP="009A3F34">
      <w:pPr>
        <w:pStyle w:val="ListParagraph"/>
        <w:spacing w:after="0" w:line="360" w:lineRule="auto"/>
        <w:ind w:left="567"/>
        <w:jc w:val="both"/>
        <w:rPr>
          <w:rFonts w:ascii="Times New Roman" w:eastAsia="Times New Roman" w:hAnsi="Times New Roman" w:cs="Times New Roman"/>
          <w:sz w:val="24"/>
          <w:szCs w:val="24"/>
          <w:lang w:val="en-GB" w:eastAsia="en-GB"/>
        </w:rPr>
      </w:pPr>
    </w:p>
    <w:p w14:paraId="4F1C35EE" w14:textId="3DBC4F31" w:rsidR="00080C80" w:rsidRPr="003D5FD3" w:rsidRDefault="00080C80" w:rsidP="008D659A">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sidRPr="003D5FD3">
        <w:rPr>
          <w:rFonts w:ascii="Times New Roman" w:eastAsia="Times New Roman" w:hAnsi="Times New Roman" w:cs="Times New Roman"/>
          <w:sz w:val="24"/>
          <w:szCs w:val="24"/>
          <w:lang w:val="en-GB" w:eastAsia="en-GB"/>
        </w:rPr>
        <w:t>That the</w:t>
      </w:r>
      <w:r w:rsidR="00F57783">
        <w:rPr>
          <w:rFonts w:ascii="Times New Roman" w:eastAsia="Times New Roman" w:hAnsi="Times New Roman" w:cs="Times New Roman"/>
          <w:sz w:val="24"/>
          <w:szCs w:val="24"/>
          <w:lang w:val="en-GB" w:eastAsia="en-GB"/>
        </w:rPr>
        <w:t xml:space="preserve"> </w:t>
      </w:r>
      <w:r w:rsidRPr="003D5FD3">
        <w:rPr>
          <w:rFonts w:ascii="Times New Roman" w:eastAsia="Times New Roman" w:hAnsi="Times New Roman" w:cs="Times New Roman"/>
          <w:sz w:val="24"/>
          <w:szCs w:val="24"/>
          <w:lang w:val="en-GB" w:eastAsia="en-GB"/>
        </w:rPr>
        <w:t xml:space="preserve">following Ministers </w:t>
      </w:r>
      <w:r w:rsidR="000C51FE">
        <w:rPr>
          <w:rFonts w:ascii="Times New Roman" w:eastAsia="Times New Roman" w:hAnsi="Times New Roman" w:cs="Times New Roman"/>
          <w:sz w:val="24"/>
          <w:szCs w:val="24"/>
          <w:lang w:val="en-GB" w:eastAsia="en-GB"/>
        </w:rPr>
        <w:t xml:space="preserve">should </w:t>
      </w:r>
      <w:r w:rsidRPr="003D5FD3">
        <w:rPr>
          <w:rFonts w:ascii="Times New Roman" w:eastAsia="Times New Roman" w:hAnsi="Times New Roman" w:cs="Times New Roman"/>
          <w:sz w:val="24"/>
          <w:szCs w:val="24"/>
          <w:lang w:val="en-GB" w:eastAsia="en-GB"/>
        </w:rPr>
        <w:t>ensure compliance with the submission of forms for the financial disclosure framework</w:t>
      </w:r>
      <w:r w:rsidR="002D3899" w:rsidRPr="003D5FD3">
        <w:rPr>
          <w:rFonts w:ascii="Times New Roman" w:eastAsia="Times New Roman" w:hAnsi="Times New Roman" w:cs="Times New Roman"/>
          <w:sz w:val="24"/>
          <w:szCs w:val="24"/>
          <w:lang w:val="en-GB" w:eastAsia="en-GB"/>
        </w:rPr>
        <w:t xml:space="preserve"> for their relevant H</w:t>
      </w:r>
      <w:r w:rsidR="008D659A">
        <w:rPr>
          <w:rFonts w:ascii="Times New Roman" w:eastAsia="Times New Roman" w:hAnsi="Times New Roman" w:cs="Times New Roman"/>
          <w:sz w:val="24"/>
          <w:szCs w:val="24"/>
          <w:lang w:val="en-GB" w:eastAsia="en-GB"/>
        </w:rPr>
        <w:t>eads of Department</w:t>
      </w:r>
      <w:r w:rsidRPr="003D5FD3">
        <w:rPr>
          <w:rFonts w:ascii="Times New Roman" w:eastAsia="Times New Roman" w:hAnsi="Times New Roman" w:cs="Times New Roman"/>
          <w:sz w:val="24"/>
          <w:szCs w:val="24"/>
          <w:lang w:val="en-GB" w:eastAsia="en-GB"/>
        </w:rPr>
        <w:t>:</w:t>
      </w:r>
    </w:p>
    <w:p w14:paraId="084DD304" w14:textId="3F0D3508" w:rsidR="00080C80" w:rsidRDefault="000C51FE" w:rsidP="00080C80">
      <w:pPr>
        <w:pStyle w:val="ListParagraph"/>
        <w:numPr>
          <w:ilvl w:val="0"/>
          <w:numId w:val="45"/>
        </w:numPr>
        <w:autoSpaceDE w:val="0"/>
        <w:autoSpaceDN w:val="0"/>
        <w:adjustRightInd w:val="0"/>
        <w:spacing w:line="360" w:lineRule="auto"/>
        <w:rPr>
          <w:rFonts w:ascii="Times New Roman" w:hAnsi="Times New Roman" w:cs="Times New Roman"/>
          <w:sz w:val="24"/>
          <w:szCs w:val="24"/>
        </w:rPr>
      </w:pPr>
      <w:r w:rsidRPr="00080C80">
        <w:rPr>
          <w:rFonts w:ascii="Times New Roman" w:hAnsi="Times New Roman" w:cs="Times New Roman"/>
          <w:sz w:val="24"/>
          <w:szCs w:val="24"/>
        </w:rPr>
        <w:t xml:space="preserve">Minister </w:t>
      </w:r>
      <w:r>
        <w:rPr>
          <w:rFonts w:ascii="Times New Roman" w:hAnsi="Times New Roman" w:cs="Times New Roman"/>
          <w:sz w:val="24"/>
          <w:szCs w:val="24"/>
        </w:rPr>
        <w:t>of</w:t>
      </w:r>
      <w:r w:rsidR="00DD4CD0">
        <w:rPr>
          <w:rFonts w:ascii="Times New Roman" w:hAnsi="Times New Roman" w:cs="Times New Roman"/>
          <w:sz w:val="24"/>
          <w:szCs w:val="24"/>
        </w:rPr>
        <w:t xml:space="preserve"> Defence</w:t>
      </w:r>
      <w:r w:rsidR="002D3899">
        <w:rPr>
          <w:rFonts w:ascii="Times New Roman" w:hAnsi="Times New Roman" w:cs="Times New Roman"/>
          <w:sz w:val="24"/>
          <w:szCs w:val="24"/>
        </w:rPr>
        <w:t xml:space="preserve">; </w:t>
      </w:r>
    </w:p>
    <w:p w14:paraId="2CA4F4FB" w14:textId="2D4C7086" w:rsidR="002D3899" w:rsidRDefault="00DD4CD0" w:rsidP="00080C80">
      <w:pPr>
        <w:pStyle w:val="ListParagraph"/>
        <w:numPr>
          <w:ilvl w:val="0"/>
          <w:numId w:val="45"/>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Minister of Public Service and </w:t>
      </w:r>
      <w:r w:rsidR="000C51FE">
        <w:rPr>
          <w:rFonts w:ascii="Times New Roman" w:hAnsi="Times New Roman" w:cs="Times New Roman"/>
          <w:sz w:val="24"/>
          <w:szCs w:val="24"/>
        </w:rPr>
        <w:t>Administration (</w:t>
      </w:r>
      <w:r>
        <w:rPr>
          <w:rFonts w:ascii="Times New Roman" w:hAnsi="Times New Roman" w:cs="Times New Roman"/>
          <w:sz w:val="24"/>
          <w:szCs w:val="24"/>
        </w:rPr>
        <w:t>National School of Governm</w:t>
      </w:r>
      <w:r w:rsidR="002D3899">
        <w:rPr>
          <w:rFonts w:ascii="Times New Roman" w:hAnsi="Times New Roman" w:cs="Times New Roman"/>
          <w:sz w:val="24"/>
          <w:szCs w:val="24"/>
        </w:rPr>
        <w:t xml:space="preserve">ent and the Public Service and Administration); </w:t>
      </w:r>
    </w:p>
    <w:p w14:paraId="4F570152" w14:textId="77777777" w:rsidR="002D3899" w:rsidRDefault="002D3899" w:rsidP="00080C80">
      <w:pPr>
        <w:pStyle w:val="ListParagraph"/>
        <w:numPr>
          <w:ilvl w:val="0"/>
          <w:numId w:val="45"/>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Minister of Public Enterprises; </w:t>
      </w:r>
    </w:p>
    <w:p w14:paraId="57DA9336" w14:textId="7EBAFA80" w:rsidR="002D3899" w:rsidRDefault="002D3899" w:rsidP="00080C80">
      <w:pPr>
        <w:pStyle w:val="ListParagraph"/>
        <w:numPr>
          <w:ilvl w:val="0"/>
          <w:numId w:val="45"/>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Minister </w:t>
      </w:r>
      <w:r w:rsidR="000C51FE">
        <w:rPr>
          <w:rFonts w:ascii="Times New Roman" w:hAnsi="Times New Roman" w:cs="Times New Roman"/>
          <w:sz w:val="24"/>
          <w:szCs w:val="24"/>
        </w:rPr>
        <w:t>of Sports and Recreation</w:t>
      </w:r>
      <w:r w:rsidR="00DD4CD0">
        <w:rPr>
          <w:rFonts w:ascii="Times New Roman" w:hAnsi="Times New Roman" w:cs="Times New Roman"/>
          <w:sz w:val="24"/>
          <w:szCs w:val="24"/>
        </w:rPr>
        <w:t xml:space="preserve"> </w:t>
      </w:r>
      <w:r w:rsidR="000C51FE">
        <w:rPr>
          <w:rFonts w:ascii="Times New Roman" w:hAnsi="Times New Roman" w:cs="Times New Roman"/>
          <w:sz w:val="24"/>
          <w:szCs w:val="24"/>
        </w:rPr>
        <w:t>SA; and</w:t>
      </w:r>
    </w:p>
    <w:p w14:paraId="12AFFD2C" w14:textId="1FAF5E20" w:rsidR="00080C80" w:rsidRDefault="004B2C1D" w:rsidP="003703CC">
      <w:pPr>
        <w:pStyle w:val="ListParagraph"/>
        <w:numPr>
          <w:ilvl w:val="0"/>
          <w:numId w:val="45"/>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Minister</w:t>
      </w:r>
      <w:r w:rsidR="00501BD1">
        <w:rPr>
          <w:rFonts w:ascii="Times New Roman" w:hAnsi="Times New Roman" w:cs="Times New Roman"/>
          <w:sz w:val="24"/>
          <w:szCs w:val="24"/>
        </w:rPr>
        <w:t xml:space="preserve"> </w:t>
      </w:r>
      <w:r w:rsidR="003E0403">
        <w:rPr>
          <w:rFonts w:ascii="Times New Roman" w:hAnsi="Times New Roman" w:cs="Times New Roman"/>
          <w:sz w:val="24"/>
          <w:szCs w:val="24"/>
        </w:rPr>
        <w:t xml:space="preserve">in the Presidency:  </w:t>
      </w:r>
      <w:r w:rsidR="00501BD1">
        <w:rPr>
          <w:rFonts w:ascii="Times New Roman" w:hAnsi="Times New Roman" w:cs="Times New Roman"/>
          <w:sz w:val="24"/>
          <w:szCs w:val="24"/>
        </w:rPr>
        <w:t>Women</w:t>
      </w:r>
      <w:r w:rsidR="009A3F34">
        <w:rPr>
          <w:rFonts w:ascii="Times New Roman" w:hAnsi="Times New Roman" w:cs="Times New Roman"/>
          <w:sz w:val="24"/>
          <w:szCs w:val="24"/>
        </w:rPr>
        <w:t>.</w:t>
      </w:r>
    </w:p>
    <w:p w14:paraId="04AD543E" w14:textId="77777777" w:rsidR="004B2C1D" w:rsidRPr="004B2C1D" w:rsidRDefault="004B2C1D" w:rsidP="004B2C1D">
      <w:pPr>
        <w:pStyle w:val="ListParagraph"/>
        <w:autoSpaceDE w:val="0"/>
        <w:autoSpaceDN w:val="0"/>
        <w:adjustRightInd w:val="0"/>
        <w:spacing w:line="360" w:lineRule="auto"/>
        <w:ind w:left="1080"/>
        <w:rPr>
          <w:rFonts w:ascii="Times New Roman" w:hAnsi="Times New Roman" w:cs="Times New Roman"/>
          <w:sz w:val="24"/>
          <w:szCs w:val="24"/>
        </w:rPr>
      </w:pPr>
    </w:p>
    <w:p w14:paraId="0490391C" w14:textId="582854BE" w:rsidR="009057FE" w:rsidRPr="003D5FD3" w:rsidRDefault="002D3899" w:rsidP="008D659A">
      <w:pPr>
        <w:pStyle w:val="ListParagraph"/>
        <w:numPr>
          <w:ilvl w:val="1"/>
          <w:numId w:val="47"/>
        </w:numPr>
        <w:spacing w:after="0" w:line="360" w:lineRule="auto"/>
        <w:ind w:left="567" w:hanging="567"/>
        <w:jc w:val="both"/>
        <w:rPr>
          <w:rFonts w:ascii="Times New Roman" w:eastAsia="Times New Roman" w:hAnsi="Times New Roman" w:cs="Times New Roman"/>
          <w:sz w:val="24"/>
          <w:szCs w:val="24"/>
          <w:lang w:val="en-GB" w:eastAsia="en-GB"/>
        </w:rPr>
      </w:pPr>
      <w:r w:rsidRPr="003D5FD3">
        <w:rPr>
          <w:rFonts w:ascii="Times New Roman" w:eastAsia="Times New Roman" w:hAnsi="Times New Roman" w:cs="Times New Roman"/>
          <w:sz w:val="24"/>
          <w:szCs w:val="24"/>
          <w:lang w:val="en-GB" w:eastAsia="en-GB"/>
        </w:rPr>
        <w:t>That the following Ministers</w:t>
      </w:r>
      <w:r w:rsidR="00417AF2" w:rsidRPr="003D5FD3">
        <w:rPr>
          <w:rFonts w:ascii="Times New Roman" w:eastAsia="Times New Roman" w:hAnsi="Times New Roman" w:cs="Times New Roman"/>
          <w:sz w:val="24"/>
          <w:szCs w:val="24"/>
          <w:lang w:val="en-GB" w:eastAsia="en-GB"/>
        </w:rPr>
        <w:t xml:space="preserve"> </w:t>
      </w:r>
      <w:r w:rsidR="000C51FE">
        <w:rPr>
          <w:rFonts w:ascii="Times New Roman" w:eastAsia="Times New Roman" w:hAnsi="Times New Roman" w:cs="Times New Roman"/>
          <w:sz w:val="24"/>
          <w:szCs w:val="24"/>
          <w:lang w:val="en-GB" w:eastAsia="en-GB"/>
        </w:rPr>
        <w:t xml:space="preserve">should </w:t>
      </w:r>
      <w:r w:rsidR="00417AF2" w:rsidRPr="003D5FD3">
        <w:rPr>
          <w:rFonts w:ascii="Times New Roman" w:eastAsia="Times New Roman" w:hAnsi="Times New Roman" w:cs="Times New Roman"/>
          <w:sz w:val="24"/>
          <w:szCs w:val="24"/>
          <w:lang w:val="en-GB" w:eastAsia="en-GB"/>
        </w:rPr>
        <w:t xml:space="preserve">ensure that their relevant departments comply with payment of invoices within 30 days and </w:t>
      </w:r>
      <w:r w:rsidRPr="003D5FD3">
        <w:rPr>
          <w:rFonts w:ascii="Times New Roman" w:eastAsia="Times New Roman" w:hAnsi="Times New Roman" w:cs="Times New Roman"/>
          <w:sz w:val="24"/>
          <w:szCs w:val="24"/>
          <w:lang w:val="en-GB" w:eastAsia="en-GB"/>
        </w:rPr>
        <w:t xml:space="preserve">submit reports to the Committee regarding </w:t>
      </w:r>
      <w:r w:rsidR="00417AF2" w:rsidRPr="003D5FD3">
        <w:rPr>
          <w:rFonts w:ascii="Times New Roman" w:eastAsia="Times New Roman" w:hAnsi="Times New Roman" w:cs="Times New Roman"/>
          <w:sz w:val="24"/>
          <w:szCs w:val="24"/>
          <w:lang w:val="en-GB" w:eastAsia="en-GB"/>
        </w:rPr>
        <w:t xml:space="preserve">the extent to which performance agreements of </w:t>
      </w:r>
      <w:r w:rsidRPr="003D5FD3">
        <w:rPr>
          <w:rFonts w:ascii="Times New Roman" w:eastAsia="Times New Roman" w:hAnsi="Times New Roman" w:cs="Times New Roman"/>
          <w:sz w:val="24"/>
          <w:szCs w:val="24"/>
          <w:lang w:val="en-GB" w:eastAsia="en-GB"/>
        </w:rPr>
        <w:t xml:space="preserve">Accounting Officers </w:t>
      </w:r>
      <w:r w:rsidR="00417AF2" w:rsidRPr="003D5FD3">
        <w:rPr>
          <w:rFonts w:ascii="Times New Roman" w:eastAsia="Times New Roman" w:hAnsi="Times New Roman" w:cs="Times New Roman"/>
          <w:sz w:val="24"/>
          <w:szCs w:val="24"/>
          <w:lang w:val="en-GB" w:eastAsia="en-GB"/>
        </w:rPr>
        <w:t xml:space="preserve">include the timeous payment of suppliers as one of their key performance areas as well the consequences applied </w:t>
      </w:r>
      <w:r w:rsidRPr="003D5FD3">
        <w:rPr>
          <w:rFonts w:ascii="Times New Roman" w:eastAsia="Times New Roman" w:hAnsi="Times New Roman" w:cs="Times New Roman"/>
          <w:sz w:val="24"/>
          <w:szCs w:val="24"/>
          <w:lang w:val="en-GB" w:eastAsia="en-GB"/>
        </w:rPr>
        <w:t>for failure to comply with the payment of invoic</w:t>
      </w:r>
      <w:r w:rsidR="00417AF2" w:rsidRPr="003D5FD3">
        <w:rPr>
          <w:rFonts w:ascii="Times New Roman" w:eastAsia="Times New Roman" w:hAnsi="Times New Roman" w:cs="Times New Roman"/>
          <w:sz w:val="24"/>
          <w:szCs w:val="24"/>
          <w:lang w:val="en-GB" w:eastAsia="en-GB"/>
        </w:rPr>
        <w:t>es:</w:t>
      </w:r>
    </w:p>
    <w:p w14:paraId="2BEB9C86" w14:textId="77777777" w:rsidR="007835AE" w:rsidRPr="0030138D" w:rsidRDefault="007835AE" w:rsidP="0030138D">
      <w:pPr>
        <w:pStyle w:val="ListParagraph"/>
        <w:numPr>
          <w:ilvl w:val="0"/>
          <w:numId w:val="45"/>
        </w:numPr>
        <w:autoSpaceDE w:val="0"/>
        <w:autoSpaceDN w:val="0"/>
        <w:adjustRightInd w:val="0"/>
        <w:spacing w:line="360" w:lineRule="auto"/>
        <w:jc w:val="both"/>
        <w:rPr>
          <w:rFonts w:ascii="Times New Roman" w:hAnsi="Times New Roman" w:cs="Times New Roman"/>
          <w:sz w:val="24"/>
          <w:szCs w:val="24"/>
        </w:rPr>
      </w:pPr>
      <w:r w:rsidRPr="0030138D">
        <w:rPr>
          <w:rFonts w:ascii="Times New Roman" w:hAnsi="Times New Roman" w:cs="Times New Roman"/>
          <w:sz w:val="24"/>
          <w:szCs w:val="24"/>
        </w:rPr>
        <w:t xml:space="preserve">Water and Sanitation; </w:t>
      </w:r>
    </w:p>
    <w:p w14:paraId="08E080BF" w14:textId="7DEFB20E" w:rsidR="007835AE" w:rsidRDefault="000C51FE" w:rsidP="0030138D">
      <w:pPr>
        <w:pStyle w:val="ListParagraph"/>
        <w:numPr>
          <w:ilvl w:val="0"/>
          <w:numId w:val="45"/>
        </w:numPr>
        <w:autoSpaceDE w:val="0"/>
        <w:autoSpaceDN w:val="0"/>
        <w:adjustRightInd w:val="0"/>
        <w:spacing w:line="360" w:lineRule="auto"/>
        <w:jc w:val="both"/>
        <w:rPr>
          <w:rFonts w:ascii="Times New Roman" w:hAnsi="Times New Roman" w:cs="Times New Roman"/>
          <w:sz w:val="24"/>
          <w:szCs w:val="24"/>
        </w:rPr>
      </w:pPr>
      <w:r w:rsidRPr="00417AF2">
        <w:rPr>
          <w:rFonts w:ascii="Times New Roman" w:hAnsi="Times New Roman" w:cs="Times New Roman"/>
          <w:sz w:val="24"/>
          <w:szCs w:val="24"/>
        </w:rPr>
        <w:t>Energy;</w:t>
      </w:r>
      <w:r w:rsidR="007835AE">
        <w:rPr>
          <w:rFonts w:ascii="Times New Roman" w:hAnsi="Times New Roman" w:cs="Times New Roman"/>
          <w:sz w:val="24"/>
          <w:szCs w:val="24"/>
        </w:rPr>
        <w:t xml:space="preserve"> </w:t>
      </w:r>
    </w:p>
    <w:p w14:paraId="27B7DE7A" w14:textId="77777777" w:rsidR="007835AE" w:rsidRDefault="007835AE" w:rsidP="0030138D">
      <w:pPr>
        <w:pStyle w:val="ListParagraph"/>
        <w:numPr>
          <w:ilvl w:val="0"/>
          <w:numId w:val="45"/>
        </w:numPr>
        <w:autoSpaceDE w:val="0"/>
        <w:autoSpaceDN w:val="0"/>
        <w:adjustRightInd w:val="0"/>
        <w:spacing w:line="360" w:lineRule="auto"/>
        <w:jc w:val="both"/>
        <w:rPr>
          <w:rFonts w:ascii="Times New Roman" w:hAnsi="Times New Roman" w:cs="Times New Roman"/>
          <w:sz w:val="24"/>
          <w:szCs w:val="24"/>
        </w:rPr>
      </w:pPr>
      <w:r w:rsidRPr="00417AF2">
        <w:rPr>
          <w:rFonts w:ascii="Times New Roman" w:hAnsi="Times New Roman" w:cs="Times New Roman"/>
          <w:sz w:val="24"/>
          <w:szCs w:val="24"/>
        </w:rPr>
        <w:t>Public Works</w:t>
      </w:r>
      <w:r>
        <w:rPr>
          <w:rFonts w:ascii="Times New Roman" w:hAnsi="Times New Roman" w:cs="Times New Roman"/>
          <w:sz w:val="24"/>
          <w:szCs w:val="24"/>
        </w:rPr>
        <w:t xml:space="preserve">; </w:t>
      </w:r>
    </w:p>
    <w:p w14:paraId="53DEC5E9" w14:textId="20924723" w:rsidR="007835AE" w:rsidRDefault="004B2C1D" w:rsidP="0030138D">
      <w:pPr>
        <w:pStyle w:val="ListParagraph"/>
        <w:numPr>
          <w:ilvl w:val="0"/>
          <w:numId w:val="4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Cooperative Governance</w:t>
      </w:r>
      <w:r w:rsidR="007835AE" w:rsidRPr="00417AF2">
        <w:rPr>
          <w:rFonts w:ascii="Times New Roman" w:hAnsi="Times New Roman" w:cs="Times New Roman"/>
          <w:sz w:val="24"/>
          <w:szCs w:val="24"/>
        </w:rPr>
        <w:t xml:space="preserve">; </w:t>
      </w:r>
    </w:p>
    <w:p w14:paraId="245B6273" w14:textId="77777777" w:rsidR="007835AE" w:rsidRDefault="007835AE" w:rsidP="0030138D">
      <w:pPr>
        <w:pStyle w:val="ListParagraph"/>
        <w:numPr>
          <w:ilvl w:val="0"/>
          <w:numId w:val="45"/>
        </w:numPr>
        <w:autoSpaceDE w:val="0"/>
        <w:autoSpaceDN w:val="0"/>
        <w:adjustRightInd w:val="0"/>
        <w:spacing w:line="360" w:lineRule="auto"/>
        <w:jc w:val="both"/>
        <w:rPr>
          <w:rFonts w:ascii="Times New Roman" w:hAnsi="Times New Roman" w:cs="Times New Roman"/>
          <w:sz w:val="24"/>
          <w:szCs w:val="24"/>
        </w:rPr>
      </w:pPr>
      <w:r w:rsidRPr="00417AF2">
        <w:rPr>
          <w:rFonts w:ascii="Times New Roman" w:hAnsi="Times New Roman" w:cs="Times New Roman"/>
          <w:sz w:val="24"/>
          <w:szCs w:val="24"/>
        </w:rPr>
        <w:t>Police;</w:t>
      </w:r>
    </w:p>
    <w:p w14:paraId="60DC9158" w14:textId="77777777" w:rsidR="007835AE" w:rsidRDefault="007835AE" w:rsidP="0030138D">
      <w:pPr>
        <w:pStyle w:val="ListParagraph"/>
        <w:numPr>
          <w:ilvl w:val="0"/>
          <w:numId w:val="45"/>
        </w:numPr>
        <w:autoSpaceDE w:val="0"/>
        <w:autoSpaceDN w:val="0"/>
        <w:adjustRightInd w:val="0"/>
        <w:spacing w:line="360" w:lineRule="auto"/>
        <w:jc w:val="both"/>
        <w:rPr>
          <w:rFonts w:ascii="Times New Roman" w:hAnsi="Times New Roman" w:cs="Times New Roman"/>
          <w:sz w:val="24"/>
          <w:szCs w:val="24"/>
        </w:rPr>
      </w:pPr>
      <w:r w:rsidRPr="00417AF2">
        <w:rPr>
          <w:rFonts w:ascii="Times New Roman" w:hAnsi="Times New Roman" w:cs="Times New Roman"/>
          <w:sz w:val="24"/>
          <w:szCs w:val="24"/>
        </w:rPr>
        <w:t xml:space="preserve">Agriculture, Forestry and Fisheries; </w:t>
      </w:r>
    </w:p>
    <w:p w14:paraId="08C0C652" w14:textId="77777777" w:rsidR="007835AE" w:rsidRDefault="007835AE" w:rsidP="0030138D">
      <w:pPr>
        <w:pStyle w:val="ListParagraph"/>
        <w:numPr>
          <w:ilvl w:val="0"/>
          <w:numId w:val="45"/>
        </w:numPr>
        <w:autoSpaceDE w:val="0"/>
        <w:autoSpaceDN w:val="0"/>
        <w:adjustRightInd w:val="0"/>
        <w:spacing w:line="360" w:lineRule="auto"/>
        <w:jc w:val="both"/>
        <w:rPr>
          <w:rFonts w:ascii="Times New Roman" w:hAnsi="Times New Roman" w:cs="Times New Roman"/>
          <w:sz w:val="24"/>
          <w:szCs w:val="24"/>
        </w:rPr>
      </w:pPr>
      <w:r w:rsidRPr="00417AF2">
        <w:rPr>
          <w:rFonts w:ascii="Times New Roman" w:hAnsi="Times New Roman" w:cs="Times New Roman"/>
          <w:sz w:val="24"/>
          <w:szCs w:val="24"/>
        </w:rPr>
        <w:t xml:space="preserve">Women; </w:t>
      </w:r>
      <w:r>
        <w:rPr>
          <w:rFonts w:ascii="Times New Roman" w:hAnsi="Times New Roman" w:cs="Times New Roman"/>
          <w:sz w:val="24"/>
          <w:szCs w:val="24"/>
        </w:rPr>
        <w:t>and</w:t>
      </w:r>
    </w:p>
    <w:p w14:paraId="6684FA19" w14:textId="77777777" w:rsidR="007835AE" w:rsidRPr="007835AE" w:rsidRDefault="007835AE" w:rsidP="0030138D">
      <w:pPr>
        <w:pStyle w:val="ListParagraph"/>
        <w:numPr>
          <w:ilvl w:val="0"/>
          <w:numId w:val="45"/>
        </w:numPr>
        <w:autoSpaceDE w:val="0"/>
        <w:autoSpaceDN w:val="0"/>
        <w:adjustRightInd w:val="0"/>
        <w:spacing w:line="360" w:lineRule="auto"/>
        <w:jc w:val="both"/>
        <w:rPr>
          <w:rFonts w:ascii="Times New Roman" w:hAnsi="Times New Roman" w:cs="Times New Roman"/>
          <w:sz w:val="24"/>
          <w:szCs w:val="24"/>
        </w:rPr>
      </w:pPr>
      <w:r w:rsidRPr="007835AE">
        <w:rPr>
          <w:rFonts w:ascii="Times New Roman" w:hAnsi="Times New Roman" w:cs="Times New Roman"/>
          <w:sz w:val="24"/>
          <w:szCs w:val="24"/>
        </w:rPr>
        <w:t>Social Development.</w:t>
      </w:r>
    </w:p>
    <w:p w14:paraId="167B87C5" w14:textId="77777777" w:rsidR="002D3899" w:rsidRPr="00DC4ACF" w:rsidRDefault="002D3899" w:rsidP="00DC4ACF">
      <w:pPr>
        <w:autoSpaceDE w:val="0"/>
        <w:autoSpaceDN w:val="0"/>
        <w:adjustRightInd w:val="0"/>
        <w:spacing w:line="360" w:lineRule="auto"/>
        <w:jc w:val="both"/>
        <w:rPr>
          <w:rFonts w:ascii="Times New Roman" w:hAnsi="Times New Roman" w:cs="Times New Roman"/>
          <w:b/>
          <w:sz w:val="24"/>
          <w:szCs w:val="24"/>
        </w:rPr>
      </w:pPr>
    </w:p>
    <w:p w14:paraId="54A4FC13" w14:textId="452CB4BE" w:rsidR="000850EB" w:rsidRPr="00A06E4D" w:rsidRDefault="000850EB" w:rsidP="000850EB">
      <w:pPr>
        <w:pStyle w:val="ListParagraph"/>
        <w:numPr>
          <w:ilvl w:val="0"/>
          <w:numId w:val="29"/>
        </w:numPr>
        <w:autoSpaceDE w:val="0"/>
        <w:autoSpaceDN w:val="0"/>
        <w:adjustRightInd w:val="0"/>
        <w:spacing w:line="360" w:lineRule="auto"/>
        <w:ind w:left="284" w:hanging="284"/>
        <w:jc w:val="both"/>
        <w:rPr>
          <w:rFonts w:ascii="Times New Roman" w:hAnsi="Times New Roman" w:cs="Times New Roman"/>
          <w:b/>
          <w:sz w:val="24"/>
          <w:szCs w:val="24"/>
        </w:rPr>
      </w:pPr>
      <w:r w:rsidRPr="008737A5">
        <w:rPr>
          <w:rFonts w:ascii="Times New Roman" w:hAnsi="Times New Roman" w:cs="Times New Roman"/>
          <w:b/>
          <w:sz w:val="24"/>
          <w:szCs w:val="24"/>
        </w:rPr>
        <w:t>Conclusion</w:t>
      </w:r>
    </w:p>
    <w:p w14:paraId="4A55E078" w14:textId="026F3EE1" w:rsidR="000850EB" w:rsidRPr="008737A5" w:rsidRDefault="000850EB" w:rsidP="00A06E4D">
      <w:pPr>
        <w:autoSpaceDE w:val="0"/>
        <w:autoSpaceDN w:val="0"/>
        <w:adjustRightInd w:val="0"/>
        <w:spacing w:line="360" w:lineRule="auto"/>
        <w:jc w:val="both"/>
        <w:rPr>
          <w:rFonts w:ascii="Times New Roman" w:hAnsi="Times New Roman" w:cs="Times New Roman"/>
          <w:sz w:val="24"/>
          <w:szCs w:val="24"/>
        </w:rPr>
      </w:pPr>
      <w:r w:rsidRPr="008737A5">
        <w:rPr>
          <w:rFonts w:ascii="Times New Roman" w:hAnsi="Times New Roman" w:cs="Times New Roman"/>
          <w:sz w:val="24"/>
          <w:szCs w:val="24"/>
        </w:rPr>
        <w:t>The responses and implementation plans by the relevant Executive Authorities to the recommen</w:t>
      </w:r>
      <w:r w:rsidR="00201971">
        <w:rPr>
          <w:rFonts w:ascii="Times New Roman" w:hAnsi="Times New Roman" w:cs="Times New Roman"/>
          <w:sz w:val="24"/>
          <w:szCs w:val="24"/>
        </w:rPr>
        <w:t>dations, as set out in section 6</w:t>
      </w:r>
      <w:r w:rsidRPr="008737A5">
        <w:rPr>
          <w:rFonts w:ascii="Times New Roman" w:hAnsi="Times New Roman" w:cs="Times New Roman"/>
          <w:sz w:val="24"/>
          <w:szCs w:val="24"/>
        </w:rPr>
        <w:t xml:space="preserve"> above, must be sent to Parliament within 60 days of the adoption of this report by the National Assembly.</w:t>
      </w:r>
    </w:p>
    <w:p w14:paraId="5B9134C2" w14:textId="77777777" w:rsidR="000850EB" w:rsidRPr="008737A5" w:rsidRDefault="000850EB" w:rsidP="000850EB">
      <w:pPr>
        <w:spacing w:line="360" w:lineRule="auto"/>
        <w:jc w:val="both"/>
        <w:rPr>
          <w:rFonts w:ascii="Times New Roman" w:hAnsi="Times New Roman" w:cs="Times New Roman"/>
          <w:sz w:val="24"/>
          <w:szCs w:val="24"/>
        </w:rPr>
      </w:pPr>
      <w:r w:rsidRPr="008737A5">
        <w:rPr>
          <w:rFonts w:ascii="Times New Roman" w:hAnsi="Times New Roman" w:cs="Times New Roman"/>
          <w:sz w:val="24"/>
          <w:szCs w:val="24"/>
        </w:rPr>
        <w:t>Report to be considered.</w:t>
      </w:r>
    </w:p>
    <w:p w14:paraId="6CA1D628" w14:textId="77777777" w:rsidR="000850EB" w:rsidRPr="008737A5" w:rsidRDefault="000850EB" w:rsidP="000850EB">
      <w:pPr>
        <w:spacing w:line="360" w:lineRule="auto"/>
        <w:jc w:val="both"/>
        <w:rPr>
          <w:rFonts w:ascii="Times New Roman" w:hAnsi="Times New Roman" w:cs="Times New Roman"/>
          <w:sz w:val="24"/>
          <w:szCs w:val="24"/>
        </w:rPr>
      </w:pPr>
    </w:p>
    <w:p w14:paraId="601904FF" w14:textId="0C9D5AAF" w:rsidR="000850EB" w:rsidRPr="002E40FC" w:rsidRDefault="000850EB" w:rsidP="000850EB">
      <w:pPr>
        <w:spacing w:line="360" w:lineRule="auto"/>
        <w:jc w:val="both"/>
        <w:rPr>
          <w:rFonts w:ascii="Times New Roman" w:hAnsi="Times New Roman" w:cs="Times New Roman"/>
          <w:sz w:val="24"/>
          <w:szCs w:val="24"/>
        </w:rPr>
      </w:pPr>
    </w:p>
    <w:p w14:paraId="3AE1969C" w14:textId="77777777" w:rsidR="000850EB" w:rsidRPr="002E40FC" w:rsidRDefault="000850EB" w:rsidP="000850EB">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val="en-US" w:eastAsia="en-GB"/>
        </w:rPr>
      </w:pPr>
    </w:p>
    <w:p w14:paraId="544F5796" w14:textId="77777777" w:rsidR="002E268E" w:rsidRDefault="002E268E" w:rsidP="002E268E"/>
    <w:p w14:paraId="7B5BAEB1" w14:textId="77777777" w:rsidR="00A408D5" w:rsidRDefault="00A408D5"/>
    <w:sectPr w:rsidR="00A408D5" w:rsidSect="0011342E">
      <w:footerReference w:type="default" r:id="rId13"/>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0C934" w14:textId="77777777" w:rsidR="00654E14" w:rsidRDefault="00654E14" w:rsidP="000850EB">
      <w:pPr>
        <w:spacing w:after="0" w:line="240" w:lineRule="auto"/>
      </w:pPr>
      <w:r>
        <w:separator/>
      </w:r>
    </w:p>
  </w:endnote>
  <w:endnote w:type="continuationSeparator" w:id="0">
    <w:p w14:paraId="412692C7" w14:textId="77777777" w:rsidR="00654E14" w:rsidRDefault="00654E14" w:rsidP="0008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915829"/>
      <w:docPartObj>
        <w:docPartGallery w:val="Page Numbers (Bottom of Page)"/>
        <w:docPartUnique/>
      </w:docPartObj>
    </w:sdtPr>
    <w:sdtEndPr>
      <w:rPr>
        <w:noProof/>
      </w:rPr>
    </w:sdtEndPr>
    <w:sdtContent>
      <w:p w14:paraId="6D7EBFD2" w14:textId="356BF0F2" w:rsidR="005013E7" w:rsidRDefault="005013E7">
        <w:pPr>
          <w:pStyle w:val="Footer"/>
          <w:jc w:val="right"/>
        </w:pPr>
        <w:r>
          <w:fldChar w:fldCharType="begin"/>
        </w:r>
        <w:r>
          <w:instrText xml:space="preserve"> PAGE   \* MERGEFORMAT </w:instrText>
        </w:r>
        <w:r>
          <w:fldChar w:fldCharType="separate"/>
        </w:r>
        <w:r w:rsidR="0047687D">
          <w:rPr>
            <w:noProof/>
          </w:rPr>
          <w:t>1</w:t>
        </w:r>
        <w:r>
          <w:rPr>
            <w:noProof/>
          </w:rPr>
          <w:fldChar w:fldCharType="end"/>
        </w:r>
      </w:p>
    </w:sdtContent>
  </w:sdt>
  <w:p w14:paraId="3291D80C" w14:textId="77777777" w:rsidR="005013E7" w:rsidRDefault="0050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78273" w14:textId="77777777" w:rsidR="00654E14" w:rsidRDefault="00654E14" w:rsidP="000850EB">
      <w:pPr>
        <w:spacing w:after="0" w:line="240" w:lineRule="auto"/>
      </w:pPr>
      <w:r>
        <w:separator/>
      </w:r>
    </w:p>
  </w:footnote>
  <w:footnote w:type="continuationSeparator" w:id="0">
    <w:p w14:paraId="5CD3A3EF" w14:textId="77777777" w:rsidR="00654E14" w:rsidRDefault="00654E14" w:rsidP="00085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00A"/>
    <w:multiLevelType w:val="hybridMultilevel"/>
    <w:tmpl w:val="A770E818"/>
    <w:lvl w:ilvl="0" w:tplc="A1769FD4">
      <w:start w:val="1"/>
      <w:numFmt w:val="bullet"/>
      <w:lvlText w:val="•"/>
      <w:lvlJc w:val="left"/>
      <w:pPr>
        <w:tabs>
          <w:tab w:val="num" w:pos="720"/>
        </w:tabs>
        <w:ind w:left="720" w:hanging="360"/>
      </w:pPr>
      <w:rPr>
        <w:rFonts w:ascii="Arial" w:hAnsi="Arial" w:hint="default"/>
      </w:rPr>
    </w:lvl>
    <w:lvl w:ilvl="1" w:tplc="07AA5024">
      <w:start w:val="1"/>
      <w:numFmt w:val="bullet"/>
      <w:lvlText w:val="•"/>
      <w:lvlJc w:val="left"/>
      <w:pPr>
        <w:tabs>
          <w:tab w:val="num" w:pos="1440"/>
        </w:tabs>
        <w:ind w:left="1440" w:hanging="360"/>
      </w:pPr>
      <w:rPr>
        <w:rFonts w:ascii="Arial" w:hAnsi="Arial" w:hint="default"/>
      </w:rPr>
    </w:lvl>
    <w:lvl w:ilvl="2" w:tplc="F70E93DE" w:tentative="1">
      <w:start w:val="1"/>
      <w:numFmt w:val="bullet"/>
      <w:lvlText w:val="•"/>
      <w:lvlJc w:val="left"/>
      <w:pPr>
        <w:tabs>
          <w:tab w:val="num" w:pos="2160"/>
        </w:tabs>
        <w:ind w:left="2160" w:hanging="360"/>
      </w:pPr>
      <w:rPr>
        <w:rFonts w:ascii="Arial" w:hAnsi="Arial" w:hint="default"/>
      </w:rPr>
    </w:lvl>
    <w:lvl w:ilvl="3" w:tplc="1D243C16" w:tentative="1">
      <w:start w:val="1"/>
      <w:numFmt w:val="bullet"/>
      <w:lvlText w:val="•"/>
      <w:lvlJc w:val="left"/>
      <w:pPr>
        <w:tabs>
          <w:tab w:val="num" w:pos="2880"/>
        </w:tabs>
        <w:ind w:left="2880" w:hanging="360"/>
      </w:pPr>
      <w:rPr>
        <w:rFonts w:ascii="Arial" w:hAnsi="Arial" w:hint="default"/>
      </w:rPr>
    </w:lvl>
    <w:lvl w:ilvl="4" w:tplc="8C202E06" w:tentative="1">
      <w:start w:val="1"/>
      <w:numFmt w:val="bullet"/>
      <w:lvlText w:val="•"/>
      <w:lvlJc w:val="left"/>
      <w:pPr>
        <w:tabs>
          <w:tab w:val="num" w:pos="3600"/>
        </w:tabs>
        <w:ind w:left="3600" w:hanging="360"/>
      </w:pPr>
      <w:rPr>
        <w:rFonts w:ascii="Arial" w:hAnsi="Arial" w:hint="default"/>
      </w:rPr>
    </w:lvl>
    <w:lvl w:ilvl="5" w:tplc="179C1056" w:tentative="1">
      <w:start w:val="1"/>
      <w:numFmt w:val="bullet"/>
      <w:lvlText w:val="•"/>
      <w:lvlJc w:val="left"/>
      <w:pPr>
        <w:tabs>
          <w:tab w:val="num" w:pos="4320"/>
        </w:tabs>
        <w:ind w:left="4320" w:hanging="360"/>
      </w:pPr>
      <w:rPr>
        <w:rFonts w:ascii="Arial" w:hAnsi="Arial" w:hint="default"/>
      </w:rPr>
    </w:lvl>
    <w:lvl w:ilvl="6" w:tplc="1E8059D2" w:tentative="1">
      <w:start w:val="1"/>
      <w:numFmt w:val="bullet"/>
      <w:lvlText w:val="•"/>
      <w:lvlJc w:val="left"/>
      <w:pPr>
        <w:tabs>
          <w:tab w:val="num" w:pos="5040"/>
        </w:tabs>
        <w:ind w:left="5040" w:hanging="360"/>
      </w:pPr>
      <w:rPr>
        <w:rFonts w:ascii="Arial" w:hAnsi="Arial" w:hint="default"/>
      </w:rPr>
    </w:lvl>
    <w:lvl w:ilvl="7" w:tplc="314A6420" w:tentative="1">
      <w:start w:val="1"/>
      <w:numFmt w:val="bullet"/>
      <w:lvlText w:val="•"/>
      <w:lvlJc w:val="left"/>
      <w:pPr>
        <w:tabs>
          <w:tab w:val="num" w:pos="5760"/>
        </w:tabs>
        <w:ind w:left="5760" w:hanging="360"/>
      </w:pPr>
      <w:rPr>
        <w:rFonts w:ascii="Arial" w:hAnsi="Arial" w:hint="default"/>
      </w:rPr>
    </w:lvl>
    <w:lvl w:ilvl="8" w:tplc="79FAC67E" w:tentative="1">
      <w:start w:val="1"/>
      <w:numFmt w:val="bullet"/>
      <w:lvlText w:val="•"/>
      <w:lvlJc w:val="left"/>
      <w:pPr>
        <w:tabs>
          <w:tab w:val="num" w:pos="6480"/>
        </w:tabs>
        <w:ind w:left="6480" w:hanging="360"/>
      </w:pPr>
      <w:rPr>
        <w:rFonts w:ascii="Arial" w:hAnsi="Arial" w:hint="default"/>
      </w:rPr>
    </w:lvl>
  </w:abstractNum>
  <w:abstractNum w:abstractNumId="1">
    <w:nsid w:val="06D67A40"/>
    <w:multiLevelType w:val="hybridMultilevel"/>
    <w:tmpl w:val="932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F015D"/>
    <w:multiLevelType w:val="hybridMultilevel"/>
    <w:tmpl w:val="09905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6E22C9"/>
    <w:multiLevelType w:val="multilevel"/>
    <w:tmpl w:val="8020C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CF82810"/>
    <w:multiLevelType w:val="hybridMultilevel"/>
    <w:tmpl w:val="3EC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E0C9A"/>
    <w:multiLevelType w:val="hybridMultilevel"/>
    <w:tmpl w:val="65781C0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6">
    <w:nsid w:val="111D413C"/>
    <w:multiLevelType w:val="multilevel"/>
    <w:tmpl w:val="8BD6188E"/>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E2931"/>
    <w:multiLevelType w:val="hybridMultilevel"/>
    <w:tmpl w:val="10AAC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6C67200"/>
    <w:multiLevelType w:val="multilevel"/>
    <w:tmpl w:val="61E401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FE1079"/>
    <w:multiLevelType w:val="multilevel"/>
    <w:tmpl w:val="407A192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85F1918"/>
    <w:multiLevelType w:val="hybridMultilevel"/>
    <w:tmpl w:val="E08C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43829"/>
    <w:multiLevelType w:val="hybridMultilevel"/>
    <w:tmpl w:val="C9BA8E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E11F91"/>
    <w:multiLevelType w:val="hybridMultilevel"/>
    <w:tmpl w:val="682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339C1"/>
    <w:multiLevelType w:val="multilevel"/>
    <w:tmpl w:val="C54C68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393B7F"/>
    <w:multiLevelType w:val="hybridMultilevel"/>
    <w:tmpl w:val="587C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738F2"/>
    <w:multiLevelType w:val="multilevel"/>
    <w:tmpl w:val="B2E0C8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58E0098"/>
    <w:multiLevelType w:val="hybridMultilevel"/>
    <w:tmpl w:val="E2F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55D5A"/>
    <w:multiLevelType w:val="hybridMultilevel"/>
    <w:tmpl w:val="3D9C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0F11A3"/>
    <w:multiLevelType w:val="multilevel"/>
    <w:tmpl w:val="8E4C99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8431E8"/>
    <w:multiLevelType w:val="hybridMultilevel"/>
    <w:tmpl w:val="9A7E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B15A3B"/>
    <w:multiLevelType w:val="multilevel"/>
    <w:tmpl w:val="B2E0C8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00A3DD5"/>
    <w:multiLevelType w:val="hybridMultilevel"/>
    <w:tmpl w:val="EEBAE01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30404DFB"/>
    <w:multiLevelType w:val="hybridMultilevel"/>
    <w:tmpl w:val="D4B00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10D04BA"/>
    <w:multiLevelType w:val="multilevel"/>
    <w:tmpl w:val="220C6FA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0549DF"/>
    <w:multiLevelType w:val="hybridMultilevel"/>
    <w:tmpl w:val="0AEAF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D47AEA4E">
      <w:start w:val="3"/>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B2C57A7"/>
    <w:multiLevelType w:val="hybridMultilevel"/>
    <w:tmpl w:val="BD9ECB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328146C"/>
    <w:multiLevelType w:val="multilevel"/>
    <w:tmpl w:val="750E19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AB0B87"/>
    <w:multiLevelType w:val="hybridMultilevel"/>
    <w:tmpl w:val="DAAEDDDA"/>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28">
    <w:nsid w:val="54C13466"/>
    <w:multiLevelType w:val="hybridMultilevel"/>
    <w:tmpl w:val="DD0E16F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903863"/>
    <w:multiLevelType w:val="hybridMultilevel"/>
    <w:tmpl w:val="CD5E06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9223565"/>
    <w:multiLevelType w:val="hybridMultilevel"/>
    <w:tmpl w:val="2C6E07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9B250BC"/>
    <w:multiLevelType w:val="hybridMultilevel"/>
    <w:tmpl w:val="0DE2F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ACF1307"/>
    <w:multiLevelType w:val="hybridMultilevel"/>
    <w:tmpl w:val="38BE1F1C"/>
    <w:lvl w:ilvl="0" w:tplc="1C090001">
      <w:start w:val="1"/>
      <w:numFmt w:val="bullet"/>
      <w:lvlText w:val=""/>
      <w:lvlJc w:val="left"/>
      <w:pPr>
        <w:ind w:left="838" w:hanging="360"/>
      </w:pPr>
      <w:rPr>
        <w:rFonts w:ascii="Symbol" w:hAnsi="Symbol" w:hint="default"/>
      </w:rPr>
    </w:lvl>
    <w:lvl w:ilvl="1" w:tplc="1C090003">
      <w:start w:val="1"/>
      <w:numFmt w:val="bullet"/>
      <w:lvlText w:val="o"/>
      <w:lvlJc w:val="left"/>
      <w:pPr>
        <w:ind w:left="1558" w:hanging="360"/>
      </w:pPr>
      <w:rPr>
        <w:rFonts w:ascii="Courier New" w:hAnsi="Courier New" w:cs="Courier New" w:hint="default"/>
      </w:rPr>
    </w:lvl>
    <w:lvl w:ilvl="2" w:tplc="1C090005" w:tentative="1">
      <w:start w:val="1"/>
      <w:numFmt w:val="bullet"/>
      <w:lvlText w:val=""/>
      <w:lvlJc w:val="left"/>
      <w:pPr>
        <w:ind w:left="2278" w:hanging="360"/>
      </w:pPr>
      <w:rPr>
        <w:rFonts w:ascii="Wingdings" w:hAnsi="Wingdings" w:hint="default"/>
      </w:rPr>
    </w:lvl>
    <w:lvl w:ilvl="3" w:tplc="1C090001" w:tentative="1">
      <w:start w:val="1"/>
      <w:numFmt w:val="bullet"/>
      <w:lvlText w:val=""/>
      <w:lvlJc w:val="left"/>
      <w:pPr>
        <w:ind w:left="2998" w:hanging="360"/>
      </w:pPr>
      <w:rPr>
        <w:rFonts w:ascii="Symbol" w:hAnsi="Symbol" w:hint="default"/>
      </w:rPr>
    </w:lvl>
    <w:lvl w:ilvl="4" w:tplc="1C090003" w:tentative="1">
      <w:start w:val="1"/>
      <w:numFmt w:val="bullet"/>
      <w:lvlText w:val="o"/>
      <w:lvlJc w:val="left"/>
      <w:pPr>
        <w:ind w:left="3718" w:hanging="360"/>
      </w:pPr>
      <w:rPr>
        <w:rFonts w:ascii="Courier New" w:hAnsi="Courier New" w:cs="Courier New" w:hint="default"/>
      </w:rPr>
    </w:lvl>
    <w:lvl w:ilvl="5" w:tplc="1C090005" w:tentative="1">
      <w:start w:val="1"/>
      <w:numFmt w:val="bullet"/>
      <w:lvlText w:val=""/>
      <w:lvlJc w:val="left"/>
      <w:pPr>
        <w:ind w:left="4438" w:hanging="360"/>
      </w:pPr>
      <w:rPr>
        <w:rFonts w:ascii="Wingdings" w:hAnsi="Wingdings" w:hint="default"/>
      </w:rPr>
    </w:lvl>
    <w:lvl w:ilvl="6" w:tplc="1C090001" w:tentative="1">
      <w:start w:val="1"/>
      <w:numFmt w:val="bullet"/>
      <w:lvlText w:val=""/>
      <w:lvlJc w:val="left"/>
      <w:pPr>
        <w:ind w:left="5158" w:hanging="360"/>
      </w:pPr>
      <w:rPr>
        <w:rFonts w:ascii="Symbol" w:hAnsi="Symbol" w:hint="default"/>
      </w:rPr>
    </w:lvl>
    <w:lvl w:ilvl="7" w:tplc="1C090003" w:tentative="1">
      <w:start w:val="1"/>
      <w:numFmt w:val="bullet"/>
      <w:lvlText w:val="o"/>
      <w:lvlJc w:val="left"/>
      <w:pPr>
        <w:ind w:left="5878" w:hanging="360"/>
      </w:pPr>
      <w:rPr>
        <w:rFonts w:ascii="Courier New" w:hAnsi="Courier New" w:cs="Courier New" w:hint="default"/>
      </w:rPr>
    </w:lvl>
    <w:lvl w:ilvl="8" w:tplc="1C090005" w:tentative="1">
      <w:start w:val="1"/>
      <w:numFmt w:val="bullet"/>
      <w:lvlText w:val=""/>
      <w:lvlJc w:val="left"/>
      <w:pPr>
        <w:ind w:left="6598" w:hanging="360"/>
      </w:pPr>
      <w:rPr>
        <w:rFonts w:ascii="Wingdings" w:hAnsi="Wingdings" w:hint="default"/>
      </w:rPr>
    </w:lvl>
  </w:abstractNum>
  <w:abstractNum w:abstractNumId="33">
    <w:nsid w:val="5DFF531D"/>
    <w:multiLevelType w:val="hybridMultilevel"/>
    <w:tmpl w:val="A8BE04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F3A7CA0"/>
    <w:multiLevelType w:val="hybridMultilevel"/>
    <w:tmpl w:val="AD4A6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04E6C93"/>
    <w:multiLevelType w:val="hybridMultilevel"/>
    <w:tmpl w:val="291A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77B8B"/>
    <w:multiLevelType w:val="hybridMultilevel"/>
    <w:tmpl w:val="C05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C6D10"/>
    <w:multiLevelType w:val="multilevel"/>
    <w:tmpl w:val="A35ECC8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6C02FD"/>
    <w:multiLevelType w:val="multilevel"/>
    <w:tmpl w:val="81F63A52"/>
    <w:lvl w:ilvl="0">
      <w:start w:val="3"/>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5"/>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67660DD0"/>
    <w:multiLevelType w:val="hybridMultilevel"/>
    <w:tmpl w:val="0D6C45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7B5686B"/>
    <w:multiLevelType w:val="hybridMultilevel"/>
    <w:tmpl w:val="57027286"/>
    <w:lvl w:ilvl="0" w:tplc="05DAEDA8">
      <w:start w:val="1"/>
      <w:numFmt w:val="bullet"/>
      <w:lvlText w:val="•"/>
      <w:lvlJc w:val="left"/>
      <w:pPr>
        <w:tabs>
          <w:tab w:val="num" w:pos="720"/>
        </w:tabs>
        <w:ind w:left="720" w:hanging="360"/>
      </w:pPr>
      <w:rPr>
        <w:rFonts w:ascii="Arial" w:hAnsi="Arial" w:hint="default"/>
      </w:rPr>
    </w:lvl>
    <w:lvl w:ilvl="1" w:tplc="02502552" w:tentative="1">
      <w:start w:val="1"/>
      <w:numFmt w:val="bullet"/>
      <w:lvlText w:val="•"/>
      <w:lvlJc w:val="left"/>
      <w:pPr>
        <w:tabs>
          <w:tab w:val="num" w:pos="1440"/>
        </w:tabs>
        <w:ind w:left="1440" w:hanging="360"/>
      </w:pPr>
      <w:rPr>
        <w:rFonts w:ascii="Arial" w:hAnsi="Arial" w:hint="default"/>
      </w:rPr>
    </w:lvl>
    <w:lvl w:ilvl="2" w:tplc="0B609CC8" w:tentative="1">
      <w:start w:val="1"/>
      <w:numFmt w:val="bullet"/>
      <w:lvlText w:val="•"/>
      <w:lvlJc w:val="left"/>
      <w:pPr>
        <w:tabs>
          <w:tab w:val="num" w:pos="2160"/>
        </w:tabs>
        <w:ind w:left="2160" w:hanging="360"/>
      </w:pPr>
      <w:rPr>
        <w:rFonts w:ascii="Arial" w:hAnsi="Arial" w:hint="default"/>
      </w:rPr>
    </w:lvl>
    <w:lvl w:ilvl="3" w:tplc="51B4EA28" w:tentative="1">
      <w:start w:val="1"/>
      <w:numFmt w:val="bullet"/>
      <w:lvlText w:val="•"/>
      <w:lvlJc w:val="left"/>
      <w:pPr>
        <w:tabs>
          <w:tab w:val="num" w:pos="2880"/>
        </w:tabs>
        <w:ind w:left="2880" w:hanging="360"/>
      </w:pPr>
      <w:rPr>
        <w:rFonts w:ascii="Arial" w:hAnsi="Arial" w:hint="default"/>
      </w:rPr>
    </w:lvl>
    <w:lvl w:ilvl="4" w:tplc="AB929518" w:tentative="1">
      <w:start w:val="1"/>
      <w:numFmt w:val="bullet"/>
      <w:lvlText w:val="•"/>
      <w:lvlJc w:val="left"/>
      <w:pPr>
        <w:tabs>
          <w:tab w:val="num" w:pos="3600"/>
        </w:tabs>
        <w:ind w:left="3600" w:hanging="360"/>
      </w:pPr>
      <w:rPr>
        <w:rFonts w:ascii="Arial" w:hAnsi="Arial" w:hint="default"/>
      </w:rPr>
    </w:lvl>
    <w:lvl w:ilvl="5" w:tplc="51F4663C" w:tentative="1">
      <w:start w:val="1"/>
      <w:numFmt w:val="bullet"/>
      <w:lvlText w:val="•"/>
      <w:lvlJc w:val="left"/>
      <w:pPr>
        <w:tabs>
          <w:tab w:val="num" w:pos="4320"/>
        </w:tabs>
        <w:ind w:left="4320" w:hanging="360"/>
      </w:pPr>
      <w:rPr>
        <w:rFonts w:ascii="Arial" w:hAnsi="Arial" w:hint="default"/>
      </w:rPr>
    </w:lvl>
    <w:lvl w:ilvl="6" w:tplc="85020D04" w:tentative="1">
      <w:start w:val="1"/>
      <w:numFmt w:val="bullet"/>
      <w:lvlText w:val="•"/>
      <w:lvlJc w:val="left"/>
      <w:pPr>
        <w:tabs>
          <w:tab w:val="num" w:pos="5040"/>
        </w:tabs>
        <w:ind w:left="5040" w:hanging="360"/>
      </w:pPr>
      <w:rPr>
        <w:rFonts w:ascii="Arial" w:hAnsi="Arial" w:hint="default"/>
      </w:rPr>
    </w:lvl>
    <w:lvl w:ilvl="7" w:tplc="A75C0188" w:tentative="1">
      <w:start w:val="1"/>
      <w:numFmt w:val="bullet"/>
      <w:lvlText w:val="•"/>
      <w:lvlJc w:val="left"/>
      <w:pPr>
        <w:tabs>
          <w:tab w:val="num" w:pos="5760"/>
        </w:tabs>
        <w:ind w:left="5760" w:hanging="360"/>
      </w:pPr>
      <w:rPr>
        <w:rFonts w:ascii="Arial" w:hAnsi="Arial" w:hint="default"/>
      </w:rPr>
    </w:lvl>
    <w:lvl w:ilvl="8" w:tplc="026643F0" w:tentative="1">
      <w:start w:val="1"/>
      <w:numFmt w:val="bullet"/>
      <w:lvlText w:val="•"/>
      <w:lvlJc w:val="left"/>
      <w:pPr>
        <w:tabs>
          <w:tab w:val="num" w:pos="6480"/>
        </w:tabs>
        <w:ind w:left="6480" w:hanging="360"/>
      </w:pPr>
      <w:rPr>
        <w:rFonts w:ascii="Arial" w:hAnsi="Arial" w:hint="default"/>
      </w:rPr>
    </w:lvl>
  </w:abstractNum>
  <w:abstractNum w:abstractNumId="41">
    <w:nsid w:val="6ACF559E"/>
    <w:multiLevelType w:val="hybridMultilevel"/>
    <w:tmpl w:val="A2E22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CDB6F1F"/>
    <w:multiLevelType w:val="multilevel"/>
    <w:tmpl w:val="4DC63A84"/>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3">
    <w:nsid w:val="6D7E5A31"/>
    <w:multiLevelType w:val="multilevel"/>
    <w:tmpl w:val="959621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225EDF"/>
    <w:multiLevelType w:val="hybridMultilevel"/>
    <w:tmpl w:val="F1B08874"/>
    <w:lvl w:ilvl="0" w:tplc="1C090017">
      <w:start w:val="1"/>
      <w:numFmt w:val="lowerLetter"/>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45">
    <w:nsid w:val="78095481"/>
    <w:multiLevelType w:val="hybridMultilevel"/>
    <w:tmpl w:val="1E1E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297C26"/>
    <w:multiLevelType w:val="hybridMultilevel"/>
    <w:tmpl w:val="05E68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A345ED1"/>
    <w:multiLevelType w:val="hybridMultilevel"/>
    <w:tmpl w:val="66A0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20"/>
  </w:num>
  <w:num w:numId="4">
    <w:abstractNumId w:val="19"/>
  </w:num>
  <w:num w:numId="5">
    <w:abstractNumId w:val="22"/>
  </w:num>
  <w:num w:numId="6">
    <w:abstractNumId w:val="18"/>
  </w:num>
  <w:num w:numId="7">
    <w:abstractNumId w:val="40"/>
  </w:num>
  <w:num w:numId="8">
    <w:abstractNumId w:val="44"/>
  </w:num>
  <w:num w:numId="9">
    <w:abstractNumId w:val="32"/>
  </w:num>
  <w:num w:numId="10">
    <w:abstractNumId w:val="4"/>
  </w:num>
  <w:num w:numId="11">
    <w:abstractNumId w:val="47"/>
  </w:num>
  <w:num w:numId="12">
    <w:abstractNumId w:val="36"/>
  </w:num>
  <w:num w:numId="13">
    <w:abstractNumId w:val="45"/>
  </w:num>
  <w:num w:numId="14">
    <w:abstractNumId w:val="30"/>
  </w:num>
  <w:num w:numId="15">
    <w:abstractNumId w:val="28"/>
  </w:num>
  <w:num w:numId="16">
    <w:abstractNumId w:val="37"/>
  </w:num>
  <w:num w:numId="17">
    <w:abstractNumId w:val="43"/>
  </w:num>
  <w:num w:numId="18">
    <w:abstractNumId w:val="23"/>
  </w:num>
  <w:num w:numId="19">
    <w:abstractNumId w:val="6"/>
  </w:num>
  <w:num w:numId="20">
    <w:abstractNumId w:val="10"/>
  </w:num>
  <w:num w:numId="21">
    <w:abstractNumId w:val="17"/>
  </w:num>
  <w:num w:numId="22">
    <w:abstractNumId w:val="16"/>
  </w:num>
  <w:num w:numId="23">
    <w:abstractNumId w:val="1"/>
  </w:num>
  <w:num w:numId="24">
    <w:abstractNumId w:val="14"/>
  </w:num>
  <w:num w:numId="25">
    <w:abstractNumId w:val="2"/>
  </w:num>
  <w:num w:numId="26">
    <w:abstractNumId w:val="12"/>
  </w:num>
  <w:num w:numId="27">
    <w:abstractNumId w:val="35"/>
  </w:num>
  <w:num w:numId="28">
    <w:abstractNumId w:val="31"/>
  </w:num>
  <w:num w:numId="29">
    <w:abstractNumId w:val="39"/>
  </w:num>
  <w:num w:numId="30">
    <w:abstractNumId w:val="11"/>
  </w:num>
  <w:num w:numId="31">
    <w:abstractNumId w:val="29"/>
  </w:num>
  <w:num w:numId="32">
    <w:abstractNumId w:val="15"/>
  </w:num>
  <w:num w:numId="33">
    <w:abstractNumId w:val="13"/>
  </w:num>
  <w:num w:numId="34">
    <w:abstractNumId w:val="8"/>
  </w:num>
  <w:num w:numId="35">
    <w:abstractNumId w:val="41"/>
  </w:num>
  <w:num w:numId="36">
    <w:abstractNumId w:val="7"/>
  </w:num>
  <w:num w:numId="37">
    <w:abstractNumId w:val="46"/>
  </w:num>
  <w:num w:numId="38">
    <w:abstractNumId w:val="42"/>
  </w:num>
  <w:num w:numId="39">
    <w:abstractNumId w:val="34"/>
  </w:num>
  <w:num w:numId="40">
    <w:abstractNumId w:val="5"/>
  </w:num>
  <w:num w:numId="41">
    <w:abstractNumId w:val="27"/>
  </w:num>
  <w:num w:numId="42">
    <w:abstractNumId w:val="3"/>
  </w:num>
  <w:num w:numId="43">
    <w:abstractNumId w:val="25"/>
  </w:num>
  <w:num w:numId="44">
    <w:abstractNumId w:val="0"/>
  </w:num>
  <w:num w:numId="45">
    <w:abstractNumId w:val="21"/>
  </w:num>
  <w:num w:numId="46">
    <w:abstractNumId w:val="33"/>
  </w:num>
  <w:num w:numId="47">
    <w:abstractNumId w:val="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EB"/>
    <w:rsid w:val="0000177C"/>
    <w:rsid w:val="00016CDB"/>
    <w:rsid w:val="00020212"/>
    <w:rsid w:val="0007611B"/>
    <w:rsid w:val="00080C80"/>
    <w:rsid w:val="00083DAB"/>
    <w:rsid w:val="000850EB"/>
    <w:rsid w:val="00087E27"/>
    <w:rsid w:val="000A22B0"/>
    <w:rsid w:val="000A3DA8"/>
    <w:rsid w:val="000A793B"/>
    <w:rsid w:val="000B2227"/>
    <w:rsid w:val="000C51FE"/>
    <w:rsid w:val="000D59AB"/>
    <w:rsid w:val="000E3234"/>
    <w:rsid w:val="000E4D7F"/>
    <w:rsid w:val="000F10D3"/>
    <w:rsid w:val="000F3DF7"/>
    <w:rsid w:val="00103FC3"/>
    <w:rsid w:val="0011342E"/>
    <w:rsid w:val="00120935"/>
    <w:rsid w:val="00133367"/>
    <w:rsid w:val="00145B63"/>
    <w:rsid w:val="001731A7"/>
    <w:rsid w:val="001A470F"/>
    <w:rsid w:val="001E5BB5"/>
    <w:rsid w:val="00201971"/>
    <w:rsid w:val="00215F8B"/>
    <w:rsid w:val="00244E70"/>
    <w:rsid w:val="002528EF"/>
    <w:rsid w:val="0025677D"/>
    <w:rsid w:val="00277761"/>
    <w:rsid w:val="002C29E1"/>
    <w:rsid w:val="002D3899"/>
    <w:rsid w:val="002E268E"/>
    <w:rsid w:val="002F3502"/>
    <w:rsid w:val="0030138D"/>
    <w:rsid w:val="003148E3"/>
    <w:rsid w:val="003572BF"/>
    <w:rsid w:val="003631E8"/>
    <w:rsid w:val="003703CC"/>
    <w:rsid w:val="00374AD6"/>
    <w:rsid w:val="00375CBB"/>
    <w:rsid w:val="00377E2B"/>
    <w:rsid w:val="00381290"/>
    <w:rsid w:val="003A2F79"/>
    <w:rsid w:val="003D2849"/>
    <w:rsid w:val="003D37D6"/>
    <w:rsid w:val="003D5FD3"/>
    <w:rsid w:val="003E0403"/>
    <w:rsid w:val="003E2B49"/>
    <w:rsid w:val="003E460D"/>
    <w:rsid w:val="003F0FBC"/>
    <w:rsid w:val="00405F6B"/>
    <w:rsid w:val="00413F2A"/>
    <w:rsid w:val="004161B0"/>
    <w:rsid w:val="00417AF2"/>
    <w:rsid w:val="0042567B"/>
    <w:rsid w:val="004337C1"/>
    <w:rsid w:val="0047687D"/>
    <w:rsid w:val="00491C22"/>
    <w:rsid w:val="004A618B"/>
    <w:rsid w:val="004B2C1D"/>
    <w:rsid w:val="004B4958"/>
    <w:rsid w:val="004C212F"/>
    <w:rsid w:val="004C6C79"/>
    <w:rsid w:val="004D38E2"/>
    <w:rsid w:val="004E1F2E"/>
    <w:rsid w:val="004E4BB1"/>
    <w:rsid w:val="004E4FC8"/>
    <w:rsid w:val="005013E7"/>
    <w:rsid w:val="00501BD1"/>
    <w:rsid w:val="00504897"/>
    <w:rsid w:val="00505B73"/>
    <w:rsid w:val="00527858"/>
    <w:rsid w:val="00534703"/>
    <w:rsid w:val="00535831"/>
    <w:rsid w:val="00587E61"/>
    <w:rsid w:val="00593424"/>
    <w:rsid w:val="005A203C"/>
    <w:rsid w:val="005A5BAC"/>
    <w:rsid w:val="005A7926"/>
    <w:rsid w:val="005C031D"/>
    <w:rsid w:val="005E394A"/>
    <w:rsid w:val="005F4895"/>
    <w:rsid w:val="005F6917"/>
    <w:rsid w:val="006211C7"/>
    <w:rsid w:val="00624632"/>
    <w:rsid w:val="006303D3"/>
    <w:rsid w:val="00641C46"/>
    <w:rsid w:val="00654E14"/>
    <w:rsid w:val="00666372"/>
    <w:rsid w:val="00673C3D"/>
    <w:rsid w:val="006871B5"/>
    <w:rsid w:val="00695115"/>
    <w:rsid w:val="006A10D4"/>
    <w:rsid w:val="006A42AE"/>
    <w:rsid w:val="006A4D7D"/>
    <w:rsid w:val="006A5475"/>
    <w:rsid w:val="006C1EE7"/>
    <w:rsid w:val="006D1D32"/>
    <w:rsid w:val="006D4932"/>
    <w:rsid w:val="006E67A8"/>
    <w:rsid w:val="00703688"/>
    <w:rsid w:val="00711E8E"/>
    <w:rsid w:val="00713E35"/>
    <w:rsid w:val="00715E19"/>
    <w:rsid w:val="0072467A"/>
    <w:rsid w:val="00724EC2"/>
    <w:rsid w:val="00743AF0"/>
    <w:rsid w:val="00744355"/>
    <w:rsid w:val="00771017"/>
    <w:rsid w:val="007835AE"/>
    <w:rsid w:val="007B563F"/>
    <w:rsid w:val="007C5899"/>
    <w:rsid w:val="00807C44"/>
    <w:rsid w:val="00853817"/>
    <w:rsid w:val="00863856"/>
    <w:rsid w:val="008737A5"/>
    <w:rsid w:val="00893B2A"/>
    <w:rsid w:val="008A0671"/>
    <w:rsid w:val="008A3B6F"/>
    <w:rsid w:val="008C305A"/>
    <w:rsid w:val="008C6C81"/>
    <w:rsid w:val="008D2F24"/>
    <w:rsid w:val="008D5A1E"/>
    <w:rsid w:val="008D659A"/>
    <w:rsid w:val="008E1AFD"/>
    <w:rsid w:val="008E569A"/>
    <w:rsid w:val="00904430"/>
    <w:rsid w:val="009057FE"/>
    <w:rsid w:val="009101B8"/>
    <w:rsid w:val="00911AC9"/>
    <w:rsid w:val="00915F77"/>
    <w:rsid w:val="009179BB"/>
    <w:rsid w:val="00925F0A"/>
    <w:rsid w:val="00927ABA"/>
    <w:rsid w:val="00936BA1"/>
    <w:rsid w:val="00947E83"/>
    <w:rsid w:val="00970A75"/>
    <w:rsid w:val="00980CDD"/>
    <w:rsid w:val="009A3F34"/>
    <w:rsid w:val="009A6B30"/>
    <w:rsid w:val="009B7D09"/>
    <w:rsid w:val="009C2746"/>
    <w:rsid w:val="009C6BF6"/>
    <w:rsid w:val="009D71DC"/>
    <w:rsid w:val="009F7A61"/>
    <w:rsid w:val="00A03232"/>
    <w:rsid w:val="00A06E4D"/>
    <w:rsid w:val="00A073BD"/>
    <w:rsid w:val="00A14435"/>
    <w:rsid w:val="00A176F6"/>
    <w:rsid w:val="00A27CBD"/>
    <w:rsid w:val="00A408D5"/>
    <w:rsid w:val="00A44BB1"/>
    <w:rsid w:val="00A52F9D"/>
    <w:rsid w:val="00A56343"/>
    <w:rsid w:val="00A6027A"/>
    <w:rsid w:val="00A6774A"/>
    <w:rsid w:val="00A70799"/>
    <w:rsid w:val="00A7148D"/>
    <w:rsid w:val="00AA10F9"/>
    <w:rsid w:val="00AA707C"/>
    <w:rsid w:val="00AD170F"/>
    <w:rsid w:val="00B163ED"/>
    <w:rsid w:val="00B20E2A"/>
    <w:rsid w:val="00B22F44"/>
    <w:rsid w:val="00B272EB"/>
    <w:rsid w:val="00B27AAE"/>
    <w:rsid w:val="00B367C8"/>
    <w:rsid w:val="00B77642"/>
    <w:rsid w:val="00B80D0B"/>
    <w:rsid w:val="00B8388A"/>
    <w:rsid w:val="00B85BEB"/>
    <w:rsid w:val="00B95CBE"/>
    <w:rsid w:val="00BB4549"/>
    <w:rsid w:val="00BB4C47"/>
    <w:rsid w:val="00BC08EE"/>
    <w:rsid w:val="00BD60F3"/>
    <w:rsid w:val="00C0671D"/>
    <w:rsid w:val="00C06B8C"/>
    <w:rsid w:val="00C13D40"/>
    <w:rsid w:val="00C206F6"/>
    <w:rsid w:val="00C2495A"/>
    <w:rsid w:val="00C407A8"/>
    <w:rsid w:val="00C65528"/>
    <w:rsid w:val="00C770D6"/>
    <w:rsid w:val="00C95164"/>
    <w:rsid w:val="00C9747D"/>
    <w:rsid w:val="00CB2300"/>
    <w:rsid w:val="00CC2019"/>
    <w:rsid w:val="00CE0694"/>
    <w:rsid w:val="00CF32C9"/>
    <w:rsid w:val="00CF423D"/>
    <w:rsid w:val="00CF6063"/>
    <w:rsid w:val="00CF65CD"/>
    <w:rsid w:val="00D036E6"/>
    <w:rsid w:val="00D42691"/>
    <w:rsid w:val="00D46502"/>
    <w:rsid w:val="00D57D25"/>
    <w:rsid w:val="00D64B3F"/>
    <w:rsid w:val="00D70820"/>
    <w:rsid w:val="00D90C07"/>
    <w:rsid w:val="00DB1206"/>
    <w:rsid w:val="00DC2F41"/>
    <w:rsid w:val="00DC4ACF"/>
    <w:rsid w:val="00DC6844"/>
    <w:rsid w:val="00DD4CD0"/>
    <w:rsid w:val="00DD5D83"/>
    <w:rsid w:val="00DD7907"/>
    <w:rsid w:val="00DE06A1"/>
    <w:rsid w:val="00DE7766"/>
    <w:rsid w:val="00DF3534"/>
    <w:rsid w:val="00DF5A09"/>
    <w:rsid w:val="00DF6BAB"/>
    <w:rsid w:val="00DF6CA3"/>
    <w:rsid w:val="00E00220"/>
    <w:rsid w:val="00E03B31"/>
    <w:rsid w:val="00E276F7"/>
    <w:rsid w:val="00E33822"/>
    <w:rsid w:val="00E5383B"/>
    <w:rsid w:val="00E6269C"/>
    <w:rsid w:val="00E631BC"/>
    <w:rsid w:val="00E67E89"/>
    <w:rsid w:val="00E80110"/>
    <w:rsid w:val="00E85AB0"/>
    <w:rsid w:val="00E91546"/>
    <w:rsid w:val="00EC0C18"/>
    <w:rsid w:val="00ED72F8"/>
    <w:rsid w:val="00EE2E4D"/>
    <w:rsid w:val="00F1006A"/>
    <w:rsid w:val="00F1120B"/>
    <w:rsid w:val="00F33933"/>
    <w:rsid w:val="00F45512"/>
    <w:rsid w:val="00F57783"/>
    <w:rsid w:val="00F66A30"/>
    <w:rsid w:val="00F7169E"/>
    <w:rsid w:val="00F75F5C"/>
    <w:rsid w:val="00F80931"/>
    <w:rsid w:val="00F874D9"/>
    <w:rsid w:val="00F96738"/>
    <w:rsid w:val="00FA018B"/>
    <w:rsid w:val="00FA4639"/>
    <w:rsid w:val="00FA6C36"/>
    <w:rsid w:val="00FB13CA"/>
    <w:rsid w:val="00FB1841"/>
    <w:rsid w:val="00FB54F6"/>
    <w:rsid w:val="00FB7ECA"/>
    <w:rsid w:val="00FF61CC"/>
    <w:rsid w:val="00FF6A73"/>
    <w:rsid w:val="00FF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DD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50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List Paragraph 1"/>
    <w:basedOn w:val="Normal"/>
    <w:link w:val="ListParagraphChar"/>
    <w:uiPriority w:val="99"/>
    <w:qFormat/>
    <w:rsid w:val="000850EB"/>
    <w:pPr>
      <w:ind w:left="720"/>
      <w:contextualSpacing/>
    </w:pPr>
  </w:style>
  <w:style w:type="character" w:customStyle="1" w:styleId="ListParagraphChar">
    <w:name w:val="List Paragraph Char"/>
    <w:aliases w:val="List Paragraph 1 Char"/>
    <w:link w:val="ListParagraph"/>
    <w:uiPriority w:val="34"/>
    <w:locked/>
    <w:rsid w:val="000850EB"/>
    <w:rPr>
      <w:lang w:val="en-ZA"/>
    </w:rPr>
  </w:style>
  <w:style w:type="paragraph" w:styleId="Header">
    <w:name w:val="header"/>
    <w:basedOn w:val="Normal"/>
    <w:link w:val="HeaderChar"/>
    <w:uiPriority w:val="99"/>
    <w:unhideWhenUsed/>
    <w:rsid w:val="0008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EB"/>
    <w:rPr>
      <w:lang w:val="en-ZA"/>
    </w:rPr>
  </w:style>
  <w:style w:type="paragraph" w:styleId="Footer">
    <w:name w:val="footer"/>
    <w:basedOn w:val="Normal"/>
    <w:link w:val="FooterChar"/>
    <w:uiPriority w:val="99"/>
    <w:unhideWhenUsed/>
    <w:rsid w:val="0008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EB"/>
    <w:rPr>
      <w:lang w:val="en-ZA"/>
    </w:rPr>
  </w:style>
  <w:style w:type="character" w:styleId="Strong">
    <w:name w:val="Strong"/>
    <w:basedOn w:val="DefaultParagraphFont"/>
    <w:uiPriority w:val="22"/>
    <w:qFormat/>
    <w:rsid w:val="000850EB"/>
    <w:rPr>
      <w:b/>
      <w:bCs/>
    </w:rPr>
  </w:style>
  <w:style w:type="character" w:customStyle="1" w:styleId="st">
    <w:name w:val="st"/>
    <w:basedOn w:val="DefaultParagraphFont"/>
    <w:rsid w:val="000850EB"/>
  </w:style>
  <w:style w:type="paragraph" w:styleId="BalloonText">
    <w:name w:val="Balloon Text"/>
    <w:basedOn w:val="Normal"/>
    <w:link w:val="BalloonTextChar"/>
    <w:uiPriority w:val="99"/>
    <w:semiHidden/>
    <w:unhideWhenUsed/>
    <w:rsid w:val="0008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EB"/>
    <w:rPr>
      <w:rFonts w:ascii="Segoe UI" w:hAnsi="Segoe UI" w:cs="Segoe UI"/>
      <w:sz w:val="18"/>
      <w:szCs w:val="18"/>
      <w:lang w:val="en-ZA"/>
    </w:rPr>
  </w:style>
  <w:style w:type="paragraph" w:customStyle="1" w:styleId="Default">
    <w:name w:val="Default"/>
    <w:rsid w:val="000850EB"/>
    <w:pPr>
      <w:autoSpaceDE w:val="0"/>
      <w:autoSpaceDN w:val="0"/>
      <w:adjustRightInd w:val="0"/>
      <w:spacing w:after="0" w:line="240" w:lineRule="auto"/>
    </w:pPr>
    <w:rPr>
      <w:rFonts w:ascii="Arial" w:hAnsi="Arial" w:cs="Arial"/>
      <w:color w:val="000000"/>
      <w:sz w:val="24"/>
      <w:szCs w:val="24"/>
      <w:lang w:val="en-ZA"/>
    </w:rPr>
  </w:style>
  <w:style w:type="table" w:styleId="TableGrid">
    <w:name w:val="Table Grid"/>
    <w:basedOn w:val="TableNormal"/>
    <w:uiPriority w:val="39"/>
    <w:rsid w:val="000850E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50EB"/>
    <w:pPr>
      <w:spacing w:after="0" w:line="240" w:lineRule="auto"/>
    </w:pPr>
    <w:rPr>
      <w:lang w:val="en-ZA"/>
    </w:rPr>
  </w:style>
  <w:style w:type="paragraph" w:styleId="FootnoteText">
    <w:name w:val="footnote text"/>
    <w:basedOn w:val="Normal"/>
    <w:link w:val="FootnoteTextChar"/>
    <w:uiPriority w:val="99"/>
    <w:semiHidden/>
    <w:unhideWhenUsed/>
    <w:rsid w:val="00085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0EB"/>
    <w:rPr>
      <w:sz w:val="20"/>
      <w:szCs w:val="20"/>
      <w:lang w:val="en-ZA"/>
    </w:rPr>
  </w:style>
  <w:style w:type="table" w:customStyle="1" w:styleId="TableGrid1">
    <w:name w:val="Table Grid1"/>
    <w:basedOn w:val="TableNormal"/>
    <w:next w:val="TableGrid"/>
    <w:uiPriority w:val="59"/>
    <w:rsid w:val="000850EB"/>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0850EB"/>
    <w:pPr>
      <w:spacing w:line="240" w:lineRule="auto"/>
    </w:pPr>
    <w:rPr>
      <w:sz w:val="20"/>
      <w:szCs w:val="20"/>
    </w:rPr>
  </w:style>
  <w:style w:type="character" w:customStyle="1" w:styleId="CommentTextChar">
    <w:name w:val="Comment Text Char"/>
    <w:basedOn w:val="DefaultParagraphFont"/>
    <w:link w:val="CommentText"/>
    <w:uiPriority w:val="99"/>
    <w:semiHidden/>
    <w:rsid w:val="000850EB"/>
    <w:rPr>
      <w:sz w:val="20"/>
      <w:szCs w:val="20"/>
      <w:lang w:val="en-ZA"/>
    </w:rPr>
  </w:style>
  <w:style w:type="paragraph" w:styleId="CommentSubject">
    <w:name w:val="annotation subject"/>
    <w:basedOn w:val="CommentText"/>
    <w:next w:val="CommentText"/>
    <w:link w:val="CommentSubjectChar"/>
    <w:uiPriority w:val="99"/>
    <w:semiHidden/>
    <w:unhideWhenUsed/>
    <w:rsid w:val="000850EB"/>
    <w:rPr>
      <w:b/>
      <w:bCs/>
    </w:rPr>
  </w:style>
  <w:style w:type="character" w:customStyle="1" w:styleId="CommentSubjectChar">
    <w:name w:val="Comment Subject Char"/>
    <w:basedOn w:val="CommentTextChar"/>
    <w:link w:val="CommentSubject"/>
    <w:uiPriority w:val="99"/>
    <w:semiHidden/>
    <w:rsid w:val="000850EB"/>
    <w:rPr>
      <w:b/>
      <w:bCs/>
      <w:sz w:val="20"/>
      <w:szCs w:val="20"/>
      <w:lang w:val="en-ZA"/>
    </w:rPr>
  </w:style>
  <w:style w:type="paragraph" w:styleId="EndnoteText">
    <w:name w:val="endnote text"/>
    <w:basedOn w:val="Normal"/>
    <w:link w:val="EndnoteTextChar"/>
    <w:uiPriority w:val="99"/>
    <w:semiHidden/>
    <w:unhideWhenUsed/>
    <w:rsid w:val="006D49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932"/>
    <w:rPr>
      <w:sz w:val="20"/>
      <w:szCs w:val="20"/>
      <w:lang w:val="en-ZA"/>
    </w:rPr>
  </w:style>
  <w:style w:type="character" w:styleId="EndnoteReference">
    <w:name w:val="endnote reference"/>
    <w:basedOn w:val="DefaultParagraphFont"/>
    <w:uiPriority w:val="99"/>
    <w:semiHidden/>
    <w:unhideWhenUsed/>
    <w:rsid w:val="006D4932"/>
    <w:rPr>
      <w:vertAlign w:val="superscript"/>
    </w:rPr>
  </w:style>
  <w:style w:type="character" w:styleId="FootnoteReference">
    <w:name w:val="footnote reference"/>
    <w:basedOn w:val="DefaultParagraphFont"/>
    <w:uiPriority w:val="99"/>
    <w:semiHidden/>
    <w:unhideWhenUsed/>
    <w:rsid w:val="00C2495A"/>
    <w:rPr>
      <w:vertAlign w:val="superscript"/>
    </w:rPr>
  </w:style>
  <w:style w:type="character" w:styleId="Emphasis">
    <w:name w:val="Emphasis"/>
    <w:basedOn w:val="DefaultParagraphFont"/>
    <w:uiPriority w:val="20"/>
    <w:qFormat/>
    <w:rsid w:val="006C1E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50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List Paragraph 1"/>
    <w:basedOn w:val="Normal"/>
    <w:link w:val="ListParagraphChar"/>
    <w:uiPriority w:val="99"/>
    <w:qFormat/>
    <w:rsid w:val="000850EB"/>
    <w:pPr>
      <w:ind w:left="720"/>
      <w:contextualSpacing/>
    </w:pPr>
  </w:style>
  <w:style w:type="character" w:customStyle="1" w:styleId="ListParagraphChar">
    <w:name w:val="List Paragraph Char"/>
    <w:aliases w:val="List Paragraph 1 Char"/>
    <w:link w:val="ListParagraph"/>
    <w:uiPriority w:val="34"/>
    <w:locked/>
    <w:rsid w:val="000850EB"/>
    <w:rPr>
      <w:lang w:val="en-ZA"/>
    </w:rPr>
  </w:style>
  <w:style w:type="paragraph" w:styleId="Header">
    <w:name w:val="header"/>
    <w:basedOn w:val="Normal"/>
    <w:link w:val="HeaderChar"/>
    <w:uiPriority w:val="99"/>
    <w:unhideWhenUsed/>
    <w:rsid w:val="0008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EB"/>
    <w:rPr>
      <w:lang w:val="en-ZA"/>
    </w:rPr>
  </w:style>
  <w:style w:type="paragraph" w:styleId="Footer">
    <w:name w:val="footer"/>
    <w:basedOn w:val="Normal"/>
    <w:link w:val="FooterChar"/>
    <w:uiPriority w:val="99"/>
    <w:unhideWhenUsed/>
    <w:rsid w:val="0008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EB"/>
    <w:rPr>
      <w:lang w:val="en-ZA"/>
    </w:rPr>
  </w:style>
  <w:style w:type="character" w:styleId="Strong">
    <w:name w:val="Strong"/>
    <w:basedOn w:val="DefaultParagraphFont"/>
    <w:uiPriority w:val="22"/>
    <w:qFormat/>
    <w:rsid w:val="000850EB"/>
    <w:rPr>
      <w:b/>
      <w:bCs/>
    </w:rPr>
  </w:style>
  <w:style w:type="character" w:customStyle="1" w:styleId="st">
    <w:name w:val="st"/>
    <w:basedOn w:val="DefaultParagraphFont"/>
    <w:rsid w:val="000850EB"/>
  </w:style>
  <w:style w:type="paragraph" w:styleId="BalloonText">
    <w:name w:val="Balloon Text"/>
    <w:basedOn w:val="Normal"/>
    <w:link w:val="BalloonTextChar"/>
    <w:uiPriority w:val="99"/>
    <w:semiHidden/>
    <w:unhideWhenUsed/>
    <w:rsid w:val="0008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EB"/>
    <w:rPr>
      <w:rFonts w:ascii="Segoe UI" w:hAnsi="Segoe UI" w:cs="Segoe UI"/>
      <w:sz w:val="18"/>
      <w:szCs w:val="18"/>
      <w:lang w:val="en-ZA"/>
    </w:rPr>
  </w:style>
  <w:style w:type="paragraph" w:customStyle="1" w:styleId="Default">
    <w:name w:val="Default"/>
    <w:rsid w:val="000850EB"/>
    <w:pPr>
      <w:autoSpaceDE w:val="0"/>
      <w:autoSpaceDN w:val="0"/>
      <w:adjustRightInd w:val="0"/>
      <w:spacing w:after="0" w:line="240" w:lineRule="auto"/>
    </w:pPr>
    <w:rPr>
      <w:rFonts w:ascii="Arial" w:hAnsi="Arial" w:cs="Arial"/>
      <w:color w:val="000000"/>
      <w:sz w:val="24"/>
      <w:szCs w:val="24"/>
      <w:lang w:val="en-ZA"/>
    </w:rPr>
  </w:style>
  <w:style w:type="table" w:styleId="TableGrid">
    <w:name w:val="Table Grid"/>
    <w:basedOn w:val="TableNormal"/>
    <w:uiPriority w:val="39"/>
    <w:rsid w:val="000850E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50EB"/>
    <w:pPr>
      <w:spacing w:after="0" w:line="240" w:lineRule="auto"/>
    </w:pPr>
    <w:rPr>
      <w:lang w:val="en-ZA"/>
    </w:rPr>
  </w:style>
  <w:style w:type="paragraph" w:styleId="FootnoteText">
    <w:name w:val="footnote text"/>
    <w:basedOn w:val="Normal"/>
    <w:link w:val="FootnoteTextChar"/>
    <w:uiPriority w:val="99"/>
    <w:semiHidden/>
    <w:unhideWhenUsed/>
    <w:rsid w:val="00085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0EB"/>
    <w:rPr>
      <w:sz w:val="20"/>
      <w:szCs w:val="20"/>
      <w:lang w:val="en-ZA"/>
    </w:rPr>
  </w:style>
  <w:style w:type="table" w:customStyle="1" w:styleId="TableGrid1">
    <w:name w:val="Table Grid1"/>
    <w:basedOn w:val="TableNormal"/>
    <w:next w:val="TableGrid"/>
    <w:uiPriority w:val="59"/>
    <w:rsid w:val="000850EB"/>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0850EB"/>
    <w:pPr>
      <w:spacing w:line="240" w:lineRule="auto"/>
    </w:pPr>
    <w:rPr>
      <w:sz w:val="20"/>
      <w:szCs w:val="20"/>
    </w:rPr>
  </w:style>
  <w:style w:type="character" w:customStyle="1" w:styleId="CommentTextChar">
    <w:name w:val="Comment Text Char"/>
    <w:basedOn w:val="DefaultParagraphFont"/>
    <w:link w:val="CommentText"/>
    <w:uiPriority w:val="99"/>
    <w:semiHidden/>
    <w:rsid w:val="000850EB"/>
    <w:rPr>
      <w:sz w:val="20"/>
      <w:szCs w:val="20"/>
      <w:lang w:val="en-ZA"/>
    </w:rPr>
  </w:style>
  <w:style w:type="paragraph" w:styleId="CommentSubject">
    <w:name w:val="annotation subject"/>
    <w:basedOn w:val="CommentText"/>
    <w:next w:val="CommentText"/>
    <w:link w:val="CommentSubjectChar"/>
    <w:uiPriority w:val="99"/>
    <w:semiHidden/>
    <w:unhideWhenUsed/>
    <w:rsid w:val="000850EB"/>
    <w:rPr>
      <w:b/>
      <w:bCs/>
    </w:rPr>
  </w:style>
  <w:style w:type="character" w:customStyle="1" w:styleId="CommentSubjectChar">
    <w:name w:val="Comment Subject Char"/>
    <w:basedOn w:val="CommentTextChar"/>
    <w:link w:val="CommentSubject"/>
    <w:uiPriority w:val="99"/>
    <w:semiHidden/>
    <w:rsid w:val="000850EB"/>
    <w:rPr>
      <w:b/>
      <w:bCs/>
      <w:sz w:val="20"/>
      <w:szCs w:val="20"/>
      <w:lang w:val="en-ZA"/>
    </w:rPr>
  </w:style>
  <w:style w:type="paragraph" w:styleId="EndnoteText">
    <w:name w:val="endnote text"/>
    <w:basedOn w:val="Normal"/>
    <w:link w:val="EndnoteTextChar"/>
    <w:uiPriority w:val="99"/>
    <w:semiHidden/>
    <w:unhideWhenUsed/>
    <w:rsid w:val="006D49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932"/>
    <w:rPr>
      <w:sz w:val="20"/>
      <w:szCs w:val="20"/>
      <w:lang w:val="en-ZA"/>
    </w:rPr>
  </w:style>
  <w:style w:type="character" w:styleId="EndnoteReference">
    <w:name w:val="endnote reference"/>
    <w:basedOn w:val="DefaultParagraphFont"/>
    <w:uiPriority w:val="99"/>
    <w:semiHidden/>
    <w:unhideWhenUsed/>
    <w:rsid w:val="006D4932"/>
    <w:rPr>
      <w:vertAlign w:val="superscript"/>
    </w:rPr>
  </w:style>
  <w:style w:type="character" w:styleId="FootnoteReference">
    <w:name w:val="footnote reference"/>
    <w:basedOn w:val="DefaultParagraphFont"/>
    <w:uiPriority w:val="99"/>
    <w:semiHidden/>
    <w:unhideWhenUsed/>
    <w:rsid w:val="00C2495A"/>
    <w:rPr>
      <w:vertAlign w:val="superscript"/>
    </w:rPr>
  </w:style>
  <w:style w:type="character" w:styleId="Emphasis">
    <w:name w:val="Emphasis"/>
    <w:basedOn w:val="DefaultParagraphFont"/>
    <w:uiPriority w:val="20"/>
    <w:qFormat/>
    <w:rsid w:val="006C1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16076">
      <w:bodyDiv w:val="1"/>
      <w:marLeft w:val="0"/>
      <w:marRight w:val="0"/>
      <w:marTop w:val="0"/>
      <w:marBottom w:val="0"/>
      <w:divBdr>
        <w:top w:val="none" w:sz="0" w:space="0" w:color="auto"/>
        <w:left w:val="none" w:sz="0" w:space="0" w:color="auto"/>
        <w:bottom w:val="none" w:sz="0" w:space="0" w:color="auto"/>
        <w:right w:val="none" w:sz="0" w:space="0" w:color="auto"/>
      </w:divBdr>
      <w:divsChild>
        <w:div w:id="1770739153">
          <w:marLeft w:val="123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EB94-42C8-4249-BBB1-A9A938CD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10614</Words>
  <Characters>60503</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2018-11-26T11:57:00Z</cp:lastPrinted>
  <dcterms:created xsi:type="dcterms:W3CDTF">2018-11-28T09:24:00Z</dcterms:created>
  <dcterms:modified xsi:type="dcterms:W3CDTF">2018-11-28T09:24:00Z</dcterms:modified>
</cp:coreProperties>
</file>