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6E1" w:rsidRPr="00AD4888" w:rsidRDefault="00D346E1" w:rsidP="00D346E1">
      <w:pPr>
        <w:pStyle w:val="NoSpacing"/>
        <w:pBdr>
          <w:bottom w:val="single" w:sz="4" w:space="1" w:color="auto"/>
        </w:pBdr>
        <w:ind w:right="577"/>
        <w:rPr>
          <w:rFonts w:ascii="Arial" w:hAnsi="Arial"/>
          <w:b/>
          <w:sz w:val="16"/>
          <w:szCs w:val="16"/>
        </w:rPr>
      </w:pPr>
      <w:bookmarkStart w:id="0" w:name="_GoBack"/>
      <w:bookmarkEnd w:id="0"/>
    </w:p>
    <w:p w:rsidR="00326612" w:rsidRDefault="00326612">
      <w:pPr>
        <w:sectPr w:rsidR="00326612" w:rsidSect="00D346E1">
          <w:footerReference w:type="default" r:id="rId8"/>
          <w:headerReference w:type="first" r:id="rId9"/>
          <w:footerReference w:type="first" r:id="rId10"/>
          <w:type w:val="continuous"/>
          <w:pgSz w:w="11900" w:h="16840"/>
          <w:pgMar w:top="2102" w:right="380" w:bottom="278" w:left="839" w:header="0" w:footer="1544" w:gutter="0"/>
          <w:cols w:space="708"/>
          <w:titlePg/>
          <w:docGrid w:linePitch="299"/>
        </w:sectPr>
      </w:pPr>
    </w:p>
    <w:p w:rsidR="00F32AA1" w:rsidRDefault="00F32AA1"/>
    <w:p w:rsidR="006A35CD" w:rsidRDefault="006A35CD" w:rsidP="006A35CD">
      <w:pPr>
        <w:spacing w:before="160" w:line="276" w:lineRule="auto"/>
        <w:jc w:val="right"/>
        <w:rPr>
          <w:rFonts w:cstheme="minorHAnsi"/>
          <w:sz w:val="22"/>
          <w:szCs w:val="22"/>
          <w:lang w:val="en-ZA"/>
        </w:rPr>
      </w:pPr>
      <w:r w:rsidRPr="00650469">
        <w:rPr>
          <w:rFonts w:cstheme="minorHAnsi"/>
          <w:sz w:val="22"/>
          <w:szCs w:val="22"/>
          <w:lang w:val="en-ZA"/>
        </w:rPr>
        <w:t>11 October 2018</w:t>
      </w:r>
    </w:p>
    <w:p w:rsidR="006A35CD" w:rsidRPr="00650469" w:rsidRDefault="006A35CD" w:rsidP="006A35CD">
      <w:pPr>
        <w:spacing w:before="160" w:line="276" w:lineRule="auto"/>
        <w:jc w:val="right"/>
        <w:rPr>
          <w:rFonts w:cstheme="minorHAnsi"/>
          <w:sz w:val="22"/>
          <w:szCs w:val="22"/>
          <w:lang w:val="en-ZA"/>
        </w:rPr>
      </w:pPr>
    </w:p>
    <w:p w:rsidR="006A35CD" w:rsidRPr="00650469" w:rsidRDefault="006A35CD" w:rsidP="006A35CD">
      <w:pPr>
        <w:spacing w:before="120" w:after="120" w:line="276" w:lineRule="auto"/>
        <w:rPr>
          <w:rFonts w:cstheme="minorHAnsi"/>
          <w:b/>
          <w:sz w:val="22"/>
          <w:szCs w:val="22"/>
          <w:lang w:val="en-ZA"/>
        </w:rPr>
      </w:pPr>
      <w:r w:rsidRPr="00650469">
        <w:rPr>
          <w:rFonts w:cstheme="minorHAnsi"/>
          <w:b/>
          <w:sz w:val="22"/>
          <w:szCs w:val="22"/>
          <w:lang w:val="en-ZA"/>
        </w:rPr>
        <w:t xml:space="preserve">Portfolio Committee on Telecommunications and Postal Services </w:t>
      </w:r>
    </w:p>
    <w:p w:rsidR="006A35CD" w:rsidRPr="00650469" w:rsidRDefault="006A35CD" w:rsidP="006A35CD">
      <w:pPr>
        <w:spacing w:before="120" w:after="120" w:line="276" w:lineRule="auto"/>
        <w:rPr>
          <w:rFonts w:cstheme="minorHAnsi"/>
          <w:sz w:val="22"/>
          <w:szCs w:val="22"/>
          <w:lang w:val="en-ZA"/>
        </w:rPr>
      </w:pPr>
      <w:r w:rsidRPr="00650469">
        <w:rPr>
          <w:rFonts w:cstheme="minorHAnsi"/>
          <w:sz w:val="22"/>
          <w:szCs w:val="22"/>
          <w:lang w:val="en-ZA"/>
        </w:rPr>
        <w:t>Attention: Ms Hajiera Salie</w:t>
      </w:r>
    </w:p>
    <w:p w:rsidR="006A35CD" w:rsidRPr="00650469" w:rsidRDefault="006A35CD" w:rsidP="006A35CD">
      <w:pPr>
        <w:spacing w:before="120" w:after="360" w:line="276" w:lineRule="auto"/>
        <w:rPr>
          <w:rFonts w:cstheme="minorHAnsi"/>
          <w:sz w:val="22"/>
          <w:szCs w:val="22"/>
        </w:rPr>
      </w:pPr>
      <w:r w:rsidRPr="00650469">
        <w:rPr>
          <w:rFonts w:cstheme="minorHAnsi"/>
          <w:sz w:val="22"/>
          <w:szCs w:val="22"/>
          <w:lang w:val="en-ZA"/>
        </w:rPr>
        <w:t xml:space="preserve">Per email: </w:t>
      </w:r>
      <w:r w:rsidRPr="00650469">
        <w:rPr>
          <w:rStyle w:val="Hyperlink"/>
          <w:rFonts w:cstheme="minorHAnsi"/>
          <w:sz w:val="22"/>
          <w:szCs w:val="22"/>
          <w:lang w:val="en-ZA"/>
        </w:rPr>
        <w:t>hsalie@parliament.co.za</w:t>
      </w:r>
    </w:p>
    <w:p w:rsidR="006A35CD" w:rsidRPr="00650469" w:rsidRDefault="006A35CD" w:rsidP="006A35CD">
      <w:pPr>
        <w:spacing w:before="120" w:after="120" w:line="276" w:lineRule="auto"/>
        <w:rPr>
          <w:rFonts w:cstheme="minorHAnsi"/>
          <w:b/>
          <w:sz w:val="22"/>
          <w:szCs w:val="22"/>
          <w:lang w:val="en-ZA"/>
        </w:rPr>
      </w:pPr>
      <w:r w:rsidRPr="00650469">
        <w:rPr>
          <w:rFonts w:cstheme="minorHAnsi"/>
          <w:sz w:val="22"/>
          <w:szCs w:val="22"/>
          <w:lang w:val="en-ZA"/>
        </w:rPr>
        <w:t> </w:t>
      </w:r>
      <w:r w:rsidRPr="00650469">
        <w:rPr>
          <w:rFonts w:cstheme="minorHAnsi"/>
          <w:b/>
          <w:sz w:val="22"/>
          <w:szCs w:val="22"/>
          <w:lang w:val="en-ZA"/>
        </w:rPr>
        <w:t>ELECTRONIC COMMUNICATIONS AMENDMENT BILL [B31-2018]</w:t>
      </w:r>
    </w:p>
    <w:p w:rsidR="006A35CD" w:rsidRDefault="006A35CD" w:rsidP="006A35CD">
      <w:pPr>
        <w:pStyle w:val="ListParagraph"/>
        <w:spacing w:after="0" w:line="480" w:lineRule="auto"/>
        <w:ind w:left="357"/>
        <w:rPr>
          <w:rFonts w:cstheme="minorHAnsi"/>
        </w:rPr>
      </w:pPr>
    </w:p>
    <w:p w:rsidR="006A35CD" w:rsidRPr="00D6025A" w:rsidRDefault="006A35CD" w:rsidP="006A35CD">
      <w:pPr>
        <w:pStyle w:val="ListParagraph"/>
        <w:numPr>
          <w:ilvl w:val="0"/>
          <w:numId w:val="1"/>
        </w:numPr>
        <w:spacing w:after="0" w:line="480" w:lineRule="auto"/>
        <w:ind w:left="357" w:hanging="357"/>
        <w:rPr>
          <w:rFonts w:cstheme="minorHAnsi"/>
        </w:rPr>
      </w:pPr>
      <w:r>
        <w:rPr>
          <w:rFonts w:cstheme="minorHAnsi"/>
        </w:rPr>
        <w:t>The South African Local Government Association (</w:t>
      </w:r>
      <w:r w:rsidRPr="003D1358">
        <w:rPr>
          <w:rFonts w:cstheme="minorHAnsi"/>
          <w:b/>
        </w:rPr>
        <w:t>SALGA</w:t>
      </w:r>
      <w:r>
        <w:rPr>
          <w:rFonts w:cstheme="minorHAnsi"/>
        </w:rPr>
        <w:t>) has noted the invitation to comment on</w:t>
      </w:r>
      <w:r w:rsidRPr="00650469">
        <w:rPr>
          <w:rFonts w:cstheme="minorHAnsi"/>
        </w:rPr>
        <w:t xml:space="preserve"> the Electronic Communications Amendment Bill [B31-2018] (“</w:t>
      </w:r>
      <w:r w:rsidRPr="003D1358">
        <w:rPr>
          <w:rFonts w:cstheme="minorHAnsi"/>
          <w:b/>
        </w:rPr>
        <w:t>the Bill</w:t>
      </w:r>
      <w:r w:rsidRPr="00650469">
        <w:rPr>
          <w:rFonts w:cstheme="minorHAnsi"/>
        </w:rPr>
        <w:t xml:space="preserve">”) </w:t>
      </w:r>
      <w:r>
        <w:rPr>
          <w:rFonts w:cstheme="minorHAnsi"/>
        </w:rPr>
        <w:t xml:space="preserve">issued by the </w:t>
      </w:r>
      <w:r w:rsidRPr="00650469">
        <w:rPr>
          <w:rFonts w:cstheme="minorHAnsi"/>
        </w:rPr>
        <w:t>Portfolio Committee</w:t>
      </w:r>
      <w:r>
        <w:rPr>
          <w:rFonts w:cstheme="minorHAnsi"/>
        </w:rPr>
        <w:t xml:space="preserve"> on Telecommunications and Postal Services (“</w:t>
      </w:r>
      <w:r w:rsidRPr="003D1358">
        <w:rPr>
          <w:rFonts w:cstheme="minorHAnsi"/>
          <w:b/>
        </w:rPr>
        <w:t>the Committee</w:t>
      </w:r>
      <w:r>
        <w:rPr>
          <w:rFonts w:cstheme="minorHAnsi"/>
        </w:rPr>
        <w:t>”) and sets out its submissions below.</w:t>
      </w:r>
    </w:p>
    <w:p w:rsidR="006A35CD" w:rsidRPr="00650469" w:rsidRDefault="006A35CD" w:rsidP="006A35CD">
      <w:pPr>
        <w:pStyle w:val="Heading1"/>
        <w:spacing w:after="120" w:line="276" w:lineRule="auto"/>
        <w:rPr>
          <w:rFonts w:asciiTheme="minorHAnsi" w:hAnsiTheme="minorHAnsi" w:cstheme="minorHAnsi"/>
          <w:b/>
          <w:sz w:val="22"/>
          <w:szCs w:val="22"/>
          <w:lang w:val="en-ZA"/>
        </w:rPr>
      </w:pPr>
      <w:r w:rsidRPr="00650469">
        <w:rPr>
          <w:rFonts w:asciiTheme="minorHAnsi" w:hAnsiTheme="minorHAnsi" w:cstheme="minorHAnsi"/>
          <w:b/>
          <w:sz w:val="22"/>
          <w:szCs w:val="22"/>
          <w:lang w:val="en-ZA"/>
        </w:rPr>
        <w:t>ABOUT SALGA</w:t>
      </w:r>
    </w:p>
    <w:p w:rsidR="006A35CD" w:rsidRPr="003D1358" w:rsidRDefault="006A35CD" w:rsidP="006A35CD">
      <w:pPr>
        <w:pStyle w:val="ListParagraph"/>
        <w:numPr>
          <w:ilvl w:val="0"/>
          <w:numId w:val="1"/>
        </w:numPr>
        <w:spacing w:after="0" w:line="480" w:lineRule="auto"/>
        <w:ind w:left="357" w:hanging="357"/>
        <w:rPr>
          <w:rFonts w:cstheme="minorHAnsi"/>
        </w:rPr>
      </w:pPr>
      <w:r>
        <w:rPr>
          <w:rFonts w:cstheme="minorHAnsi"/>
        </w:rPr>
        <w:t xml:space="preserve">SALGA </w:t>
      </w:r>
      <w:r w:rsidRPr="00FC3615">
        <w:rPr>
          <w:rFonts w:cstheme="minorHAnsi"/>
        </w:rPr>
        <w:t>is an autonomous association of all 257 South African local governments</w:t>
      </w:r>
      <w:r>
        <w:rPr>
          <w:rFonts w:cstheme="minorHAnsi"/>
        </w:rPr>
        <w:t>.</w:t>
      </w:r>
      <w:r w:rsidRPr="00FC3615">
        <w:rPr>
          <w:rFonts w:cstheme="minorHAnsi"/>
        </w:rPr>
        <w:t xml:space="preserve"> Membership of </w:t>
      </w:r>
      <w:r>
        <w:rPr>
          <w:rFonts w:cstheme="minorHAnsi"/>
        </w:rPr>
        <w:t xml:space="preserve">SALGA </w:t>
      </w:r>
      <w:r w:rsidRPr="00FC3615">
        <w:rPr>
          <w:rFonts w:cstheme="minorHAnsi"/>
        </w:rPr>
        <w:t>is voluntary.</w:t>
      </w:r>
    </w:p>
    <w:p w:rsidR="006A35CD" w:rsidRPr="003D1358" w:rsidRDefault="006A35CD" w:rsidP="006A35CD">
      <w:pPr>
        <w:pStyle w:val="ListParagraph"/>
        <w:numPr>
          <w:ilvl w:val="0"/>
          <w:numId w:val="1"/>
        </w:numPr>
        <w:spacing w:after="0" w:line="480" w:lineRule="auto"/>
        <w:ind w:left="357" w:hanging="357"/>
        <w:rPr>
          <w:rFonts w:cstheme="minorHAnsi"/>
        </w:rPr>
      </w:pPr>
      <w:r w:rsidRPr="00E66B52">
        <w:rPr>
          <w:rFonts w:cstheme="minorHAnsi"/>
        </w:rPr>
        <w:t>SALGA has set out its role to represent, promote and protect the interests of local governments and to raise the profile of local government, amongst other objectives</w:t>
      </w:r>
      <w:r w:rsidRPr="003D1358">
        <w:rPr>
          <w:rFonts w:cstheme="minorHAnsi"/>
        </w:rPr>
        <w:t>.</w:t>
      </w:r>
    </w:p>
    <w:p w:rsidR="006A35CD" w:rsidRPr="003D1358" w:rsidRDefault="006A35CD" w:rsidP="006A35CD">
      <w:pPr>
        <w:pStyle w:val="ListParagraph"/>
        <w:numPr>
          <w:ilvl w:val="0"/>
          <w:numId w:val="1"/>
        </w:numPr>
        <w:spacing w:after="0" w:line="480" w:lineRule="auto"/>
        <w:ind w:left="357" w:hanging="357"/>
        <w:rPr>
          <w:rFonts w:cstheme="minorHAnsi"/>
        </w:rPr>
      </w:pPr>
      <w:r w:rsidRPr="00FC3615">
        <w:rPr>
          <w:rFonts w:cstheme="minorHAnsi"/>
        </w:rPr>
        <w:t xml:space="preserve">SALGA accounts to its members in terms of </w:t>
      </w:r>
      <w:r>
        <w:rPr>
          <w:rFonts w:cstheme="minorHAnsi"/>
        </w:rPr>
        <w:t>its</w:t>
      </w:r>
      <w:r w:rsidRPr="00FC3615">
        <w:rPr>
          <w:rFonts w:cstheme="minorHAnsi"/>
        </w:rPr>
        <w:t xml:space="preserve"> Constitution and Governance Framework</w:t>
      </w:r>
      <w:r>
        <w:rPr>
          <w:rFonts w:cstheme="minorHAnsi"/>
        </w:rPr>
        <w:t xml:space="preserve">, which </w:t>
      </w:r>
      <w:r w:rsidRPr="00FC3615">
        <w:rPr>
          <w:rFonts w:cstheme="minorHAnsi"/>
        </w:rPr>
        <w:t>regulat</w:t>
      </w:r>
      <w:r>
        <w:rPr>
          <w:rFonts w:cstheme="minorHAnsi"/>
        </w:rPr>
        <w:t>e</w:t>
      </w:r>
      <w:r w:rsidRPr="00FC3615">
        <w:rPr>
          <w:rFonts w:cstheme="minorHAnsi"/>
        </w:rPr>
        <w:t xml:space="preserve"> its structures and mandating processes. </w:t>
      </w:r>
      <w:r>
        <w:rPr>
          <w:rFonts w:cstheme="minorHAnsi"/>
        </w:rPr>
        <w:t>A</w:t>
      </w:r>
      <w:r w:rsidRPr="00FC3615">
        <w:rPr>
          <w:rFonts w:cstheme="minorHAnsi"/>
        </w:rPr>
        <w:t xml:space="preserve"> National Executive Committee </w:t>
      </w:r>
      <w:r>
        <w:rPr>
          <w:rFonts w:cstheme="minorHAnsi"/>
        </w:rPr>
        <w:t xml:space="preserve">made up </w:t>
      </w:r>
      <w:r w:rsidRPr="00FC3615">
        <w:rPr>
          <w:rFonts w:cstheme="minorHAnsi"/>
        </w:rPr>
        <w:t>of elected councillors (primarily mayors and office bearers in municipalities) is responsible for the affairs of the organisation between National Conferences and Members’ Assemblies, which are the highest and second highest decision</w:t>
      </w:r>
      <w:r>
        <w:rPr>
          <w:rFonts w:cstheme="minorHAnsi"/>
        </w:rPr>
        <w:t>-</w:t>
      </w:r>
      <w:r w:rsidRPr="00FC3615">
        <w:rPr>
          <w:rFonts w:cstheme="minorHAnsi"/>
        </w:rPr>
        <w:t>making bodies of the association respectively. Its administration is headed by a Chief Executive Officer.</w:t>
      </w:r>
    </w:p>
    <w:p w:rsidR="006A35CD" w:rsidRPr="003D1358" w:rsidRDefault="006A35CD" w:rsidP="006A35CD">
      <w:pPr>
        <w:pStyle w:val="ListParagraph"/>
        <w:numPr>
          <w:ilvl w:val="0"/>
          <w:numId w:val="1"/>
        </w:numPr>
        <w:spacing w:after="0" w:line="480" w:lineRule="auto"/>
        <w:ind w:left="357" w:hanging="357"/>
        <w:rPr>
          <w:rFonts w:cstheme="minorHAnsi"/>
        </w:rPr>
      </w:pPr>
      <w:r w:rsidRPr="00E66B52">
        <w:rPr>
          <w:rFonts w:cstheme="minorHAnsi"/>
        </w:rPr>
        <w:t xml:space="preserve">As a full partner in government, SALGA is expected to be an active participant in the intergovernmental relations (IGR) system, to provide common policy positions on numerous issues </w:t>
      </w:r>
      <w:r w:rsidRPr="00E66B52">
        <w:rPr>
          <w:rFonts w:cstheme="minorHAnsi"/>
        </w:rPr>
        <w:lastRenderedPageBreak/>
        <w:t xml:space="preserve">and to voice local government interests, as well as provide solutions to the challenges facing local government more generally. </w:t>
      </w:r>
    </w:p>
    <w:p w:rsidR="006A35CD" w:rsidRPr="009B4358" w:rsidRDefault="006A35CD" w:rsidP="006A35CD">
      <w:pPr>
        <w:pStyle w:val="ListParagraph"/>
        <w:numPr>
          <w:ilvl w:val="0"/>
          <w:numId w:val="1"/>
        </w:numPr>
        <w:spacing w:after="0" w:line="480" w:lineRule="auto"/>
        <w:ind w:left="357" w:hanging="357"/>
        <w:rPr>
          <w:rFonts w:cstheme="minorHAnsi"/>
        </w:rPr>
      </w:pPr>
      <w:r w:rsidRPr="009B4358">
        <w:rPr>
          <w:rFonts w:cstheme="minorHAnsi"/>
        </w:rPr>
        <w:t>Please note</w:t>
      </w:r>
      <w:r>
        <w:rPr>
          <w:rFonts w:cstheme="minorHAnsi"/>
        </w:rPr>
        <w:t xml:space="preserve"> </w:t>
      </w:r>
      <w:r w:rsidRPr="009B4358">
        <w:rPr>
          <w:rFonts w:cstheme="minorHAnsi"/>
        </w:rPr>
        <w:t xml:space="preserve">that due to the </w:t>
      </w:r>
      <w:r>
        <w:rPr>
          <w:rFonts w:cstheme="minorHAnsi"/>
        </w:rPr>
        <w:t xml:space="preserve">limited time available for </w:t>
      </w:r>
      <w:r w:rsidRPr="009B4358">
        <w:rPr>
          <w:rFonts w:cstheme="minorHAnsi"/>
        </w:rPr>
        <w:t>this submission</w:t>
      </w:r>
      <w:r>
        <w:rPr>
          <w:rFonts w:cstheme="minorHAnsi"/>
        </w:rPr>
        <w:t>,</w:t>
      </w:r>
      <w:r w:rsidRPr="009B4358">
        <w:rPr>
          <w:rFonts w:cstheme="minorHAnsi"/>
        </w:rPr>
        <w:t xml:space="preserve"> these inputs only form initial part of a SALGA National </w:t>
      </w:r>
      <w:r>
        <w:rPr>
          <w:rFonts w:cstheme="minorHAnsi"/>
        </w:rPr>
        <w:t>O</w:t>
      </w:r>
      <w:r w:rsidRPr="009B4358">
        <w:rPr>
          <w:rFonts w:cstheme="minorHAnsi"/>
        </w:rPr>
        <w:t>ffice submission and that greater consultation across all the SALGA provinces and mandating structures will still need to take place, before a SALGA NEC</w:t>
      </w:r>
    </w:p>
    <w:p w:rsidR="006A35CD" w:rsidRPr="009B4358" w:rsidRDefault="006A35CD" w:rsidP="006A35CD">
      <w:pPr>
        <w:pStyle w:val="ListParagraph"/>
        <w:spacing w:after="0" w:line="480" w:lineRule="auto"/>
        <w:ind w:left="357"/>
        <w:rPr>
          <w:rFonts w:cstheme="minorHAnsi"/>
        </w:rPr>
      </w:pPr>
      <w:r w:rsidRPr="009B4358">
        <w:rPr>
          <w:rFonts w:cstheme="minorHAnsi"/>
        </w:rPr>
        <w:t>position can be tabled.</w:t>
      </w:r>
    </w:p>
    <w:p w:rsidR="006A35CD" w:rsidRPr="009711CC" w:rsidRDefault="006A35CD" w:rsidP="006A35CD">
      <w:pPr>
        <w:pStyle w:val="Heading1"/>
        <w:spacing w:after="120" w:line="276" w:lineRule="auto"/>
        <w:rPr>
          <w:rFonts w:asciiTheme="minorHAnsi" w:hAnsiTheme="minorHAnsi" w:cstheme="minorHAnsi"/>
          <w:b/>
          <w:sz w:val="22"/>
          <w:szCs w:val="22"/>
          <w:lang w:val="en-ZA"/>
        </w:rPr>
      </w:pPr>
      <w:r w:rsidRPr="009711CC">
        <w:rPr>
          <w:rFonts w:asciiTheme="minorHAnsi" w:hAnsiTheme="minorHAnsi" w:cstheme="minorHAnsi"/>
          <w:b/>
          <w:sz w:val="22"/>
          <w:szCs w:val="22"/>
          <w:lang w:val="en-ZA"/>
        </w:rPr>
        <w:t>SALGA’S INTEREST IN THIS BILL</w:t>
      </w:r>
    </w:p>
    <w:p w:rsidR="006A35CD" w:rsidRPr="003D1358" w:rsidRDefault="006A35CD" w:rsidP="006A35CD">
      <w:pPr>
        <w:pStyle w:val="ListParagraph"/>
        <w:numPr>
          <w:ilvl w:val="0"/>
          <w:numId w:val="1"/>
        </w:numPr>
        <w:spacing w:after="0" w:line="480" w:lineRule="auto"/>
        <w:ind w:left="357" w:hanging="357"/>
        <w:rPr>
          <w:rFonts w:cstheme="minorHAnsi"/>
        </w:rPr>
      </w:pPr>
      <w:r>
        <w:rPr>
          <w:rFonts w:cstheme="minorHAnsi"/>
        </w:rPr>
        <w:t>Local government in its capacity as owner and custodian of land and land development has a clear and direct interest in aspects of the Bill relating to the interaction between landowners and the holders of electronic communications network service (ECNS) licences.</w:t>
      </w:r>
    </w:p>
    <w:p w:rsidR="006A35CD" w:rsidRDefault="006A35CD" w:rsidP="006A35CD">
      <w:pPr>
        <w:pStyle w:val="ListParagraph"/>
        <w:numPr>
          <w:ilvl w:val="0"/>
          <w:numId w:val="1"/>
        </w:numPr>
        <w:spacing w:after="0" w:line="480" w:lineRule="auto"/>
        <w:ind w:left="357" w:hanging="357"/>
        <w:rPr>
          <w:rFonts w:cstheme="minorHAnsi"/>
        </w:rPr>
      </w:pPr>
      <w:r>
        <w:rPr>
          <w:rFonts w:cstheme="minorHAnsi"/>
        </w:rPr>
        <w:t>Further, f</w:t>
      </w:r>
      <w:r w:rsidRPr="00673BCD">
        <w:rPr>
          <w:rFonts w:cstheme="minorHAnsi"/>
        </w:rPr>
        <w:t xml:space="preserve">rom a </w:t>
      </w:r>
      <w:r>
        <w:rPr>
          <w:rFonts w:cstheme="minorHAnsi"/>
        </w:rPr>
        <w:t>l</w:t>
      </w:r>
      <w:r w:rsidRPr="00673BCD">
        <w:rPr>
          <w:rFonts w:cstheme="minorHAnsi"/>
        </w:rPr>
        <w:t xml:space="preserve">ocal </w:t>
      </w:r>
      <w:r>
        <w:rPr>
          <w:rFonts w:cstheme="minorHAnsi"/>
        </w:rPr>
        <w:t>g</w:t>
      </w:r>
      <w:r w:rsidRPr="00673BCD">
        <w:rPr>
          <w:rFonts w:cstheme="minorHAnsi"/>
        </w:rPr>
        <w:t xml:space="preserve">overnment perspective it is imperative that all municipalities are enabled </w:t>
      </w:r>
      <w:r w:rsidRPr="003D1358">
        <w:rPr>
          <w:rFonts w:cstheme="minorHAnsi"/>
        </w:rPr>
        <w:t>and empowered through:</w:t>
      </w:r>
    </w:p>
    <w:p w:rsidR="006A35CD" w:rsidRDefault="006A35CD" w:rsidP="006A35CD">
      <w:pPr>
        <w:pStyle w:val="ListParagraph"/>
        <w:numPr>
          <w:ilvl w:val="1"/>
          <w:numId w:val="1"/>
        </w:numPr>
        <w:spacing w:after="0" w:line="480" w:lineRule="auto"/>
        <w:ind w:left="993" w:hanging="567"/>
        <w:rPr>
          <w:rFonts w:cstheme="minorHAnsi"/>
        </w:rPr>
      </w:pPr>
      <w:r w:rsidRPr="003D1358">
        <w:rPr>
          <w:rFonts w:cstheme="minorHAnsi"/>
        </w:rPr>
        <w:t>frameworks which promote the self-provision of broadband and related services for their own internal use; and</w:t>
      </w:r>
    </w:p>
    <w:p w:rsidR="006A35CD" w:rsidRDefault="006A35CD" w:rsidP="006A35CD">
      <w:pPr>
        <w:pStyle w:val="ListParagraph"/>
        <w:numPr>
          <w:ilvl w:val="1"/>
          <w:numId w:val="1"/>
        </w:numPr>
        <w:spacing w:after="0" w:line="480" w:lineRule="auto"/>
        <w:ind w:left="993" w:hanging="567"/>
        <w:rPr>
          <w:rFonts w:cstheme="minorHAnsi"/>
        </w:rPr>
      </w:pPr>
      <w:r w:rsidRPr="003D1358">
        <w:rPr>
          <w:rFonts w:cstheme="minorHAnsi"/>
        </w:rPr>
        <w:t>access to spectrum and other inputs to allow them to support efficient service delivery and to allow broadband to function as a socio-economic enabler within their local communities and economies.</w:t>
      </w:r>
    </w:p>
    <w:p w:rsidR="006A35CD" w:rsidRPr="003D1358" w:rsidRDefault="006A35CD" w:rsidP="006A35CD">
      <w:pPr>
        <w:pStyle w:val="ListParagraph"/>
        <w:numPr>
          <w:ilvl w:val="0"/>
          <w:numId w:val="1"/>
        </w:numPr>
        <w:spacing w:after="0" w:line="480" w:lineRule="auto"/>
        <w:rPr>
          <w:rFonts w:cstheme="minorHAnsi"/>
        </w:rPr>
      </w:pPr>
      <w:r>
        <w:rPr>
          <w:rFonts w:cstheme="minorHAnsi"/>
        </w:rPr>
        <w:t xml:space="preserve">We believe that SALGA and municipalities have a great deal of experience and practical knowledge to impart, aside from controlling and operating their own electronic communications networks and facilities. </w:t>
      </w:r>
    </w:p>
    <w:p w:rsidR="006A35CD" w:rsidRPr="009B4358" w:rsidRDefault="006A35CD" w:rsidP="006A35CD">
      <w:pPr>
        <w:pStyle w:val="Heading1"/>
        <w:spacing w:after="120" w:line="276" w:lineRule="auto"/>
        <w:rPr>
          <w:rFonts w:asciiTheme="minorHAnsi" w:hAnsiTheme="minorHAnsi" w:cstheme="minorHAnsi"/>
          <w:b/>
          <w:sz w:val="22"/>
          <w:szCs w:val="22"/>
          <w:lang w:val="en-ZA"/>
        </w:rPr>
      </w:pPr>
      <w:r w:rsidRPr="009B4358">
        <w:rPr>
          <w:rFonts w:asciiTheme="minorHAnsi" w:hAnsiTheme="minorHAnsi" w:cstheme="minorHAnsi"/>
          <w:b/>
          <w:sz w:val="22"/>
          <w:szCs w:val="22"/>
          <w:lang w:val="en-ZA"/>
        </w:rPr>
        <w:t>SCOPE OF APPLICATION OF THE BILL</w:t>
      </w:r>
    </w:p>
    <w:p w:rsidR="006A35CD" w:rsidRPr="003D1358" w:rsidRDefault="006A35CD" w:rsidP="006A35CD">
      <w:pPr>
        <w:pStyle w:val="ListParagraph"/>
        <w:numPr>
          <w:ilvl w:val="0"/>
          <w:numId w:val="1"/>
        </w:numPr>
        <w:spacing w:after="0" w:line="480" w:lineRule="auto"/>
        <w:ind w:left="357" w:hanging="357"/>
        <w:rPr>
          <w:rFonts w:cstheme="minorHAnsi"/>
        </w:rPr>
      </w:pPr>
      <w:r>
        <w:rPr>
          <w:rFonts w:cstheme="minorHAnsi"/>
        </w:rPr>
        <w:t>The Principal Act regulates the transmission of electronic communications through the regulation of holders of licences issued by ICASA.</w:t>
      </w:r>
    </w:p>
    <w:p w:rsidR="006A35CD" w:rsidRPr="003D1358" w:rsidRDefault="006A35CD" w:rsidP="006A35CD">
      <w:pPr>
        <w:pStyle w:val="ListParagraph"/>
        <w:numPr>
          <w:ilvl w:val="0"/>
          <w:numId w:val="1"/>
        </w:numPr>
        <w:spacing w:after="0" w:line="480" w:lineRule="auto"/>
        <w:ind w:left="357" w:hanging="357"/>
        <w:rPr>
          <w:rFonts w:cstheme="minorHAnsi"/>
        </w:rPr>
      </w:pPr>
      <w:r>
        <w:rPr>
          <w:rFonts w:cstheme="minorHAnsi"/>
        </w:rPr>
        <w:t xml:space="preserve">Municipalities are not holders of ECNS or ECS licences, although certain municipalities do hold private electronic communications network (PECN) licence exemptions. A PECN licence exemption allows the holder to provide ECNS for its own internal purposes as well as authorising it to sell additional capacity on that network to third parties. </w:t>
      </w:r>
    </w:p>
    <w:p w:rsidR="006A35CD" w:rsidRPr="003D1358" w:rsidRDefault="006A35CD" w:rsidP="006A35CD">
      <w:pPr>
        <w:pStyle w:val="ListParagraph"/>
        <w:numPr>
          <w:ilvl w:val="0"/>
          <w:numId w:val="1"/>
        </w:numPr>
        <w:spacing w:after="0" w:line="480" w:lineRule="auto"/>
        <w:ind w:left="357" w:hanging="357"/>
        <w:rPr>
          <w:rFonts w:cstheme="minorHAnsi"/>
        </w:rPr>
      </w:pPr>
      <w:r>
        <w:rPr>
          <w:rFonts w:cstheme="minorHAnsi"/>
        </w:rPr>
        <w:lastRenderedPageBreak/>
        <w:t>For the purposes of these submissions, however, it is assumed that references to municipalities mean municipalities which do not hold any licence or licence exemption issued by ICASA.</w:t>
      </w:r>
    </w:p>
    <w:p w:rsidR="006A35CD" w:rsidRPr="008472B6" w:rsidRDefault="006A35CD" w:rsidP="006A35CD">
      <w:pPr>
        <w:pStyle w:val="ListParagraph"/>
        <w:numPr>
          <w:ilvl w:val="0"/>
          <w:numId w:val="1"/>
        </w:numPr>
        <w:spacing w:after="0" w:line="480" w:lineRule="auto"/>
        <w:ind w:left="357" w:hanging="357"/>
        <w:rPr>
          <w:rFonts w:cstheme="minorHAnsi"/>
        </w:rPr>
      </w:pPr>
      <w:r>
        <w:rPr>
          <w:rFonts w:cstheme="minorHAnsi"/>
        </w:rPr>
        <w:t>ICASA has no jurisdiction over municipalities.</w:t>
      </w:r>
    </w:p>
    <w:p w:rsidR="006A35CD" w:rsidRDefault="006A35CD" w:rsidP="006A35CD">
      <w:pPr>
        <w:pStyle w:val="ListParagraph"/>
        <w:numPr>
          <w:ilvl w:val="0"/>
          <w:numId w:val="1"/>
        </w:numPr>
        <w:spacing w:after="0" w:line="480" w:lineRule="auto"/>
        <w:ind w:left="357" w:hanging="357"/>
        <w:rPr>
          <w:rFonts w:cstheme="minorHAnsi"/>
        </w:rPr>
      </w:pPr>
      <w:r>
        <w:rPr>
          <w:rFonts w:cstheme="minorHAnsi"/>
        </w:rPr>
        <w:t>This raises practical and legal difficulties regarding the regulation of electronic communications facilities and in situating ICASA as an arbiter of disputes between municipalities and ECNS licensees regarding access to public land. The same infrastructure – such as a tower – may be regulated as an electronic communications facility in the hands of a licensee, but not when it is in the hands of a municipality.</w:t>
      </w:r>
    </w:p>
    <w:p w:rsidR="006A35CD" w:rsidRPr="008472B6" w:rsidRDefault="006A35CD" w:rsidP="006A35CD">
      <w:pPr>
        <w:pStyle w:val="ListParagraph"/>
        <w:numPr>
          <w:ilvl w:val="0"/>
          <w:numId w:val="1"/>
        </w:numPr>
        <w:spacing w:after="0" w:line="480" w:lineRule="auto"/>
        <w:ind w:left="357" w:hanging="357"/>
        <w:rPr>
          <w:rFonts w:cstheme="minorHAnsi"/>
        </w:rPr>
      </w:pPr>
      <w:r>
        <w:rPr>
          <w:rFonts w:cstheme="minorHAnsi"/>
        </w:rPr>
        <w:t>The Committee is requested to consider the extent to which provisions of the Bill purport to establish jurisdiction on the part of ICASA over municipalities and whether this is permissible in law.</w:t>
      </w:r>
    </w:p>
    <w:p w:rsidR="006A35CD" w:rsidRDefault="006A35CD" w:rsidP="006A35CD">
      <w:pPr>
        <w:pStyle w:val="Heading1"/>
        <w:spacing w:after="120" w:line="276" w:lineRule="auto"/>
        <w:rPr>
          <w:rFonts w:asciiTheme="minorHAnsi" w:hAnsiTheme="minorHAnsi" w:cstheme="minorHAnsi"/>
          <w:b/>
          <w:sz w:val="22"/>
          <w:szCs w:val="22"/>
          <w:lang w:val="en-ZA"/>
        </w:rPr>
      </w:pPr>
      <w:r>
        <w:rPr>
          <w:rFonts w:asciiTheme="minorHAnsi" w:hAnsiTheme="minorHAnsi" w:cstheme="minorHAnsi"/>
          <w:b/>
          <w:sz w:val="22"/>
          <w:szCs w:val="22"/>
          <w:lang w:val="en-ZA"/>
        </w:rPr>
        <w:t>RADIO FREQUENCY SPECTRUM</w:t>
      </w:r>
    </w:p>
    <w:p w:rsidR="006A35CD" w:rsidRPr="00A13735" w:rsidRDefault="006A35CD" w:rsidP="006A35CD">
      <w:pPr>
        <w:pStyle w:val="ListParagraph"/>
        <w:numPr>
          <w:ilvl w:val="0"/>
          <w:numId w:val="1"/>
        </w:numPr>
        <w:spacing w:line="480" w:lineRule="auto"/>
        <w:rPr>
          <w:rFonts w:cstheme="minorHAnsi"/>
        </w:rPr>
      </w:pPr>
      <w:r>
        <w:rPr>
          <w:rFonts w:cstheme="minorHAnsi"/>
        </w:rPr>
        <w:t>We submit that access to dedicated spectrum is essential in allowing municipalities to achieve their mandate and objectives as set out in Chapter 7 of the Constitution. This includes enhanced service delivery, greater community involvement, socio-economic development and the movement towards smart cities, the Internet of Things (IoT) and the fourth industrial revolution.</w:t>
      </w:r>
    </w:p>
    <w:p w:rsidR="006A35CD" w:rsidRPr="00A13735" w:rsidRDefault="006A35CD" w:rsidP="006A35CD">
      <w:pPr>
        <w:pStyle w:val="ListParagraph"/>
        <w:numPr>
          <w:ilvl w:val="0"/>
          <w:numId w:val="1"/>
        </w:numPr>
        <w:spacing w:line="480" w:lineRule="auto"/>
        <w:rPr>
          <w:rFonts w:cstheme="minorHAnsi"/>
        </w:rPr>
      </w:pPr>
      <w:r>
        <w:rPr>
          <w:rFonts w:cstheme="minorHAnsi"/>
        </w:rPr>
        <w:t>Many SALGA members are running projects to bring the benefits of broadband and Wi-Fi access to underserviced and poorer communities, briding the digital divide through empowering people and preparing them for the future.</w:t>
      </w:r>
      <w:r w:rsidRPr="00A13735">
        <w:rPr>
          <w:rFonts w:cstheme="minorHAnsi"/>
        </w:rPr>
        <w:t xml:space="preserve"> </w:t>
      </w:r>
    </w:p>
    <w:p w:rsidR="006A35CD" w:rsidRPr="00A13735" w:rsidRDefault="006A35CD" w:rsidP="006A35CD">
      <w:pPr>
        <w:pStyle w:val="ListParagraph"/>
        <w:numPr>
          <w:ilvl w:val="0"/>
          <w:numId w:val="1"/>
        </w:numPr>
        <w:spacing w:line="480" w:lineRule="auto"/>
        <w:rPr>
          <w:rFonts w:cstheme="minorHAnsi"/>
        </w:rPr>
      </w:pPr>
      <w:r w:rsidRPr="00A13735">
        <w:rPr>
          <w:rFonts w:cstheme="minorHAnsi"/>
        </w:rPr>
        <w:t>T</w:t>
      </w:r>
      <w:r>
        <w:rPr>
          <w:rFonts w:cstheme="minorHAnsi"/>
        </w:rPr>
        <w:t>echnology and the connectivity which enables it are critical to the development and sustainability of local government and the communities it serves.</w:t>
      </w:r>
    </w:p>
    <w:p w:rsidR="006A35CD" w:rsidRDefault="006A35CD" w:rsidP="006A35CD">
      <w:pPr>
        <w:pStyle w:val="ListParagraph"/>
        <w:numPr>
          <w:ilvl w:val="0"/>
          <w:numId w:val="1"/>
        </w:numPr>
        <w:spacing w:line="480" w:lineRule="auto"/>
        <w:rPr>
          <w:rFonts w:cstheme="minorHAnsi"/>
        </w:rPr>
      </w:pPr>
      <w:r w:rsidRPr="00A13735">
        <w:rPr>
          <w:rFonts w:cstheme="minorHAnsi"/>
        </w:rPr>
        <w:t xml:space="preserve"> </w:t>
      </w:r>
      <w:r>
        <w:rPr>
          <w:rFonts w:cstheme="minorHAnsi"/>
        </w:rPr>
        <w:t xml:space="preserve">We submit that it is an oversight that the Bill does not recognise the role of local government in delivering broadband services as a “fifth utility”. </w:t>
      </w:r>
    </w:p>
    <w:p w:rsidR="006A35CD" w:rsidRDefault="006A35CD" w:rsidP="006A35CD">
      <w:pPr>
        <w:pStyle w:val="ListParagraph"/>
        <w:numPr>
          <w:ilvl w:val="0"/>
          <w:numId w:val="1"/>
        </w:numPr>
        <w:spacing w:line="480" w:lineRule="auto"/>
        <w:rPr>
          <w:rFonts w:cstheme="minorHAnsi"/>
        </w:rPr>
      </w:pPr>
      <w:r>
        <w:rPr>
          <w:rFonts w:cstheme="minorHAnsi"/>
        </w:rPr>
        <w:t>Dedicated access spectrum could greatly expand this role by allowing municipalities to leverage fibre networks to provide public Wi-Fi and other services over a far greater area. It will allow greater control over quality of service and improve network redundancy.</w:t>
      </w:r>
    </w:p>
    <w:p w:rsidR="006A35CD" w:rsidRPr="00A13735" w:rsidRDefault="006A35CD" w:rsidP="006A35CD">
      <w:pPr>
        <w:pStyle w:val="ListParagraph"/>
        <w:numPr>
          <w:ilvl w:val="0"/>
          <w:numId w:val="1"/>
        </w:numPr>
        <w:spacing w:line="480" w:lineRule="auto"/>
        <w:rPr>
          <w:rFonts w:cstheme="minorHAnsi"/>
        </w:rPr>
      </w:pPr>
      <w:r>
        <w:rPr>
          <w:rFonts w:cstheme="minorHAnsi"/>
        </w:rPr>
        <w:t>It would furthermore secure the ability of municipalities to provide a robust communications network independent of the commercial networks to underpin Public Protection and Disaster Relief (PPDR).</w:t>
      </w:r>
    </w:p>
    <w:p w:rsidR="006A35CD" w:rsidRPr="004067D7" w:rsidRDefault="006A35CD" w:rsidP="006A35CD">
      <w:pPr>
        <w:pStyle w:val="ListParagraph"/>
        <w:numPr>
          <w:ilvl w:val="0"/>
          <w:numId w:val="1"/>
        </w:numPr>
        <w:spacing w:after="0" w:line="480" w:lineRule="auto"/>
        <w:ind w:left="357" w:hanging="357"/>
        <w:rPr>
          <w:rFonts w:cstheme="minorHAnsi"/>
        </w:rPr>
      </w:pPr>
      <w:r w:rsidRPr="00A13735">
        <w:rPr>
          <w:rFonts w:cstheme="minorHAnsi"/>
        </w:rPr>
        <w:lastRenderedPageBreak/>
        <w:t xml:space="preserve">In the interest of robust service delivery, </w:t>
      </w:r>
      <w:r>
        <w:rPr>
          <w:rFonts w:cstheme="minorHAnsi"/>
        </w:rPr>
        <w:t xml:space="preserve">SALGA </w:t>
      </w:r>
      <w:r w:rsidRPr="00A13735">
        <w:rPr>
          <w:rFonts w:cstheme="minorHAnsi"/>
        </w:rPr>
        <w:t>proposes that part of the unassigned high demand spectrum intended to be made available to the WOAN licensee be dedicated</w:t>
      </w:r>
      <w:r>
        <w:rPr>
          <w:rFonts w:cstheme="minorHAnsi"/>
        </w:rPr>
        <w:t xml:space="preserve"> </w:t>
      </w:r>
      <w:r w:rsidRPr="00A13735">
        <w:rPr>
          <w:rFonts w:cstheme="minorHAnsi"/>
        </w:rPr>
        <w:t>for the local government and even the other state entities.</w:t>
      </w:r>
    </w:p>
    <w:p w:rsidR="006A35CD" w:rsidRPr="00650469" w:rsidRDefault="006A35CD" w:rsidP="006A35CD">
      <w:pPr>
        <w:pStyle w:val="Heading1"/>
        <w:spacing w:after="120" w:line="276" w:lineRule="auto"/>
        <w:rPr>
          <w:rFonts w:asciiTheme="minorHAnsi" w:hAnsiTheme="minorHAnsi" w:cstheme="minorHAnsi"/>
          <w:b/>
          <w:sz w:val="22"/>
          <w:szCs w:val="22"/>
          <w:lang w:val="en-ZA"/>
        </w:rPr>
      </w:pPr>
      <w:r w:rsidRPr="00650469">
        <w:rPr>
          <w:rFonts w:asciiTheme="minorHAnsi" w:hAnsiTheme="minorHAnsi" w:cstheme="minorHAnsi"/>
          <w:b/>
          <w:sz w:val="22"/>
          <w:szCs w:val="22"/>
          <w:lang w:val="en-ZA"/>
        </w:rPr>
        <w:t>INTERACTION BETWEEN LOCAL GOVERNMENT AND ECNS LICENSEES</w:t>
      </w:r>
    </w:p>
    <w:p w:rsidR="006A35CD" w:rsidRDefault="006A35CD" w:rsidP="006A35CD">
      <w:pPr>
        <w:pStyle w:val="ListParagraph"/>
        <w:numPr>
          <w:ilvl w:val="0"/>
          <w:numId w:val="1"/>
        </w:numPr>
        <w:spacing w:after="0" w:line="480" w:lineRule="auto"/>
        <w:ind w:left="357" w:hanging="357"/>
        <w:rPr>
          <w:rFonts w:cstheme="minorHAnsi"/>
        </w:rPr>
      </w:pPr>
      <w:r w:rsidRPr="00650469">
        <w:rPr>
          <w:rFonts w:cstheme="minorHAnsi"/>
        </w:rPr>
        <w:t>Municipalities make up a significant percentage of affected landowners and are distinguishable from most other landowners in terms of the Constitutional mandate and obligations which they are required to discharge / observe.</w:t>
      </w:r>
    </w:p>
    <w:p w:rsidR="006A35CD" w:rsidRPr="000D56EC" w:rsidRDefault="006A35CD" w:rsidP="006A35CD">
      <w:pPr>
        <w:pStyle w:val="ListParagraph"/>
        <w:numPr>
          <w:ilvl w:val="0"/>
          <w:numId w:val="1"/>
        </w:numPr>
        <w:spacing w:after="0" w:line="480" w:lineRule="auto"/>
        <w:ind w:left="357" w:hanging="357"/>
        <w:rPr>
          <w:rFonts w:cstheme="minorHAnsi"/>
        </w:rPr>
      </w:pPr>
      <w:r w:rsidRPr="00650469">
        <w:rPr>
          <w:rFonts w:cstheme="minorHAnsi"/>
        </w:rPr>
        <w:t>SALGA has noted the extensive revisions proposed to Chapter 4 of the Principal Act and welcomes the attempt made by the drafters to clarify the law applicable to the interaction between landowners and entities holding electronic communications network services (ECNS) licences issued under Chapter 3 of the Principal Act.</w:t>
      </w:r>
    </w:p>
    <w:p w:rsidR="006A35CD" w:rsidRDefault="006A35CD" w:rsidP="006A35CD">
      <w:pPr>
        <w:pStyle w:val="ListParagraph"/>
        <w:numPr>
          <w:ilvl w:val="0"/>
          <w:numId w:val="1"/>
        </w:numPr>
        <w:spacing w:line="480" w:lineRule="auto"/>
        <w:rPr>
          <w:rFonts w:cstheme="minorHAnsi"/>
        </w:rPr>
      </w:pPr>
      <w:r>
        <w:rPr>
          <w:rFonts w:cstheme="minorHAnsi"/>
        </w:rPr>
        <w:t xml:space="preserve">We note that interpretation of section 22 of the Principal Act has been developed through a number of court decisions subsequent to the decision of the Constitutional Court in the Link Africa matter. </w:t>
      </w:r>
    </w:p>
    <w:p w:rsidR="006A35CD" w:rsidRPr="00130EFB" w:rsidRDefault="006A35CD" w:rsidP="006A35CD">
      <w:pPr>
        <w:pStyle w:val="ListParagraph"/>
        <w:numPr>
          <w:ilvl w:val="0"/>
          <w:numId w:val="1"/>
        </w:numPr>
        <w:spacing w:line="480" w:lineRule="auto"/>
        <w:rPr>
          <w:rFonts w:cstheme="minorHAnsi"/>
        </w:rPr>
      </w:pPr>
      <w:r>
        <w:rPr>
          <w:rFonts w:cstheme="minorHAnsi"/>
        </w:rPr>
        <w:t xml:space="preserve">We have set out below a paragraph from the recent decision of the Western Cape High Court in the matter of </w:t>
      </w:r>
      <w:r w:rsidRPr="00130EFB">
        <w:rPr>
          <w:rFonts w:cstheme="minorHAnsi"/>
        </w:rPr>
        <w:t>Telkom SA Soc Ltd v Kalu NO and Another</w:t>
      </w:r>
      <w:r>
        <w:rPr>
          <w:rStyle w:val="FootnoteReference"/>
          <w:rFonts w:cstheme="minorHAnsi"/>
        </w:rPr>
        <w:footnoteReference w:id="1"/>
      </w:r>
      <w:r>
        <w:rPr>
          <w:rFonts w:cstheme="minorHAnsi"/>
        </w:rPr>
        <w:t>, which we submit is a clear and accurate statement of the current position:</w:t>
      </w:r>
      <w:r w:rsidRPr="00130EFB">
        <w:rPr>
          <w:rFonts w:cstheme="minorHAnsi"/>
        </w:rPr>
        <w:t xml:space="preserve"> </w:t>
      </w:r>
    </w:p>
    <w:p w:rsidR="006A35CD" w:rsidRPr="00650469" w:rsidRDefault="006A35CD" w:rsidP="006A35CD">
      <w:pPr>
        <w:pStyle w:val="ListParagraph"/>
        <w:spacing w:after="0" w:line="480" w:lineRule="auto"/>
        <w:ind w:left="357"/>
        <w:rPr>
          <w:rFonts w:cstheme="minorHAnsi"/>
        </w:rPr>
      </w:pPr>
      <w:r w:rsidRPr="00130EFB">
        <w:rPr>
          <w:rFonts w:cstheme="minorHAnsi"/>
          <w:i/>
          <w:color w:val="242121"/>
        </w:rPr>
        <w:t>[48] The Applicants submitted that Section 22 has been authoritatively interpreted so as to trump the fundamental right of ownership. I do not agree with this contention. It is my view that the Applicants are misinterpreting the </w:t>
      </w:r>
      <w:r w:rsidRPr="00130EFB">
        <w:rPr>
          <w:rFonts w:cstheme="minorHAnsi"/>
          <w:bCs/>
          <w:i/>
          <w:iCs/>
          <w:color w:val="242121"/>
        </w:rPr>
        <w:t>Link Africa</w:t>
      </w:r>
      <w:r w:rsidRPr="00130EFB">
        <w:rPr>
          <w:rFonts w:cstheme="minorHAnsi"/>
          <w:i/>
          <w:color w:val="242121"/>
        </w:rPr>
        <w:t xml:space="preserve"> decision. </w:t>
      </w:r>
      <w:r w:rsidRPr="00130EFB">
        <w:rPr>
          <w:rFonts w:cstheme="minorHAnsi"/>
          <w:b/>
          <w:i/>
          <w:color w:val="242121"/>
          <w:u w:val="single"/>
        </w:rPr>
        <w:t>Section 22 cannot operate in a vacuum</w:t>
      </w:r>
      <w:r w:rsidRPr="00130EFB">
        <w:rPr>
          <w:rFonts w:cstheme="minorHAnsi"/>
          <w:i/>
          <w:color w:val="242121"/>
        </w:rPr>
        <w:t xml:space="preserve">. I agree with the Respondent’s contention that </w:t>
      </w:r>
      <w:r w:rsidRPr="00130EFB">
        <w:rPr>
          <w:rFonts w:cstheme="minorHAnsi"/>
          <w:b/>
          <w:i/>
          <w:color w:val="242121"/>
          <w:u w:val="single"/>
        </w:rPr>
        <w:t>it has to co-exist in a web of other laws including municipal by-laws</w:t>
      </w:r>
      <w:r w:rsidRPr="00130EFB">
        <w:rPr>
          <w:rFonts w:cstheme="minorHAnsi"/>
          <w:i/>
          <w:color w:val="242121"/>
        </w:rPr>
        <w:t xml:space="preserve">.  I am therefore of the view that the Respondent’s zoning requirements do not conflict with Section 22(1) because before a licensee may exercise its right in terms of Section 22(1) of the ECA, the licensee must comply with all applicable law, including laws enacted by the municipality. </w:t>
      </w:r>
      <w:r w:rsidRPr="00130EFB">
        <w:rPr>
          <w:rFonts w:cstheme="minorHAnsi"/>
          <w:b/>
          <w:i/>
          <w:color w:val="242121"/>
          <w:u w:val="single"/>
        </w:rPr>
        <w:t>As Section 22(2) clearly provides that “</w:t>
      </w:r>
      <w:r w:rsidRPr="00130EFB">
        <w:rPr>
          <w:rFonts w:cstheme="minorHAnsi"/>
          <w:b/>
          <w:i/>
          <w:iCs/>
          <w:color w:val="242121"/>
          <w:u w:val="single"/>
        </w:rPr>
        <w:t>due regard must be had to applicable law and the environmental policy of the Republic”</w:t>
      </w:r>
      <w:r w:rsidRPr="00130EFB">
        <w:rPr>
          <w:rFonts w:cstheme="minorHAnsi"/>
          <w:b/>
          <w:i/>
          <w:color w:val="242121"/>
          <w:u w:val="single"/>
        </w:rPr>
        <w:t xml:space="preserve">, it follows that apart from the municipality’s consent, which is required in terms of the By-law, the licensee is still required to obtain all other </w:t>
      </w:r>
      <w:r w:rsidRPr="00130EFB">
        <w:rPr>
          <w:rFonts w:cstheme="minorHAnsi"/>
          <w:b/>
          <w:i/>
          <w:color w:val="242121"/>
          <w:u w:val="single"/>
        </w:rPr>
        <w:lastRenderedPageBreak/>
        <w:t>permits, licenses and authorisations required by law which do not constitute a ‘municipality’s consent’, such as rezoning or departure, building plan approval or exemption (which the First Applicant concedes is required), environmental authorisations, heritage authorisation, and civil aviation permits, amongst others</w:t>
      </w:r>
      <w:r w:rsidRPr="00130EFB">
        <w:rPr>
          <w:rFonts w:cstheme="minorHAnsi"/>
          <w:i/>
          <w:color w:val="242121"/>
        </w:rPr>
        <w:t>. It is for these reasons that I am not in agreement with the Applicants’ contention that the By-law and the Mast Policy exceed the boundaries between spheres of planning law</w:t>
      </w:r>
      <w:r w:rsidRPr="00FD3F95">
        <w:rPr>
          <w:rFonts w:cstheme="minorHAnsi"/>
          <w:b/>
          <w:i/>
          <w:color w:val="242121"/>
          <w:u w:val="single"/>
        </w:rPr>
        <w:t>.  I am not persuaded that it is the intention of the legislature to grant a licensee unqualified rights to conduct activities on land without obtaining any permit, license or authorisation required by any law from any authority. If this were so, the public would be without the protection of a range of constitutionally compliant laws which serve the public interest</w:t>
      </w:r>
      <w:r w:rsidRPr="00650469">
        <w:rPr>
          <w:rFonts w:cstheme="minorHAnsi"/>
          <w:color w:val="242121"/>
        </w:rPr>
        <w:t>.</w:t>
      </w:r>
    </w:p>
    <w:p w:rsidR="006A35CD" w:rsidRDefault="006A35CD" w:rsidP="006A35CD">
      <w:pPr>
        <w:pStyle w:val="ListParagraph"/>
        <w:numPr>
          <w:ilvl w:val="0"/>
          <w:numId w:val="1"/>
        </w:numPr>
        <w:spacing w:line="480" w:lineRule="auto"/>
        <w:rPr>
          <w:rFonts w:cstheme="minorHAnsi"/>
        </w:rPr>
      </w:pPr>
      <w:r>
        <w:rPr>
          <w:rFonts w:cstheme="minorHAnsi"/>
        </w:rPr>
        <w:t xml:space="preserve">We welcome, therefore, the proposed section 20D of the Bill, with particular reference to </w:t>
      </w:r>
      <w:r w:rsidRPr="008A3EA7">
        <w:rPr>
          <w:rFonts w:cstheme="minorHAnsi"/>
        </w:rPr>
        <w:t>subsections 20(5)</w:t>
      </w:r>
      <w:r>
        <w:rPr>
          <w:rFonts w:cstheme="minorHAnsi"/>
        </w:rPr>
        <w:t>(b) and (e), which qualify the right of ECNS licensees to enter upon and use public and private land for the deployment of electronic communications networks and facilities. These provisions for the most part give effect to the judgement quoted above:</w:t>
      </w:r>
    </w:p>
    <w:p w:rsidR="006A35CD" w:rsidRPr="008A3EA7" w:rsidRDefault="006A35CD" w:rsidP="006A35CD">
      <w:pPr>
        <w:pStyle w:val="ListParagraph"/>
        <w:spacing w:line="480" w:lineRule="auto"/>
        <w:ind w:left="360"/>
        <w:rPr>
          <w:rFonts w:cstheme="minorHAnsi"/>
          <w:i/>
        </w:rPr>
      </w:pPr>
      <w:r w:rsidRPr="008A3EA7">
        <w:rPr>
          <w:rFonts w:cstheme="minorHAnsi"/>
          <w:i/>
        </w:rPr>
        <w:t>20D(5)</w:t>
      </w:r>
      <w:r>
        <w:rPr>
          <w:rFonts w:cstheme="minorHAnsi"/>
          <w:i/>
        </w:rPr>
        <w:t xml:space="preserve"> </w:t>
      </w:r>
      <w:r w:rsidRPr="008A3EA7">
        <w:rPr>
          <w:rFonts w:cstheme="minorHAnsi"/>
          <w:i/>
        </w:rPr>
        <w:t>An electronic communications network service licensee must, for the purposes of</w:t>
      </w:r>
      <w:r>
        <w:rPr>
          <w:rFonts w:cstheme="minorHAnsi"/>
          <w:i/>
        </w:rPr>
        <w:t xml:space="preserve"> </w:t>
      </w:r>
      <w:r w:rsidRPr="008A3EA7">
        <w:rPr>
          <w:rFonts w:cstheme="minorHAnsi"/>
          <w:i/>
        </w:rPr>
        <w:t>subsection (1)—</w:t>
      </w:r>
    </w:p>
    <w:p w:rsidR="006A35CD" w:rsidRPr="008A3EA7" w:rsidRDefault="006A35CD" w:rsidP="006A35CD">
      <w:pPr>
        <w:pStyle w:val="ListParagraph"/>
        <w:spacing w:line="480" w:lineRule="auto"/>
        <w:ind w:left="360"/>
        <w:rPr>
          <w:rFonts w:cstheme="minorHAnsi"/>
          <w:i/>
        </w:rPr>
      </w:pPr>
      <w:r w:rsidRPr="008A3EA7">
        <w:rPr>
          <w:rFonts w:cstheme="minorHAnsi"/>
          <w:i/>
        </w:rPr>
        <w:t>(a)</w:t>
      </w:r>
      <w:r w:rsidRPr="008A3EA7">
        <w:rPr>
          <w:rFonts w:cstheme="minorHAnsi"/>
          <w:i/>
        </w:rPr>
        <w:tab/>
        <w:t>give 30 calendar days’ notice, in writing, of its proposed property access activity to an owner and, if applicable, occupier of the affected land, which must—</w:t>
      </w:r>
    </w:p>
    <w:p w:rsidR="006A35CD" w:rsidRPr="008A3EA7" w:rsidRDefault="006A35CD" w:rsidP="006A35CD">
      <w:pPr>
        <w:pStyle w:val="ListParagraph"/>
        <w:spacing w:line="480" w:lineRule="auto"/>
        <w:ind w:left="360"/>
        <w:rPr>
          <w:rFonts w:cstheme="minorHAnsi"/>
          <w:i/>
        </w:rPr>
      </w:pPr>
      <w:r w:rsidRPr="008A3EA7">
        <w:rPr>
          <w:rFonts w:cstheme="minorHAnsi"/>
          <w:i/>
        </w:rPr>
        <w:t>….</w:t>
      </w:r>
    </w:p>
    <w:p w:rsidR="006A35CD" w:rsidRPr="008A3EA7" w:rsidRDefault="006A35CD" w:rsidP="006A35CD">
      <w:pPr>
        <w:pStyle w:val="ListParagraph"/>
        <w:spacing w:line="480" w:lineRule="auto"/>
        <w:ind w:left="360"/>
        <w:rPr>
          <w:rFonts w:cstheme="minorHAnsi"/>
          <w:i/>
        </w:rPr>
      </w:pPr>
      <w:r w:rsidRPr="008A3EA7">
        <w:rPr>
          <w:rFonts w:cstheme="minorHAnsi"/>
          <w:i/>
        </w:rPr>
        <w:t>(b)</w:t>
      </w:r>
      <w:r w:rsidRPr="008A3EA7">
        <w:rPr>
          <w:rFonts w:cstheme="minorHAnsi"/>
          <w:i/>
        </w:rPr>
        <w:tab/>
        <w:t xml:space="preserve">provide all information required by the application process, if any, and obtain a wayleave certificate from the relevant authority, noting that the exercise of rights by the electronic communications network service licensee is subject to by-laws that regulate the manner in which a licensee should exercise its powers, </w:t>
      </w:r>
      <w:r w:rsidRPr="008A3EA7">
        <w:rPr>
          <w:rFonts w:cstheme="minorHAnsi"/>
          <w:i/>
          <w:u w:val="single"/>
        </w:rPr>
        <w:t>though the by-law may not require the municipality’s consent</w:t>
      </w:r>
      <w:r w:rsidRPr="008A3EA7">
        <w:rPr>
          <w:rFonts w:cstheme="minorHAnsi"/>
          <w:i/>
        </w:rPr>
        <w:t>;</w:t>
      </w:r>
    </w:p>
    <w:p w:rsidR="006A35CD" w:rsidRPr="008A3EA7" w:rsidRDefault="006A35CD" w:rsidP="006A35CD">
      <w:pPr>
        <w:pStyle w:val="ListParagraph"/>
        <w:spacing w:line="480" w:lineRule="auto"/>
        <w:ind w:left="360"/>
        <w:rPr>
          <w:rFonts w:cstheme="minorHAnsi"/>
          <w:i/>
        </w:rPr>
      </w:pPr>
      <w:r w:rsidRPr="008A3EA7">
        <w:rPr>
          <w:rFonts w:cstheme="minorHAnsi"/>
          <w:i/>
        </w:rPr>
        <w:t>…..</w:t>
      </w:r>
    </w:p>
    <w:p w:rsidR="006A35CD" w:rsidRPr="008A3EA7" w:rsidRDefault="006A35CD" w:rsidP="006A35CD">
      <w:pPr>
        <w:pStyle w:val="ListParagraph"/>
        <w:spacing w:line="480" w:lineRule="auto"/>
        <w:ind w:left="360"/>
        <w:rPr>
          <w:rFonts w:cstheme="minorHAnsi"/>
          <w:i/>
        </w:rPr>
      </w:pPr>
      <w:r w:rsidRPr="008A3EA7">
        <w:rPr>
          <w:rFonts w:cstheme="minorHAnsi"/>
          <w:i/>
        </w:rPr>
        <w:t>(e)</w:t>
      </w:r>
      <w:r w:rsidRPr="008A3EA7">
        <w:rPr>
          <w:rFonts w:cstheme="minorHAnsi"/>
          <w:i/>
        </w:rPr>
        <w:tab/>
        <w:t>take all reasonable steps to ensure the activity does not compromise or impede a public utility’s ability to exercise its powers or perform its functions;</w:t>
      </w:r>
    </w:p>
    <w:p w:rsidR="006A35CD" w:rsidRPr="006F3678" w:rsidRDefault="006A35CD" w:rsidP="006A35CD">
      <w:pPr>
        <w:spacing w:line="480" w:lineRule="auto"/>
        <w:jc w:val="right"/>
        <w:rPr>
          <w:rFonts w:cstheme="minorHAnsi"/>
        </w:rPr>
      </w:pPr>
      <w:r>
        <w:rPr>
          <w:rFonts w:cstheme="minorHAnsi"/>
        </w:rPr>
        <w:t>(our emphasis)</w:t>
      </w:r>
    </w:p>
    <w:p w:rsidR="006A35CD" w:rsidRDefault="006A35CD" w:rsidP="006A35CD">
      <w:pPr>
        <w:pStyle w:val="ListParagraph"/>
        <w:numPr>
          <w:ilvl w:val="0"/>
          <w:numId w:val="1"/>
        </w:numPr>
        <w:spacing w:line="480" w:lineRule="auto"/>
        <w:rPr>
          <w:rFonts w:cstheme="minorHAnsi"/>
        </w:rPr>
      </w:pPr>
      <w:r>
        <w:rPr>
          <w:rFonts w:cstheme="minorHAnsi"/>
        </w:rPr>
        <w:lastRenderedPageBreak/>
        <w:t>We request that the Committee carefully consider whether the underlined phrase in the proposed subsection 20D(5)(b) which stipulates that a by-law which regulates the manner in which a licensee exercises its powers “may not require the municipality’s consent”.</w:t>
      </w:r>
    </w:p>
    <w:p w:rsidR="006A35CD" w:rsidRDefault="006A35CD" w:rsidP="006A35CD">
      <w:pPr>
        <w:pStyle w:val="ListParagraph"/>
        <w:numPr>
          <w:ilvl w:val="1"/>
          <w:numId w:val="1"/>
        </w:numPr>
        <w:spacing w:after="0" w:line="480" w:lineRule="auto"/>
        <w:ind w:left="993" w:hanging="567"/>
        <w:rPr>
          <w:rFonts w:cstheme="minorHAnsi"/>
        </w:rPr>
      </w:pPr>
      <w:r w:rsidRPr="002F4B08">
        <w:rPr>
          <w:rFonts w:cstheme="minorHAnsi"/>
        </w:rPr>
        <w:t xml:space="preserve">In the Telkom matter cited above, the City of Cape Town’s Telecommunications Mast Infrastructure Policy explicitly required that the consent of the City be obtained prior to the erection of telecommunication mast infrastructure. Telkom argued that this was in direct conflict with and effectively negated its rights under section 22, in terms of which consent was not required. </w:t>
      </w:r>
    </w:p>
    <w:p w:rsidR="006A35CD" w:rsidRDefault="006A35CD" w:rsidP="006A35CD">
      <w:pPr>
        <w:pStyle w:val="ListParagraph"/>
        <w:numPr>
          <w:ilvl w:val="1"/>
          <w:numId w:val="1"/>
        </w:numPr>
        <w:spacing w:after="0" w:line="480" w:lineRule="auto"/>
        <w:ind w:left="993" w:hanging="567"/>
        <w:rPr>
          <w:rFonts w:cstheme="minorHAnsi"/>
        </w:rPr>
      </w:pPr>
      <w:r>
        <w:rPr>
          <w:rFonts w:cstheme="minorHAnsi"/>
        </w:rPr>
        <w:t>The High Court rejected this argument, holding that this consent was only one of many permissions and approvals to be obtained from multiple authorities. It is only once these have been obtained that the right to enter onto public land commences.</w:t>
      </w:r>
    </w:p>
    <w:p w:rsidR="006A35CD" w:rsidRDefault="006A35CD" w:rsidP="006A35CD">
      <w:pPr>
        <w:pStyle w:val="ListParagraph"/>
        <w:numPr>
          <w:ilvl w:val="0"/>
          <w:numId w:val="1"/>
        </w:numPr>
        <w:spacing w:line="480" w:lineRule="auto"/>
        <w:rPr>
          <w:rFonts w:cstheme="minorHAnsi"/>
        </w:rPr>
      </w:pPr>
      <w:r>
        <w:rPr>
          <w:rFonts w:cstheme="minorHAnsi"/>
        </w:rPr>
        <w:t>Further we request that the Committee consider whether the proposed section 20B(2) should not also be made explicitly subject to 20(B)(5):</w:t>
      </w:r>
    </w:p>
    <w:p w:rsidR="006A35CD" w:rsidRPr="00056D20" w:rsidRDefault="006A35CD" w:rsidP="006A35CD">
      <w:pPr>
        <w:pStyle w:val="ListParagraph"/>
        <w:spacing w:line="480" w:lineRule="auto"/>
        <w:ind w:left="360"/>
        <w:rPr>
          <w:rFonts w:cstheme="minorHAnsi"/>
          <w:i/>
        </w:rPr>
      </w:pPr>
      <w:r w:rsidRPr="00056D20">
        <w:rPr>
          <w:rFonts w:cstheme="minorHAnsi"/>
          <w:i/>
        </w:rPr>
        <w:t>20D.</w:t>
      </w:r>
      <w:r w:rsidRPr="00056D20">
        <w:rPr>
          <w:rFonts w:cstheme="minorHAnsi"/>
          <w:i/>
        </w:rPr>
        <w:tab/>
        <w:t>Right to enter and use property</w:t>
      </w:r>
    </w:p>
    <w:p w:rsidR="006A35CD" w:rsidRPr="00056D20" w:rsidRDefault="006A35CD" w:rsidP="006A35CD">
      <w:pPr>
        <w:pStyle w:val="ListParagraph"/>
        <w:spacing w:line="480" w:lineRule="auto"/>
        <w:ind w:left="360"/>
        <w:rPr>
          <w:rFonts w:cstheme="minorHAnsi"/>
          <w:i/>
        </w:rPr>
      </w:pPr>
      <w:r w:rsidRPr="00056D20">
        <w:rPr>
          <w:rFonts w:cstheme="minorHAnsi"/>
          <w:i/>
        </w:rPr>
        <w:t>(1)</w:t>
      </w:r>
      <w:r w:rsidRPr="00056D20">
        <w:rPr>
          <w:rFonts w:cstheme="minorHAnsi"/>
          <w:i/>
        </w:rPr>
        <w:tab/>
        <w:t>Electronic communications network service licensees have the right to enter upon and use public and private land for the deployment of electronic communications networks and facilities, subject to subsection (5).</w:t>
      </w:r>
    </w:p>
    <w:p w:rsidR="006A35CD" w:rsidRPr="00056D20" w:rsidRDefault="006A35CD" w:rsidP="006A35CD">
      <w:pPr>
        <w:pStyle w:val="ListParagraph"/>
        <w:spacing w:line="480" w:lineRule="auto"/>
        <w:ind w:left="360"/>
        <w:rPr>
          <w:rFonts w:cstheme="minorHAnsi"/>
          <w:i/>
        </w:rPr>
      </w:pPr>
      <w:r w:rsidRPr="00056D20">
        <w:rPr>
          <w:rFonts w:cstheme="minorHAnsi"/>
          <w:i/>
        </w:rPr>
        <w:t>(2)</w:t>
      </w:r>
      <w:r w:rsidRPr="00056D20">
        <w:rPr>
          <w:rFonts w:cstheme="minorHAnsi"/>
          <w:i/>
        </w:rPr>
        <w:tab/>
        <w:t>Electronic communications network service licensees are entitled to select appropriate land and gain access to such land for the purposes of constructing, maintaining, altering or removing their electronic communications networks or facilities</w:t>
      </w:r>
      <w:r>
        <w:rPr>
          <w:rFonts w:cstheme="minorHAnsi"/>
          <w:i/>
        </w:rPr>
        <w:t xml:space="preserve">, </w:t>
      </w:r>
      <w:r w:rsidRPr="00056D20">
        <w:rPr>
          <w:rFonts w:cstheme="minorHAnsi"/>
          <w:i/>
          <w:u w:val="single"/>
        </w:rPr>
        <w:t>subject to subsection (5)</w:t>
      </w:r>
      <w:r w:rsidRPr="00056D20">
        <w:rPr>
          <w:rFonts w:cstheme="minorHAnsi"/>
          <w:i/>
        </w:rPr>
        <w:t>.</w:t>
      </w:r>
    </w:p>
    <w:p w:rsidR="006A35CD" w:rsidRPr="00AF5CCC" w:rsidRDefault="006A35CD" w:rsidP="006A35CD">
      <w:pPr>
        <w:pStyle w:val="Heading2"/>
        <w:rPr>
          <w:rFonts w:asciiTheme="minorHAnsi" w:hAnsiTheme="minorHAnsi" w:cstheme="minorHAnsi"/>
          <w:sz w:val="22"/>
          <w:szCs w:val="22"/>
        </w:rPr>
      </w:pPr>
      <w:r w:rsidRPr="00AF5CCC">
        <w:rPr>
          <w:rFonts w:asciiTheme="minorHAnsi" w:hAnsiTheme="minorHAnsi" w:cstheme="minorHAnsi"/>
          <w:sz w:val="22"/>
          <w:szCs w:val="22"/>
        </w:rPr>
        <w:t>Single trenching</w:t>
      </w:r>
    </w:p>
    <w:p w:rsidR="006A35CD" w:rsidRDefault="006A35CD" w:rsidP="006A35CD">
      <w:pPr>
        <w:pStyle w:val="ListParagraph"/>
        <w:numPr>
          <w:ilvl w:val="0"/>
          <w:numId w:val="1"/>
        </w:numPr>
        <w:spacing w:line="480" w:lineRule="auto"/>
        <w:rPr>
          <w:rFonts w:cstheme="minorHAnsi"/>
        </w:rPr>
      </w:pPr>
      <w:r>
        <w:rPr>
          <w:rFonts w:cstheme="minorHAnsi"/>
        </w:rPr>
        <w:t>We welcome and support the proposed section 20D regarding single trenching. We note that implementation of this provision will fall to ICASA and that the practicalities of enforcing a single trench policy will be set out in the proposed rapid deployment regulations.</w:t>
      </w:r>
    </w:p>
    <w:p w:rsidR="006A35CD" w:rsidRDefault="006A35CD" w:rsidP="006A35CD">
      <w:pPr>
        <w:pStyle w:val="ListParagraph"/>
        <w:numPr>
          <w:ilvl w:val="0"/>
          <w:numId w:val="1"/>
        </w:numPr>
        <w:spacing w:line="480" w:lineRule="auto"/>
        <w:rPr>
          <w:rFonts w:cstheme="minorHAnsi"/>
        </w:rPr>
      </w:pPr>
      <w:r>
        <w:rPr>
          <w:rFonts w:cstheme="minorHAnsi"/>
        </w:rPr>
        <w:t xml:space="preserve">As noted above, there are difficulties with holding a position that municipalities will be subject to these rapid deployment regulations, which will impose obligations on licensees. Nevertheless, </w:t>
      </w:r>
      <w:r>
        <w:rPr>
          <w:rFonts w:cstheme="minorHAnsi"/>
        </w:rPr>
        <w:lastRenderedPageBreak/>
        <w:t>municipalities are critical stakeholders and role-players in designing, implementing and enforcing a single trench policy.</w:t>
      </w:r>
    </w:p>
    <w:p w:rsidR="006A35CD" w:rsidRDefault="006A35CD" w:rsidP="006A35CD">
      <w:pPr>
        <w:pStyle w:val="ListParagraph"/>
        <w:numPr>
          <w:ilvl w:val="0"/>
          <w:numId w:val="1"/>
        </w:numPr>
        <w:spacing w:line="480" w:lineRule="auto"/>
        <w:rPr>
          <w:rFonts w:cstheme="minorHAnsi"/>
        </w:rPr>
      </w:pPr>
      <w:r>
        <w:rPr>
          <w:rFonts w:cstheme="minorHAnsi"/>
        </w:rPr>
        <w:t>Several SALGA members have already implemented such policies, with varying degrees of success.</w:t>
      </w:r>
    </w:p>
    <w:p w:rsidR="006A35CD" w:rsidRDefault="006A35CD" w:rsidP="006A35CD">
      <w:pPr>
        <w:pStyle w:val="ListParagraph"/>
        <w:numPr>
          <w:ilvl w:val="0"/>
          <w:numId w:val="1"/>
        </w:numPr>
        <w:spacing w:line="480" w:lineRule="auto"/>
        <w:rPr>
          <w:rFonts w:cstheme="minorHAnsi"/>
        </w:rPr>
      </w:pPr>
      <w:r>
        <w:rPr>
          <w:rFonts w:cstheme="minorHAnsi"/>
        </w:rPr>
        <w:t>As such SALGA will engage with ICASA – as it has done before regarding proposed rapid deployment guidelines or regulations – on the need to align municipal processes and procedures with the obligations to be imposed on ECNS licensees.</w:t>
      </w:r>
    </w:p>
    <w:p w:rsidR="006A35CD" w:rsidRDefault="006A35CD" w:rsidP="006A35CD">
      <w:pPr>
        <w:pStyle w:val="ListParagraph"/>
        <w:numPr>
          <w:ilvl w:val="0"/>
          <w:numId w:val="1"/>
        </w:numPr>
        <w:spacing w:line="480" w:lineRule="auto"/>
        <w:rPr>
          <w:rFonts w:cstheme="minorHAnsi"/>
        </w:rPr>
      </w:pPr>
      <w:r>
        <w:rPr>
          <w:rFonts w:cstheme="minorHAnsi"/>
        </w:rPr>
        <w:t xml:space="preserve">As regards the text of the proposed section 20F and taking into account the autonomy of local government in respect of, </w:t>
      </w:r>
      <w:r w:rsidRPr="00AF5CCC">
        <w:rPr>
          <w:rFonts w:cstheme="minorHAnsi"/>
          <w:i/>
        </w:rPr>
        <w:t>inter alia</w:t>
      </w:r>
      <w:r>
        <w:rPr>
          <w:rFonts w:cstheme="minorHAnsi"/>
        </w:rPr>
        <w:t xml:space="preserve">, land planning, SALGA submits that the Committee consider deletion of the reference to ICASA having the power to decide which geographic locations single trenching obligations will be implemented. This is properly a power to be exercised by municipalities. </w:t>
      </w:r>
    </w:p>
    <w:p w:rsidR="006A35CD" w:rsidRDefault="006A35CD" w:rsidP="006A35CD">
      <w:pPr>
        <w:pStyle w:val="ListParagraph"/>
        <w:numPr>
          <w:ilvl w:val="0"/>
          <w:numId w:val="1"/>
        </w:numPr>
        <w:spacing w:line="480" w:lineRule="auto"/>
        <w:rPr>
          <w:rFonts w:cstheme="minorHAnsi"/>
        </w:rPr>
      </w:pPr>
      <w:r>
        <w:rPr>
          <w:rFonts w:cstheme="minorHAnsi"/>
        </w:rPr>
        <w:t>We submit that the same considerations apply to technical feasibility. Decisions regarding the desirability or technical feasibility of single trenching are surely best left to the municipal authority responsible for the land in question?</w:t>
      </w:r>
    </w:p>
    <w:p w:rsidR="006A35CD" w:rsidRDefault="006A35CD" w:rsidP="006A35CD">
      <w:pPr>
        <w:pStyle w:val="ListParagraph"/>
        <w:numPr>
          <w:ilvl w:val="0"/>
          <w:numId w:val="1"/>
        </w:numPr>
        <w:spacing w:line="480" w:lineRule="auto"/>
        <w:rPr>
          <w:rFonts w:cstheme="minorHAnsi"/>
        </w:rPr>
      </w:pPr>
      <w:r>
        <w:rPr>
          <w:rFonts w:cstheme="minorHAnsi"/>
        </w:rPr>
        <w:t>The following amendment is proposed:</w:t>
      </w:r>
    </w:p>
    <w:p w:rsidR="006A35CD" w:rsidRPr="00AF5CCC" w:rsidRDefault="006A35CD" w:rsidP="006A35CD">
      <w:pPr>
        <w:pStyle w:val="ListParagraph"/>
        <w:spacing w:line="480" w:lineRule="auto"/>
        <w:ind w:left="360"/>
        <w:rPr>
          <w:rFonts w:cstheme="minorHAnsi"/>
          <w:i/>
        </w:rPr>
      </w:pPr>
      <w:r w:rsidRPr="00AF5CCC">
        <w:rPr>
          <w:rFonts w:cstheme="minorHAnsi"/>
          <w:i/>
        </w:rPr>
        <w:t xml:space="preserve">20F. The Authority must, in order to ensure a single trench for fibre </w:t>
      </w:r>
      <w:r w:rsidRPr="00AF5CCC">
        <w:rPr>
          <w:rFonts w:cstheme="minorHAnsi"/>
          <w:i/>
          <w:strike/>
        </w:rPr>
        <w:t>in each geographic location where it is technically feasible to do so</w:t>
      </w:r>
      <w:r w:rsidRPr="00AF5CCC">
        <w:rPr>
          <w:rFonts w:cstheme="minorHAnsi"/>
          <w:i/>
        </w:rPr>
        <w:t>, prescribe the processes and procedures that enable a single trench for fibre under the rapid deployment regulations.</w:t>
      </w:r>
    </w:p>
    <w:p w:rsidR="006A35CD" w:rsidRPr="00AF5CCC" w:rsidRDefault="006A35CD" w:rsidP="006A35CD">
      <w:pPr>
        <w:pStyle w:val="Heading2"/>
        <w:rPr>
          <w:rFonts w:asciiTheme="minorHAnsi" w:hAnsiTheme="minorHAnsi" w:cstheme="minorHAnsi"/>
          <w:sz w:val="22"/>
          <w:szCs w:val="22"/>
        </w:rPr>
      </w:pPr>
      <w:r w:rsidRPr="00AF5CCC">
        <w:rPr>
          <w:rFonts w:asciiTheme="minorHAnsi" w:hAnsiTheme="minorHAnsi" w:cstheme="minorHAnsi"/>
          <w:sz w:val="22"/>
          <w:szCs w:val="22"/>
        </w:rPr>
        <w:t>Access to high sites</w:t>
      </w:r>
    </w:p>
    <w:p w:rsidR="006A35CD" w:rsidRDefault="006A35CD" w:rsidP="006A35CD">
      <w:pPr>
        <w:pStyle w:val="ListParagraph"/>
        <w:numPr>
          <w:ilvl w:val="0"/>
          <w:numId w:val="1"/>
        </w:numPr>
        <w:spacing w:line="480" w:lineRule="auto"/>
        <w:rPr>
          <w:rFonts w:cstheme="minorHAnsi"/>
        </w:rPr>
      </w:pPr>
      <w:r>
        <w:rPr>
          <w:rFonts w:cstheme="minorHAnsi"/>
        </w:rPr>
        <w:t>The proposed section 20E seeks to facilitate access to high sites – which includes buildings used for public purposes that are suitable for the deployment of radio equipment – with the objective of promoting broadband.</w:t>
      </w:r>
    </w:p>
    <w:p w:rsidR="006A35CD" w:rsidRDefault="006A35CD" w:rsidP="006A35CD">
      <w:pPr>
        <w:pStyle w:val="ListParagraph"/>
        <w:numPr>
          <w:ilvl w:val="0"/>
          <w:numId w:val="1"/>
        </w:numPr>
        <w:spacing w:line="480" w:lineRule="auto"/>
        <w:rPr>
          <w:rFonts w:cstheme="minorHAnsi"/>
        </w:rPr>
      </w:pPr>
      <w:r>
        <w:rPr>
          <w:rFonts w:cstheme="minorHAnsi"/>
        </w:rPr>
        <w:t>Further, it will not be open to the owner of a high site to refuse access to an ECNS licensee for the installation of electronic communications networks and facilities that promote broadband, provided that “such installation must be in accordance with any reasonable requirements of the owner”.</w:t>
      </w:r>
    </w:p>
    <w:p w:rsidR="006A35CD" w:rsidRDefault="006A35CD" w:rsidP="006A35CD">
      <w:pPr>
        <w:pStyle w:val="ListParagraph"/>
        <w:numPr>
          <w:ilvl w:val="0"/>
          <w:numId w:val="1"/>
        </w:numPr>
        <w:spacing w:line="480" w:lineRule="auto"/>
        <w:rPr>
          <w:rFonts w:cstheme="minorHAnsi"/>
        </w:rPr>
      </w:pPr>
      <w:r>
        <w:rPr>
          <w:rFonts w:cstheme="minorHAnsi"/>
        </w:rPr>
        <w:t>The rights of ECNS licensees to access high sites for this purpose is subject to an exception in respect of high sites that are not technically feasible for this purpose, “as may be prescribed by the Authority”.</w:t>
      </w:r>
    </w:p>
    <w:p w:rsidR="006A35CD" w:rsidRDefault="006A35CD" w:rsidP="006A35CD">
      <w:pPr>
        <w:pStyle w:val="ListParagraph"/>
        <w:numPr>
          <w:ilvl w:val="0"/>
          <w:numId w:val="1"/>
        </w:numPr>
        <w:spacing w:line="480" w:lineRule="auto"/>
        <w:rPr>
          <w:rFonts w:cstheme="minorHAnsi"/>
        </w:rPr>
      </w:pPr>
      <w:r>
        <w:rPr>
          <w:rFonts w:cstheme="minorHAnsi"/>
        </w:rPr>
        <w:lastRenderedPageBreak/>
        <w:t>We request that the Committee take the following into consideration in its deliberations on this provision:</w:t>
      </w:r>
    </w:p>
    <w:p w:rsidR="006A35CD" w:rsidRDefault="006A35CD" w:rsidP="006A35CD">
      <w:pPr>
        <w:pStyle w:val="ListParagraph"/>
        <w:numPr>
          <w:ilvl w:val="1"/>
          <w:numId w:val="1"/>
        </w:numPr>
        <w:spacing w:after="0" w:line="480" w:lineRule="auto"/>
        <w:ind w:left="993" w:hanging="567"/>
        <w:rPr>
          <w:rFonts w:cstheme="minorHAnsi"/>
        </w:rPr>
      </w:pPr>
      <w:r>
        <w:rPr>
          <w:rFonts w:cstheme="minorHAnsi"/>
        </w:rPr>
        <w:t>Access to high sites which are owned by a municipality is analogous to access to land owned by a municipality.</w:t>
      </w:r>
    </w:p>
    <w:p w:rsidR="006A35CD" w:rsidRDefault="006A35CD" w:rsidP="006A35CD">
      <w:pPr>
        <w:pStyle w:val="ListParagraph"/>
        <w:numPr>
          <w:ilvl w:val="1"/>
          <w:numId w:val="1"/>
        </w:numPr>
        <w:spacing w:after="0" w:line="480" w:lineRule="auto"/>
        <w:ind w:left="993" w:hanging="567"/>
        <w:rPr>
          <w:rFonts w:cstheme="minorHAnsi"/>
        </w:rPr>
      </w:pPr>
      <w:r>
        <w:rPr>
          <w:rFonts w:cstheme="minorHAnsi"/>
        </w:rPr>
        <w:t>In the case of the latter – as seen above – the proposed section 20D sets out detailed requirements which ECNS licensees are subject to before they can access public land.</w:t>
      </w:r>
    </w:p>
    <w:p w:rsidR="006A35CD" w:rsidRDefault="006A35CD" w:rsidP="006A35CD">
      <w:pPr>
        <w:pStyle w:val="ListParagraph"/>
        <w:numPr>
          <w:ilvl w:val="1"/>
          <w:numId w:val="1"/>
        </w:numPr>
        <w:spacing w:after="0" w:line="480" w:lineRule="auto"/>
        <w:ind w:left="993" w:hanging="567"/>
        <w:rPr>
          <w:rFonts w:cstheme="minorHAnsi"/>
        </w:rPr>
      </w:pPr>
      <w:r>
        <w:rPr>
          <w:rFonts w:cstheme="minorHAnsi"/>
        </w:rPr>
        <w:t>Where access to a high site is concerned, however, there is no qualification on the right of access, only a qualification that the installation must be in accordance with the reasonable requirements of the owner.</w:t>
      </w:r>
    </w:p>
    <w:p w:rsidR="006A35CD" w:rsidRPr="00584656" w:rsidRDefault="006A35CD" w:rsidP="006A35CD">
      <w:pPr>
        <w:pStyle w:val="ListParagraph"/>
        <w:numPr>
          <w:ilvl w:val="1"/>
          <w:numId w:val="1"/>
        </w:numPr>
        <w:spacing w:after="0" w:line="480" w:lineRule="auto"/>
        <w:ind w:left="993" w:hanging="567"/>
        <w:rPr>
          <w:rFonts w:cstheme="minorHAnsi"/>
        </w:rPr>
      </w:pPr>
      <w:r w:rsidRPr="00584656">
        <w:rPr>
          <w:rFonts w:cstheme="minorHAnsi"/>
        </w:rPr>
        <w:t>The factors to be taken into account in determining technical feasibility are to be prescribed by ICASA.</w:t>
      </w:r>
    </w:p>
    <w:p w:rsidR="006A35CD" w:rsidRPr="00584656" w:rsidRDefault="006A35CD" w:rsidP="006A35CD">
      <w:pPr>
        <w:pStyle w:val="ListParagraph"/>
        <w:numPr>
          <w:ilvl w:val="1"/>
          <w:numId w:val="1"/>
        </w:numPr>
        <w:spacing w:after="0" w:line="480" w:lineRule="auto"/>
        <w:ind w:left="993" w:hanging="567"/>
        <w:rPr>
          <w:rFonts w:cstheme="minorHAnsi"/>
        </w:rPr>
      </w:pPr>
      <w:r w:rsidRPr="00584656">
        <w:rPr>
          <w:rFonts w:cstheme="minorHAnsi"/>
        </w:rPr>
        <w:t xml:space="preserve">We submit that access to high sites owned by municipalities should be handled in the same manner as access to land. At the least access to municipal high sites by ECNS licensees should be subject to compliance with the steps proposed in subsections 20D(5)(b) specifying that such access is subject to applicable by-laws which regulate how such access can be exercised. </w:t>
      </w:r>
    </w:p>
    <w:p w:rsidR="006A35CD" w:rsidRPr="00584656" w:rsidRDefault="006A35CD" w:rsidP="006A35CD">
      <w:pPr>
        <w:pStyle w:val="Heading2"/>
        <w:rPr>
          <w:rFonts w:asciiTheme="minorHAnsi" w:hAnsiTheme="minorHAnsi" w:cstheme="minorHAnsi"/>
          <w:sz w:val="22"/>
          <w:szCs w:val="22"/>
        </w:rPr>
      </w:pPr>
      <w:r w:rsidRPr="00584656">
        <w:rPr>
          <w:rFonts w:asciiTheme="minorHAnsi" w:hAnsiTheme="minorHAnsi" w:cstheme="minorHAnsi"/>
          <w:sz w:val="22"/>
          <w:szCs w:val="22"/>
        </w:rPr>
        <w:t>Fees, charges and levies</w:t>
      </w:r>
    </w:p>
    <w:p w:rsidR="006A35CD" w:rsidRDefault="006A35CD" w:rsidP="006A35CD">
      <w:pPr>
        <w:pStyle w:val="ListParagraph"/>
        <w:numPr>
          <w:ilvl w:val="0"/>
          <w:numId w:val="1"/>
        </w:numPr>
        <w:spacing w:line="480" w:lineRule="auto"/>
      </w:pPr>
      <w:r>
        <w:t>We wish to raise the following regarding the proposed section 20K, which seeks to govern the charging of fees, charges and levies relating to an exercise of rights under section 20D:</w:t>
      </w:r>
    </w:p>
    <w:p w:rsidR="006A35CD" w:rsidRDefault="006A35CD" w:rsidP="006A35CD">
      <w:pPr>
        <w:pStyle w:val="ListParagraph"/>
        <w:numPr>
          <w:ilvl w:val="1"/>
          <w:numId w:val="1"/>
        </w:numPr>
        <w:spacing w:after="0" w:line="480" w:lineRule="auto"/>
        <w:ind w:left="993" w:hanging="567"/>
        <w:rPr>
          <w:rFonts w:cstheme="minorHAnsi"/>
        </w:rPr>
      </w:pPr>
      <w:r w:rsidRPr="00B264D4">
        <w:rPr>
          <w:rFonts w:cstheme="minorHAnsi"/>
        </w:rPr>
        <w:t>The Committee is requested to consider that there are a number of different types of fees which may be applicable. Is it the intention of this clause through its reference to “access fees” to also regulate the ability of municipalities to set tariffs in respect of the use of their infrastructure?</w:t>
      </w:r>
      <w:r>
        <w:rPr>
          <w:rFonts w:cstheme="minorHAnsi"/>
        </w:rPr>
        <w:t xml:space="preserve"> Can administrative costs be recovered? Are damage deposits and other mechanisms employed by municipalities to safeguard the future integrity of their infrastructure covered by “access fees” notwithstanding that the courts have made it clear that these are allowable? Does the term “access fee” include monthly rental charges and fees that may relate to using, for example, a road to access a high site?</w:t>
      </w:r>
    </w:p>
    <w:p w:rsidR="006A35CD" w:rsidRPr="00B264D4" w:rsidRDefault="006A35CD" w:rsidP="006A35CD">
      <w:pPr>
        <w:pStyle w:val="ListParagraph"/>
        <w:numPr>
          <w:ilvl w:val="1"/>
          <w:numId w:val="1"/>
        </w:numPr>
        <w:spacing w:after="0" w:line="480" w:lineRule="auto"/>
        <w:ind w:left="993" w:hanging="567"/>
        <w:rPr>
          <w:rFonts w:cstheme="minorHAnsi"/>
        </w:rPr>
      </w:pPr>
      <w:r>
        <w:rPr>
          <w:rFonts w:cstheme="minorHAnsi"/>
        </w:rPr>
        <w:lastRenderedPageBreak/>
        <w:t>Is it correct in law that a municipality should submit to the jurisdiction of ICASA regarding disputes over the reasonableness of compensation?</w:t>
      </w:r>
    </w:p>
    <w:p w:rsidR="006A35CD" w:rsidRPr="00227DA6" w:rsidRDefault="006A35CD" w:rsidP="006A35CD">
      <w:pPr>
        <w:pStyle w:val="Heading2"/>
        <w:rPr>
          <w:rFonts w:asciiTheme="minorHAnsi" w:hAnsiTheme="minorHAnsi" w:cstheme="minorHAnsi"/>
          <w:sz w:val="22"/>
          <w:szCs w:val="22"/>
        </w:rPr>
      </w:pPr>
      <w:r w:rsidRPr="00584656">
        <w:rPr>
          <w:rFonts w:asciiTheme="minorHAnsi" w:hAnsiTheme="minorHAnsi" w:cstheme="minorHAnsi"/>
          <w:sz w:val="22"/>
          <w:szCs w:val="22"/>
        </w:rPr>
        <w:t>Implementation</w:t>
      </w:r>
    </w:p>
    <w:p w:rsidR="006A35CD" w:rsidRDefault="006A35CD" w:rsidP="006A35CD">
      <w:pPr>
        <w:pStyle w:val="ListParagraph"/>
        <w:numPr>
          <w:ilvl w:val="0"/>
          <w:numId w:val="1"/>
        </w:numPr>
        <w:spacing w:line="480" w:lineRule="auto"/>
        <w:rPr>
          <w:rFonts w:cstheme="minorHAnsi"/>
        </w:rPr>
      </w:pPr>
      <w:r w:rsidRPr="00023BDE">
        <w:rPr>
          <w:rFonts w:cstheme="minorHAnsi"/>
        </w:rPr>
        <w:t>Finally</w:t>
      </w:r>
      <w:r>
        <w:rPr>
          <w:rFonts w:cstheme="minorHAnsi"/>
        </w:rPr>
        <w:t>,</w:t>
      </w:r>
      <w:r w:rsidRPr="00023BDE">
        <w:rPr>
          <w:rFonts w:cstheme="minorHAnsi"/>
        </w:rPr>
        <w:t xml:space="preserve"> in this regard, we urge recognition of the diversity in SALGA’s membership as regards the resources and capacity available to implement “rapid deployment”.</w:t>
      </w:r>
      <w:r>
        <w:rPr>
          <w:rFonts w:cstheme="minorHAnsi"/>
        </w:rPr>
        <w:t xml:space="preserve"> This manifests in a lack of consistent systems and process to manage applications.</w:t>
      </w:r>
    </w:p>
    <w:p w:rsidR="006A35CD" w:rsidRDefault="006A35CD" w:rsidP="006A35CD">
      <w:pPr>
        <w:pStyle w:val="ListParagraph"/>
        <w:numPr>
          <w:ilvl w:val="0"/>
          <w:numId w:val="1"/>
        </w:numPr>
        <w:spacing w:line="480" w:lineRule="auto"/>
        <w:rPr>
          <w:rFonts w:cstheme="minorHAnsi"/>
        </w:rPr>
      </w:pPr>
      <w:r w:rsidRPr="00B20E12">
        <w:rPr>
          <w:rFonts w:cstheme="minorHAnsi"/>
        </w:rPr>
        <w:t>While there is a focus on rapid deployment (</w:t>
      </w:r>
      <w:r>
        <w:rPr>
          <w:rFonts w:cstheme="minorHAnsi"/>
        </w:rPr>
        <w:t xml:space="preserve">and </w:t>
      </w:r>
      <w:r w:rsidRPr="00B20E12">
        <w:rPr>
          <w:rFonts w:cstheme="minorHAnsi"/>
        </w:rPr>
        <w:t xml:space="preserve">sharing) of electronic </w:t>
      </w:r>
      <w:r w:rsidRPr="000F753B">
        <w:rPr>
          <w:rFonts w:cstheme="minorHAnsi"/>
        </w:rPr>
        <w:t>communications network infrastructure</w:t>
      </w:r>
      <w:r>
        <w:rPr>
          <w:rFonts w:cstheme="minorHAnsi"/>
        </w:rPr>
        <w:t>,</w:t>
      </w:r>
      <w:r w:rsidRPr="000F753B">
        <w:rPr>
          <w:rFonts w:cstheme="minorHAnsi"/>
        </w:rPr>
        <w:t xml:space="preserve"> Government, especially local governments, are expected to make it easier to build infrastructure, especially fibre-optic networks</w:t>
      </w:r>
      <w:r>
        <w:rPr>
          <w:rFonts w:cstheme="minorHAnsi"/>
        </w:rPr>
        <w:t>,</w:t>
      </w:r>
      <w:r w:rsidRPr="000F753B">
        <w:rPr>
          <w:rFonts w:cstheme="minorHAnsi"/>
        </w:rPr>
        <w:t xml:space="preserve"> by removing red tape and fast-track</w:t>
      </w:r>
      <w:r>
        <w:rPr>
          <w:rFonts w:cstheme="minorHAnsi"/>
        </w:rPr>
        <w:t>ing</w:t>
      </w:r>
      <w:r w:rsidRPr="000F753B">
        <w:rPr>
          <w:rFonts w:cstheme="minorHAnsi"/>
        </w:rPr>
        <w:t xml:space="preserve"> the necessary approvals and permits</w:t>
      </w:r>
      <w:r>
        <w:rPr>
          <w:rFonts w:cstheme="minorHAnsi"/>
        </w:rPr>
        <w:t>.</w:t>
      </w:r>
    </w:p>
    <w:p w:rsidR="006A35CD" w:rsidRDefault="006A35CD" w:rsidP="006A35CD">
      <w:pPr>
        <w:pStyle w:val="ListParagraph"/>
        <w:numPr>
          <w:ilvl w:val="0"/>
          <w:numId w:val="1"/>
        </w:numPr>
        <w:spacing w:line="480" w:lineRule="auto"/>
        <w:rPr>
          <w:rFonts w:cstheme="minorHAnsi"/>
        </w:rPr>
      </w:pPr>
      <w:r w:rsidRPr="000F753B">
        <w:rPr>
          <w:rFonts w:cstheme="minorHAnsi"/>
        </w:rPr>
        <w:t>The responsibility within a municipality for telecommunication</w:t>
      </w:r>
      <w:r>
        <w:rPr>
          <w:rFonts w:cstheme="minorHAnsi"/>
        </w:rPr>
        <w:t>s</w:t>
      </w:r>
      <w:r w:rsidRPr="000F753B">
        <w:rPr>
          <w:rFonts w:cstheme="minorHAnsi"/>
        </w:rPr>
        <w:t xml:space="preserve"> infrastructure </w:t>
      </w:r>
      <w:r w:rsidRPr="00134C71">
        <w:rPr>
          <w:rFonts w:cstheme="minorHAnsi"/>
        </w:rPr>
        <w:t>is cross-cutting</w:t>
      </w:r>
      <w:r>
        <w:rPr>
          <w:rFonts w:cstheme="minorHAnsi"/>
        </w:rPr>
        <w:t xml:space="preserve"> and </w:t>
      </w:r>
      <w:r w:rsidRPr="00134C71">
        <w:rPr>
          <w:rFonts w:cstheme="minorHAnsi"/>
        </w:rPr>
        <w:t>made more complex where the</w:t>
      </w:r>
      <w:r>
        <w:rPr>
          <w:rFonts w:cstheme="minorHAnsi"/>
        </w:rPr>
        <w:t xml:space="preserve"> municipality itself has </w:t>
      </w:r>
      <w:r w:rsidRPr="00134C71">
        <w:rPr>
          <w:rFonts w:cstheme="minorHAnsi"/>
        </w:rPr>
        <w:t>invested in connectivity initiatives</w:t>
      </w:r>
      <w:r>
        <w:rPr>
          <w:rFonts w:cstheme="minorHAnsi"/>
        </w:rPr>
        <w:t>.</w:t>
      </w:r>
      <w:r w:rsidRPr="00134C71">
        <w:rPr>
          <w:rFonts w:cstheme="minorHAnsi"/>
        </w:rPr>
        <w:t xml:space="preserve"> </w:t>
      </w:r>
    </w:p>
    <w:p w:rsidR="006A35CD" w:rsidRPr="00584656" w:rsidRDefault="006A35CD" w:rsidP="006A35CD">
      <w:pPr>
        <w:pStyle w:val="ListParagraph"/>
        <w:numPr>
          <w:ilvl w:val="0"/>
          <w:numId w:val="1"/>
        </w:numPr>
        <w:spacing w:line="480" w:lineRule="auto"/>
        <w:rPr>
          <w:rFonts w:cstheme="minorHAnsi"/>
        </w:rPr>
      </w:pPr>
      <w:r>
        <w:rPr>
          <w:rFonts w:cstheme="minorHAnsi"/>
        </w:rPr>
        <w:t>Telecommunications is moreover only one of a number of competing imperatives for local government.</w:t>
      </w:r>
    </w:p>
    <w:p w:rsidR="006A35CD" w:rsidRPr="00584656" w:rsidRDefault="006A35CD" w:rsidP="006A35CD">
      <w:pPr>
        <w:pStyle w:val="Heading1"/>
        <w:spacing w:after="120" w:line="276" w:lineRule="auto"/>
        <w:rPr>
          <w:rFonts w:asciiTheme="minorHAnsi" w:hAnsiTheme="minorHAnsi" w:cstheme="minorHAnsi"/>
          <w:b/>
          <w:sz w:val="22"/>
          <w:szCs w:val="22"/>
          <w:lang w:val="en-ZA"/>
        </w:rPr>
      </w:pPr>
      <w:r w:rsidRPr="00584656">
        <w:rPr>
          <w:rFonts w:asciiTheme="minorHAnsi" w:hAnsiTheme="minorHAnsi" w:cstheme="minorHAnsi"/>
          <w:b/>
          <w:sz w:val="22"/>
          <w:szCs w:val="22"/>
          <w:lang w:val="en-ZA"/>
        </w:rPr>
        <w:t>CONCLUSION</w:t>
      </w:r>
    </w:p>
    <w:p w:rsidR="006A35CD" w:rsidRPr="00584656" w:rsidRDefault="006A35CD" w:rsidP="006A35CD">
      <w:pPr>
        <w:pStyle w:val="ListParagraph"/>
        <w:numPr>
          <w:ilvl w:val="0"/>
          <w:numId w:val="1"/>
        </w:numPr>
        <w:spacing w:line="480" w:lineRule="auto"/>
        <w:rPr>
          <w:rFonts w:cstheme="minorHAnsi"/>
          <w:sz w:val="20"/>
        </w:rPr>
      </w:pPr>
      <w:r>
        <w:rPr>
          <w:rFonts w:cstheme="minorHAnsi"/>
        </w:rPr>
        <w:t>We thank the Committee for its consideration of the above comments and confirm that we would welcome the opportunity to participate in public hearings towards the finalisation of the Bill.</w:t>
      </w:r>
    </w:p>
    <w:p w:rsidR="006A35CD" w:rsidRDefault="006A35CD" w:rsidP="006A35CD">
      <w:pPr>
        <w:spacing w:line="480" w:lineRule="auto"/>
        <w:rPr>
          <w:rFonts w:cstheme="minorHAnsi"/>
          <w:sz w:val="22"/>
        </w:rPr>
      </w:pPr>
    </w:p>
    <w:p w:rsidR="006A35CD" w:rsidRDefault="006A35CD" w:rsidP="006A35CD">
      <w:pPr>
        <w:spacing w:line="480" w:lineRule="auto"/>
        <w:rPr>
          <w:rFonts w:cstheme="minorHAnsi"/>
          <w:sz w:val="22"/>
        </w:rPr>
      </w:pPr>
    </w:p>
    <w:p w:rsidR="006A35CD" w:rsidRDefault="006A35CD" w:rsidP="006A35CD">
      <w:pPr>
        <w:spacing w:line="480" w:lineRule="auto"/>
        <w:rPr>
          <w:rFonts w:cstheme="minorHAnsi"/>
          <w:sz w:val="22"/>
        </w:rPr>
      </w:pPr>
    </w:p>
    <w:p w:rsidR="006A35CD" w:rsidRDefault="006A35CD" w:rsidP="006A35CD">
      <w:pPr>
        <w:spacing w:line="480" w:lineRule="auto"/>
        <w:rPr>
          <w:rFonts w:cstheme="minorHAnsi"/>
          <w:sz w:val="22"/>
        </w:rPr>
      </w:pPr>
    </w:p>
    <w:p w:rsidR="006A35CD" w:rsidRDefault="006A35CD" w:rsidP="006A35CD">
      <w:pPr>
        <w:spacing w:line="480" w:lineRule="auto"/>
        <w:rPr>
          <w:rFonts w:cstheme="minorHAnsi"/>
          <w:sz w:val="22"/>
        </w:rPr>
      </w:pPr>
    </w:p>
    <w:p w:rsidR="006A35CD" w:rsidRPr="00584656" w:rsidRDefault="006A35CD" w:rsidP="006A35CD">
      <w:pPr>
        <w:spacing w:line="480" w:lineRule="auto"/>
        <w:rPr>
          <w:rFonts w:cstheme="minorHAnsi"/>
          <w:sz w:val="22"/>
        </w:rPr>
      </w:pPr>
      <w:r w:rsidRPr="00584656">
        <w:rPr>
          <w:rFonts w:cstheme="minorHAnsi"/>
          <w:sz w:val="22"/>
        </w:rPr>
        <w:t>Regards</w:t>
      </w:r>
    </w:p>
    <w:p w:rsidR="00F32AA1" w:rsidRDefault="00F32AA1"/>
    <w:sectPr w:rsidR="00F32AA1" w:rsidSect="00326612">
      <w:headerReference w:type="first" r:id="rId11"/>
      <w:footerReference w:type="first" r:id="rId12"/>
      <w:type w:val="continuous"/>
      <w:pgSz w:w="11900" w:h="16840"/>
      <w:pgMar w:top="851" w:right="851" w:bottom="851" w:left="851" w:header="0" w:footer="1542"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C1D" w:rsidRDefault="008F4C1D" w:rsidP="00D346E1">
      <w:r>
        <w:separator/>
      </w:r>
    </w:p>
  </w:endnote>
  <w:endnote w:type="continuationSeparator" w:id="0">
    <w:p w:rsidR="008F4C1D" w:rsidRDefault="008F4C1D" w:rsidP="00D3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612" w:rsidRDefault="00326612">
    <w:pPr>
      <w:pStyle w:val="Footer"/>
    </w:pPr>
    <w:r>
      <w:rPr>
        <w:noProof/>
        <w:lang w:val="en-ZA" w:eastAsia="en-ZA"/>
      </w:rPr>
      <mc:AlternateContent>
        <mc:Choice Requires="wps">
          <w:drawing>
            <wp:anchor distT="0" distB="0" distL="114300" distR="114300" simplePos="0" relativeHeight="251662336" behindDoc="0" locked="0" layoutInCell="1" allowOverlap="1" wp14:anchorId="7B96EF42" wp14:editId="6865BF45">
              <wp:simplePos x="0" y="0"/>
              <wp:positionH relativeFrom="column">
                <wp:posOffset>-533400</wp:posOffset>
              </wp:positionH>
              <wp:positionV relativeFrom="paragraph">
                <wp:posOffset>191770</wp:posOffset>
              </wp:positionV>
              <wp:extent cx="7772400" cy="1143000"/>
              <wp:effectExtent l="50800" t="25400" r="50800" b="76200"/>
              <wp:wrapNone/>
              <wp:docPr id="5" name="Rectangle 5"/>
              <wp:cNvGraphicFramePr/>
              <a:graphic xmlns:a="http://schemas.openxmlformats.org/drawingml/2006/main">
                <a:graphicData uri="http://schemas.microsoft.com/office/word/2010/wordprocessingShape">
                  <wps:wsp>
                    <wps:cNvSpPr/>
                    <wps:spPr>
                      <a:xfrm>
                        <a:off x="0" y="0"/>
                        <a:ext cx="7772400" cy="1143000"/>
                      </a:xfrm>
                      <a:prstGeom prst="rect">
                        <a:avLst/>
                      </a:prstGeom>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318C66" id="Rectangle 5" o:spid="_x0000_s1026" style="position:absolute;margin-left:-42pt;margin-top:15.1pt;width:612pt;height:9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" fillcolor="#f06d19 [3204]" stroked="f">
              <v:fill color2="#f7b58c [1620]" rotate="t" angle="180" focus="100%" type="gradient">
                <o:fill v:ext="view" type="gradientUnscaled"/>
              </v:fill>
              <v:shadow on="t" color="black" opacity="22937f" origin=",.5" offset="0,.63889mm"/>
            </v:rect>
          </w:pict>
        </mc:Fallback>
      </mc:AlternateContent>
    </w:r>
    <w:r>
      <w:rPr>
        <w:noProof/>
        <w:lang w:val="en-ZA" w:eastAsia="en-ZA"/>
      </w:rPr>
      <mc:AlternateContent>
        <mc:Choice Requires="wps">
          <w:drawing>
            <wp:anchor distT="0" distB="0" distL="114300" distR="114300" simplePos="0" relativeHeight="251663360" behindDoc="0" locked="0" layoutInCell="1" allowOverlap="1" wp14:anchorId="2267A37E" wp14:editId="7CF7E20D">
              <wp:simplePos x="0" y="0"/>
              <wp:positionH relativeFrom="column">
                <wp:posOffset>152400</wp:posOffset>
              </wp:positionH>
              <wp:positionV relativeFrom="paragraph">
                <wp:posOffset>377190</wp:posOffset>
              </wp:positionV>
              <wp:extent cx="6515100" cy="5715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515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26612" w:rsidRPr="00D346E1" w:rsidRDefault="00326612" w:rsidP="00326612">
                          <w:pPr>
                            <w:spacing w:before="26"/>
                            <w:ind w:right="49"/>
                            <w:jc w:val="center"/>
                            <w:rPr>
                              <w:rFonts w:ascii="Arial" w:eastAsia="Century Gothic" w:hAnsi="Arial" w:cs="Arial"/>
                              <w:color w:val="FFFFFF" w:themeColor="accent5"/>
                              <w:sz w:val="18"/>
                              <w:szCs w:val="18"/>
                            </w:rPr>
                          </w:pPr>
                          <w:r w:rsidRPr="00D346E1">
                            <w:rPr>
                              <w:rFonts w:ascii="Arial" w:eastAsia="Century Gothic" w:hAnsi="Arial" w:cs="Arial"/>
                              <w:b/>
                              <w:bCs/>
                              <w:color w:val="FFFFFF" w:themeColor="accent5"/>
                              <w:sz w:val="18"/>
                              <w:szCs w:val="18"/>
                            </w:rPr>
                            <w:t>T</w:t>
                          </w:r>
                          <w:r>
                            <w:rPr>
                              <w:rFonts w:ascii="Arial" w:eastAsia="Century Gothic" w:hAnsi="Arial" w:cs="Arial"/>
                              <w:b/>
                              <w:bCs/>
                              <w:color w:val="FFFFFF" w:themeColor="accent5"/>
                              <w:sz w:val="18"/>
                              <w:szCs w:val="18"/>
                            </w:rPr>
                            <w:t>EL</w:t>
                          </w:r>
                          <w:r w:rsidRPr="00D346E1">
                            <w:rPr>
                              <w:rFonts w:ascii="Arial" w:eastAsia="Century Gothic" w:hAnsi="Arial" w:cs="Arial"/>
                              <w:b/>
                              <w:bCs/>
                              <w:color w:val="FFFFFF" w:themeColor="accent5"/>
                              <w:sz w:val="18"/>
                              <w:szCs w:val="18"/>
                            </w:rPr>
                            <w:t xml:space="preserve">: </w:t>
                          </w:r>
                          <w:r w:rsidRPr="00D346E1">
                            <w:rPr>
                              <w:rFonts w:ascii="Arial" w:eastAsia="Century Gothic" w:hAnsi="Arial" w:cs="Arial"/>
                              <w:color w:val="FFFFFF" w:themeColor="accent5"/>
                              <w:sz w:val="18"/>
                              <w:szCs w:val="18"/>
                            </w:rPr>
                            <w:t>012 369 8000</w:t>
                          </w:r>
                          <w:r w:rsidRPr="00D346E1">
                            <w:rPr>
                              <w:rFonts w:ascii="Arial" w:eastAsia="Century Gothic" w:hAnsi="Arial" w:cs="Arial"/>
                              <w:color w:val="FFFFFF" w:themeColor="accent5"/>
                              <w:spacing w:val="50"/>
                              <w:sz w:val="18"/>
                              <w:szCs w:val="18"/>
                            </w:rPr>
                            <w:t xml:space="preserve"> </w:t>
                          </w:r>
                          <w:r w:rsidRPr="00D346E1">
                            <w:rPr>
                              <w:rFonts w:ascii="Arial" w:eastAsia="Century Gothic" w:hAnsi="Arial" w:cs="Arial"/>
                              <w:color w:val="FFFFFF" w:themeColor="accent5"/>
                              <w:sz w:val="18"/>
                              <w:szCs w:val="18"/>
                            </w:rPr>
                            <w:t xml:space="preserve">| </w:t>
                          </w:r>
                          <w:r>
                            <w:rPr>
                              <w:rFonts w:ascii="Arial" w:eastAsia="Century Gothic" w:hAnsi="Arial" w:cs="Arial"/>
                              <w:b/>
                              <w:bCs/>
                              <w:color w:val="FFFFFF" w:themeColor="accent5"/>
                              <w:sz w:val="18"/>
                              <w:szCs w:val="18"/>
                            </w:rPr>
                            <w:t>FAX</w:t>
                          </w:r>
                          <w:r w:rsidRPr="00D346E1">
                            <w:rPr>
                              <w:rFonts w:ascii="Arial" w:eastAsia="Century Gothic" w:hAnsi="Arial" w:cs="Arial"/>
                              <w:b/>
                              <w:bCs/>
                              <w:color w:val="FFFFFF" w:themeColor="accent5"/>
                              <w:sz w:val="18"/>
                              <w:szCs w:val="18"/>
                            </w:rPr>
                            <w:t xml:space="preserve">: </w:t>
                          </w:r>
                          <w:r w:rsidRPr="00D346E1">
                            <w:rPr>
                              <w:rFonts w:ascii="Arial" w:eastAsia="Century Gothic" w:hAnsi="Arial" w:cs="Arial"/>
                              <w:color w:val="FFFFFF" w:themeColor="accent5"/>
                              <w:sz w:val="18"/>
                              <w:szCs w:val="18"/>
                            </w:rPr>
                            <w:t>012 369 8001</w:t>
                          </w:r>
                        </w:p>
                        <w:p w:rsidR="00326612" w:rsidRPr="00D346E1" w:rsidRDefault="00326612" w:rsidP="00326612">
                          <w:pPr>
                            <w:spacing w:before="39"/>
                            <w:ind w:right="49"/>
                            <w:jc w:val="center"/>
                            <w:rPr>
                              <w:rFonts w:ascii="Arial" w:eastAsia="Century Gothic" w:hAnsi="Arial" w:cs="Arial"/>
                              <w:color w:val="FFFFFF" w:themeColor="accent5"/>
                              <w:sz w:val="18"/>
                              <w:szCs w:val="18"/>
                            </w:rPr>
                          </w:pPr>
                          <w:r w:rsidRPr="00D346E1">
                            <w:rPr>
                              <w:rFonts w:ascii="Arial" w:eastAsia="Century Gothic" w:hAnsi="Arial" w:cs="Arial"/>
                              <w:b/>
                              <w:bCs/>
                              <w:color w:val="FFFFFF" w:themeColor="accent5"/>
                              <w:spacing w:val="-4"/>
                              <w:sz w:val="18"/>
                              <w:szCs w:val="18"/>
                            </w:rPr>
                            <w:t>PHYSICAL</w:t>
                          </w:r>
                          <w:r w:rsidRPr="00D346E1">
                            <w:rPr>
                              <w:rFonts w:ascii="Arial" w:eastAsia="Century Gothic" w:hAnsi="Arial" w:cs="Arial"/>
                              <w:b/>
                              <w:bCs/>
                              <w:color w:val="FFFFFF" w:themeColor="accent5"/>
                              <w:sz w:val="18"/>
                              <w:szCs w:val="18"/>
                            </w:rPr>
                            <w:t>:</w:t>
                          </w:r>
                          <w:r w:rsidRPr="00D346E1">
                            <w:rPr>
                              <w:rFonts w:ascii="Arial" w:eastAsia="Century Gothic" w:hAnsi="Arial" w:cs="Arial"/>
                              <w:b/>
                              <w:bCs/>
                              <w:color w:val="FFFFFF" w:themeColor="accent5"/>
                              <w:spacing w:val="-7"/>
                              <w:sz w:val="18"/>
                              <w:szCs w:val="18"/>
                            </w:rPr>
                            <w:t xml:space="preserve"> </w:t>
                          </w:r>
                          <w:r w:rsidRPr="00D346E1">
                            <w:rPr>
                              <w:rFonts w:ascii="Arial" w:eastAsia="Century Gothic" w:hAnsi="Arial" w:cs="Arial"/>
                              <w:bCs/>
                              <w:color w:val="FFFFFF" w:themeColor="accent5"/>
                              <w:spacing w:val="-7"/>
                              <w:sz w:val="18"/>
                              <w:szCs w:val="18"/>
                            </w:rPr>
                            <w:t xml:space="preserve">Block B, </w:t>
                          </w:r>
                          <w:r w:rsidRPr="00D346E1">
                            <w:rPr>
                              <w:rFonts w:ascii="Arial" w:eastAsia="Century Gothic" w:hAnsi="Arial" w:cs="Arial"/>
                              <w:color w:val="FFFFFF" w:themeColor="accent5"/>
                              <w:sz w:val="18"/>
                              <w:szCs w:val="18"/>
                            </w:rPr>
                            <w:t>Menlyn Corporate Park, 175 Co</w:t>
                          </w:r>
                          <w:r w:rsidRPr="00D346E1">
                            <w:rPr>
                              <w:rFonts w:ascii="Arial" w:eastAsia="Century Gothic" w:hAnsi="Arial" w:cs="Arial"/>
                              <w:color w:val="FFFFFF" w:themeColor="accent5"/>
                              <w:spacing w:val="-1"/>
                              <w:sz w:val="18"/>
                              <w:szCs w:val="18"/>
                            </w:rPr>
                            <w:t>r</w:t>
                          </w:r>
                          <w:r w:rsidRPr="00D346E1">
                            <w:rPr>
                              <w:rFonts w:ascii="Arial" w:eastAsia="Century Gothic" w:hAnsi="Arial" w:cs="Arial"/>
                              <w:color w:val="FFFFFF" w:themeColor="accent5"/>
                              <w:sz w:val="18"/>
                              <w:szCs w:val="18"/>
                            </w:rPr>
                            <w:t xml:space="preserve">obay </w:t>
                          </w:r>
                          <w:r w:rsidRPr="00D346E1">
                            <w:rPr>
                              <w:rFonts w:ascii="Arial" w:eastAsia="Century Gothic" w:hAnsi="Arial" w:cs="Arial"/>
                              <w:color w:val="FFFFFF" w:themeColor="accent5"/>
                              <w:spacing w:val="-13"/>
                              <w:sz w:val="18"/>
                              <w:szCs w:val="18"/>
                            </w:rPr>
                            <w:t>A</w:t>
                          </w:r>
                          <w:r w:rsidRPr="00D346E1">
                            <w:rPr>
                              <w:rFonts w:ascii="Arial" w:eastAsia="Century Gothic" w:hAnsi="Arial" w:cs="Arial"/>
                              <w:color w:val="FFFFFF" w:themeColor="accent5"/>
                              <w:sz w:val="18"/>
                              <w:szCs w:val="18"/>
                            </w:rPr>
                            <w:t xml:space="preserve">ve, </w:t>
                          </w:r>
                          <w:r w:rsidRPr="00D346E1">
                            <w:rPr>
                              <w:rFonts w:ascii="Arial" w:eastAsia="Century Gothic" w:hAnsi="Arial" w:cs="Arial"/>
                              <w:color w:val="FFFFFF" w:themeColor="accent5"/>
                              <w:spacing w:val="-9"/>
                              <w:sz w:val="18"/>
                              <w:szCs w:val="18"/>
                            </w:rPr>
                            <w:t>W</w:t>
                          </w:r>
                          <w:r w:rsidRPr="00D346E1">
                            <w:rPr>
                              <w:rFonts w:ascii="Arial" w:eastAsia="Century Gothic" w:hAnsi="Arial" w:cs="Arial"/>
                              <w:color w:val="FFFFFF" w:themeColor="accent5"/>
                              <w:sz w:val="18"/>
                              <w:szCs w:val="18"/>
                            </w:rPr>
                            <w:t>aterkloof Glen Ext 11, Pretoria 0181</w:t>
                          </w:r>
                        </w:p>
                        <w:p w:rsidR="00326612" w:rsidRPr="00D346E1" w:rsidRDefault="00326612" w:rsidP="00326612">
                          <w:pPr>
                            <w:spacing w:line="216" w:lineRule="exact"/>
                            <w:ind w:right="49"/>
                            <w:jc w:val="center"/>
                            <w:rPr>
                              <w:rFonts w:ascii="Arial" w:eastAsia="Century Gothic" w:hAnsi="Arial" w:cs="Arial"/>
                              <w:color w:val="FFFFFF" w:themeColor="accent5"/>
                              <w:sz w:val="18"/>
                              <w:szCs w:val="18"/>
                            </w:rPr>
                          </w:pPr>
                          <w:r w:rsidRPr="00D346E1">
                            <w:rPr>
                              <w:rFonts w:ascii="Arial" w:eastAsia="Century Gothic" w:hAnsi="Arial" w:cs="Arial"/>
                              <w:b/>
                              <w:bCs/>
                              <w:color w:val="FFFFFF" w:themeColor="accent5"/>
                              <w:sz w:val="18"/>
                              <w:szCs w:val="18"/>
                            </w:rPr>
                            <w:t xml:space="preserve">POSTAL: </w:t>
                          </w:r>
                          <w:r w:rsidRPr="00D346E1">
                            <w:rPr>
                              <w:rFonts w:ascii="Arial" w:eastAsia="Century Gothic" w:hAnsi="Arial" w:cs="Arial"/>
                              <w:color w:val="FFFFFF" w:themeColor="accent5"/>
                              <w:sz w:val="18"/>
                              <w:szCs w:val="18"/>
                            </w:rPr>
                            <w:t>PO Box 2094, Pretoria 0001</w:t>
                          </w:r>
                        </w:p>
                        <w:p w:rsidR="00326612" w:rsidRPr="00D346E1" w:rsidRDefault="008F4C1D" w:rsidP="00326612">
                          <w:pPr>
                            <w:spacing w:before="19"/>
                            <w:ind w:right="49"/>
                            <w:jc w:val="center"/>
                            <w:rPr>
                              <w:rFonts w:ascii="Arial" w:eastAsia="Century Gothic" w:hAnsi="Arial" w:cs="Arial"/>
                              <w:color w:val="FFFFFF" w:themeColor="accent5"/>
                              <w:sz w:val="18"/>
                              <w:szCs w:val="18"/>
                            </w:rPr>
                          </w:pPr>
                          <w:hyperlink r:id="rId1">
                            <w:r w:rsidR="00326612" w:rsidRPr="00D346E1">
                              <w:rPr>
                                <w:rFonts w:ascii="Arial" w:eastAsia="Century Gothic" w:hAnsi="Arial" w:cs="Arial"/>
                                <w:color w:val="FFFFFF" w:themeColor="accent5"/>
                                <w:sz w:val="18"/>
                                <w:szCs w:val="18"/>
                              </w:rPr>
                              <w:t>www.salga.org.za</w:t>
                            </w:r>
                          </w:hyperlink>
                        </w:p>
                        <w:p w:rsidR="00326612" w:rsidRPr="00D346E1" w:rsidRDefault="00326612" w:rsidP="00326612">
                          <w:pPr>
                            <w:ind w:right="49"/>
                            <w:rPr>
                              <w:color w:val="FFFFFF" w:themeColor="accent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67A37E" id="_x0000_t202" coordsize="21600,21600" o:spt="202" path="m,l,21600r21600,l21600,xe">
              <v:stroke joinstyle="miter"/>
              <v:path gradientshapeok="t" o:connecttype="rect"/>
            </v:shapetype>
            <v:shape id="Text Box 6" o:spid="_x0000_s1026" type="#_x0000_t202" style="position:absolute;margin-left:12pt;margin-top:29.7pt;width:513pt;height: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" filled="f" stroked="f">
              <v:textbox>
                <w:txbxContent>
                  <w:p w:rsidR="00326612" w:rsidRPr="00D346E1" w:rsidRDefault="00326612" w:rsidP="00326612">
                    <w:pPr>
                      <w:spacing w:before="26"/>
                      <w:ind w:right="49"/>
                      <w:jc w:val="center"/>
                      <w:rPr>
                        <w:rFonts w:ascii="Arial" w:eastAsia="Century Gothic" w:hAnsi="Arial" w:cs="Arial"/>
                        <w:color w:val="FFFFFF" w:themeColor="accent5"/>
                        <w:sz w:val="18"/>
                        <w:szCs w:val="18"/>
                      </w:rPr>
                    </w:pPr>
                    <w:r w:rsidRPr="00D346E1">
                      <w:rPr>
                        <w:rFonts w:ascii="Arial" w:eastAsia="Century Gothic" w:hAnsi="Arial" w:cs="Arial"/>
                        <w:b/>
                        <w:bCs/>
                        <w:color w:val="FFFFFF" w:themeColor="accent5"/>
                        <w:sz w:val="18"/>
                        <w:szCs w:val="18"/>
                      </w:rPr>
                      <w:t>T</w:t>
                    </w:r>
                    <w:r>
                      <w:rPr>
                        <w:rFonts w:ascii="Arial" w:eastAsia="Century Gothic" w:hAnsi="Arial" w:cs="Arial"/>
                        <w:b/>
                        <w:bCs/>
                        <w:color w:val="FFFFFF" w:themeColor="accent5"/>
                        <w:sz w:val="18"/>
                        <w:szCs w:val="18"/>
                      </w:rPr>
                      <w:t>EL</w:t>
                    </w:r>
                    <w:r w:rsidRPr="00D346E1">
                      <w:rPr>
                        <w:rFonts w:ascii="Arial" w:eastAsia="Century Gothic" w:hAnsi="Arial" w:cs="Arial"/>
                        <w:b/>
                        <w:bCs/>
                        <w:color w:val="FFFFFF" w:themeColor="accent5"/>
                        <w:sz w:val="18"/>
                        <w:szCs w:val="18"/>
                      </w:rPr>
                      <w:t xml:space="preserve">: </w:t>
                    </w:r>
                    <w:r w:rsidRPr="00D346E1">
                      <w:rPr>
                        <w:rFonts w:ascii="Arial" w:eastAsia="Century Gothic" w:hAnsi="Arial" w:cs="Arial"/>
                        <w:color w:val="FFFFFF" w:themeColor="accent5"/>
                        <w:sz w:val="18"/>
                        <w:szCs w:val="18"/>
                      </w:rPr>
                      <w:t>012 369 8000</w:t>
                    </w:r>
                    <w:r w:rsidRPr="00D346E1">
                      <w:rPr>
                        <w:rFonts w:ascii="Arial" w:eastAsia="Century Gothic" w:hAnsi="Arial" w:cs="Arial"/>
                        <w:color w:val="FFFFFF" w:themeColor="accent5"/>
                        <w:spacing w:val="50"/>
                        <w:sz w:val="18"/>
                        <w:szCs w:val="18"/>
                      </w:rPr>
                      <w:t xml:space="preserve"> </w:t>
                    </w:r>
                    <w:r w:rsidRPr="00D346E1">
                      <w:rPr>
                        <w:rFonts w:ascii="Arial" w:eastAsia="Century Gothic" w:hAnsi="Arial" w:cs="Arial"/>
                        <w:color w:val="FFFFFF" w:themeColor="accent5"/>
                        <w:sz w:val="18"/>
                        <w:szCs w:val="18"/>
                      </w:rPr>
                      <w:t xml:space="preserve">| </w:t>
                    </w:r>
                    <w:r>
                      <w:rPr>
                        <w:rFonts w:ascii="Arial" w:eastAsia="Century Gothic" w:hAnsi="Arial" w:cs="Arial"/>
                        <w:b/>
                        <w:bCs/>
                        <w:color w:val="FFFFFF" w:themeColor="accent5"/>
                        <w:sz w:val="18"/>
                        <w:szCs w:val="18"/>
                      </w:rPr>
                      <w:t>FAX</w:t>
                    </w:r>
                    <w:r w:rsidRPr="00D346E1">
                      <w:rPr>
                        <w:rFonts w:ascii="Arial" w:eastAsia="Century Gothic" w:hAnsi="Arial" w:cs="Arial"/>
                        <w:b/>
                        <w:bCs/>
                        <w:color w:val="FFFFFF" w:themeColor="accent5"/>
                        <w:sz w:val="18"/>
                        <w:szCs w:val="18"/>
                      </w:rPr>
                      <w:t xml:space="preserve">: </w:t>
                    </w:r>
                    <w:r w:rsidRPr="00D346E1">
                      <w:rPr>
                        <w:rFonts w:ascii="Arial" w:eastAsia="Century Gothic" w:hAnsi="Arial" w:cs="Arial"/>
                        <w:color w:val="FFFFFF" w:themeColor="accent5"/>
                        <w:sz w:val="18"/>
                        <w:szCs w:val="18"/>
                      </w:rPr>
                      <w:t>012 369 8001</w:t>
                    </w:r>
                  </w:p>
                  <w:p w:rsidR="00326612" w:rsidRPr="00D346E1" w:rsidRDefault="00326612" w:rsidP="00326612">
                    <w:pPr>
                      <w:spacing w:before="39"/>
                      <w:ind w:right="49"/>
                      <w:jc w:val="center"/>
                      <w:rPr>
                        <w:rFonts w:ascii="Arial" w:eastAsia="Century Gothic" w:hAnsi="Arial" w:cs="Arial"/>
                        <w:color w:val="FFFFFF" w:themeColor="accent5"/>
                        <w:sz w:val="18"/>
                        <w:szCs w:val="18"/>
                      </w:rPr>
                    </w:pPr>
                    <w:r w:rsidRPr="00D346E1">
                      <w:rPr>
                        <w:rFonts w:ascii="Arial" w:eastAsia="Century Gothic" w:hAnsi="Arial" w:cs="Arial"/>
                        <w:b/>
                        <w:bCs/>
                        <w:color w:val="FFFFFF" w:themeColor="accent5"/>
                        <w:spacing w:val="-4"/>
                        <w:sz w:val="18"/>
                        <w:szCs w:val="18"/>
                      </w:rPr>
                      <w:t>PHYSICAL</w:t>
                    </w:r>
                    <w:r w:rsidRPr="00D346E1">
                      <w:rPr>
                        <w:rFonts w:ascii="Arial" w:eastAsia="Century Gothic" w:hAnsi="Arial" w:cs="Arial"/>
                        <w:b/>
                        <w:bCs/>
                        <w:color w:val="FFFFFF" w:themeColor="accent5"/>
                        <w:sz w:val="18"/>
                        <w:szCs w:val="18"/>
                      </w:rPr>
                      <w:t>:</w:t>
                    </w:r>
                    <w:r w:rsidRPr="00D346E1">
                      <w:rPr>
                        <w:rFonts w:ascii="Arial" w:eastAsia="Century Gothic" w:hAnsi="Arial" w:cs="Arial"/>
                        <w:b/>
                        <w:bCs/>
                        <w:color w:val="FFFFFF" w:themeColor="accent5"/>
                        <w:spacing w:val="-7"/>
                        <w:sz w:val="18"/>
                        <w:szCs w:val="18"/>
                      </w:rPr>
                      <w:t xml:space="preserve"> </w:t>
                    </w:r>
                    <w:r w:rsidRPr="00D346E1">
                      <w:rPr>
                        <w:rFonts w:ascii="Arial" w:eastAsia="Century Gothic" w:hAnsi="Arial" w:cs="Arial"/>
                        <w:bCs/>
                        <w:color w:val="FFFFFF" w:themeColor="accent5"/>
                        <w:spacing w:val="-7"/>
                        <w:sz w:val="18"/>
                        <w:szCs w:val="18"/>
                      </w:rPr>
                      <w:t xml:space="preserve">Block B, </w:t>
                    </w:r>
                    <w:r w:rsidRPr="00D346E1">
                      <w:rPr>
                        <w:rFonts w:ascii="Arial" w:eastAsia="Century Gothic" w:hAnsi="Arial" w:cs="Arial"/>
                        <w:color w:val="FFFFFF" w:themeColor="accent5"/>
                        <w:sz w:val="18"/>
                        <w:szCs w:val="18"/>
                      </w:rPr>
                      <w:t>Menlyn Corporate Park, 175 Co</w:t>
                    </w:r>
                    <w:r w:rsidRPr="00D346E1">
                      <w:rPr>
                        <w:rFonts w:ascii="Arial" w:eastAsia="Century Gothic" w:hAnsi="Arial" w:cs="Arial"/>
                        <w:color w:val="FFFFFF" w:themeColor="accent5"/>
                        <w:spacing w:val="-1"/>
                        <w:sz w:val="18"/>
                        <w:szCs w:val="18"/>
                      </w:rPr>
                      <w:t>r</w:t>
                    </w:r>
                    <w:r w:rsidRPr="00D346E1">
                      <w:rPr>
                        <w:rFonts w:ascii="Arial" w:eastAsia="Century Gothic" w:hAnsi="Arial" w:cs="Arial"/>
                        <w:color w:val="FFFFFF" w:themeColor="accent5"/>
                        <w:sz w:val="18"/>
                        <w:szCs w:val="18"/>
                      </w:rPr>
                      <w:t xml:space="preserve">obay </w:t>
                    </w:r>
                    <w:r w:rsidRPr="00D346E1">
                      <w:rPr>
                        <w:rFonts w:ascii="Arial" w:eastAsia="Century Gothic" w:hAnsi="Arial" w:cs="Arial"/>
                        <w:color w:val="FFFFFF" w:themeColor="accent5"/>
                        <w:spacing w:val="-13"/>
                        <w:sz w:val="18"/>
                        <w:szCs w:val="18"/>
                      </w:rPr>
                      <w:t>A</w:t>
                    </w:r>
                    <w:r w:rsidRPr="00D346E1">
                      <w:rPr>
                        <w:rFonts w:ascii="Arial" w:eastAsia="Century Gothic" w:hAnsi="Arial" w:cs="Arial"/>
                        <w:color w:val="FFFFFF" w:themeColor="accent5"/>
                        <w:sz w:val="18"/>
                        <w:szCs w:val="18"/>
                      </w:rPr>
                      <w:t xml:space="preserve">ve, </w:t>
                    </w:r>
                    <w:r w:rsidRPr="00D346E1">
                      <w:rPr>
                        <w:rFonts w:ascii="Arial" w:eastAsia="Century Gothic" w:hAnsi="Arial" w:cs="Arial"/>
                        <w:color w:val="FFFFFF" w:themeColor="accent5"/>
                        <w:spacing w:val="-9"/>
                        <w:sz w:val="18"/>
                        <w:szCs w:val="18"/>
                      </w:rPr>
                      <w:t>W</w:t>
                    </w:r>
                    <w:r w:rsidRPr="00D346E1">
                      <w:rPr>
                        <w:rFonts w:ascii="Arial" w:eastAsia="Century Gothic" w:hAnsi="Arial" w:cs="Arial"/>
                        <w:color w:val="FFFFFF" w:themeColor="accent5"/>
                        <w:sz w:val="18"/>
                        <w:szCs w:val="18"/>
                      </w:rPr>
                      <w:t>aterkloof Glen Ext 11, Pretoria 0181</w:t>
                    </w:r>
                  </w:p>
                  <w:p w:rsidR="00326612" w:rsidRPr="00D346E1" w:rsidRDefault="00326612" w:rsidP="00326612">
                    <w:pPr>
                      <w:spacing w:line="216" w:lineRule="exact"/>
                      <w:ind w:right="49"/>
                      <w:jc w:val="center"/>
                      <w:rPr>
                        <w:rFonts w:ascii="Arial" w:eastAsia="Century Gothic" w:hAnsi="Arial" w:cs="Arial"/>
                        <w:color w:val="FFFFFF" w:themeColor="accent5"/>
                        <w:sz w:val="18"/>
                        <w:szCs w:val="18"/>
                      </w:rPr>
                    </w:pPr>
                    <w:r w:rsidRPr="00D346E1">
                      <w:rPr>
                        <w:rFonts w:ascii="Arial" w:eastAsia="Century Gothic" w:hAnsi="Arial" w:cs="Arial"/>
                        <w:b/>
                        <w:bCs/>
                        <w:color w:val="FFFFFF" w:themeColor="accent5"/>
                        <w:sz w:val="18"/>
                        <w:szCs w:val="18"/>
                      </w:rPr>
                      <w:t xml:space="preserve">POSTAL: </w:t>
                    </w:r>
                    <w:r w:rsidRPr="00D346E1">
                      <w:rPr>
                        <w:rFonts w:ascii="Arial" w:eastAsia="Century Gothic" w:hAnsi="Arial" w:cs="Arial"/>
                        <w:color w:val="FFFFFF" w:themeColor="accent5"/>
                        <w:sz w:val="18"/>
                        <w:szCs w:val="18"/>
                      </w:rPr>
                      <w:t>PO Box 2094, Pretoria 0001</w:t>
                    </w:r>
                  </w:p>
                  <w:p w:rsidR="00326612" w:rsidRPr="00D346E1" w:rsidRDefault="008F4C1D" w:rsidP="00326612">
                    <w:pPr>
                      <w:spacing w:before="19"/>
                      <w:ind w:right="49"/>
                      <w:jc w:val="center"/>
                      <w:rPr>
                        <w:rFonts w:ascii="Arial" w:eastAsia="Century Gothic" w:hAnsi="Arial" w:cs="Arial"/>
                        <w:color w:val="FFFFFF" w:themeColor="accent5"/>
                        <w:sz w:val="18"/>
                        <w:szCs w:val="18"/>
                      </w:rPr>
                    </w:pPr>
                    <w:hyperlink r:id="rId2">
                      <w:r w:rsidR="00326612" w:rsidRPr="00D346E1">
                        <w:rPr>
                          <w:rFonts w:ascii="Arial" w:eastAsia="Century Gothic" w:hAnsi="Arial" w:cs="Arial"/>
                          <w:color w:val="FFFFFF" w:themeColor="accent5"/>
                          <w:sz w:val="18"/>
                          <w:szCs w:val="18"/>
                        </w:rPr>
                        <w:t>www.salga.org.za</w:t>
                      </w:r>
                    </w:hyperlink>
                  </w:p>
                  <w:p w:rsidR="00326612" w:rsidRPr="00D346E1" w:rsidRDefault="00326612" w:rsidP="00326612">
                    <w:pPr>
                      <w:ind w:right="49"/>
                      <w:rPr>
                        <w:color w:val="FFFFFF" w:themeColor="accent5"/>
                      </w:rPr>
                    </w:pP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6E1" w:rsidRDefault="00D346E1">
    <w:pPr>
      <w:pStyle w:val="Footer"/>
    </w:pPr>
    <w:r>
      <w:rPr>
        <w:noProof/>
        <w:lang w:val="en-ZA" w:eastAsia="en-ZA"/>
      </w:rPr>
      <mc:AlternateContent>
        <mc:Choice Requires="wps">
          <w:drawing>
            <wp:anchor distT="0" distB="0" distL="114300" distR="114300" simplePos="0" relativeHeight="251660288" behindDoc="0" locked="0" layoutInCell="1" allowOverlap="1" wp14:anchorId="6BCD6A4E" wp14:editId="42741EC2">
              <wp:simplePos x="0" y="0"/>
              <wp:positionH relativeFrom="column">
                <wp:posOffset>0</wp:posOffset>
              </wp:positionH>
              <wp:positionV relativeFrom="paragraph">
                <wp:posOffset>351904</wp:posOffset>
              </wp:positionV>
              <wp:extent cx="6515100" cy="5715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515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346E1" w:rsidRPr="00D346E1" w:rsidRDefault="00D346E1" w:rsidP="00D346E1">
                          <w:pPr>
                            <w:spacing w:before="26"/>
                            <w:ind w:right="49"/>
                            <w:jc w:val="center"/>
                            <w:rPr>
                              <w:rFonts w:ascii="Arial" w:eastAsia="Century Gothic" w:hAnsi="Arial" w:cs="Arial"/>
                              <w:color w:val="FFFFFF" w:themeColor="accent5"/>
                              <w:sz w:val="18"/>
                              <w:szCs w:val="18"/>
                            </w:rPr>
                          </w:pPr>
                          <w:r w:rsidRPr="00D346E1">
                            <w:rPr>
                              <w:rFonts w:ascii="Arial" w:eastAsia="Century Gothic" w:hAnsi="Arial" w:cs="Arial"/>
                              <w:b/>
                              <w:bCs/>
                              <w:color w:val="FFFFFF" w:themeColor="accent5"/>
                              <w:sz w:val="18"/>
                              <w:szCs w:val="18"/>
                            </w:rPr>
                            <w:t>T</w:t>
                          </w:r>
                          <w:r>
                            <w:rPr>
                              <w:rFonts w:ascii="Arial" w:eastAsia="Century Gothic" w:hAnsi="Arial" w:cs="Arial"/>
                              <w:b/>
                              <w:bCs/>
                              <w:color w:val="FFFFFF" w:themeColor="accent5"/>
                              <w:sz w:val="18"/>
                              <w:szCs w:val="18"/>
                            </w:rPr>
                            <w:t>EL</w:t>
                          </w:r>
                          <w:r w:rsidRPr="00D346E1">
                            <w:rPr>
                              <w:rFonts w:ascii="Arial" w:eastAsia="Century Gothic" w:hAnsi="Arial" w:cs="Arial"/>
                              <w:b/>
                              <w:bCs/>
                              <w:color w:val="FFFFFF" w:themeColor="accent5"/>
                              <w:sz w:val="18"/>
                              <w:szCs w:val="18"/>
                            </w:rPr>
                            <w:t xml:space="preserve">: </w:t>
                          </w:r>
                          <w:r w:rsidR="00856415">
                            <w:rPr>
                              <w:rFonts w:ascii="Arial" w:eastAsia="Century Gothic" w:hAnsi="Arial" w:cs="Arial"/>
                              <w:color w:val="FFFFFF" w:themeColor="accent5"/>
                              <w:sz w:val="18"/>
                              <w:szCs w:val="18"/>
                            </w:rPr>
                            <w:t xml:space="preserve">012 369 </w:t>
                          </w:r>
                          <w:r w:rsidR="00960EBF">
                            <w:rPr>
                              <w:rFonts w:ascii="Arial" w:eastAsia="Century Gothic" w:hAnsi="Arial" w:cs="Arial"/>
                              <w:color w:val="FFFFFF" w:themeColor="accent5"/>
                              <w:sz w:val="18"/>
                              <w:szCs w:val="18"/>
                            </w:rPr>
                            <w:t>800</w:t>
                          </w:r>
                          <w:r w:rsidR="00856415">
                            <w:rPr>
                              <w:rFonts w:ascii="Arial" w:eastAsia="Century Gothic" w:hAnsi="Arial" w:cs="Arial"/>
                              <w:color w:val="FFFFFF" w:themeColor="accent5"/>
                              <w:sz w:val="18"/>
                              <w:szCs w:val="18"/>
                            </w:rPr>
                            <w:t>0</w:t>
                          </w:r>
                          <w:r w:rsidRPr="00D346E1">
                            <w:rPr>
                              <w:rFonts w:ascii="Arial" w:eastAsia="Century Gothic" w:hAnsi="Arial" w:cs="Arial"/>
                              <w:color w:val="FFFFFF" w:themeColor="accent5"/>
                              <w:spacing w:val="50"/>
                              <w:sz w:val="18"/>
                              <w:szCs w:val="18"/>
                            </w:rPr>
                            <w:t xml:space="preserve"> </w:t>
                          </w:r>
                          <w:r w:rsidRPr="00D346E1">
                            <w:rPr>
                              <w:rFonts w:ascii="Arial" w:eastAsia="Century Gothic" w:hAnsi="Arial" w:cs="Arial"/>
                              <w:color w:val="FFFFFF" w:themeColor="accent5"/>
                              <w:sz w:val="18"/>
                              <w:szCs w:val="18"/>
                            </w:rPr>
                            <w:t xml:space="preserve">| </w:t>
                          </w:r>
                          <w:r>
                            <w:rPr>
                              <w:rFonts w:ascii="Arial" w:eastAsia="Century Gothic" w:hAnsi="Arial" w:cs="Arial"/>
                              <w:b/>
                              <w:bCs/>
                              <w:color w:val="FFFFFF" w:themeColor="accent5"/>
                              <w:sz w:val="18"/>
                              <w:szCs w:val="18"/>
                            </w:rPr>
                            <w:t>FAX</w:t>
                          </w:r>
                          <w:r w:rsidRPr="00D346E1">
                            <w:rPr>
                              <w:rFonts w:ascii="Arial" w:eastAsia="Century Gothic" w:hAnsi="Arial" w:cs="Arial"/>
                              <w:b/>
                              <w:bCs/>
                              <w:color w:val="FFFFFF" w:themeColor="accent5"/>
                              <w:sz w:val="18"/>
                              <w:szCs w:val="18"/>
                            </w:rPr>
                            <w:t xml:space="preserve">: </w:t>
                          </w:r>
                          <w:r w:rsidR="00856415">
                            <w:rPr>
                              <w:rFonts w:ascii="Arial" w:eastAsia="Century Gothic" w:hAnsi="Arial" w:cs="Arial"/>
                              <w:color w:val="FFFFFF" w:themeColor="accent5"/>
                              <w:sz w:val="18"/>
                              <w:szCs w:val="18"/>
                            </w:rPr>
                            <w:t>012 369 8001</w:t>
                          </w:r>
                        </w:p>
                        <w:p w:rsidR="00D346E1" w:rsidRPr="00D346E1" w:rsidRDefault="00D346E1" w:rsidP="00D346E1">
                          <w:pPr>
                            <w:spacing w:before="39"/>
                            <w:ind w:right="49"/>
                            <w:jc w:val="center"/>
                            <w:rPr>
                              <w:rFonts w:ascii="Arial" w:eastAsia="Century Gothic" w:hAnsi="Arial" w:cs="Arial"/>
                              <w:color w:val="FFFFFF" w:themeColor="accent5"/>
                              <w:sz w:val="18"/>
                              <w:szCs w:val="18"/>
                            </w:rPr>
                          </w:pPr>
                          <w:r w:rsidRPr="00D346E1">
                            <w:rPr>
                              <w:rFonts w:ascii="Arial" w:eastAsia="Century Gothic" w:hAnsi="Arial" w:cs="Arial"/>
                              <w:b/>
                              <w:bCs/>
                              <w:color w:val="FFFFFF" w:themeColor="accent5"/>
                              <w:spacing w:val="-4"/>
                              <w:sz w:val="18"/>
                              <w:szCs w:val="18"/>
                            </w:rPr>
                            <w:t>PHYSICAL</w:t>
                          </w:r>
                          <w:r w:rsidRPr="00D346E1">
                            <w:rPr>
                              <w:rFonts w:ascii="Arial" w:eastAsia="Century Gothic" w:hAnsi="Arial" w:cs="Arial"/>
                              <w:b/>
                              <w:bCs/>
                              <w:color w:val="FFFFFF" w:themeColor="accent5"/>
                              <w:sz w:val="18"/>
                              <w:szCs w:val="18"/>
                            </w:rPr>
                            <w:t>:</w:t>
                          </w:r>
                          <w:r w:rsidRPr="00D346E1">
                            <w:rPr>
                              <w:rFonts w:ascii="Arial" w:eastAsia="Century Gothic" w:hAnsi="Arial" w:cs="Arial"/>
                              <w:b/>
                              <w:bCs/>
                              <w:color w:val="FFFFFF" w:themeColor="accent5"/>
                              <w:spacing w:val="-7"/>
                              <w:sz w:val="18"/>
                              <w:szCs w:val="18"/>
                            </w:rPr>
                            <w:t xml:space="preserve"> </w:t>
                          </w:r>
                          <w:r w:rsidRPr="00D346E1">
                            <w:rPr>
                              <w:rFonts w:ascii="Arial" w:eastAsia="Century Gothic" w:hAnsi="Arial" w:cs="Arial"/>
                              <w:bCs/>
                              <w:color w:val="FFFFFF" w:themeColor="accent5"/>
                              <w:spacing w:val="-7"/>
                              <w:sz w:val="18"/>
                              <w:szCs w:val="18"/>
                            </w:rPr>
                            <w:t xml:space="preserve">Block B, </w:t>
                          </w:r>
                          <w:r w:rsidRPr="00D346E1">
                            <w:rPr>
                              <w:rFonts w:ascii="Arial" w:eastAsia="Century Gothic" w:hAnsi="Arial" w:cs="Arial"/>
                              <w:color w:val="FFFFFF" w:themeColor="accent5"/>
                              <w:sz w:val="18"/>
                              <w:szCs w:val="18"/>
                            </w:rPr>
                            <w:t>Menlyn Corporate Park, 175 Co</w:t>
                          </w:r>
                          <w:r w:rsidRPr="00D346E1">
                            <w:rPr>
                              <w:rFonts w:ascii="Arial" w:eastAsia="Century Gothic" w:hAnsi="Arial" w:cs="Arial"/>
                              <w:color w:val="FFFFFF" w:themeColor="accent5"/>
                              <w:spacing w:val="-1"/>
                              <w:sz w:val="18"/>
                              <w:szCs w:val="18"/>
                            </w:rPr>
                            <w:t>r</w:t>
                          </w:r>
                          <w:r w:rsidRPr="00D346E1">
                            <w:rPr>
                              <w:rFonts w:ascii="Arial" w:eastAsia="Century Gothic" w:hAnsi="Arial" w:cs="Arial"/>
                              <w:color w:val="FFFFFF" w:themeColor="accent5"/>
                              <w:sz w:val="18"/>
                              <w:szCs w:val="18"/>
                            </w:rPr>
                            <w:t xml:space="preserve">obay </w:t>
                          </w:r>
                          <w:r w:rsidRPr="00D346E1">
                            <w:rPr>
                              <w:rFonts w:ascii="Arial" w:eastAsia="Century Gothic" w:hAnsi="Arial" w:cs="Arial"/>
                              <w:color w:val="FFFFFF" w:themeColor="accent5"/>
                              <w:spacing w:val="-13"/>
                              <w:sz w:val="18"/>
                              <w:szCs w:val="18"/>
                            </w:rPr>
                            <w:t>A</w:t>
                          </w:r>
                          <w:r w:rsidRPr="00D346E1">
                            <w:rPr>
                              <w:rFonts w:ascii="Arial" w:eastAsia="Century Gothic" w:hAnsi="Arial" w:cs="Arial"/>
                              <w:color w:val="FFFFFF" w:themeColor="accent5"/>
                              <w:sz w:val="18"/>
                              <w:szCs w:val="18"/>
                            </w:rPr>
                            <w:t xml:space="preserve">ve, </w:t>
                          </w:r>
                          <w:r w:rsidRPr="00D346E1">
                            <w:rPr>
                              <w:rFonts w:ascii="Arial" w:eastAsia="Century Gothic" w:hAnsi="Arial" w:cs="Arial"/>
                              <w:color w:val="FFFFFF" w:themeColor="accent5"/>
                              <w:spacing w:val="-9"/>
                              <w:sz w:val="18"/>
                              <w:szCs w:val="18"/>
                            </w:rPr>
                            <w:t>W</w:t>
                          </w:r>
                          <w:r w:rsidRPr="00D346E1">
                            <w:rPr>
                              <w:rFonts w:ascii="Arial" w:eastAsia="Century Gothic" w:hAnsi="Arial" w:cs="Arial"/>
                              <w:color w:val="FFFFFF" w:themeColor="accent5"/>
                              <w:sz w:val="18"/>
                              <w:szCs w:val="18"/>
                            </w:rPr>
                            <w:t>aterkloof Glen Ext 11, P</w:t>
                          </w:r>
                          <w:r w:rsidR="00145F2B">
                            <w:rPr>
                              <w:rFonts w:ascii="Arial" w:eastAsia="Century Gothic" w:hAnsi="Arial" w:cs="Arial"/>
                              <w:color w:val="FFFFFF" w:themeColor="accent5"/>
                              <w:sz w:val="18"/>
                              <w:szCs w:val="18"/>
                            </w:rPr>
                            <w:t>RETORIA</w:t>
                          </w:r>
                          <w:r w:rsidRPr="00D346E1">
                            <w:rPr>
                              <w:rFonts w:ascii="Arial" w:eastAsia="Century Gothic" w:hAnsi="Arial" w:cs="Arial"/>
                              <w:color w:val="FFFFFF" w:themeColor="accent5"/>
                              <w:sz w:val="18"/>
                              <w:szCs w:val="18"/>
                            </w:rPr>
                            <w:t xml:space="preserve"> 0181</w:t>
                          </w:r>
                        </w:p>
                        <w:p w:rsidR="00D346E1" w:rsidRPr="00D346E1" w:rsidRDefault="00D346E1" w:rsidP="00D346E1">
                          <w:pPr>
                            <w:spacing w:line="216" w:lineRule="exact"/>
                            <w:ind w:right="49"/>
                            <w:jc w:val="center"/>
                            <w:rPr>
                              <w:rFonts w:ascii="Arial" w:eastAsia="Century Gothic" w:hAnsi="Arial" w:cs="Arial"/>
                              <w:color w:val="FFFFFF" w:themeColor="accent5"/>
                              <w:sz w:val="18"/>
                              <w:szCs w:val="18"/>
                            </w:rPr>
                          </w:pPr>
                          <w:r w:rsidRPr="00D346E1">
                            <w:rPr>
                              <w:rFonts w:ascii="Arial" w:eastAsia="Century Gothic" w:hAnsi="Arial" w:cs="Arial"/>
                              <w:b/>
                              <w:bCs/>
                              <w:color w:val="FFFFFF" w:themeColor="accent5"/>
                              <w:sz w:val="18"/>
                              <w:szCs w:val="18"/>
                            </w:rPr>
                            <w:t xml:space="preserve">POSTAL: </w:t>
                          </w:r>
                          <w:r w:rsidRPr="00D346E1">
                            <w:rPr>
                              <w:rFonts w:ascii="Arial" w:eastAsia="Century Gothic" w:hAnsi="Arial" w:cs="Arial"/>
                              <w:color w:val="FFFFFF" w:themeColor="accent5"/>
                              <w:sz w:val="18"/>
                              <w:szCs w:val="18"/>
                            </w:rPr>
                            <w:t xml:space="preserve">PO Box 2094, </w:t>
                          </w:r>
                          <w:r w:rsidR="00ED0E8E">
                            <w:rPr>
                              <w:rFonts w:ascii="Arial" w:eastAsia="Century Gothic" w:hAnsi="Arial" w:cs="Arial"/>
                              <w:color w:val="FFFFFF" w:themeColor="accent5"/>
                              <w:sz w:val="18"/>
                              <w:szCs w:val="18"/>
                            </w:rPr>
                            <w:t>PRETORIA</w:t>
                          </w:r>
                          <w:r w:rsidRPr="00D346E1">
                            <w:rPr>
                              <w:rFonts w:ascii="Arial" w:eastAsia="Century Gothic" w:hAnsi="Arial" w:cs="Arial"/>
                              <w:color w:val="FFFFFF" w:themeColor="accent5"/>
                              <w:sz w:val="18"/>
                              <w:szCs w:val="18"/>
                            </w:rPr>
                            <w:t xml:space="preserve"> 0001</w:t>
                          </w:r>
                        </w:p>
                        <w:p w:rsidR="00D346E1" w:rsidRPr="00D346E1" w:rsidRDefault="008F4C1D" w:rsidP="00D346E1">
                          <w:pPr>
                            <w:spacing w:before="19"/>
                            <w:ind w:right="49"/>
                            <w:jc w:val="center"/>
                            <w:rPr>
                              <w:rFonts w:ascii="Arial" w:eastAsia="Century Gothic" w:hAnsi="Arial" w:cs="Arial"/>
                              <w:color w:val="FFFFFF" w:themeColor="accent5"/>
                              <w:sz w:val="18"/>
                              <w:szCs w:val="18"/>
                            </w:rPr>
                          </w:pPr>
                          <w:hyperlink r:id="rId1">
                            <w:r w:rsidR="00D346E1" w:rsidRPr="00D346E1">
                              <w:rPr>
                                <w:rFonts w:ascii="Arial" w:eastAsia="Century Gothic" w:hAnsi="Arial" w:cs="Arial"/>
                                <w:color w:val="FFFFFF" w:themeColor="accent5"/>
                                <w:sz w:val="18"/>
                                <w:szCs w:val="18"/>
                              </w:rPr>
                              <w:t>www.salga.org.za</w:t>
                            </w:r>
                          </w:hyperlink>
                        </w:p>
                        <w:p w:rsidR="00D346E1" w:rsidRPr="00D346E1" w:rsidRDefault="00D346E1" w:rsidP="00D346E1">
                          <w:pPr>
                            <w:ind w:right="49"/>
                            <w:rPr>
                              <w:color w:val="FFFFFF" w:themeColor="accent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CD6A4E" id="_x0000_t202" coordsize="21600,21600" o:spt="202" path="m,l,21600r21600,l21600,xe">
              <v:stroke joinstyle="miter"/>
              <v:path gradientshapeok="t" o:connecttype="rect"/>
            </v:shapetype>
            <v:shape id="Text Box 3" o:spid="_x0000_s1028" type="#_x0000_t202" style="position:absolute;margin-left:0;margin-top:27.7pt;width:513pt;height: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bqrAIAAKoFAAAOAAAAZHJzL2Uyb0RvYy54bWysVEtv2zAMvg/YfxB0T22ncR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" filled="f" stroked="f">
              <v:textbox>
                <w:txbxContent>
                  <w:p w:rsidR="00D346E1" w:rsidRPr="00D346E1" w:rsidRDefault="00D346E1" w:rsidP="00D346E1">
                    <w:pPr>
                      <w:spacing w:before="26"/>
                      <w:ind w:right="49"/>
                      <w:jc w:val="center"/>
                      <w:rPr>
                        <w:rFonts w:ascii="Arial" w:eastAsia="Century Gothic" w:hAnsi="Arial" w:cs="Arial"/>
                        <w:color w:val="FFFFFF" w:themeColor="accent5"/>
                        <w:sz w:val="18"/>
                        <w:szCs w:val="18"/>
                      </w:rPr>
                    </w:pPr>
                    <w:r w:rsidRPr="00D346E1">
                      <w:rPr>
                        <w:rFonts w:ascii="Arial" w:eastAsia="Century Gothic" w:hAnsi="Arial" w:cs="Arial"/>
                        <w:b/>
                        <w:bCs/>
                        <w:color w:val="FFFFFF" w:themeColor="accent5"/>
                        <w:sz w:val="18"/>
                        <w:szCs w:val="18"/>
                      </w:rPr>
                      <w:t>T</w:t>
                    </w:r>
                    <w:r>
                      <w:rPr>
                        <w:rFonts w:ascii="Arial" w:eastAsia="Century Gothic" w:hAnsi="Arial" w:cs="Arial"/>
                        <w:b/>
                        <w:bCs/>
                        <w:color w:val="FFFFFF" w:themeColor="accent5"/>
                        <w:sz w:val="18"/>
                        <w:szCs w:val="18"/>
                      </w:rPr>
                      <w:t>EL</w:t>
                    </w:r>
                    <w:r w:rsidRPr="00D346E1">
                      <w:rPr>
                        <w:rFonts w:ascii="Arial" w:eastAsia="Century Gothic" w:hAnsi="Arial" w:cs="Arial"/>
                        <w:b/>
                        <w:bCs/>
                        <w:color w:val="FFFFFF" w:themeColor="accent5"/>
                        <w:sz w:val="18"/>
                        <w:szCs w:val="18"/>
                      </w:rPr>
                      <w:t xml:space="preserve">: </w:t>
                    </w:r>
                    <w:r w:rsidR="00856415">
                      <w:rPr>
                        <w:rFonts w:ascii="Arial" w:eastAsia="Century Gothic" w:hAnsi="Arial" w:cs="Arial"/>
                        <w:color w:val="FFFFFF" w:themeColor="accent5"/>
                        <w:sz w:val="18"/>
                        <w:szCs w:val="18"/>
                      </w:rPr>
                      <w:t xml:space="preserve">012 369 </w:t>
                    </w:r>
                    <w:r w:rsidR="00960EBF">
                      <w:rPr>
                        <w:rFonts w:ascii="Arial" w:eastAsia="Century Gothic" w:hAnsi="Arial" w:cs="Arial"/>
                        <w:color w:val="FFFFFF" w:themeColor="accent5"/>
                        <w:sz w:val="18"/>
                        <w:szCs w:val="18"/>
                      </w:rPr>
                      <w:t>800</w:t>
                    </w:r>
                    <w:r w:rsidR="00856415">
                      <w:rPr>
                        <w:rFonts w:ascii="Arial" w:eastAsia="Century Gothic" w:hAnsi="Arial" w:cs="Arial"/>
                        <w:color w:val="FFFFFF" w:themeColor="accent5"/>
                        <w:sz w:val="18"/>
                        <w:szCs w:val="18"/>
                      </w:rPr>
                      <w:t>0</w:t>
                    </w:r>
                    <w:r w:rsidRPr="00D346E1">
                      <w:rPr>
                        <w:rFonts w:ascii="Arial" w:eastAsia="Century Gothic" w:hAnsi="Arial" w:cs="Arial"/>
                        <w:color w:val="FFFFFF" w:themeColor="accent5"/>
                        <w:spacing w:val="50"/>
                        <w:sz w:val="18"/>
                        <w:szCs w:val="18"/>
                      </w:rPr>
                      <w:t xml:space="preserve"> </w:t>
                    </w:r>
                    <w:r w:rsidRPr="00D346E1">
                      <w:rPr>
                        <w:rFonts w:ascii="Arial" w:eastAsia="Century Gothic" w:hAnsi="Arial" w:cs="Arial"/>
                        <w:color w:val="FFFFFF" w:themeColor="accent5"/>
                        <w:sz w:val="18"/>
                        <w:szCs w:val="18"/>
                      </w:rPr>
                      <w:t xml:space="preserve">| </w:t>
                    </w:r>
                    <w:r>
                      <w:rPr>
                        <w:rFonts w:ascii="Arial" w:eastAsia="Century Gothic" w:hAnsi="Arial" w:cs="Arial"/>
                        <w:b/>
                        <w:bCs/>
                        <w:color w:val="FFFFFF" w:themeColor="accent5"/>
                        <w:sz w:val="18"/>
                        <w:szCs w:val="18"/>
                      </w:rPr>
                      <w:t>FAX</w:t>
                    </w:r>
                    <w:r w:rsidRPr="00D346E1">
                      <w:rPr>
                        <w:rFonts w:ascii="Arial" w:eastAsia="Century Gothic" w:hAnsi="Arial" w:cs="Arial"/>
                        <w:b/>
                        <w:bCs/>
                        <w:color w:val="FFFFFF" w:themeColor="accent5"/>
                        <w:sz w:val="18"/>
                        <w:szCs w:val="18"/>
                      </w:rPr>
                      <w:t xml:space="preserve">: </w:t>
                    </w:r>
                    <w:r w:rsidR="00856415">
                      <w:rPr>
                        <w:rFonts w:ascii="Arial" w:eastAsia="Century Gothic" w:hAnsi="Arial" w:cs="Arial"/>
                        <w:color w:val="FFFFFF" w:themeColor="accent5"/>
                        <w:sz w:val="18"/>
                        <w:szCs w:val="18"/>
                      </w:rPr>
                      <w:t>012 369 8001</w:t>
                    </w:r>
                  </w:p>
                  <w:p w:rsidR="00D346E1" w:rsidRPr="00D346E1" w:rsidRDefault="00D346E1" w:rsidP="00D346E1">
                    <w:pPr>
                      <w:spacing w:before="39"/>
                      <w:ind w:right="49"/>
                      <w:jc w:val="center"/>
                      <w:rPr>
                        <w:rFonts w:ascii="Arial" w:eastAsia="Century Gothic" w:hAnsi="Arial" w:cs="Arial"/>
                        <w:color w:val="FFFFFF" w:themeColor="accent5"/>
                        <w:sz w:val="18"/>
                        <w:szCs w:val="18"/>
                      </w:rPr>
                    </w:pPr>
                    <w:r w:rsidRPr="00D346E1">
                      <w:rPr>
                        <w:rFonts w:ascii="Arial" w:eastAsia="Century Gothic" w:hAnsi="Arial" w:cs="Arial"/>
                        <w:b/>
                        <w:bCs/>
                        <w:color w:val="FFFFFF" w:themeColor="accent5"/>
                        <w:spacing w:val="-4"/>
                        <w:sz w:val="18"/>
                        <w:szCs w:val="18"/>
                      </w:rPr>
                      <w:t>PHYSICAL</w:t>
                    </w:r>
                    <w:r w:rsidRPr="00D346E1">
                      <w:rPr>
                        <w:rFonts w:ascii="Arial" w:eastAsia="Century Gothic" w:hAnsi="Arial" w:cs="Arial"/>
                        <w:b/>
                        <w:bCs/>
                        <w:color w:val="FFFFFF" w:themeColor="accent5"/>
                        <w:sz w:val="18"/>
                        <w:szCs w:val="18"/>
                      </w:rPr>
                      <w:t>:</w:t>
                    </w:r>
                    <w:r w:rsidRPr="00D346E1">
                      <w:rPr>
                        <w:rFonts w:ascii="Arial" w:eastAsia="Century Gothic" w:hAnsi="Arial" w:cs="Arial"/>
                        <w:b/>
                        <w:bCs/>
                        <w:color w:val="FFFFFF" w:themeColor="accent5"/>
                        <w:spacing w:val="-7"/>
                        <w:sz w:val="18"/>
                        <w:szCs w:val="18"/>
                      </w:rPr>
                      <w:t xml:space="preserve"> </w:t>
                    </w:r>
                    <w:r w:rsidRPr="00D346E1">
                      <w:rPr>
                        <w:rFonts w:ascii="Arial" w:eastAsia="Century Gothic" w:hAnsi="Arial" w:cs="Arial"/>
                        <w:bCs/>
                        <w:color w:val="FFFFFF" w:themeColor="accent5"/>
                        <w:spacing w:val="-7"/>
                        <w:sz w:val="18"/>
                        <w:szCs w:val="18"/>
                      </w:rPr>
                      <w:t xml:space="preserve">Block B, </w:t>
                    </w:r>
                    <w:r w:rsidRPr="00D346E1">
                      <w:rPr>
                        <w:rFonts w:ascii="Arial" w:eastAsia="Century Gothic" w:hAnsi="Arial" w:cs="Arial"/>
                        <w:color w:val="FFFFFF" w:themeColor="accent5"/>
                        <w:sz w:val="18"/>
                        <w:szCs w:val="18"/>
                      </w:rPr>
                      <w:t>Menlyn Corporate Park, 175 Co</w:t>
                    </w:r>
                    <w:r w:rsidRPr="00D346E1">
                      <w:rPr>
                        <w:rFonts w:ascii="Arial" w:eastAsia="Century Gothic" w:hAnsi="Arial" w:cs="Arial"/>
                        <w:color w:val="FFFFFF" w:themeColor="accent5"/>
                        <w:spacing w:val="-1"/>
                        <w:sz w:val="18"/>
                        <w:szCs w:val="18"/>
                      </w:rPr>
                      <w:t>r</w:t>
                    </w:r>
                    <w:r w:rsidRPr="00D346E1">
                      <w:rPr>
                        <w:rFonts w:ascii="Arial" w:eastAsia="Century Gothic" w:hAnsi="Arial" w:cs="Arial"/>
                        <w:color w:val="FFFFFF" w:themeColor="accent5"/>
                        <w:sz w:val="18"/>
                        <w:szCs w:val="18"/>
                      </w:rPr>
                      <w:t xml:space="preserve">obay </w:t>
                    </w:r>
                    <w:r w:rsidRPr="00D346E1">
                      <w:rPr>
                        <w:rFonts w:ascii="Arial" w:eastAsia="Century Gothic" w:hAnsi="Arial" w:cs="Arial"/>
                        <w:color w:val="FFFFFF" w:themeColor="accent5"/>
                        <w:spacing w:val="-13"/>
                        <w:sz w:val="18"/>
                        <w:szCs w:val="18"/>
                      </w:rPr>
                      <w:t>A</w:t>
                    </w:r>
                    <w:r w:rsidRPr="00D346E1">
                      <w:rPr>
                        <w:rFonts w:ascii="Arial" w:eastAsia="Century Gothic" w:hAnsi="Arial" w:cs="Arial"/>
                        <w:color w:val="FFFFFF" w:themeColor="accent5"/>
                        <w:sz w:val="18"/>
                        <w:szCs w:val="18"/>
                      </w:rPr>
                      <w:t xml:space="preserve">ve, </w:t>
                    </w:r>
                    <w:r w:rsidRPr="00D346E1">
                      <w:rPr>
                        <w:rFonts w:ascii="Arial" w:eastAsia="Century Gothic" w:hAnsi="Arial" w:cs="Arial"/>
                        <w:color w:val="FFFFFF" w:themeColor="accent5"/>
                        <w:spacing w:val="-9"/>
                        <w:sz w:val="18"/>
                        <w:szCs w:val="18"/>
                      </w:rPr>
                      <w:t>W</w:t>
                    </w:r>
                    <w:r w:rsidRPr="00D346E1">
                      <w:rPr>
                        <w:rFonts w:ascii="Arial" w:eastAsia="Century Gothic" w:hAnsi="Arial" w:cs="Arial"/>
                        <w:color w:val="FFFFFF" w:themeColor="accent5"/>
                        <w:sz w:val="18"/>
                        <w:szCs w:val="18"/>
                      </w:rPr>
                      <w:t>aterkloof Glen Ext 11, P</w:t>
                    </w:r>
                    <w:r w:rsidR="00145F2B">
                      <w:rPr>
                        <w:rFonts w:ascii="Arial" w:eastAsia="Century Gothic" w:hAnsi="Arial" w:cs="Arial"/>
                        <w:color w:val="FFFFFF" w:themeColor="accent5"/>
                        <w:sz w:val="18"/>
                        <w:szCs w:val="18"/>
                      </w:rPr>
                      <w:t>RETORIA</w:t>
                    </w:r>
                    <w:r w:rsidRPr="00D346E1">
                      <w:rPr>
                        <w:rFonts w:ascii="Arial" w:eastAsia="Century Gothic" w:hAnsi="Arial" w:cs="Arial"/>
                        <w:color w:val="FFFFFF" w:themeColor="accent5"/>
                        <w:sz w:val="18"/>
                        <w:szCs w:val="18"/>
                      </w:rPr>
                      <w:t xml:space="preserve"> 0181</w:t>
                    </w:r>
                  </w:p>
                  <w:p w:rsidR="00D346E1" w:rsidRPr="00D346E1" w:rsidRDefault="00D346E1" w:rsidP="00D346E1">
                    <w:pPr>
                      <w:spacing w:line="216" w:lineRule="exact"/>
                      <w:ind w:right="49"/>
                      <w:jc w:val="center"/>
                      <w:rPr>
                        <w:rFonts w:ascii="Arial" w:eastAsia="Century Gothic" w:hAnsi="Arial" w:cs="Arial"/>
                        <w:color w:val="FFFFFF" w:themeColor="accent5"/>
                        <w:sz w:val="18"/>
                        <w:szCs w:val="18"/>
                      </w:rPr>
                    </w:pPr>
                    <w:r w:rsidRPr="00D346E1">
                      <w:rPr>
                        <w:rFonts w:ascii="Arial" w:eastAsia="Century Gothic" w:hAnsi="Arial" w:cs="Arial"/>
                        <w:b/>
                        <w:bCs/>
                        <w:color w:val="FFFFFF" w:themeColor="accent5"/>
                        <w:sz w:val="18"/>
                        <w:szCs w:val="18"/>
                      </w:rPr>
                      <w:t xml:space="preserve">POSTAL: </w:t>
                    </w:r>
                    <w:r w:rsidRPr="00D346E1">
                      <w:rPr>
                        <w:rFonts w:ascii="Arial" w:eastAsia="Century Gothic" w:hAnsi="Arial" w:cs="Arial"/>
                        <w:color w:val="FFFFFF" w:themeColor="accent5"/>
                        <w:sz w:val="18"/>
                        <w:szCs w:val="18"/>
                      </w:rPr>
                      <w:t xml:space="preserve">PO Box 2094, </w:t>
                    </w:r>
                    <w:r w:rsidR="00ED0E8E">
                      <w:rPr>
                        <w:rFonts w:ascii="Arial" w:eastAsia="Century Gothic" w:hAnsi="Arial" w:cs="Arial"/>
                        <w:color w:val="FFFFFF" w:themeColor="accent5"/>
                        <w:sz w:val="18"/>
                        <w:szCs w:val="18"/>
                      </w:rPr>
                      <w:t>PRETORIA</w:t>
                    </w:r>
                    <w:r w:rsidRPr="00D346E1">
                      <w:rPr>
                        <w:rFonts w:ascii="Arial" w:eastAsia="Century Gothic" w:hAnsi="Arial" w:cs="Arial"/>
                        <w:color w:val="FFFFFF" w:themeColor="accent5"/>
                        <w:sz w:val="18"/>
                        <w:szCs w:val="18"/>
                      </w:rPr>
                      <w:t xml:space="preserve"> 0001</w:t>
                    </w:r>
                  </w:p>
                  <w:p w:rsidR="00D346E1" w:rsidRPr="00D346E1" w:rsidRDefault="008F4C1D" w:rsidP="00D346E1">
                    <w:pPr>
                      <w:spacing w:before="19"/>
                      <w:ind w:right="49"/>
                      <w:jc w:val="center"/>
                      <w:rPr>
                        <w:rFonts w:ascii="Arial" w:eastAsia="Century Gothic" w:hAnsi="Arial" w:cs="Arial"/>
                        <w:color w:val="FFFFFF" w:themeColor="accent5"/>
                        <w:sz w:val="18"/>
                        <w:szCs w:val="18"/>
                      </w:rPr>
                    </w:pPr>
                    <w:hyperlink r:id="rId2">
                      <w:r w:rsidR="00D346E1" w:rsidRPr="00D346E1">
                        <w:rPr>
                          <w:rFonts w:ascii="Arial" w:eastAsia="Century Gothic" w:hAnsi="Arial" w:cs="Arial"/>
                          <w:color w:val="FFFFFF" w:themeColor="accent5"/>
                          <w:sz w:val="18"/>
                          <w:szCs w:val="18"/>
                        </w:rPr>
                        <w:t>www.salga.org.za</w:t>
                      </w:r>
                    </w:hyperlink>
                  </w:p>
                  <w:p w:rsidR="00D346E1" w:rsidRPr="00D346E1" w:rsidRDefault="00D346E1" w:rsidP="00D346E1">
                    <w:pPr>
                      <w:ind w:right="49"/>
                      <w:rPr>
                        <w:color w:val="FFFFFF" w:themeColor="accent5"/>
                      </w:rPr>
                    </w:pPr>
                  </w:p>
                </w:txbxContent>
              </v:textbox>
            </v:shape>
          </w:pict>
        </mc:Fallback>
      </mc:AlternateContent>
    </w:r>
    <w:r>
      <w:rPr>
        <w:noProof/>
        <w:lang w:val="en-ZA" w:eastAsia="en-ZA"/>
      </w:rPr>
      <mc:AlternateContent>
        <mc:Choice Requires="wps">
          <w:drawing>
            <wp:anchor distT="0" distB="0" distL="114300" distR="114300" simplePos="0" relativeHeight="251659775" behindDoc="0" locked="0" layoutInCell="1" allowOverlap="1" wp14:anchorId="7BCCCC05" wp14:editId="7ABBC9F5">
              <wp:simplePos x="0" y="0"/>
              <wp:positionH relativeFrom="column">
                <wp:posOffset>-685800</wp:posOffset>
              </wp:positionH>
              <wp:positionV relativeFrom="paragraph">
                <wp:posOffset>166370</wp:posOffset>
              </wp:positionV>
              <wp:extent cx="7772400" cy="1143000"/>
              <wp:effectExtent l="50800" t="25400" r="50800" b="76200"/>
              <wp:wrapNone/>
              <wp:docPr id="4" name="Rectangle 4"/>
              <wp:cNvGraphicFramePr/>
              <a:graphic xmlns:a="http://schemas.openxmlformats.org/drawingml/2006/main">
                <a:graphicData uri="http://schemas.microsoft.com/office/word/2010/wordprocessingShape">
                  <wps:wsp>
                    <wps:cNvSpPr/>
                    <wps:spPr>
                      <a:xfrm>
                        <a:off x="0" y="0"/>
                        <a:ext cx="7772400" cy="1143000"/>
                      </a:xfrm>
                      <a:prstGeom prst="rect">
                        <a:avLst/>
                      </a:prstGeom>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7E024F" id="Rectangle 4" o:spid="_x0000_s1026" style="position:absolute;margin-left:-54pt;margin-top:13.1pt;width:612pt;height:90pt;z-index:25165977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" fillcolor="#f06d19 [3204]" stroked="f">
              <v:fill color2="#f7b58c [1620]" rotate="t" angle="180" focus="100%" type="gradient">
                <o:fill v:ext="view" type="gradientUnscaled"/>
              </v:fill>
              <v:shadow on="t" color="black" opacity="22937f" origin=",.5" offset="0,.63889mm"/>
            </v:rec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612" w:rsidRDefault="00326612">
    <w:pPr>
      <w:pStyle w:val="Footer"/>
    </w:pPr>
    <w:r>
      <w:rPr>
        <w:noProof/>
        <w:lang w:val="en-ZA" w:eastAsia="en-ZA"/>
      </w:rPr>
      <mc:AlternateContent>
        <mc:Choice Requires="wps">
          <w:drawing>
            <wp:anchor distT="0" distB="0" distL="114300" distR="114300" simplePos="0" relativeHeight="251666432" behindDoc="0" locked="0" layoutInCell="1" allowOverlap="1" wp14:anchorId="113FBCCF" wp14:editId="553B0DF7">
              <wp:simplePos x="0" y="0"/>
              <wp:positionH relativeFrom="column">
                <wp:posOffset>0</wp:posOffset>
              </wp:positionH>
              <wp:positionV relativeFrom="paragraph">
                <wp:posOffset>351904</wp:posOffset>
              </wp:positionV>
              <wp:extent cx="6515100" cy="5715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6515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26612" w:rsidRPr="00D346E1" w:rsidRDefault="00326612" w:rsidP="00D346E1">
                          <w:pPr>
                            <w:spacing w:before="26"/>
                            <w:ind w:right="49"/>
                            <w:jc w:val="center"/>
                            <w:rPr>
                              <w:rFonts w:ascii="Arial" w:eastAsia="Century Gothic" w:hAnsi="Arial" w:cs="Arial"/>
                              <w:color w:val="FFFFFF" w:themeColor="accent5"/>
                              <w:sz w:val="18"/>
                              <w:szCs w:val="18"/>
                            </w:rPr>
                          </w:pPr>
                          <w:r w:rsidRPr="00D346E1">
                            <w:rPr>
                              <w:rFonts w:ascii="Arial" w:eastAsia="Century Gothic" w:hAnsi="Arial" w:cs="Arial"/>
                              <w:b/>
                              <w:bCs/>
                              <w:color w:val="FFFFFF" w:themeColor="accent5"/>
                              <w:sz w:val="18"/>
                              <w:szCs w:val="18"/>
                            </w:rPr>
                            <w:t>T</w:t>
                          </w:r>
                          <w:r>
                            <w:rPr>
                              <w:rFonts w:ascii="Arial" w:eastAsia="Century Gothic" w:hAnsi="Arial" w:cs="Arial"/>
                              <w:b/>
                              <w:bCs/>
                              <w:color w:val="FFFFFF" w:themeColor="accent5"/>
                              <w:sz w:val="18"/>
                              <w:szCs w:val="18"/>
                            </w:rPr>
                            <w:t>EL</w:t>
                          </w:r>
                          <w:r w:rsidRPr="00D346E1">
                            <w:rPr>
                              <w:rFonts w:ascii="Arial" w:eastAsia="Century Gothic" w:hAnsi="Arial" w:cs="Arial"/>
                              <w:b/>
                              <w:bCs/>
                              <w:color w:val="FFFFFF" w:themeColor="accent5"/>
                              <w:sz w:val="18"/>
                              <w:szCs w:val="18"/>
                            </w:rPr>
                            <w:t xml:space="preserve">: </w:t>
                          </w:r>
                          <w:r w:rsidRPr="00D346E1">
                            <w:rPr>
                              <w:rFonts w:ascii="Arial" w:eastAsia="Century Gothic" w:hAnsi="Arial" w:cs="Arial"/>
                              <w:color w:val="FFFFFF" w:themeColor="accent5"/>
                              <w:sz w:val="18"/>
                              <w:szCs w:val="18"/>
                            </w:rPr>
                            <w:t>012 369 8000</w:t>
                          </w:r>
                          <w:r w:rsidRPr="00D346E1">
                            <w:rPr>
                              <w:rFonts w:ascii="Arial" w:eastAsia="Century Gothic" w:hAnsi="Arial" w:cs="Arial"/>
                              <w:color w:val="FFFFFF" w:themeColor="accent5"/>
                              <w:spacing w:val="50"/>
                              <w:sz w:val="18"/>
                              <w:szCs w:val="18"/>
                            </w:rPr>
                            <w:t xml:space="preserve"> </w:t>
                          </w:r>
                          <w:r w:rsidRPr="00D346E1">
                            <w:rPr>
                              <w:rFonts w:ascii="Arial" w:eastAsia="Century Gothic" w:hAnsi="Arial" w:cs="Arial"/>
                              <w:color w:val="FFFFFF" w:themeColor="accent5"/>
                              <w:sz w:val="18"/>
                              <w:szCs w:val="18"/>
                            </w:rPr>
                            <w:t xml:space="preserve">| </w:t>
                          </w:r>
                          <w:r>
                            <w:rPr>
                              <w:rFonts w:ascii="Arial" w:eastAsia="Century Gothic" w:hAnsi="Arial" w:cs="Arial"/>
                              <w:b/>
                              <w:bCs/>
                              <w:color w:val="FFFFFF" w:themeColor="accent5"/>
                              <w:sz w:val="18"/>
                              <w:szCs w:val="18"/>
                            </w:rPr>
                            <w:t>FAX</w:t>
                          </w:r>
                          <w:r w:rsidRPr="00D346E1">
                            <w:rPr>
                              <w:rFonts w:ascii="Arial" w:eastAsia="Century Gothic" w:hAnsi="Arial" w:cs="Arial"/>
                              <w:b/>
                              <w:bCs/>
                              <w:color w:val="FFFFFF" w:themeColor="accent5"/>
                              <w:sz w:val="18"/>
                              <w:szCs w:val="18"/>
                            </w:rPr>
                            <w:t xml:space="preserve">: </w:t>
                          </w:r>
                          <w:r w:rsidRPr="00D346E1">
                            <w:rPr>
                              <w:rFonts w:ascii="Arial" w:eastAsia="Century Gothic" w:hAnsi="Arial" w:cs="Arial"/>
                              <w:color w:val="FFFFFF" w:themeColor="accent5"/>
                              <w:sz w:val="18"/>
                              <w:szCs w:val="18"/>
                            </w:rPr>
                            <w:t>012 369 8001</w:t>
                          </w:r>
                        </w:p>
                        <w:p w:rsidR="00326612" w:rsidRPr="00D346E1" w:rsidRDefault="00326612" w:rsidP="00D346E1">
                          <w:pPr>
                            <w:spacing w:before="39"/>
                            <w:ind w:right="49"/>
                            <w:jc w:val="center"/>
                            <w:rPr>
                              <w:rFonts w:ascii="Arial" w:eastAsia="Century Gothic" w:hAnsi="Arial" w:cs="Arial"/>
                              <w:color w:val="FFFFFF" w:themeColor="accent5"/>
                              <w:sz w:val="18"/>
                              <w:szCs w:val="18"/>
                            </w:rPr>
                          </w:pPr>
                          <w:r w:rsidRPr="00D346E1">
                            <w:rPr>
                              <w:rFonts w:ascii="Arial" w:eastAsia="Century Gothic" w:hAnsi="Arial" w:cs="Arial"/>
                              <w:b/>
                              <w:bCs/>
                              <w:color w:val="FFFFFF" w:themeColor="accent5"/>
                              <w:spacing w:val="-4"/>
                              <w:sz w:val="18"/>
                              <w:szCs w:val="18"/>
                            </w:rPr>
                            <w:t>PHYSICAL</w:t>
                          </w:r>
                          <w:r w:rsidRPr="00D346E1">
                            <w:rPr>
                              <w:rFonts w:ascii="Arial" w:eastAsia="Century Gothic" w:hAnsi="Arial" w:cs="Arial"/>
                              <w:b/>
                              <w:bCs/>
                              <w:color w:val="FFFFFF" w:themeColor="accent5"/>
                              <w:sz w:val="18"/>
                              <w:szCs w:val="18"/>
                            </w:rPr>
                            <w:t>:</w:t>
                          </w:r>
                          <w:r w:rsidRPr="00D346E1">
                            <w:rPr>
                              <w:rFonts w:ascii="Arial" w:eastAsia="Century Gothic" w:hAnsi="Arial" w:cs="Arial"/>
                              <w:b/>
                              <w:bCs/>
                              <w:color w:val="FFFFFF" w:themeColor="accent5"/>
                              <w:spacing w:val="-7"/>
                              <w:sz w:val="18"/>
                              <w:szCs w:val="18"/>
                            </w:rPr>
                            <w:t xml:space="preserve"> </w:t>
                          </w:r>
                          <w:r w:rsidRPr="00D346E1">
                            <w:rPr>
                              <w:rFonts w:ascii="Arial" w:eastAsia="Century Gothic" w:hAnsi="Arial" w:cs="Arial"/>
                              <w:bCs/>
                              <w:color w:val="FFFFFF" w:themeColor="accent5"/>
                              <w:spacing w:val="-7"/>
                              <w:sz w:val="18"/>
                              <w:szCs w:val="18"/>
                            </w:rPr>
                            <w:t xml:space="preserve">Block B, </w:t>
                          </w:r>
                          <w:r w:rsidRPr="00D346E1">
                            <w:rPr>
                              <w:rFonts w:ascii="Arial" w:eastAsia="Century Gothic" w:hAnsi="Arial" w:cs="Arial"/>
                              <w:color w:val="FFFFFF" w:themeColor="accent5"/>
                              <w:sz w:val="18"/>
                              <w:szCs w:val="18"/>
                            </w:rPr>
                            <w:t>Menlyn Corporate Park, 175 Co</w:t>
                          </w:r>
                          <w:r w:rsidRPr="00D346E1">
                            <w:rPr>
                              <w:rFonts w:ascii="Arial" w:eastAsia="Century Gothic" w:hAnsi="Arial" w:cs="Arial"/>
                              <w:color w:val="FFFFFF" w:themeColor="accent5"/>
                              <w:spacing w:val="-1"/>
                              <w:sz w:val="18"/>
                              <w:szCs w:val="18"/>
                            </w:rPr>
                            <w:t>r</w:t>
                          </w:r>
                          <w:r w:rsidRPr="00D346E1">
                            <w:rPr>
                              <w:rFonts w:ascii="Arial" w:eastAsia="Century Gothic" w:hAnsi="Arial" w:cs="Arial"/>
                              <w:color w:val="FFFFFF" w:themeColor="accent5"/>
                              <w:sz w:val="18"/>
                              <w:szCs w:val="18"/>
                            </w:rPr>
                            <w:t xml:space="preserve">obay </w:t>
                          </w:r>
                          <w:r w:rsidRPr="00D346E1">
                            <w:rPr>
                              <w:rFonts w:ascii="Arial" w:eastAsia="Century Gothic" w:hAnsi="Arial" w:cs="Arial"/>
                              <w:color w:val="FFFFFF" w:themeColor="accent5"/>
                              <w:spacing w:val="-13"/>
                              <w:sz w:val="18"/>
                              <w:szCs w:val="18"/>
                            </w:rPr>
                            <w:t>A</w:t>
                          </w:r>
                          <w:r w:rsidRPr="00D346E1">
                            <w:rPr>
                              <w:rFonts w:ascii="Arial" w:eastAsia="Century Gothic" w:hAnsi="Arial" w:cs="Arial"/>
                              <w:color w:val="FFFFFF" w:themeColor="accent5"/>
                              <w:sz w:val="18"/>
                              <w:szCs w:val="18"/>
                            </w:rPr>
                            <w:t xml:space="preserve">ve, </w:t>
                          </w:r>
                          <w:r w:rsidRPr="00D346E1">
                            <w:rPr>
                              <w:rFonts w:ascii="Arial" w:eastAsia="Century Gothic" w:hAnsi="Arial" w:cs="Arial"/>
                              <w:color w:val="FFFFFF" w:themeColor="accent5"/>
                              <w:spacing w:val="-9"/>
                              <w:sz w:val="18"/>
                              <w:szCs w:val="18"/>
                            </w:rPr>
                            <w:t>W</w:t>
                          </w:r>
                          <w:r w:rsidRPr="00D346E1">
                            <w:rPr>
                              <w:rFonts w:ascii="Arial" w:eastAsia="Century Gothic" w:hAnsi="Arial" w:cs="Arial"/>
                              <w:color w:val="FFFFFF" w:themeColor="accent5"/>
                              <w:sz w:val="18"/>
                              <w:szCs w:val="18"/>
                            </w:rPr>
                            <w:t>aterkloof Glen Ext 11, Pretoria 0181</w:t>
                          </w:r>
                        </w:p>
                        <w:p w:rsidR="00326612" w:rsidRPr="00D346E1" w:rsidRDefault="00326612" w:rsidP="00D346E1">
                          <w:pPr>
                            <w:spacing w:line="216" w:lineRule="exact"/>
                            <w:ind w:right="49"/>
                            <w:jc w:val="center"/>
                            <w:rPr>
                              <w:rFonts w:ascii="Arial" w:eastAsia="Century Gothic" w:hAnsi="Arial" w:cs="Arial"/>
                              <w:color w:val="FFFFFF" w:themeColor="accent5"/>
                              <w:sz w:val="18"/>
                              <w:szCs w:val="18"/>
                            </w:rPr>
                          </w:pPr>
                          <w:r w:rsidRPr="00D346E1">
                            <w:rPr>
                              <w:rFonts w:ascii="Arial" w:eastAsia="Century Gothic" w:hAnsi="Arial" w:cs="Arial"/>
                              <w:b/>
                              <w:bCs/>
                              <w:color w:val="FFFFFF" w:themeColor="accent5"/>
                              <w:sz w:val="18"/>
                              <w:szCs w:val="18"/>
                            </w:rPr>
                            <w:t xml:space="preserve">POSTAL: </w:t>
                          </w:r>
                          <w:r w:rsidRPr="00D346E1">
                            <w:rPr>
                              <w:rFonts w:ascii="Arial" w:eastAsia="Century Gothic" w:hAnsi="Arial" w:cs="Arial"/>
                              <w:color w:val="FFFFFF" w:themeColor="accent5"/>
                              <w:sz w:val="18"/>
                              <w:szCs w:val="18"/>
                            </w:rPr>
                            <w:t>PO Box 2094, Pretoria 0001</w:t>
                          </w:r>
                        </w:p>
                        <w:p w:rsidR="00326612" w:rsidRPr="00D346E1" w:rsidRDefault="008F4C1D" w:rsidP="00D346E1">
                          <w:pPr>
                            <w:spacing w:before="19"/>
                            <w:ind w:right="49"/>
                            <w:jc w:val="center"/>
                            <w:rPr>
                              <w:rFonts w:ascii="Arial" w:eastAsia="Century Gothic" w:hAnsi="Arial" w:cs="Arial"/>
                              <w:color w:val="FFFFFF" w:themeColor="accent5"/>
                              <w:sz w:val="18"/>
                              <w:szCs w:val="18"/>
                            </w:rPr>
                          </w:pPr>
                          <w:hyperlink r:id="rId1">
                            <w:r w:rsidR="00326612" w:rsidRPr="00D346E1">
                              <w:rPr>
                                <w:rFonts w:ascii="Arial" w:eastAsia="Century Gothic" w:hAnsi="Arial" w:cs="Arial"/>
                                <w:color w:val="FFFFFF" w:themeColor="accent5"/>
                                <w:sz w:val="18"/>
                                <w:szCs w:val="18"/>
                              </w:rPr>
                              <w:t>www.salga.org.za</w:t>
                            </w:r>
                          </w:hyperlink>
                        </w:p>
                        <w:p w:rsidR="00326612" w:rsidRPr="00D346E1" w:rsidRDefault="00326612" w:rsidP="00D346E1">
                          <w:pPr>
                            <w:ind w:right="49"/>
                            <w:rPr>
                              <w:color w:val="FFFFFF" w:themeColor="accent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3FBCCF" id="_x0000_t202" coordsize="21600,21600" o:spt="202" path="m,l,21600r21600,l21600,xe">
              <v:stroke joinstyle="miter"/>
              <v:path gradientshapeok="t" o:connecttype="rect"/>
            </v:shapetype>
            <v:shape id="Text Box 9" o:spid="_x0000_s1029" type="#_x0000_t202" style="position:absolute;margin-left:0;margin-top:27.7pt;width:513pt;height: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xgUrAIAAKoFAAAOAAAAZHJzL2Uyb0RvYy54bWysVE1v2zAMvQ/YfxB0T21ncd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" filled="f" stroked="f">
              <v:textbox>
                <w:txbxContent>
                  <w:p w:rsidR="00326612" w:rsidRPr="00D346E1" w:rsidRDefault="00326612" w:rsidP="00D346E1">
                    <w:pPr>
                      <w:spacing w:before="26"/>
                      <w:ind w:right="49"/>
                      <w:jc w:val="center"/>
                      <w:rPr>
                        <w:rFonts w:ascii="Arial" w:eastAsia="Century Gothic" w:hAnsi="Arial" w:cs="Arial"/>
                        <w:color w:val="FFFFFF" w:themeColor="accent5"/>
                        <w:sz w:val="18"/>
                        <w:szCs w:val="18"/>
                      </w:rPr>
                    </w:pPr>
                    <w:r w:rsidRPr="00D346E1">
                      <w:rPr>
                        <w:rFonts w:ascii="Arial" w:eastAsia="Century Gothic" w:hAnsi="Arial" w:cs="Arial"/>
                        <w:b/>
                        <w:bCs/>
                        <w:color w:val="FFFFFF" w:themeColor="accent5"/>
                        <w:sz w:val="18"/>
                        <w:szCs w:val="18"/>
                      </w:rPr>
                      <w:t>T</w:t>
                    </w:r>
                    <w:r>
                      <w:rPr>
                        <w:rFonts w:ascii="Arial" w:eastAsia="Century Gothic" w:hAnsi="Arial" w:cs="Arial"/>
                        <w:b/>
                        <w:bCs/>
                        <w:color w:val="FFFFFF" w:themeColor="accent5"/>
                        <w:sz w:val="18"/>
                        <w:szCs w:val="18"/>
                      </w:rPr>
                      <w:t>EL</w:t>
                    </w:r>
                    <w:r w:rsidRPr="00D346E1">
                      <w:rPr>
                        <w:rFonts w:ascii="Arial" w:eastAsia="Century Gothic" w:hAnsi="Arial" w:cs="Arial"/>
                        <w:b/>
                        <w:bCs/>
                        <w:color w:val="FFFFFF" w:themeColor="accent5"/>
                        <w:sz w:val="18"/>
                        <w:szCs w:val="18"/>
                      </w:rPr>
                      <w:t xml:space="preserve">: </w:t>
                    </w:r>
                    <w:r w:rsidRPr="00D346E1">
                      <w:rPr>
                        <w:rFonts w:ascii="Arial" w:eastAsia="Century Gothic" w:hAnsi="Arial" w:cs="Arial"/>
                        <w:color w:val="FFFFFF" w:themeColor="accent5"/>
                        <w:sz w:val="18"/>
                        <w:szCs w:val="18"/>
                      </w:rPr>
                      <w:t>012 369 8000</w:t>
                    </w:r>
                    <w:r w:rsidRPr="00D346E1">
                      <w:rPr>
                        <w:rFonts w:ascii="Arial" w:eastAsia="Century Gothic" w:hAnsi="Arial" w:cs="Arial"/>
                        <w:color w:val="FFFFFF" w:themeColor="accent5"/>
                        <w:spacing w:val="50"/>
                        <w:sz w:val="18"/>
                        <w:szCs w:val="18"/>
                      </w:rPr>
                      <w:t xml:space="preserve"> </w:t>
                    </w:r>
                    <w:r w:rsidRPr="00D346E1">
                      <w:rPr>
                        <w:rFonts w:ascii="Arial" w:eastAsia="Century Gothic" w:hAnsi="Arial" w:cs="Arial"/>
                        <w:color w:val="FFFFFF" w:themeColor="accent5"/>
                        <w:sz w:val="18"/>
                        <w:szCs w:val="18"/>
                      </w:rPr>
                      <w:t xml:space="preserve">| </w:t>
                    </w:r>
                    <w:r>
                      <w:rPr>
                        <w:rFonts w:ascii="Arial" w:eastAsia="Century Gothic" w:hAnsi="Arial" w:cs="Arial"/>
                        <w:b/>
                        <w:bCs/>
                        <w:color w:val="FFFFFF" w:themeColor="accent5"/>
                        <w:sz w:val="18"/>
                        <w:szCs w:val="18"/>
                      </w:rPr>
                      <w:t>FAX</w:t>
                    </w:r>
                    <w:r w:rsidRPr="00D346E1">
                      <w:rPr>
                        <w:rFonts w:ascii="Arial" w:eastAsia="Century Gothic" w:hAnsi="Arial" w:cs="Arial"/>
                        <w:b/>
                        <w:bCs/>
                        <w:color w:val="FFFFFF" w:themeColor="accent5"/>
                        <w:sz w:val="18"/>
                        <w:szCs w:val="18"/>
                      </w:rPr>
                      <w:t xml:space="preserve">: </w:t>
                    </w:r>
                    <w:r w:rsidRPr="00D346E1">
                      <w:rPr>
                        <w:rFonts w:ascii="Arial" w:eastAsia="Century Gothic" w:hAnsi="Arial" w:cs="Arial"/>
                        <w:color w:val="FFFFFF" w:themeColor="accent5"/>
                        <w:sz w:val="18"/>
                        <w:szCs w:val="18"/>
                      </w:rPr>
                      <w:t>012 369 8001</w:t>
                    </w:r>
                  </w:p>
                  <w:p w:rsidR="00326612" w:rsidRPr="00D346E1" w:rsidRDefault="00326612" w:rsidP="00D346E1">
                    <w:pPr>
                      <w:spacing w:before="39"/>
                      <w:ind w:right="49"/>
                      <w:jc w:val="center"/>
                      <w:rPr>
                        <w:rFonts w:ascii="Arial" w:eastAsia="Century Gothic" w:hAnsi="Arial" w:cs="Arial"/>
                        <w:color w:val="FFFFFF" w:themeColor="accent5"/>
                        <w:sz w:val="18"/>
                        <w:szCs w:val="18"/>
                      </w:rPr>
                    </w:pPr>
                    <w:r w:rsidRPr="00D346E1">
                      <w:rPr>
                        <w:rFonts w:ascii="Arial" w:eastAsia="Century Gothic" w:hAnsi="Arial" w:cs="Arial"/>
                        <w:b/>
                        <w:bCs/>
                        <w:color w:val="FFFFFF" w:themeColor="accent5"/>
                        <w:spacing w:val="-4"/>
                        <w:sz w:val="18"/>
                        <w:szCs w:val="18"/>
                      </w:rPr>
                      <w:t>PHYSICAL</w:t>
                    </w:r>
                    <w:r w:rsidRPr="00D346E1">
                      <w:rPr>
                        <w:rFonts w:ascii="Arial" w:eastAsia="Century Gothic" w:hAnsi="Arial" w:cs="Arial"/>
                        <w:b/>
                        <w:bCs/>
                        <w:color w:val="FFFFFF" w:themeColor="accent5"/>
                        <w:sz w:val="18"/>
                        <w:szCs w:val="18"/>
                      </w:rPr>
                      <w:t>:</w:t>
                    </w:r>
                    <w:r w:rsidRPr="00D346E1">
                      <w:rPr>
                        <w:rFonts w:ascii="Arial" w:eastAsia="Century Gothic" w:hAnsi="Arial" w:cs="Arial"/>
                        <w:b/>
                        <w:bCs/>
                        <w:color w:val="FFFFFF" w:themeColor="accent5"/>
                        <w:spacing w:val="-7"/>
                        <w:sz w:val="18"/>
                        <w:szCs w:val="18"/>
                      </w:rPr>
                      <w:t xml:space="preserve"> </w:t>
                    </w:r>
                    <w:r w:rsidRPr="00D346E1">
                      <w:rPr>
                        <w:rFonts w:ascii="Arial" w:eastAsia="Century Gothic" w:hAnsi="Arial" w:cs="Arial"/>
                        <w:bCs/>
                        <w:color w:val="FFFFFF" w:themeColor="accent5"/>
                        <w:spacing w:val="-7"/>
                        <w:sz w:val="18"/>
                        <w:szCs w:val="18"/>
                      </w:rPr>
                      <w:t xml:space="preserve">Block B, </w:t>
                    </w:r>
                    <w:r w:rsidRPr="00D346E1">
                      <w:rPr>
                        <w:rFonts w:ascii="Arial" w:eastAsia="Century Gothic" w:hAnsi="Arial" w:cs="Arial"/>
                        <w:color w:val="FFFFFF" w:themeColor="accent5"/>
                        <w:sz w:val="18"/>
                        <w:szCs w:val="18"/>
                      </w:rPr>
                      <w:t>Menlyn Corporate Park, 175 Co</w:t>
                    </w:r>
                    <w:r w:rsidRPr="00D346E1">
                      <w:rPr>
                        <w:rFonts w:ascii="Arial" w:eastAsia="Century Gothic" w:hAnsi="Arial" w:cs="Arial"/>
                        <w:color w:val="FFFFFF" w:themeColor="accent5"/>
                        <w:spacing w:val="-1"/>
                        <w:sz w:val="18"/>
                        <w:szCs w:val="18"/>
                      </w:rPr>
                      <w:t>r</w:t>
                    </w:r>
                    <w:r w:rsidRPr="00D346E1">
                      <w:rPr>
                        <w:rFonts w:ascii="Arial" w:eastAsia="Century Gothic" w:hAnsi="Arial" w:cs="Arial"/>
                        <w:color w:val="FFFFFF" w:themeColor="accent5"/>
                        <w:sz w:val="18"/>
                        <w:szCs w:val="18"/>
                      </w:rPr>
                      <w:t xml:space="preserve">obay </w:t>
                    </w:r>
                    <w:r w:rsidRPr="00D346E1">
                      <w:rPr>
                        <w:rFonts w:ascii="Arial" w:eastAsia="Century Gothic" w:hAnsi="Arial" w:cs="Arial"/>
                        <w:color w:val="FFFFFF" w:themeColor="accent5"/>
                        <w:spacing w:val="-13"/>
                        <w:sz w:val="18"/>
                        <w:szCs w:val="18"/>
                      </w:rPr>
                      <w:t>A</w:t>
                    </w:r>
                    <w:r w:rsidRPr="00D346E1">
                      <w:rPr>
                        <w:rFonts w:ascii="Arial" w:eastAsia="Century Gothic" w:hAnsi="Arial" w:cs="Arial"/>
                        <w:color w:val="FFFFFF" w:themeColor="accent5"/>
                        <w:sz w:val="18"/>
                        <w:szCs w:val="18"/>
                      </w:rPr>
                      <w:t xml:space="preserve">ve, </w:t>
                    </w:r>
                    <w:r w:rsidRPr="00D346E1">
                      <w:rPr>
                        <w:rFonts w:ascii="Arial" w:eastAsia="Century Gothic" w:hAnsi="Arial" w:cs="Arial"/>
                        <w:color w:val="FFFFFF" w:themeColor="accent5"/>
                        <w:spacing w:val="-9"/>
                        <w:sz w:val="18"/>
                        <w:szCs w:val="18"/>
                      </w:rPr>
                      <w:t>W</w:t>
                    </w:r>
                    <w:r w:rsidRPr="00D346E1">
                      <w:rPr>
                        <w:rFonts w:ascii="Arial" w:eastAsia="Century Gothic" w:hAnsi="Arial" w:cs="Arial"/>
                        <w:color w:val="FFFFFF" w:themeColor="accent5"/>
                        <w:sz w:val="18"/>
                        <w:szCs w:val="18"/>
                      </w:rPr>
                      <w:t>aterkloof Glen Ext 11, Pretoria 0181</w:t>
                    </w:r>
                  </w:p>
                  <w:p w:rsidR="00326612" w:rsidRPr="00D346E1" w:rsidRDefault="00326612" w:rsidP="00D346E1">
                    <w:pPr>
                      <w:spacing w:line="216" w:lineRule="exact"/>
                      <w:ind w:right="49"/>
                      <w:jc w:val="center"/>
                      <w:rPr>
                        <w:rFonts w:ascii="Arial" w:eastAsia="Century Gothic" w:hAnsi="Arial" w:cs="Arial"/>
                        <w:color w:val="FFFFFF" w:themeColor="accent5"/>
                        <w:sz w:val="18"/>
                        <w:szCs w:val="18"/>
                      </w:rPr>
                    </w:pPr>
                    <w:r w:rsidRPr="00D346E1">
                      <w:rPr>
                        <w:rFonts w:ascii="Arial" w:eastAsia="Century Gothic" w:hAnsi="Arial" w:cs="Arial"/>
                        <w:b/>
                        <w:bCs/>
                        <w:color w:val="FFFFFF" w:themeColor="accent5"/>
                        <w:sz w:val="18"/>
                        <w:szCs w:val="18"/>
                      </w:rPr>
                      <w:t xml:space="preserve">POSTAL: </w:t>
                    </w:r>
                    <w:r w:rsidRPr="00D346E1">
                      <w:rPr>
                        <w:rFonts w:ascii="Arial" w:eastAsia="Century Gothic" w:hAnsi="Arial" w:cs="Arial"/>
                        <w:color w:val="FFFFFF" w:themeColor="accent5"/>
                        <w:sz w:val="18"/>
                        <w:szCs w:val="18"/>
                      </w:rPr>
                      <w:t>PO Box 2094, Pretoria 0001</w:t>
                    </w:r>
                  </w:p>
                  <w:p w:rsidR="00326612" w:rsidRPr="00D346E1" w:rsidRDefault="008F4C1D" w:rsidP="00D346E1">
                    <w:pPr>
                      <w:spacing w:before="19"/>
                      <w:ind w:right="49"/>
                      <w:jc w:val="center"/>
                      <w:rPr>
                        <w:rFonts w:ascii="Arial" w:eastAsia="Century Gothic" w:hAnsi="Arial" w:cs="Arial"/>
                        <w:color w:val="FFFFFF" w:themeColor="accent5"/>
                        <w:sz w:val="18"/>
                        <w:szCs w:val="18"/>
                      </w:rPr>
                    </w:pPr>
                    <w:hyperlink r:id="rId2">
                      <w:r w:rsidR="00326612" w:rsidRPr="00D346E1">
                        <w:rPr>
                          <w:rFonts w:ascii="Arial" w:eastAsia="Century Gothic" w:hAnsi="Arial" w:cs="Arial"/>
                          <w:color w:val="FFFFFF" w:themeColor="accent5"/>
                          <w:sz w:val="18"/>
                          <w:szCs w:val="18"/>
                        </w:rPr>
                        <w:t>www.salga.org.za</w:t>
                      </w:r>
                    </w:hyperlink>
                  </w:p>
                  <w:p w:rsidR="00326612" w:rsidRPr="00D346E1" w:rsidRDefault="00326612" w:rsidP="00D346E1">
                    <w:pPr>
                      <w:ind w:right="49"/>
                      <w:rPr>
                        <w:color w:val="FFFFFF" w:themeColor="accent5"/>
                      </w:rPr>
                    </w:pPr>
                  </w:p>
                </w:txbxContent>
              </v:textbox>
            </v:shape>
          </w:pict>
        </mc:Fallback>
      </mc:AlternateContent>
    </w:r>
    <w:r>
      <w:rPr>
        <w:noProof/>
        <w:lang w:val="en-ZA" w:eastAsia="en-ZA"/>
      </w:rPr>
      <mc:AlternateContent>
        <mc:Choice Requires="wps">
          <w:drawing>
            <wp:anchor distT="0" distB="0" distL="114300" distR="114300" simplePos="0" relativeHeight="251665408" behindDoc="0" locked="0" layoutInCell="1" allowOverlap="1" wp14:anchorId="5593A27B" wp14:editId="1BCD3C27">
              <wp:simplePos x="0" y="0"/>
              <wp:positionH relativeFrom="column">
                <wp:posOffset>-685800</wp:posOffset>
              </wp:positionH>
              <wp:positionV relativeFrom="paragraph">
                <wp:posOffset>166370</wp:posOffset>
              </wp:positionV>
              <wp:extent cx="7772400" cy="1143000"/>
              <wp:effectExtent l="50800" t="25400" r="50800" b="76200"/>
              <wp:wrapNone/>
              <wp:docPr id="10" name="Rectangle 10"/>
              <wp:cNvGraphicFramePr/>
              <a:graphic xmlns:a="http://schemas.openxmlformats.org/drawingml/2006/main">
                <a:graphicData uri="http://schemas.microsoft.com/office/word/2010/wordprocessingShape">
                  <wps:wsp>
                    <wps:cNvSpPr/>
                    <wps:spPr>
                      <a:xfrm>
                        <a:off x="0" y="0"/>
                        <a:ext cx="7772400" cy="1143000"/>
                      </a:xfrm>
                      <a:prstGeom prst="rect">
                        <a:avLst/>
                      </a:prstGeom>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817368" id="Rectangle 10" o:spid="_x0000_s1026" style="position:absolute;margin-left:-54pt;margin-top:13.1pt;width:612pt;height:90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" fillcolor="#f06d19 [3204]" stroked="f">
              <v:fill color2="#f7b58c [1620]" rotate="t" angle="180" focus="100%" type="gradient">
                <o:fill v:ext="view" type="gradientUnscaled"/>
              </v:fill>
              <v:shadow on="t" color="black" opacity="22937f" origin=",.5" offset="0,.63889mm"/>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C1D" w:rsidRDefault="008F4C1D" w:rsidP="00D346E1">
      <w:r>
        <w:separator/>
      </w:r>
    </w:p>
  </w:footnote>
  <w:footnote w:type="continuationSeparator" w:id="0">
    <w:p w:rsidR="008F4C1D" w:rsidRDefault="008F4C1D" w:rsidP="00D346E1">
      <w:r>
        <w:continuationSeparator/>
      </w:r>
    </w:p>
  </w:footnote>
  <w:footnote w:id="1">
    <w:p w:rsidR="006A35CD" w:rsidRPr="00130EFB" w:rsidRDefault="006A35CD" w:rsidP="006A35CD">
      <w:pPr>
        <w:pStyle w:val="FootnoteText"/>
        <w:rPr>
          <w:lang w:val="en-ZA"/>
        </w:rPr>
      </w:pPr>
      <w:r>
        <w:rPr>
          <w:rStyle w:val="FootnoteReference"/>
        </w:rPr>
        <w:footnoteRef/>
      </w:r>
      <w:r>
        <w:t xml:space="preserve"> </w:t>
      </w:r>
      <w:r w:rsidRPr="00130EFB">
        <w:rPr>
          <w:rFonts w:cstheme="minorHAnsi"/>
        </w:rPr>
        <w:t>Telkom SA Soc Ltd v Kalu NO and Another (10354/2017) [2018] ZAWCHC 53 (10 May 2018)</w:t>
      </w:r>
      <w:r>
        <w:rPr>
          <w:rFonts w:cstheme="minorHAnsi"/>
        </w:rPr>
        <w:t xml:space="preserve">, </w:t>
      </w:r>
      <w:r w:rsidRPr="00130EFB">
        <w:rPr>
          <w:rFonts w:cstheme="minorHAnsi"/>
        </w:rPr>
        <w:t>http://www.saflii.org/za/cases/ZAWCHC/2018/53.html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6E1" w:rsidRDefault="00D346E1">
    <w:pPr>
      <w:pStyle w:val="Header"/>
    </w:pPr>
    <w:r>
      <w:rPr>
        <w:noProof/>
        <w:lang w:val="en-ZA" w:eastAsia="en-ZA"/>
      </w:rPr>
      <mc:AlternateContent>
        <mc:Choice Requires="wps">
          <w:drawing>
            <wp:anchor distT="0" distB="0" distL="114300" distR="114300" simplePos="0" relativeHeight="251659264" behindDoc="0" locked="0" layoutInCell="1" allowOverlap="1" wp14:anchorId="4CA7FF4A" wp14:editId="63F98961">
              <wp:simplePos x="0" y="0"/>
              <wp:positionH relativeFrom="column">
                <wp:posOffset>-228600</wp:posOffset>
              </wp:positionH>
              <wp:positionV relativeFrom="paragraph">
                <wp:posOffset>445770</wp:posOffset>
              </wp:positionV>
              <wp:extent cx="2514600" cy="685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146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346E1" w:rsidRPr="00D346E1" w:rsidRDefault="00D346E1">
                          <w:pPr>
                            <w:rPr>
                              <w:color w:val="000000" w:themeColor="accent6"/>
                              <w:sz w:val="20"/>
                              <w:szCs w:val="20"/>
                            </w:rPr>
                          </w:pPr>
                          <w:r w:rsidRPr="00D346E1">
                            <w:rPr>
                              <w:color w:val="000000" w:themeColor="accent6"/>
                              <w:sz w:val="20"/>
                              <w:szCs w:val="20"/>
                            </w:rPr>
                            <w:t>Enquiries:</w:t>
                          </w:r>
                          <w:r w:rsidR="006A35CD">
                            <w:rPr>
                              <w:color w:val="000000" w:themeColor="accent6"/>
                              <w:sz w:val="20"/>
                              <w:szCs w:val="20"/>
                            </w:rPr>
                            <w:t xml:space="preserve"> Moses Msizi</w:t>
                          </w:r>
                        </w:p>
                        <w:p w:rsidR="00D346E1" w:rsidRPr="00D346E1" w:rsidRDefault="00D346E1">
                          <w:pPr>
                            <w:rPr>
                              <w:color w:val="000000" w:themeColor="accent6"/>
                              <w:sz w:val="20"/>
                              <w:szCs w:val="20"/>
                            </w:rPr>
                          </w:pPr>
                          <w:r w:rsidRPr="00D346E1">
                            <w:rPr>
                              <w:color w:val="000000" w:themeColor="accent6"/>
                              <w:sz w:val="20"/>
                              <w:szCs w:val="20"/>
                            </w:rPr>
                            <w:t>Tel:</w:t>
                          </w:r>
                          <w:r w:rsidR="006A35CD">
                            <w:rPr>
                              <w:color w:val="000000" w:themeColor="accent6"/>
                              <w:sz w:val="20"/>
                              <w:szCs w:val="20"/>
                            </w:rPr>
                            <w:t xml:space="preserve"> 012 369 8000</w:t>
                          </w:r>
                        </w:p>
                        <w:p w:rsidR="00D346E1" w:rsidRPr="00D346E1" w:rsidRDefault="00D346E1">
                          <w:pPr>
                            <w:rPr>
                              <w:color w:val="000000" w:themeColor="accent6"/>
                              <w:sz w:val="20"/>
                              <w:szCs w:val="20"/>
                            </w:rPr>
                          </w:pPr>
                          <w:r w:rsidRPr="00D346E1">
                            <w:rPr>
                              <w:color w:val="000000" w:themeColor="accent6"/>
                              <w:sz w:val="20"/>
                              <w:szCs w:val="20"/>
                            </w:rPr>
                            <w:t>Fax:</w:t>
                          </w:r>
                          <w:r w:rsidR="006A35CD">
                            <w:rPr>
                              <w:color w:val="000000" w:themeColor="accent6"/>
                              <w:sz w:val="20"/>
                              <w:szCs w:val="20"/>
                            </w:rPr>
                            <w:t xml:space="preserve"> 012 369 8001</w:t>
                          </w:r>
                        </w:p>
                        <w:p w:rsidR="00D346E1" w:rsidRPr="00D346E1" w:rsidRDefault="00D346E1">
                          <w:pPr>
                            <w:rPr>
                              <w:color w:val="000000" w:themeColor="accent6"/>
                              <w:sz w:val="20"/>
                              <w:szCs w:val="20"/>
                            </w:rPr>
                          </w:pPr>
                          <w:r w:rsidRPr="00D346E1">
                            <w:rPr>
                              <w:color w:val="000000" w:themeColor="accent6"/>
                              <w:sz w:val="20"/>
                              <w:szCs w:val="20"/>
                            </w:rPr>
                            <w:t>E-mail:</w:t>
                          </w:r>
                          <w:r w:rsidR="006A35CD">
                            <w:rPr>
                              <w:color w:val="000000" w:themeColor="accent6"/>
                              <w:sz w:val="20"/>
                              <w:szCs w:val="20"/>
                            </w:rPr>
                            <w:t xml:space="preserve"> mmsizi@salga.org.za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A7FF4A" id="_x0000_t202" coordsize="21600,21600" o:spt="202" path="m,l,21600r21600,l21600,xe">
              <v:stroke joinstyle="miter"/>
              <v:path gradientshapeok="t" o:connecttype="rect"/>
            </v:shapetype>
            <v:shape id="Text Box 2" o:spid="_x0000_s1027" type="#_x0000_t202" style="position:absolute;margin-left:-18pt;margin-top:35.1pt;width:198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" filled="f" stroked="f">
              <v:textbox>
                <w:txbxContent>
                  <w:p w:rsidR="00D346E1" w:rsidRPr="00D346E1" w:rsidRDefault="00D346E1">
                    <w:pPr>
                      <w:rPr>
                        <w:color w:val="000000" w:themeColor="accent6"/>
                        <w:sz w:val="20"/>
                        <w:szCs w:val="20"/>
                      </w:rPr>
                    </w:pPr>
                    <w:r w:rsidRPr="00D346E1">
                      <w:rPr>
                        <w:color w:val="000000" w:themeColor="accent6"/>
                        <w:sz w:val="20"/>
                        <w:szCs w:val="20"/>
                      </w:rPr>
                      <w:t>Enquiries:</w:t>
                    </w:r>
                    <w:r w:rsidR="006A35CD">
                      <w:rPr>
                        <w:color w:val="000000" w:themeColor="accent6"/>
                        <w:sz w:val="20"/>
                        <w:szCs w:val="20"/>
                      </w:rPr>
                      <w:t xml:space="preserve"> Moses Msizi</w:t>
                    </w:r>
                  </w:p>
                  <w:p w:rsidR="00D346E1" w:rsidRPr="00D346E1" w:rsidRDefault="00D346E1">
                    <w:pPr>
                      <w:rPr>
                        <w:color w:val="000000" w:themeColor="accent6"/>
                        <w:sz w:val="20"/>
                        <w:szCs w:val="20"/>
                      </w:rPr>
                    </w:pPr>
                    <w:r w:rsidRPr="00D346E1">
                      <w:rPr>
                        <w:color w:val="000000" w:themeColor="accent6"/>
                        <w:sz w:val="20"/>
                        <w:szCs w:val="20"/>
                      </w:rPr>
                      <w:t>Tel:</w:t>
                    </w:r>
                    <w:r w:rsidR="006A35CD">
                      <w:rPr>
                        <w:color w:val="000000" w:themeColor="accent6"/>
                        <w:sz w:val="20"/>
                        <w:szCs w:val="20"/>
                      </w:rPr>
                      <w:t xml:space="preserve"> 012 369 8000</w:t>
                    </w:r>
                  </w:p>
                  <w:p w:rsidR="00D346E1" w:rsidRPr="00D346E1" w:rsidRDefault="00D346E1">
                    <w:pPr>
                      <w:rPr>
                        <w:color w:val="000000" w:themeColor="accent6"/>
                        <w:sz w:val="20"/>
                        <w:szCs w:val="20"/>
                      </w:rPr>
                    </w:pPr>
                    <w:r w:rsidRPr="00D346E1">
                      <w:rPr>
                        <w:color w:val="000000" w:themeColor="accent6"/>
                        <w:sz w:val="20"/>
                        <w:szCs w:val="20"/>
                      </w:rPr>
                      <w:t>Fax:</w:t>
                    </w:r>
                    <w:r w:rsidR="006A35CD">
                      <w:rPr>
                        <w:color w:val="000000" w:themeColor="accent6"/>
                        <w:sz w:val="20"/>
                        <w:szCs w:val="20"/>
                      </w:rPr>
                      <w:t xml:space="preserve"> 012 369 8001</w:t>
                    </w:r>
                  </w:p>
                  <w:p w:rsidR="00D346E1" w:rsidRPr="00D346E1" w:rsidRDefault="00D346E1">
                    <w:pPr>
                      <w:rPr>
                        <w:color w:val="000000" w:themeColor="accent6"/>
                        <w:sz w:val="20"/>
                        <w:szCs w:val="20"/>
                      </w:rPr>
                    </w:pPr>
                    <w:r w:rsidRPr="00D346E1">
                      <w:rPr>
                        <w:color w:val="000000" w:themeColor="accent6"/>
                        <w:sz w:val="20"/>
                        <w:szCs w:val="20"/>
                      </w:rPr>
                      <w:t>E-mail:</w:t>
                    </w:r>
                    <w:r w:rsidR="006A35CD">
                      <w:rPr>
                        <w:color w:val="000000" w:themeColor="accent6"/>
                        <w:sz w:val="20"/>
                        <w:szCs w:val="20"/>
                      </w:rPr>
                      <w:t xml:space="preserve"> mmsizi@salga.org.za</w:t>
                    </w:r>
                  </w:p>
                </w:txbxContent>
              </v:textbox>
            </v:shape>
          </w:pict>
        </mc:Fallback>
      </mc:AlternateContent>
    </w:r>
    <w:r>
      <w:rPr>
        <w:noProof/>
        <w:lang w:val="en-ZA" w:eastAsia="en-ZA"/>
      </w:rPr>
      <w:drawing>
        <wp:anchor distT="0" distB="0" distL="114300" distR="114300" simplePos="0" relativeHeight="251658240" behindDoc="1" locked="0" layoutInCell="1" allowOverlap="1" wp14:anchorId="771843B9" wp14:editId="78EB0937">
          <wp:simplePos x="0" y="0"/>
          <wp:positionH relativeFrom="column">
            <wp:posOffset>4914900</wp:posOffset>
          </wp:positionH>
          <wp:positionV relativeFrom="paragraph">
            <wp:posOffset>331470</wp:posOffset>
          </wp:positionV>
          <wp:extent cx="1778536"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GA Logo.jpg"/>
                  <pic:cNvPicPr/>
                </pic:nvPicPr>
                <pic:blipFill>
                  <a:blip r:embed="rId1">
                    <a:extLst>
                      <a:ext uri="{28A0092B-C50C-407E-A947-70E740481C1C}">
                        <a14:useLocalDpi xmlns:a14="http://schemas.microsoft.com/office/drawing/2010/main" val="0"/>
                      </a:ext>
                    </a:extLst>
                  </a:blip>
                  <a:stretch>
                    <a:fillRect/>
                  </a:stretch>
                </pic:blipFill>
                <pic:spPr>
                  <a:xfrm>
                    <a:off x="0" y="0"/>
                    <a:ext cx="1778536" cy="8001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612" w:rsidRDefault="003266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3630A"/>
    <w:multiLevelType w:val="multilevel"/>
    <w:tmpl w:val="899CCA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CD"/>
    <w:rsid w:val="000172FB"/>
    <w:rsid w:val="000E2311"/>
    <w:rsid w:val="00145F2B"/>
    <w:rsid w:val="00172AC4"/>
    <w:rsid w:val="001C7B62"/>
    <w:rsid w:val="002468FC"/>
    <w:rsid w:val="002710DE"/>
    <w:rsid w:val="00326612"/>
    <w:rsid w:val="00441293"/>
    <w:rsid w:val="0051620A"/>
    <w:rsid w:val="00590F24"/>
    <w:rsid w:val="006A35CD"/>
    <w:rsid w:val="006D0DB3"/>
    <w:rsid w:val="00731B63"/>
    <w:rsid w:val="007656D2"/>
    <w:rsid w:val="00856415"/>
    <w:rsid w:val="008703E9"/>
    <w:rsid w:val="008F3AF5"/>
    <w:rsid w:val="008F4C1D"/>
    <w:rsid w:val="00960EBF"/>
    <w:rsid w:val="00A26E84"/>
    <w:rsid w:val="00C6335F"/>
    <w:rsid w:val="00CC26FB"/>
    <w:rsid w:val="00CC31E3"/>
    <w:rsid w:val="00D346E1"/>
    <w:rsid w:val="00ED0E8E"/>
    <w:rsid w:val="00F004B2"/>
    <w:rsid w:val="00F01FC1"/>
    <w:rsid w:val="00F14DC6"/>
    <w:rsid w:val="00F32AA1"/>
    <w:rsid w:val="00F45FDE"/>
    <w:rsid w:val="00F90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44581072-F9F6-4F61-A94B-D7252DD0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5CD"/>
    <w:rPr>
      <w:rFonts w:eastAsiaTheme="minorHAnsi"/>
      <w:lang w:val="en-GB"/>
    </w:rPr>
  </w:style>
  <w:style w:type="paragraph" w:styleId="Heading1">
    <w:name w:val="heading 1"/>
    <w:basedOn w:val="Normal"/>
    <w:next w:val="Normal"/>
    <w:link w:val="Heading1Char"/>
    <w:uiPriority w:val="9"/>
    <w:qFormat/>
    <w:rsid w:val="006A35CD"/>
    <w:pPr>
      <w:keepNext/>
      <w:keepLines/>
      <w:spacing w:before="240"/>
      <w:outlineLvl w:val="0"/>
    </w:pPr>
    <w:rPr>
      <w:rFonts w:asciiTheme="majorHAnsi" w:eastAsiaTheme="majorEastAsia" w:hAnsiTheme="majorHAnsi" w:cstheme="majorBidi"/>
      <w:color w:val="BA4F0C" w:themeColor="accent1" w:themeShade="BF"/>
      <w:sz w:val="32"/>
      <w:szCs w:val="32"/>
    </w:rPr>
  </w:style>
  <w:style w:type="paragraph" w:styleId="Heading2">
    <w:name w:val="heading 2"/>
    <w:basedOn w:val="Normal"/>
    <w:link w:val="Heading2Char"/>
    <w:uiPriority w:val="9"/>
    <w:qFormat/>
    <w:rsid w:val="006A35CD"/>
    <w:pPr>
      <w:spacing w:before="100" w:beforeAutospacing="1" w:after="100" w:afterAutospacing="1"/>
      <w:outlineLvl w:val="1"/>
    </w:pPr>
    <w:rPr>
      <w:rFonts w:ascii="Times New Roman" w:eastAsia="Times New Roman" w:hAnsi="Times New Roman" w:cs="Times New Roman"/>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6E1"/>
    <w:pPr>
      <w:tabs>
        <w:tab w:val="center" w:pos="4320"/>
        <w:tab w:val="right" w:pos="8640"/>
      </w:tabs>
    </w:pPr>
  </w:style>
  <w:style w:type="character" w:customStyle="1" w:styleId="HeaderChar">
    <w:name w:val="Header Char"/>
    <w:basedOn w:val="DefaultParagraphFont"/>
    <w:link w:val="Header"/>
    <w:uiPriority w:val="99"/>
    <w:rsid w:val="00D346E1"/>
  </w:style>
  <w:style w:type="paragraph" w:styleId="Footer">
    <w:name w:val="footer"/>
    <w:basedOn w:val="Normal"/>
    <w:link w:val="FooterChar"/>
    <w:uiPriority w:val="99"/>
    <w:unhideWhenUsed/>
    <w:rsid w:val="00D346E1"/>
    <w:pPr>
      <w:tabs>
        <w:tab w:val="center" w:pos="4320"/>
        <w:tab w:val="right" w:pos="8640"/>
      </w:tabs>
    </w:pPr>
  </w:style>
  <w:style w:type="character" w:customStyle="1" w:styleId="FooterChar">
    <w:name w:val="Footer Char"/>
    <w:basedOn w:val="DefaultParagraphFont"/>
    <w:link w:val="Footer"/>
    <w:uiPriority w:val="99"/>
    <w:rsid w:val="00D346E1"/>
  </w:style>
  <w:style w:type="paragraph" w:styleId="BalloonText">
    <w:name w:val="Balloon Text"/>
    <w:basedOn w:val="Normal"/>
    <w:link w:val="BalloonTextChar"/>
    <w:uiPriority w:val="99"/>
    <w:semiHidden/>
    <w:unhideWhenUsed/>
    <w:rsid w:val="00D346E1"/>
    <w:rPr>
      <w:rFonts w:ascii="Lucida Grande" w:hAnsi="Lucida Grande"/>
      <w:sz w:val="18"/>
      <w:szCs w:val="18"/>
    </w:rPr>
  </w:style>
  <w:style w:type="character" w:customStyle="1" w:styleId="BalloonTextChar">
    <w:name w:val="Balloon Text Char"/>
    <w:basedOn w:val="DefaultParagraphFont"/>
    <w:link w:val="BalloonText"/>
    <w:uiPriority w:val="99"/>
    <w:semiHidden/>
    <w:rsid w:val="00D346E1"/>
    <w:rPr>
      <w:rFonts w:ascii="Lucida Grande" w:hAnsi="Lucida Grande"/>
      <w:sz w:val="18"/>
      <w:szCs w:val="18"/>
    </w:rPr>
  </w:style>
  <w:style w:type="table" w:styleId="TableGrid">
    <w:name w:val="Table Grid"/>
    <w:basedOn w:val="TableNormal"/>
    <w:uiPriority w:val="59"/>
    <w:rsid w:val="00D346E1"/>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346E1"/>
    <w:pPr>
      <w:widowControl w:val="0"/>
    </w:pPr>
    <w:rPr>
      <w:rFonts w:eastAsiaTheme="minorHAnsi"/>
      <w:sz w:val="22"/>
      <w:szCs w:val="22"/>
    </w:rPr>
  </w:style>
  <w:style w:type="character" w:customStyle="1" w:styleId="Heading1Char">
    <w:name w:val="Heading 1 Char"/>
    <w:basedOn w:val="DefaultParagraphFont"/>
    <w:link w:val="Heading1"/>
    <w:uiPriority w:val="9"/>
    <w:rsid w:val="006A35CD"/>
    <w:rPr>
      <w:rFonts w:asciiTheme="majorHAnsi" w:eastAsiaTheme="majorEastAsia" w:hAnsiTheme="majorHAnsi" w:cstheme="majorBidi"/>
      <w:color w:val="BA4F0C" w:themeColor="accent1" w:themeShade="BF"/>
      <w:sz w:val="32"/>
      <w:szCs w:val="32"/>
      <w:lang w:val="en-GB"/>
    </w:rPr>
  </w:style>
  <w:style w:type="character" w:customStyle="1" w:styleId="Heading2Char">
    <w:name w:val="Heading 2 Char"/>
    <w:basedOn w:val="DefaultParagraphFont"/>
    <w:link w:val="Heading2"/>
    <w:uiPriority w:val="9"/>
    <w:rsid w:val="006A35CD"/>
    <w:rPr>
      <w:rFonts w:ascii="Times New Roman" w:eastAsia="Times New Roman" w:hAnsi="Times New Roman" w:cs="Times New Roman"/>
      <w:b/>
      <w:bCs/>
      <w:sz w:val="36"/>
      <w:szCs w:val="36"/>
      <w:lang w:val="en-ZA" w:eastAsia="en-ZA"/>
    </w:rPr>
  </w:style>
  <w:style w:type="character" w:styleId="Hyperlink">
    <w:name w:val="Hyperlink"/>
    <w:basedOn w:val="DefaultParagraphFont"/>
    <w:uiPriority w:val="99"/>
    <w:unhideWhenUsed/>
    <w:rsid w:val="006A35CD"/>
    <w:rPr>
      <w:color w:val="8F8E8E" w:themeColor="hyperlink"/>
      <w:u w:val="single"/>
    </w:rPr>
  </w:style>
  <w:style w:type="paragraph" w:styleId="ListParagraph">
    <w:name w:val="List Paragraph"/>
    <w:basedOn w:val="Normal"/>
    <w:uiPriority w:val="1"/>
    <w:qFormat/>
    <w:rsid w:val="006A35CD"/>
    <w:pPr>
      <w:spacing w:after="160" w:line="259" w:lineRule="auto"/>
      <w:ind w:left="720"/>
      <w:contextualSpacing/>
    </w:pPr>
    <w:rPr>
      <w:sz w:val="22"/>
      <w:szCs w:val="22"/>
      <w:lang w:val="en-ZA"/>
    </w:rPr>
  </w:style>
  <w:style w:type="paragraph" w:styleId="FootnoteText">
    <w:name w:val="footnote text"/>
    <w:basedOn w:val="Normal"/>
    <w:link w:val="FootnoteTextChar"/>
    <w:uiPriority w:val="99"/>
    <w:semiHidden/>
    <w:unhideWhenUsed/>
    <w:rsid w:val="006A35CD"/>
    <w:rPr>
      <w:sz w:val="20"/>
      <w:szCs w:val="20"/>
    </w:rPr>
  </w:style>
  <w:style w:type="character" w:customStyle="1" w:styleId="FootnoteTextChar">
    <w:name w:val="Footnote Text Char"/>
    <w:basedOn w:val="DefaultParagraphFont"/>
    <w:link w:val="FootnoteText"/>
    <w:uiPriority w:val="99"/>
    <w:semiHidden/>
    <w:rsid w:val="006A35CD"/>
    <w:rPr>
      <w:rFonts w:eastAsiaTheme="minorHAnsi"/>
      <w:sz w:val="20"/>
      <w:szCs w:val="20"/>
      <w:lang w:val="en-GB"/>
    </w:rPr>
  </w:style>
  <w:style w:type="character" w:styleId="FootnoteReference">
    <w:name w:val="footnote reference"/>
    <w:basedOn w:val="DefaultParagraphFont"/>
    <w:uiPriority w:val="99"/>
    <w:semiHidden/>
    <w:unhideWhenUsed/>
    <w:rsid w:val="006A35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742328">
      <w:bodyDiv w:val="1"/>
      <w:marLeft w:val="0"/>
      <w:marRight w:val="0"/>
      <w:marTop w:val="0"/>
      <w:marBottom w:val="0"/>
      <w:divBdr>
        <w:top w:val="none" w:sz="0" w:space="0" w:color="auto"/>
        <w:left w:val="none" w:sz="0" w:space="0" w:color="auto"/>
        <w:bottom w:val="none" w:sz="0" w:space="0" w:color="auto"/>
        <w:right w:val="none" w:sz="0" w:space="0" w:color="auto"/>
      </w:divBdr>
      <w:divsChild>
        <w:div w:id="826362959">
          <w:marLeft w:val="0"/>
          <w:marRight w:val="0"/>
          <w:marTop w:val="0"/>
          <w:marBottom w:val="0"/>
          <w:divBdr>
            <w:top w:val="none" w:sz="0" w:space="0" w:color="auto"/>
            <w:left w:val="none" w:sz="0" w:space="0" w:color="auto"/>
            <w:bottom w:val="none" w:sz="0" w:space="0" w:color="auto"/>
            <w:right w:val="none" w:sz="0" w:space="0" w:color="auto"/>
          </w:divBdr>
        </w:div>
      </w:divsChild>
    </w:div>
    <w:div w:id="647173003">
      <w:bodyDiv w:val="1"/>
      <w:marLeft w:val="0"/>
      <w:marRight w:val="0"/>
      <w:marTop w:val="0"/>
      <w:marBottom w:val="0"/>
      <w:divBdr>
        <w:top w:val="none" w:sz="0" w:space="0" w:color="auto"/>
        <w:left w:val="none" w:sz="0" w:space="0" w:color="auto"/>
        <w:bottom w:val="none" w:sz="0" w:space="0" w:color="auto"/>
        <w:right w:val="none" w:sz="0" w:space="0" w:color="auto"/>
      </w:divBdr>
      <w:divsChild>
        <w:div w:id="587151992">
          <w:marLeft w:val="0"/>
          <w:marRight w:val="0"/>
          <w:marTop w:val="0"/>
          <w:marBottom w:val="0"/>
          <w:divBdr>
            <w:top w:val="none" w:sz="0" w:space="0" w:color="auto"/>
            <w:left w:val="none" w:sz="0" w:space="0" w:color="auto"/>
            <w:bottom w:val="none" w:sz="0" w:space="0" w:color="auto"/>
            <w:right w:val="none" w:sz="0" w:space="0" w:color="auto"/>
          </w:divBdr>
        </w:div>
      </w:divsChild>
    </w:div>
    <w:div w:id="841316504">
      <w:bodyDiv w:val="1"/>
      <w:marLeft w:val="0"/>
      <w:marRight w:val="0"/>
      <w:marTop w:val="0"/>
      <w:marBottom w:val="0"/>
      <w:divBdr>
        <w:top w:val="none" w:sz="0" w:space="0" w:color="auto"/>
        <w:left w:val="none" w:sz="0" w:space="0" w:color="auto"/>
        <w:bottom w:val="none" w:sz="0" w:space="0" w:color="auto"/>
        <w:right w:val="none" w:sz="0" w:space="0" w:color="auto"/>
      </w:divBdr>
      <w:divsChild>
        <w:div w:id="2058818346">
          <w:marLeft w:val="0"/>
          <w:marRight w:val="0"/>
          <w:marTop w:val="0"/>
          <w:marBottom w:val="0"/>
          <w:divBdr>
            <w:top w:val="none" w:sz="0" w:space="0" w:color="auto"/>
            <w:left w:val="none" w:sz="0" w:space="0" w:color="auto"/>
            <w:bottom w:val="none" w:sz="0" w:space="0" w:color="auto"/>
            <w:right w:val="none" w:sz="0" w:space="0" w:color="auto"/>
          </w:divBdr>
        </w:div>
      </w:divsChild>
    </w:div>
    <w:div w:id="859784158">
      <w:bodyDiv w:val="1"/>
      <w:marLeft w:val="0"/>
      <w:marRight w:val="0"/>
      <w:marTop w:val="0"/>
      <w:marBottom w:val="0"/>
      <w:divBdr>
        <w:top w:val="none" w:sz="0" w:space="0" w:color="auto"/>
        <w:left w:val="none" w:sz="0" w:space="0" w:color="auto"/>
        <w:bottom w:val="none" w:sz="0" w:space="0" w:color="auto"/>
        <w:right w:val="none" w:sz="0" w:space="0" w:color="auto"/>
      </w:divBdr>
      <w:divsChild>
        <w:div w:id="1499152994">
          <w:marLeft w:val="0"/>
          <w:marRight w:val="0"/>
          <w:marTop w:val="0"/>
          <w:marBottom w:val="0"/>
          <w:divBdr>
            <w:top w:val="none" w:sz="0" w:space="0" w:color="auto"/>
            <w:left w:val="none" w:sz="0" w:space="0" w:color="auto"/>
            <w:bottom w:val="none" w:sz="0" w:space="0" w:color="auto"/>
            <w:right w:val="none" w:sz="0" w:space="0" w:color="auto"/>
          </w:divBdr>
        </w:div>
      </w:divsChild>
    </w:div>
    <w:div w:id="894664308">
      <w:bodyDiv w:val="1"/>
      <w:marLeft w:val="0"/>
      <w:marRight w:val="0"/>
      <w:marTop w:val="0"/>
      <w:marBottom w:val="0"/>
      <w:divBdr>
        <w:top w:val="none" w:sz="0" w:space="0" w:color="auto"/>
        <w:left w:val="none" w:sz="0" w:space="0" w:color="auto"/>
        <w:bottom w:val="none" w:sz="0" w:space="0" w:color="auto"/>
        <w:right w:val="none" w:sz="0" w:space="0" w:color="auto"/>
      </w:divBdr>
      <w:divsChild>
        <w:div w:id="1045981780">
          <w:marLeft w:val="0"/>
          <w:marRight w:val="0"/>
          <w:marTop w:val="0"/>
          <w:marBottom w:val="0"/>
          <w:divBdr>
            <w:top w:val="none" w:sz="0" w:space="0" w:color="auto"/>
            <w:left w:val="none" w:sz="0" w:space="0" w:color="auto"/>
            <w:bottom w:val="none" w:sz="0" w:space="0" w:color="auto"/>
            <w:right w:val="none" w:sz="0" w:space="0" w:color="auto"/>
          </w:divBdr>
        </w:div>
      </w:divsChild>
    </w:div>
    <w:div w:id="1027146508">
      <w:bodyDiv w:val="1"/>
      <w:marLeft w:val="0"/>
      <w:marRight w:val="0"/>
      <w:marTop w:val="0"/>
      <w:marBottom w:val="0"/>
      <w:divBdr>
        <w:top w:val="none" w:sz="0" w:space="0" w:color="auto"/>
        <w:left w:val="none" w:sz="0" w:space="0" w:color="auto"/>
        <w:bottom w:val="none" w:sz="0" w:space="0" w:color="auto"/>
        <w:right w:val="none" w:sz="0" w:space="0" w:color="auto"/>
      </w:divBdr>
      <w:divsChild>
        <w:div w:id="1805729147">
          <w:marLeft w:val="0"/>
          <w:marRight w:val="0"/>
          <w:marTop w:val="0"/>
          <w:marBottom w:val="0"/>
          <w:divBdr>
            <w:top w:val="none" w:sz="0" w:space="0" w:color="auto"/>
            <w:left w:val="none" w:sz="0" w:space="0" w:color="auto"/>
            <w:bottom w:val="none" w:sz="0" w:space="0" w:color="auto"/>
            <w:right w:val="none" w:sz="0" w:space="0" w:color="auto"/>
          </w:divBdr>
        </w:div>
      </w:divsChild>
    </w:div>
    <w:div w:id="1378967213">
      <w:bodyDiv w:val="1"/>
      <w:marLeft w:val="0"/>
      <w:marRight w:val="0"/>
      <w:marTop w:val="0"/>
      <w:marBottom w:val="0"/>
      <w:divBdr>
        <w:top w:val="none" w:sz="0" w:space="0" w:color="auto"/>
        <w:left w:val="none" w:sz="0" w:space="0" w:color="auto"/>
        <w:bottom w:val="none" w:sz="0" w:space="0" w:color="auto"/>
        <w:right w:val="none" w:sz="0" w:space="0" w:color="auto"/>
      </w:divBdr>
      <w:divsChild>
        <w:div w:id="2000033569">
          <w:marLeft w:val="0"/>
          <w:marRight w:val="0"/>
          <w:marTop w:val="0"/>
          <w:marBottom w:val="0"/>
          <w:divBdr>
            <w:top w:val="none" w:sz="0" w:space="0" w:color="auto"/>
            <w:left w:val="none" w:sz="0" w:space="0" w:color="auto"/>
            <w:bottom w:val="none" w:sz="0" w:space="0" w:color="auto"/>
            <w:right w:val="none" w:sz="0" w:space="0" w:color="auto"/>
          </w:divBdr>
        </w:div>
      </w:divsChild>
    </w:div>
    <w:div w:id="1951160441">
      <w:bodyDiv w:val="1"/>
      <w:marLeft w:val="0"/>
      <w:marRight w:val="0"/>
      <w:marTop w:val="0"/>
      <w:marBottom w:val="0"/>
      <w:divBdr>
        <w:top w:val="none" w:sz="0" w:space="0" w:color="auto"/>
        <w:left w:val="none" w:sz="0" w:space="0" w:color="auto"/>
        <w:bottom w:val="none" w:sz="0" w:space="0" w:color="auto"/>
        <w:right w:val="none" w:sz="0" w:space="0" w:color="auto"/>
      </w:divBdr>
      <w:divsChild>
        <w:div w:id="10079015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alga.org.za/" TargetMode="External"/><Relationship Id="rId1" Type="http://schemas.openxmlformats.org/officeDocument/2006/relationships/hyperlink" Target="http://www.salga.org.za/"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alga.org.za/" TargetMode="External"/><Relationship Id="rId1" Type="http://schemas.openxmlformats.org/officeDocument/2006/relationships/hyperlink" Target="http://www.salga.org.za/"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salga.org.za/" TargetMode="External"/><Relationship Id="rId1" Type="http://schemas.openxmlformats.org/officeDocument/2006/relationships/hyperlink" Target="http://www.salga.org.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SALGA 1">
      <a:dk1>
        <a:srgbClr val="F06D19"/>
      </a:dk1>
      <a:lt1>
        <a:sysClr val="window" lastClr="FFFFFF"/>
      </a:lt1>
      <a:dk2>
        <a:srgbClr val="C7C9CA"/>
      </a:dk2>
      <a:lt2>
        <a:srgbClr val="D6B758"/>
      </a:lt2>
      <a:accent1>
        <a:srgbClr val="F06D19"/>
      </a:accent1>
      <a:accent2>
        <a:srgbClr val="D6B758"/>
      </a:accent2>
      <a:accent3>
        <a:srgbClr val="8F8E8E"/>
      </a:accent3>
      <a:accent4>
        <a:srgbClr val="C7C9CA"/>
      </a:accent4>
      <a:accent5>
        <a:srgbClr val="FFFFFF"/>
      </a:accent5>
      <a:accent6>
        <a:srgbClr val="000000"/>
      </a:accent6>
      <a:hlink>
        <a:srgbClr val="8F8E8E"/>
      </a:hlink>
      <a:folHlink>
        <a:srgbClr val="C7C9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40B1E-2817-4B84-AC00-EF4A5EC0D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2575</Words>
  <Characters>14679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SALGA</Company>
  <LinksUpToDate>false</LinksUpToDate>
  <CharactersWithSpaces>17220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Mthokozisi Zwane</dc:creator>
  <cp:keywords/>
  <dc:description/>
  <cp:lastModifiedBy>Hajiera Salie</cp:lastModifiedBy>
  <cp:revision>2</cp:revision>
  <dcterms:created xsi:type="dcterms:W3CDTF">2018-11-20T08:26:00Z</dcterms:created>
  <dcterms:modified xsi:type="dcterms:W3CDTF">2018-11-20T08:26:00Z</dcterms:modified>
</cp:coreProperties>
</file>