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5990" w14:textId="469F9940" w:rsidR="001639FF" w:rsidRPr="00E70198" w:rsidRDefault="001639FF" w:rsidP="00E70198">
      <w:pPr>
        <w:pStyle w:val="ListParagraph"/>
        <w:numPr>
          <w:ilvl w:val="0"/>
          <w:numId w:val="26"/>
        </w:numPr>
        <w:spacing w:after="0" w:line="280" w:lineRule="exact"/>
        <w:ind w:left="450"/>
        <w:jc w:val="both"/>
        <w:rPr>
          <w:rFonts w:ascii="Times New Roman" w:hAnsi="Times New Roman" w:cs="Times New Roman"/>
          <w:b/>
          <w:sz w:val="28"/>
          <w:szCs w:val="28"/>
        </w:rPr>
      </w:pPr>
      <w:bookmarkStart w:id="0" w:name="_GoBack"/>
      <w:bookmarkEnd w:id="0"/>
      <w:r w:rsidRPr="00E70198">
        <w:rPr>
          <w:rFonts w:ascii="Times New Roman" w:hAnsi="Times New Roman" w:cs="Times New Roman"/>
          <w:b/>
          <w:sz w:val="28"/>
          <w:szCs w:val="28"/>
        </w:rPr>
        <w:t xml:space="preserve">REPORT OF THE PORTFOLIO COMMITTEE ON POLICE ON THE 2017/18 ANNUAL REPORT OF THE PRIVATE SECURITY INDUSTRY REGULATORY AUTHORITY (PSIRA), DATED </w:t>
      </w:r>
      <w:r w:rsidR="00F77B1F" w:rsidRPr="00E70198">
        <w:rPr>
          <w:rFonts w:ascii="Times New Roman" w:hAnsi="Times New Roman" w:cs="Times New Roman"/>
          <w:b/>
          <w:sz w:val="28"/>
          <w:szCs w:val="28"/>
        </w:rPr>
        <w:t xml:space="preserve">21 NOVEMBER </w:t>
      </w:r>
      <w:r w:rsidR="00223B5F" w:rsidRPr="00E70198">
        <w:rPr>
          <w:rFonts w:ascii="Times New Roman" w:hAnsi="Times New Roman" w:cs="Times New Roman"/>
          <w:b/>
          <w:sz w:val="28"/>
          <w:szCs w:val="28"/>
        </w:rPr>
        <w:t>2018.</w:t>
      </w:r>
    </w:p>
    <w:p w14:paraId="007BD909" w14:textId="77777777" w:rsidR="001639FF" w:rsidRPr="00186396" w:rsidRDefault="001639FF" w:rsidP="0003779A">
      <w:pPr>
        <w:spacing w:after="0" w:line="280" w:lineRule="exact"/>
        <w:jc w:val="both"/>
        <w:rPr>
          <w:rFonts w:ascii="Times New Roman" w:hAnsi="Times New Roman" w:cs="Times New Roman"/>
          <w:sz w:val="24"/>
          <w:szCs w:val="24"/>
        </w:rPr>
      </w:pPr>
    </w:p>
    <w:p w14:paraId="2A41E68B" w14:textId="77777777" w:rsidR="001639FF" w:rsidRPr="00186396" w:rsidRDefault="001639FF"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Portfolio Committee on Police, having considered the financial and service delivery performance of the Private Security Industry Regulatory Authority (PSIRA) for the 2017/18 financial year, reports as follows:</w:t>
      </w:r>
    </w:p>
    <w:p w14:paraId="3D3625C9" w14:textId="77777777" w:rsidR="001639FF" w:rsidRPr="00186396" w:rsidRDefault="001639FF" w:rsidP="0003779A">
      <w:pPr>
        <w:spacing w:after="0" w:line="280" w:lineRule="exact"/>
        <w:jc w:val="both"/>
        <w:rPr>
          <w:rFonts w:ascii="Times New Roman" w:hAnsi="Times New Roman" w:cs="Times New Roman"/>
          <w:sz w:val="24"/>
          <w:szCs w:val="24"/>
        </w:rPr>
      </w:pPr>
    </w:p>
    <w:p w14:paraId="61545357" w14:textId="77777777" w:rsidR="001639FF" w:rsidRPr="009A1944" w:rsidRDefault="001639FF"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INTRODUCTION</w:t>
      </w:r>
    </w:p>
    <w:p w14:paraId="7B0E257E" w14:textId="77777777" w:rsidR="00186396" w:rsidRPr="00186396" w:rsidRDefault="00186396" w:rsidP="0003779A">
      <w:pPr>
        <w:spacing w:after="0" w:line="280" w:lineRule="exact"/>
        <w:jc w:val="both"/>
        <w:rPr>
          <w:rFonts w:ascii="Times New Roman" w:hAnsi="Times New Roman" w:cs="Times New Roman"/>
          <w:sz w:val="24"/>
          <w:szCs w:val="24"/>
        </w:rPr>
      </w:pPr>
    </w:p>
    <w:p w14:paraId="68C13A66" w14:textId="685F3DF6" w:rsidR="00186396" w:rsidRPr="00186396" w:rsidRDefault="001639FF"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Authority was established in terms of Section 2 of the Private Security Industry Regulation Act, No. 56 of 2001. Its mandate is to regulate the private security industry and to exercise effective control of security service providers in the public and national interest and the interest of the security industry itself. A Council is appointed by the Minister of Police in consultation with Cabinet and constitutes a Chairperson and three additional Councillors, who are independent of the private security industry. The Council is</w:t>
      </w:r>
      <w:r w:rsidR="00E923D0">
        <w:rPr>
          <w:rFonts w:ascii="Times New Roman" w:hAnsi="Times New Roman" w:cs="Times New Roman"/>
          <w:sz w:val="24"/>
          <w:szCs w:val="24"/>
        </w:rPr>
        <w:t xml:space="preserve"> the Accounting authority of</w:t>
      </w:r>
      <w:r w:rsidRPr="00186396">
        <w:rPr>
          <w:rFonts w:ascii="Times New Roman" w:hAnsi="Times New Roman" w:cs="Times New Roman"/>
          <w:sz w:val="24"/>
          <w:szCs w:val="24"/>
        </w:rPr>
        <w:t xml:space="preserve"> PSIRA</w:t>
      </w:r>
      <w:r w:rsidR="00E923D0">
        <w:rPr>
          <w:rFonts w:ascii="Times New Roman" w:hAnsi="Times New Roman" w:cs="Times New Roman"/>
          <w:sz w:val="24"/>
          <w:szCs w:val="24"/>
        </w:rPr>
        <w:t xml:space="preserve"> and</w:t>
      </w:r>
      <w:r w:rsidRPr="00186396">
        <w:rPr>
          <w:rFonts w:ascii="Times New Roman" w:hAnsi="Times New Roman" w:cs="Times New Roman"/>
          <w:sz w:val="24"/>
          <w:szCs w:val="24"/>
        </w:rPr>
        <w:t xml:space="preserve"> is accountable to the Minister of Police in the performance of its function. The Authority is listed as a public entity in Schedule 3A of the Public Finance Management Act (PFMA). As such, the Authority must adhere to the statutory duties and responsibilities as imposed by the PFMA. The Authority is funded through levies and fees recoverable from the security industry, in accordance with section 16 of the Act and currently receives no funds from the State. </w:t>
      </w:r>
    </w:p>
    <w:p w14:paraId="57EA3CFC" w14:textId="77777777" w:rsidR="001639FF" w:rsidRPr="00186396" w:rsidRDefault="001639FF"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 </w:t>
      </w:r>
    </w:p>
    <w:p w14:paraId="503278E5" w14:textId="4B7CFDB7" w:rsidR="001639FF" w:rsidRPr="00186396" w:rsidRDefault="001639FF"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Annual Report of the Authority forms the main service delivery reporting instrument for the entity and how funds were utilised to ensure the achievement of the</w:t>
      </w:r>
      <w:r w:rsidR="00E923D0">
        <w:rPr>
          <w:rFonts w:ascii="Times New Roman" w:hAnsi="Times New Roman" w:cs="Times New Roman"/>
          <w:sz w:val="24"/>
          <w:szCs w:val="24"/>
        </w:rPr>
        <w:t xml:space="preserve"> predetermined performance indicators and</w:t>
      </w:r>
      <w:r w:rsidRPr="00186396">
        <w:rPr>
          <w:rFonts w:ascii="Times New Roman" w:hAnsi="Times New Roman" w:cs="Times New Roman"/>
          <w:sz w:val="24"/>
          <w:szCs w:val="24"/>
        </w:rPr>
        <w:t xml:space="preserve"> targets as outlined in its Annual Performance Plan.</w:t>
      </w:r>
    </w:p>
    <w:p w14:paraId="3B54D1DE" w14:textId="77777777" w:rsidR="00186396" w:rsidRPr="00186396" w:rsidRDefault="00186396" w:rsidP="0003779A">
      <w:pPr>
        <w:spacing w:after="0" w:line="280" w:lineRule="exact"/>
        <w:jc w:val="both"/>
        <w:rPr>
          <w:rFonts w:ascii="Times New Roman" w:hAnsi="Times New Roman" w:cs="Times New Roman"/>
          <w:sz w:val="24"/>
          <w:szCs w:val="24"/>
        </w:rPr>
      </w:pPr>
    </w:p>
    <w:p w14:paraId="400401F9" w14:textId="1B54D095" w:rsidR="001639FF" w:rsidRDefault="001639FF"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As part of its oversight function, the Committee considers the Annual Report of the Authority on an annual basis and believes that </w:t>
      </w:r>
      <w:r w:rsidR="00F57D5E">
        <w:rPr>
          <w:rFonts w:ascii="Times New Roman" w:hAnsi="Times New Roman" w:cs="Times New Roman"/>
          <w:sz w:val="24"/>
          <w:szCs w:val="24"/>
        </w:rPr>
        <w:t xml:space="preserve">the </w:t>
      </w:r>
      <w:r w:rsidRPr="00186396">
        <w:rPr>
          <w:rFonts w:ascii="Times New Roman" w:hAnsi="Times New Roman" w:cs="Times New Roman"/>
          <w:sz w:val="24"/>
          <w:szCs w:val="24"/>
        </w:rPr>
        <w:t xml:space="preserve">engagements with the Authority have been robust throughout the 201718 financial </w:t>
      </w:r>
      <w:proofErr w:type="gramStart"/>
      <w:r w:rsidRPr="00186396">
        <w:rPr>
          <w:rFonts w:ascii="Times New Roman" w:hAnsi="Times New Roman" w:cs="Times New Roman"/>
          <w:sz w:val="24"/>
          <w:szCs w:val="24"/>
        </w:rPr>
        <w:t>year</w:t>
      </w:r>
      <w:proofErr w:type="gramEnd"/>
      <w:r w:rsidRPr="00186396">
        <w:rPr>
          <w:rFonts w:ascii="Times New Roman" w:hAnsi="Times New Roman" w:cs="Times New Roman"/>
          <w:sz w:val="24"/>
          <w:szCs w:val="24"/>
        </w:rPr>
        <w:t xml:space="preserve">. Hearings were held with the Authority on 12 October 2018 during which the Authority presented on its performance for 2017/18, in terms of both service delivery targets, as well as financial statements. The Committee has also engaged with the Auditor-General of South Africa (AGSA) on the audit outcomes of the Authority on 09 October 2018. </w:t>
      </w:r>
    </w:p>
    <w:p w14:paraId="068CDD32" w14:textId="182AE95C" w:rsidR="00AE179E" w:rsidRDefault="00AE179E" w:rsidP="0003779A">
      <w:pPr>
        <w:spacing w:after="0" w:line="280" w:lineRule="exact"/>
        <w:jc w:val="both"/>
        <w:rPr>
          <w:rFonts w:ascii="Times New Roman" w:hAnsi="Times New Roman" w:cs="Times New Roman"/>
          <w:sz w:val="24"/>
          <w:szCs w:val="24"/>
        </w:rPr>
      </w:pPr>
    </w:p>
    <w:p w14:paraId="41471DDA" w14:textId="25EF602C"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This report is structured as follows: </w:t>
      </w:r>
    </w:p>
    <w:p w14:paraId="6B494D7A" w14:textId="42C27290"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Section 1: Introduction. </w:t>
      </w:r>
      <w:r w:rsidR="00EC1017">
        <w:rPr>
          <w:rFonts w:ascii="Times New Roman" w:hAnsi="Times New Roman" w:cs="Times New Roman"/>
          <w:sz w:val="24"/>
          <w:szCs w:val="24"/>
        </w:rPr>
        <w:t>The</w:t>
      </w:r>
      <w:r>
        <w:rPr>
          <w:rFonts w:ascii="Times New Roman" w:hAnsi="Times New Roman" w:cs="Times New Roman"/>
          <w:sz w:val="24"/>
          <w:szCs w:val="24"/>
        </w:rPr>
        <w:t xml:space="preserve"> section provides an overview of the </w:t>
      </w:r>
      <w:r w:rsidR="00F57D5E">
        <w:rPr>
          <w:rFonts w:ascii="Times New Roman" w:hAnsi="Times New Roman" w:cs="Times New Roman"/>
          <w:sz w:val="24"/>
          <w:szCs w:val="24"/>
        </w:rPr>
        <w:t xml:space="preserve">establishment of the Authority </w:t>
      </w:r>
      <w:r>
        <w:rPr>
          <w:rFonts w:ascii="Times New Roman" w:hAnsi="Times New Roman" w:cs="Times New Roman"/>
          <w:sz w:val="24"/>
          <w:szCs w:val="24"/>
        </w:rPr>
        <w:t xml:space="preserve">and the Committee’s oversight mandate.  </w:t>
      </w:r>
    </w:p>
    <w:p w14:paraId="535DA27F" w14:textId="54B5669A"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Section 2: Governance.</w:t>
      </w:r>
      <w:r w:rsidR="00EC1017">
        <w:rPr>
          <w:rFonts w:ascii="Times New Roman" w:hAnsi="Times New Roman" w:cs="Times New Roman"/>
          <w:sz w:val="24"/>
          <w:szCs w:val="24"/>
        </w:rPr>
        <w:t xml:space="preserve"> The</w:t>
      </w:r>
      <w:r>
        <w:rPr>
          <w:rFonts w:ascii="Times New Roman" w:hAnsi="Times New Roman" w:cs="Times New Roman"/>
          <w:sz w:val="24"/>
          <w:szCs w:val="24"/>
        </w:rPr>
        <w:t xml:space="preserve"> section provides a summary of the establishment and mandate of the PSIRA Council as the Accounting Authority</w:t>
      </w:r>
      <w:r w:rsidR="00E5391B">
        <w:rPr>
          <w:rFonts w:ascii="Times New Roman" w:hAnsi="Times New Roman" w:cs="Times New Roman"/>
          <w:sz w:val="24"/>
          <w:szCs w:val="24"/>
        </w:rPr>
        <w:t xml:space="preserve"> of the Authority</w:t>
      </w:r>
      <w:r>
        <w:rPr>
          <w:rFonts w:ascii="Times New Roman" w:hAnsi="Times New Roman" w:cs="Times New Roman"/>
          <w:sz w:val="24"/>
          <w:szCs w:val="24"/>
        </w:rPr>
        <w:t xml:space="preserve">.  </w:t>
      </w:r>
    </w:p>
    <w:p w14:paraId="401E7E6F" w14:textId="6EBBC5D4"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Section 3: External and internal audit. </w:t>
      </w:r>
      <w:r w:rsidR="00EC1017">
        <w:rPr>
          <w:rFonts w:ascii="Times New Roman" w:hAnsi="Times New Roman" w:cs="Times New Roman"/>
          <w:sz w:val="24"/>
          <w:szCs w:val="24"/>
        </w:rPr>
        <w:t>The</w:t>
      </w:r>
      <w:r w:rsidR="006344CD">
        <w:rPr>
          <w:rFonts w:ascii="Times New Roman" w:hAnsi="Times New Roman" w:cs="Times New Roman"/>
          <w:sz w:val="24"/>
          <w:szCs w:val="24"/>
        </w:rPr>
        <w:t xml:space="preserve"> section provides a summary of the external and internal audit findings of the 2017/18 financial year by the AGSA and the Audit Committee. </w:t>
      </w:r>
    </w:p>
    <w:p w14:paraId="4DA3827B" w14:textId="0B7A7599"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Section 4: Financial overview 2017/18. </w:t>
      </w:r>
      <w:r w:rsidR="00EC1017">
        <w:rPr>
          <w:rFonts w:ascii="Times New Roman" w:hAnsi="Times New Roman" w:cs="Times New Roman"/>
          <w:sz w:val="24"/>
          <w:szCs w:val="24"/>
        </w:rPr>
        <w:t xml:space="preserve">The section provides an overview of the financial performance of the Authority. </w:t>
      </w:r>
    </w:p>
    <w:p w14:paraId="07BF41EB" w14:textId="3DC9502B"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Section 5: Performance against predetermined targets for 2017/18.</w:t>
      </w:r>
      <w:r w:rsidR="00903F38">
        <w:rPr>
          <w:rFonts w:ascii="Times New Roman" w:hAnsi="Times New Roman" w:cs="Times New Roman"/>
          <w:sz w:val="24"/>
          <w:szCs w:val="24"/>
        </w:rPr>
        <w:t xml:space="preserve"> The section provides an analysis of the Authority’s performance against predetermined performance indicators and targets. </w:t>
      </w:r>
      <w:r>
        <w:rPr>
          <w:rFonts w:ascii="Times New Roman" w:hAnsi="Times New Roman" w:cs="Times New Roman"/>
          <w:sz w:val="24"/>
          <w:szCs w:val="24"/>
        </w:rPr>
        <w:t xml:space="preserve"> </w:t>
      </w:r>
    </w:p>
    <w:p w14:paraId="67FF31CA" w14:textId="4A24B380"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6: </w:t>
      </w:r>
      <w:r w:rsidR="00004B00">
        <w:rPr>
          <w:rFonts w:ascii="Times New Roman" w:hAnsi="Times New Roman" w:cs="Times New Roman"/>
          <w:sz w:val="24"/>
          <w:szCs w:val="24"/>
        </w:rPr>
        <w:t>Committee o</w:t>
      </w:r>
      <w:r>
        <w:rPr>
          <w:rFonts w:ascii="Times New Roman" w:hAnsi="Times New Roman" w:cs="Times New Roman"/>
          <w:sz w:val="24"/>
          <w:szCs w:val="24"/>
        </w:rPr>
        <w:t>bservations</w:t>
      </w:r>
      <w:r w:rsidR="00004B00">
        <w:rPr>
          <w:rFonts w:ascii="Times New Roman" w:hAnsi="Times New Roman" w:cs="Times New Roman"/>
          <w:sz w:val="24"/>
          <w:szCs w:val="24"/>
        </w:rPr>
        <w:t xml:space="preserve"> and reporting requirements</w:t>
      </w:r>
      <w:r>
        <w:rPr>
          <w:rFonts w:ascii="Times New Roman" w:hAnsi="Times New Roman" w:cs="Times New Roman"/>
          <w:sz w:val="24"/>
          <w:szCs w:val="24"/>
        </w:rPr>
        <w:t xml:space="preserve">. </w:t>
      </w:r>
      <w:r w:rsidR="00990170">
        <w:rPr>
          <w:rFonts w:ascii="Times New Roman" w:hAnsi="Times New Roman" w:cs="Times New Roman"/>
          <w:sz w:val="24"/>
          <w:szCs w:val="24"/>
        </w:rPr>
        <w:t xml:space="preserve">The section provides the key observations made by the Committee during engagements on the 2017/18 Annual Report of the </w:t>
      </w:r>
      <w:r w:rsidR="00004B00">
        <w:rPr>
          <w:rFonts w:ascii="Times New Roman" w:hAnsi="Times New Roman" w:cs="Times New Roman"/>
          <w:sz w:val="24"/>
          <w:szCs w:val="24"/>
        </w:rPr>
        <w:t>Authority</w:t>
      </w:r>
      <w:r w:rsidR="00990170">
        <w:rPr>
          <w:rFonts w:ascii="Times New Roman" w:hAnsi="Times New Roman" w:cs="Times New Roman"/>
          <w:sz w:val="24"/>
          <w:szCs w:val="24"/>
        </w:rPr>
        <w:t xml:space="preserve">.  </w:t>
      </w:r>
    </w:p>
    <w:p w14:paraId="40C6C767" w14:textId="062DCC73" w:rsidR="00AE179E"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Section 7: Committee recommendations and reporting requirements. Th</w:t>
      </w:r>
      <w:r w:rsidR="00F063A1">
        <w:rPr>
          <w:rFonts w:ascii="Times New Roman" w:hAnsi="Times New Roman" w:cs="Times New Roman"/>
          <w:sz w:val="24"/>
          <w:szCs w:val="24"/>
        </w:rPr>
        <w:t xml:space="preserve">e section provides the recommendation made by the Committee and also the reporting requirements of the Authority. </w:t>
      </w:r>
      <w:r>
        <w:rPr>
          <w:rFonts w:ascii="Times New Roman" w:hAnsi="Times New Roman" w:cs="Times New Roman"/>
          <w:sz w:val="24"/>
          <w:szCs w:val="24"/>
        </w:rPr>
        <w:t xml:space="preserve"> </w:t>
      </w:r>
    </w:p>
    <w:p w14:paraId="3FAD89B3" w14:textId="62990D8D" w:rsidR="00AE179E" w:rsidRPr="00186396" w:rsidRDefault="00AE179E"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Section 8: Conclusion. </w:t>
      </w:r>
      <w:r w:rsidR="00F063A1">
        <w:rPr>
          <w:rFonts w:ascii="Times New Roman" w:hAnsi="Times New Roman" w:cs="Times New Roman"/>
          <w:sz w:val="24"/>
          <w:szCs w:val="24"/>
        </w:rPr>
        <w:t xml:space="preserve">The section provides closing remarks by the Committee. </w:t>
      </w:r>
      <w:r>
        <w:rPr>
          <w:rFonts w:ascii="Times New Roman" w:hAnsi="Times New Roman" w:cs="Times New Roman"/>
          <w:sz w:val="24"/>
          <w:szCs w:val="24"/>
        </w:rPr>
        <w:t xml:space="preserve"> </w:t>
      </w:r>
    </w:p>
    <w:p w14:paraId="74CC7C81" w14:textId="77777777" w:rsidR="00CA2509" w:rsidRPr="00186396" w:rsidRDefault="00CA2509" w:rsidP="0003779A">
      <w:pPr>
        <w:spacing w:after="0" w:line="280" w:lineRule="exact"/>
        <w:jc w:val="both"/>
        <w:rPr>
          <w:rFonts w:ascii="Times New Roman" w:hAnsi="Times New Roman" w:cs="Times New Roman"/>
          <w:sz w:val="24"/>
          <w:szCs w:val="24"/>
        </w:rPr>
      </w:pPr>
    </w:p>
    <w:p w14:paraId="63D152E7" w14:textId="77777777" w:rsidR="001E28BB" w:rsidRPr="009A1944" w:rsidRDefault="001E28BB"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 xml:space="preserve">GOVERNANCE </w:t>
      </w:r>
    </w:p>
    <w:p w14:paraId="70665370" w14:textId="77777777" w:rsidR="00186396" w:rsidRPr="00186396" w:rsidRDefault="00186396" w:rsidP="0003779A">
      <w:pPr>
        <w:spacing w:after="0" w:line="280" w:lineRule="exact"/>
        <w:jc w:val="both"/>
        <w:rPr>
          <w:rFonts w:ascii="Times New Roman" w:hAnsi="Times New Roman" w:cs="Times New Roman"/>
          <w:sz w:val="24"/>
          <w:szCs w:val="24"/>
        </w:rPr>
      </w:pPr>
    </w:p>
    <w:p w14:paraId="209BE2A1" w14:textId="47E71B71" w:rsidR="001E28BB" w:rsidRPr="00186396"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Authority is governed and controlled by the PSIRA Council, which is appointed in terms of section 6 of the Private Security Industry Regulatory Act 56 of 2001 by the Minister </w:t>
      </w:r>
      <w:r w:rsidR="00601AB9">
        <w:rPr>
          <w:rFonts w:ascii="Times New Roman" w:hAnsi="Times New Roman" w:cs="Times New Roman"/>
          <w:sz w:val="24"/>
          <w:szCs w:val="24"/>
        </w:rPr>
        <w:t xml:space="preserve">of Police </w:t>
      </w:r>
      <w:r w:rsidRPr="00186396">
        <w:rPr>
          <w:rFonts w:ascii="Times New Roman" w:hAnsi="Times New Roman" w:cs="Times New Roman"/>
          <w:sz w:val="24"/>
          <w:szCs w:val="24"/>
        </w:rPr>
        <w:t xml:space="preserve">in consultation with </w:t>
      </w:r>
      <w:r w:rsidR="00601AB9">
        <w:rPr>
          <w:rFonts w:ascii="Times New Roman" w:hAnsi="Times New Roman" w:cs="Times New Roman"/>
          <w:sz w:val="24"/>
          <w:szCs w:val="24"/>
        </w:rPr>
        <w:t>Cabinet. The Council forms the A</w:t>
      </w:r>
      <w:r w:rsidRPr="00186396">
        <w:rPr>
          <w:rFonts w:ascii="Times New Roman" w:hAnsi="Times New Roman" w:cs="Times New Roman"/>
          <w:sz w:val="24"/>
          <w:szCs w:val="24"/>
        </w:rPr>
        <w:t xml:space="preserve">ccounting </w:t>
      </w:r>
      <w:r w:rsidR="00601AB9">
        <w:rPr>
          <w:rFonts w:ascii="Times New Roman" w:hAnsi="Times New Roman" w:cs="Times New Roman"/>
          <w:sz w:val="24"/>
          <w:szCs w:val="24"/>
        </w:rPr>
        <w:t>A</w:t>
      </w:r>
      <w:r w:rsidRPr="00186396">
        <w:rPr>
          <w:rFonts w:ascii="Times New Roman" w:hAnsi="Times New Roman" w:cs="Times New Roman"/>
          <w:sz w:val="24"/>
          <w:szCs w:val="24"/>
        </w:rPr>
        <w:t xml:space="preserve">uthority of PSIRA and is accountable to Parliament. </w:t>
      </w:r>
    </w:p>
    <w:p w14:paraId="1752068B" w14:textId="77777777" w:rsidR="00186396" w:rsidRPr="00186396" w:rsidRDefault="00186396" w:rsidP="0003779A">
      <w:pPr>
        <w:spacing w:after="0" w:line="280" w:lineRule="exact"/>
        <w:jc w:val="both"/>
        <w:rPr>
          <w:rFonts w:ascii="Times New Roman" w:hAnsi="Times New Roman" w:cs="Times New Roman"/>
          <w:sz w:val="24"/>
          <w:szCs w:val="24"/>
        </w:rPr>
      </w:pPr>
    </w:p>
    <w:p w14:paraId="40D1C3FC" w14:textId="77777777" w:rsidR="001E28BB" w:rsidRPr="00186396"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current PSIRA Council constitutes the following members:</w:t>
      </w:r>
    </w:p>
    <w:p w14:paraId="4A586AF2" w14:textId="77777777" w:rsidR="001E28BB" w:rsidRPr="00186396" w:rsidRDefault="001E28BB" w:rsidP="0003779A">
      <w:pPr>
        <w:pStyle w:val="ListParagraph"/>
        <w:numPr>
          <w:ilvl w:val="0"/>
          <w:numId w:val="1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Mr N </w:t>
      </w:r>
      <w:proofErr w:type="spellStart"/>
      <w:r w:rsidRPr="00186396">
        <w:rPr>
          <w:rFonts w:ascii="Times New Roman" w:hAnsi="Times New Roman" w:cs="Times New Roman"/>
          <w:sz w:val="24"/>
          <w:szCs w:val="24"/>
        </w:rPr>
        <w:t>Ngubane</w:t>
      </w:r>
      <w:proofErr w:type="spellEnd"/>
      <w:r w:rsidRPr="00186396">
        <w:rPr>
          <w:rFonts w:ascii="Times New Roman" w:hAnsi="Times New Roman" w:cs="Times New Roman"/>
          <w:sz w:val="24"/>
          <w:szCs w:val="24"/>
        </w:rPr>
        <w:t xml:space="preserve"> (Acting Chairperson); </w:t>
      </w:r>
    </w:p>
    <w:p w14:paraId="3D0B9BEF" w14:textId="77777777" w:rsidR="001E28BB" w:rsidRPr="00186396" w:rsidRDefault="001E28BB" w:rsidP="0003779A">
      <w:pPr>
        <w:pStyle w:val="ListParagraph"/>
        <w:numPr>
          <w:ilvl w:val="0"/>
          <w:numId w:val="1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Mr T Oliphant;</w:t>
      </w:r>
    </w:p>
    <w:p w14:paraId="0169E763" w14:textId="77777777" w:rsidR="001E28BB" w:rsidRPr="00186396" w:rsidRDefault="001E28BB" w:rsidP="0003779A">
      <w:pPr>
        <w:pStyle w:val="ListParagraph"/>
        <w:numPr>
          <w:ilvl w:val="0"/>
          <w:numId w:val="1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Maj Gen C </w:t>
      </w:r>
      <w:proofErr w:type="spellStart"/>
      <w:r w:rsidRPr="00186396">
        <w:rPr>
          <w:rFonts w:ascii="Times New Roman" w:hAnsi="Times New Roman" w:cs="Times New Roman"/>
          <w:sz w:val="24"/>
          <w:szCs w:val="24"/>
        </w:rPr>
        <w:t>Philison</w:t>
      </w:r>
      <w:proofErr w:type="spellEnd"/>
      <w:r w:rsidRPr="00186396">
        <w:rPr>
          <w:rFonts w:ascii="Times New Roman" w:hAnsi="Times New Roman" w:cs="Times New Roman"/>
          <w:sz w:val="24"/>
          <w:szCs w:val="24"/>
        </w:rPr>
        <w:t xml:space="preserve">; </w:t>
      </w:r>
    </w:p>
    <w:p w14:paraId="56DE5FFC" w14:textId="77777777" w:rsidR="001E28BB" w:rsidRPr="00186396" w:rsidRDefault="001E28BB" w:rsidP="0003779A">
      <w:pPr>
        <w:pStyle w:val="ListParagraph"/>
        <w:numPr>
          <w:ilvl w:val="0"/>
          <w:numId w:val="1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Mr Z Zulu; and </w:t>
      </w:r>
    </w:p>
    <w:p w14:paraId="2C152808" w14:textId="77777777" w:rsidR="001E28BB" w:rsidRPr="00186396" w:rsidRDefault="001E28BB" w:rsidP="0003779A">
      <w:pPr>
        <w:pStyle w:val="ListParagraph"/>
        <w:numPr>
          <w:ilvl w:val="0"/>
          <w:numId w:val="1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Mr J </w:t>
      </w:r>
      <w:proofErr w:type="spellStart"/>
      <w:r w:rsidRPr="00186396">
        <w:rPr>
          <w:rFonts w:ascii="Times New Roman" w:hAnsi="Times New Roman" w:cs="Times New Roman"/>
          <w:sz w:val="24"/>
          <w:szCs w:val="24"/>
        </w:rPr>
        <w:t>Makgokane</w:t>
      </w:r>
      <w:proofErr w:type="spellEnd"/>
      <w:r w:rsidRPr="00186396">
        <w:rPr>
          <w:rFonts w:ascii="Times New Roman" w:hAnsi="Times New Roman" w:cs="Times New Roman"/>
          <w:sz w:val="24"/>
          <w:szCs w:val="24"/>
        </w:rPr>
        <w:t xml:space="preserve">. </w:t>
      </w:r>
    </w:p>
    <w:p w14:paraId="42AD85E9" w14:textId="77777777" w:rsidR="001E28BB" w:rsidRPr="00186396" w:rsidRDefault="001E28BB" w:rsidP="0003779A">
      <w:pPr>
        <w:spacing w:after="0" w:line="280" w:lineRule="exact"/>
        <w:jc w:val="both"/>
        <w:rPr>
          <w:rFonts w:ascii="Times New Roman" w:hAnsi="Times New Roman" w:cs="Times New Roman"/>
          <w:sz w:val="24"/>
          <w:szCs w:val="24"/>
        </w:rPr>
      </w:pPr>
    </w:p>
    <w:p w14:paraId="15F70EAB" w14:textId="798A5407" w:rsidR="001E28BB" w:rsidRPr="00186396"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According to sec</w:t>
      </w:r>
      <w:r w:rsidR="00601AB9">
        <w:rPr>
          <w:rFonts w:ascii="Times New Roman" w:hAnsi="Times New Roman" w:cs="Times New Roman"/>
          <w:sz w:val="24"/>
          <w:szCs w:val="24"/>
        </w:rPr>
        <w:t>tion 51 of the PFMA, 1999, the A</w:t>
      </w:r>
      <w:r w:rsidRPr="00186396">
        <w:rPr>
          <w:rFonts w:ascii="Times New Roman" w:hAnsi="Times New Roman" w:cs="Times New Roman"/>
          <w:sz w:val="24"/>
          <w:szCs w:val="24"/>
        </w:rPr>
        <w:t xml:space="preserve">ccounting </w:t>
      </w:r>
      <w:r w:rsidR="00601AB9">
        <w:rPr>
          <w:rFonts w:ascii="Times New Roman" w:hAnsi="Times New Roman" w:cs="Times New Roman"/>
          <w:sz w:val="24"/>
          <w:szCs w:val="24"/>
        </w:rPr>
        <w:t>A</w:t>
      </w:r>
      <w:r w:rsidRPr="00186396">
        <w:rPr>
          <w:rFonts w:ascii="Times New Roman" w:hAnsi="Times New Roman" w:cs="Times New Roman"/>
          <w:sz w:val="24"/>
          <w:szCs w:val="24"/>
        </w:rPr>
        <w:t>uthority for a public entity must ensure that the public entity has and maintains the following (amongst others):</w:t>
      </w:r>
    </w:p>
    <w:p w14:paraId="41FA737D" w14:textId="77777777" w:rsidR="001E28BB" w:rsidRPr="00186396" w:rsidRDefault="001E28BB" w:rsidP="0003779A">
      <w:pPr>
        <w:pStyle w:val="ListParagraph"/>
        <w:numPr>
          <w:ilvl w:val="0"/>
          <w:numId w:val="7"/>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Effective, efficient and transparent systems of financial risk management and internal control;</w:t>
      </w:r>
    </w:p>
    <w:p w14:paraId="6380D5E3" w14:textId="0DC15B19" w:rsidR="00440BB5" w:rsidRDefault="001E28BB" w:rsidP="0003779A">
      <w:pPr>
        <w:pStyle w:val="ListParagraph"/>
        <w:numPr>
          <w:ilvl w:val="0"/>
          <w:numId w:val="7"/>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 system of internal audit under the control and direction of an audit committee complying with and operating in accordance with regulations and instructions prescribed in terms of sections 76 and 77</w:t>
      </w:r>
      <w:r w:rsidR="00F77B1F">
        <w:rPr>
          <w:rFonts w:ascii="Times New Roman" w:hAnsi="Times New Roman" w:cs="Times New Roman"/>
          <w:sz w:val="24"/>
          <w:szCs w:val="24"/>
        </w:rPr>
        <w:t xml:space="preserve"> of the P</w:t>
      </w:r>
      <w:r w:rsidR="00440BB5">
        <w:rPr>
          <w:rFonts w:ascii="Times New Roman" w:hAnsi="Times New Roman" w:cs="Times New Roman"/>
          <w:sz w:val="24"/>
          <w:szCs w:val="24"/>
        </w:rPr>
        <w:t>F</w:t>
      </w:r>
      <w:r w:rsidR="00F77B1F">
        <w:rPr>
          <w:rFonts w:ascii="Times New Roman" w:hAnsi="Times New Roman" w:cs="Times New Roman"/>
          <w:sz w:val="24"/>
          <w:szCs w:val="24"/>
        </w:rPr>
        <w:t>M</w:t>
      </w:r>
      <w:r w:rsidR="00440BB5">
        <w:rPr>
          <w:rFonts w:ascii="Times New Roman" w:hAnsi="Times New Roman" w:cs="Times New Roman"/>
          <w:sz w:val="24"/>
          <w:szCs w:val="24"/>
        </w:rPr>
        <w:t>A</w:t>
      </w:r>
      <w:r w:rsidRPr="00186396">
        <w:rPr>
          <w:rFonts w:ascii="Times New Roman" w:hAnsi="Times New Roman" w:cs="Times New Roman"/>
          <w:sz w:val="24"/>
          <w:szCs w:val="24"/>
        </w:rPr>
        <w:t xml:space="preserve">; and </w:t>
      </w:r>
    </w:p>
    <w:p w14:paraId="2B052E5B" w14:textId="0080AD31" w:rsidR="001E28BB" w:rsidRPr="00440BB5" w:rsidRDefault="001E28BB" w:rsidP="0003779A">
      <w:pPr>
        <w:pStyle w:val="ListParagraph"/>
        <w:numPr>
          <w:ilvl w:val="0"/>
          <w:numId w:val="7"/>
        </w:numPr>
        <w:spacing w:after="0" w:line="280" w:lineRule="exact"/>
        <w:jc w:val="both"/>
        <w:rPr>
          <w:rFonts w:ascii="Times New Roman" w:hAnsi="Times New Roman" w:cs="Times New Roman"/>
          <w:sz w:val="24"/>
          <w:szCs w:val="24"/>
        </w:rPr>
      </w:pPr>
      <w:r w:rsidRPr="00440BB5">
        <w:rPr>
          <w:rFonts w:ascii="Times New Roman" w:hAnsi="Times New Roman" w:cs="Times New Roman"/>
          <w:sz w:val="24"/>
          <w:szCs w:val="24"/>
        </w:rPr>
        <w:t>An appropriate procurement and provisioning system which is fair, equitable, transparent, competitive and cost-effective.</w:t>
      </w:r>
    </w:p>
    <w:p w14:paraId="00D02052" w14:textId="77777777" w:rsidR="001E28BB" w:rsidRPr="00186396" w:rsidRDefault="001E28BB" w:rsidP="0003779A">
      <w:pPr>
        <w:spacing w:after="0" w:line="280" w:lineRule="exact"/>
        <w:jc w:val="both"/>
        <w:rPr>
          <w:rFonts w:ascii="Times New Roman" w:hAnsi="Times New Roman" w:cs="Times New Roman"/>
          <w:sz w:val="24"/>
          <w:szCs w:val="24"/>
        </w:rPr>
      </w:pPr>
    </w:p>
    <w:p w14:paraId="4B74934D" w14:textId="3EBEA5CC" w:rsidR="001E28BB" w:rsidRPr="00186396"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As the accounting authority of PSIRA, the Council appoints the executive management of PSIRA, which is responsible for the day-to-day operations of PSIRA</w:t>
      </w:r>
      <w:r w:rsidR="00601AB9">
        <w:rPr>
          <w:rFonts w:ascii="Times New Roman" w:hAnsi="Times New Roman" w:cs="Times New Roman"/>
          <w:sz w:val="24"/>
          <w:szCs w:val="24"/>
        </w:rPr>
        <w:t xml:space="preserve">, including </w:t>
      </w:r>
      <w:r w:rsidRPr="00186396">
        <w:rPr>
          <w:rFonts w:ascii="Times New Roman" w:hAnsi="Times New Roman" w:cs="Times New Roman"/>
          <w:sz w:val="24"/>
          <w:szCs w:val="24"/>
        </w:rPr>
        <w:t xml:space="preserve">performance monitoring, review and general decision making responsibilities. The executive management consists of the Director and three Deputy Directors, responsible for the three divisions, i.e. Finance and </w:t>
      </w:r>
      <w:r w:rsidR="00601AB9">
        <w:rPr>
          <w:rFonts w:ascii="Times New Roman" w:hAnsi="Times New Roman" w:cs="Times New Roman"/>
          <w:sz w:val="24"/>
          <w:szCs w:val="24"/>
        </w:rPr>
        <w:t>Administration, Law Enforcement</w:t>
      </w:r>
      <w:r w:rsidRPr="00186396">
        <w:rPr>
          <w:rFonts w:ascii="Times New Roman" w:hAnsi="Times New Roman" w:cs="Times New Roman"/>
          <w:sz w:val="24"/>
          <w:szCs w:val="24"/>
        </w:rPr>
        <w:t xml:space="preserve"> and Communication and Training. The executive management may also appoint sub-committees, including (amongst others) an </w:t>
      </w:r>
      <w:r w:rsidR="00601AB9">
        <w:rPr>
          <w:rFonts w:ascii="Times New Roman" w:hAnsi="Times New Roman" w:cs="Times New Roman"/>
          <w:sz w:val="24"/>
          <w:szCs w:val="24"/>
        </w:rPr>
        <w:t>Information Technology (</w:t>
      </w:r>
      <w:r w:rsidRPr="00186396">
        <w:rPr>
          <w:rFonts w:ascii="Times New Roman" w:hAnsi="Times New Roman" w:cs="Times New Roman"/>
          <w:sz w:val="24"/>
          <w:szCs w:val="24"/>
        </w:rPr>
        <w:t>IT</w:t>
      </w:r>
      <w:r w:rsidR="00601AB9">
        <w:rPr>
          <w:rFonts w:ascii="Times New Roman" w:hAnsi="Times New Roman" w:cs="Times New Roman"/>
          <w:sz w:val="24"/>
          <w:szCs w:val="24"/>
        </w:rPr>
        <w:t>)</w:t>
      </w:r>
      <w:r w:rsidRPr="00186396">
        <w:rPr>
          <w:rFonts w:ascii="Times New Roman" w:hAnsi="Times New Roman" w:cs="Times New Roman"/>
          <w:sz w:val="24"/>
          <w:szCs w:val="24"/>
        </w:rPr>
        <w:t xml:space="preserve"> </w:t>
      </w:r>
      <w:r w:rsidR="00601AB9">
        <w:rPr>
          <w:rFonts w:ascii="Times New Roman" w:hAnsi="Times New Roman" w:cs="Times New Roman"/>
          <w:sz w:val="24"/>
          <w:szCs w:val="24"/>
        </w:rPr>
        <w:t>S</w:t>
      </w:r>
      <w:r w:rsidRPr="00186396">
        <w:rPr>
          <w:rFonts w:ascii="Times New Roman" w:hAnsi="Times New Roman" w:cs="Times New Roman"/>
          <w:sz w:val="24"/>
          <w:szCs w:val="24"/>
        </w:rPr>
        <w:t>teering Committee and a Performance Management Committee.</w:t>
      </w:r>
    </w:p>
    <w:p w14:paraId="5243BC93" w14:textId="77777777" w:rsidR="001E28BB" w:rsidRPr="00186396" w:rsidRDefault="001E28BB" w:rsidP="0003779A">
      <w:pPr>
        <w:spacing w:after="0" w:line="280" w:lineRule="exact"/>
        <w:jc w:val="both"/>
        <w:rPr>
          <w:rFonts w:ascii="Times New Roman" w:hAnsi="Times New Roman" w:cs="Times New Roman"/>
          <w:sz w:val="24"/>
          <w:szCs w:val="24"/>
        </w:rPr>
      </w:pPr>
    </w:p>
    <w:p w14:paraId="0BA64346" w14:textId="77777777" w:rsidR="001E28BB" w:rsidRPr="009A1944" w:rsidRDefault="001E28BB"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 xml:space="preserve">EXTERNAL AND INTERNAL AUDIT </w:t>
      </w:r>
    </w:p>
    <w:p w14:paraId="046F8F2D" w14:textId="77777777" w:rsidR="00186396" w:rsidRPr="00186396" w:rsidRDefault="00186396" w:rsidP="0003779A">
      <w:pPr>
        <w:spacing w:after="0" w:line="280" w:lineRule="exact"/>
        <w:jc w:val="both"/>
        <w:rPr>
          <w:rFonts w:ascii="Times New Roman" w:hAnsi="Times New Roman" w:cs="Times New Roman"/>
          <w:b/>
          <w:sz w:val="24"/>
          <w:szCs w:val="24"/>
        </w:rPr>
      </w:pPr>
    </w:p>
    <w:p w14:paraId="46D47469" w14:textId="49A0EBAD" w:rsidR="00186396" w:rsidRPr="00186396" w:rsidRDefault="00186396" w:rsidP="0003779A">
      <w:pPr>
        <w:pStyle w:val="Heading2"/>
        <w:numPr>
          <w:ilvl w:val="1"/>
          <w:numId w:val="18"/>
        </w:numPr>
        <w:spacing w:before="0"/>
        <w:jc w:val="both"/>
        <w:rPr>
          <w:rFonts w:ascii="Times New Roman" w:hAnsi="Times New Roman" w:cs="Times New Roman"/>
          <w:color w:val="auto"/>
          <w:sz w:val="24"/>
          <w:szCs w:val="24"/>
        </w:rPr>
      </w:pPr>
      <w:bookmarkStart w:id="1" w:name="_Toc526837262"/>
      <w:r w:rsidRPr="00186396">
        <w:rPr>
          <w:rFonts w:ascii="Times New Roman" w:hAnsi="Times New Roman" w:cs="Times New Roman"/>
          <w:color w:val="auto"/>
          <w:sz w:val="24"/>
          <w:szCs w:val="24"/>
        </w:rPr>
        <w:t>Report of the Auditor General of S</w:t>
      </w:r>
      <w:r w:rsidR="008742D7">
        <w:rPr>
          <w:rFonts w:ascii="Times New Roman" w:hAnsi="Times New Roman" w:cs="Times New Roman"/>
          <w:color w:val="auto"/>
          <w:sz w:val="24"/>
          <w:szCs w:val="24"/>
        </w:rPr>
        <w:t xml:space="preserve">outh </w:t>
      </w:r>
      <w:r w:rsidR="00601AB9" w:rsidRPr="00186396">
        <w:rPr>
          <w:rFonts w:ascii="Times New Roman" w:hAnsi="Times New Roman" w:cs="Times New Roman"/>
          <w:color w:val="auto"/>
          <w:sz w:val="24"/>
          <w:szCs w:val="24"/>
        </w:rPr>
        <w:t>A</w:t>
      </w:r>
      <w:r w:rsidR="00601AB9">
        <w:rPr>
          <w:rFonts w:ascii="Times New Roman" w:hAnsi="Times New Roman" w:cs="Times New Roman"/>
          <w:color w:val="auto"/>
          <w:sz w:val="24"/>
          <w:szCs w:val="24"/>
        </w:rPr>
        <w:t>frica</w:t>
      </w:r>
      <w:r w:rsidRPr="00186396">
        <w:rPr>
          <w:rFonts w:ascii="Times New Roman" w:hAnsi="Times New Roman" w:cs="Times New Roman"/>
          <w:color w:val="auto"/>
          <w:sz w:val="24"/>
          <w:szCs w:val="24"/>
        </w:rPr>
        <w:t xml:space="preserve"> (AGSA)</w:t>
      </w:r>
      <w:bookmarkEnd w:id="1"/>
    </w:p>
    <w:p w14:paraId="5F82A96C" w14:textId="17C2291C" w:rsidR="00186396" w:rsidRPr="00186396" w:rsidRDefault="00186396" w:rsidP="0003779A">
      <w:pPr>
        <w:pStyle w:val="Heading2"/>
        <w:spacing w:before="0"/>
        <w:jc w:val="both"/>
        <w:rPr>
          <w:rFonts w:ascii="Times New Roman" w:hAnsi="Times New Roman" w:cs="Times New Roman"/>
          <w:b w:val="0"/>
          <w:color w:val="auto"/>
          <w:sz w:val="24"/>
          <w:szCs w:val="24"/>
        </w:rPr>
      </w:pPr>
      <w:r w:rsidRPr="00186396">
        <w:rPr>
          <w:rFonts w:ascii="Times New Roman" w:hAnsi="Times New Roman" w:cs="Times New Roman"/>
          <w:color w:val="auto"/>
          <w:sz w:val="24"/>
          <w:szCs w:val="24"/>
        </w:rPr>
        <w:br/>
      </w:r>
      <w:r w:rsidRPr="00186396">
        <w:rPr>
          <w:rFonts w:ascii="Times New Roman" w:hAnsi="Times New Roman" w:cs="Times New Roman"/>
          <w:b w:val="0"/>
          <w:color w:val="auto"/>
          <w:sz w:val="24"/>
          <w:szCs w:val="24"/>
        </w:rPr>
        <w:t xml:space="preserve">The PSIRA received an unqualified audit opinion from the </w:t>
      </w:r>
      <w:r w:rsidR="00601AB9">
        <w:rPr>
          <w:rFonts w:ascii="Times New Roman" w:hAnsi="Times New Roman" w:cs="Times New Roman"/>
          <w:b w:val="0"/>
          <w:color w:val="auto"/>
          <w:sz w:val="24"/>
          <w:szCs w:val="24"/>
        </w:rPr>
        <w:t>AGSA</w:t>
      </w:r>
      <w:r w:rsidRPr="00186396">
        <w:rPr>
          <w:rFonts w:ascii="Times New Roman" w:hAnsi="Times New Roman" w:cs="Times New Roman"/>
          <w:b w:val="0"/>
          <w:color w:val="auto"/>
          <w:sz w:val="24"/>
          <w:szCs w:val="24"/>
        </w:rPr>
        <w:t xml:space="preserve"> with emphasis on matters and material findings on performance information. </w:t>
      </w:r>
    </w:p>
    <w:p w14:paraId="32AA86CD"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530235E5"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lastRenderedPageBreak/>
        <w:t xml:space="preserve">The AGSA identified a material uncertainty relating to PSIRA’s ability to continue as a going concern. The Authority incurred a net loss of R12 378 463 during the 2017/18 financial year and its current liabilities exceeded its current assets by R13 863 393. </w:t>
      </w:r>
    </w:p>
    <w:p w14:paraId="16DA80B7"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57889CE2"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Matters of emphasis include: </w:t>
      </w:r>
    </w:p>
    <w:p w14:paraId="2EF770FB"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65B60FB8" w14:textId="77777777" w:rsidR="00186396" w:rsidRPr="00186396" w:rsidRDefault="00186396" w:rsidP="0003779A">
      <w:pPr>
        <w:pStyle w:val="ListParagraph"/>
        <w:numPr>
          <w:ilvl w:val="0"/>
          <w:numId w:val="17"/>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bCs/>
          <w:sz w:val="24"/>
          <w:szCs w:val="24"/>
        </w:rPr>
        <w:t xml:space="preserve">Material impairments: </w:t>
      </w:r>
      <w:r w:rsidRPr="00186396">
        <w:rPr>
          <w:rFonts w:ascii="Times New Roman" w:hAnsi="Times New Roman" w:cs="Times New Roman"/>
          <w:sz w:val="24"/>
          <w:szCs w:val="24"/>
        </w:rPr>
        <w:t>Provision for impairment to the amount of R55 768 534 (2017: R44 389 024) was raised on trade debtors, as a result of uncertainty regarding the recovery of the amounts due. This has been a repeat matter of emphasis since 2015.</w:t>
      </w:r>
    </w:p>
    <w:p w14:paraId="1485EB13"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7097FA96" w14:textId="77777777" w:rsidR="00186396" w:rsidRPr="00186396" w:rsidRDefault="00186396" w:rsidP="0003779A">
      <w:pPr>
        <w:pStyle w:val="ListParagraph"/>
        <w:numPr>
          <w:ilvl w:val="0"/>
          <w:numId w:val="17"/>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bCs/>
          <w:sz w:val="24"/>
          <w:szCs w:val="24"/>
        </w:rPr>
        <w:t xml:space="preserve">Uncertainty relating to the future outcome of exceptional litigation: </w:t>
      </w:r>
      <w:r w:rsidRPr="00186396">
        <w:rPr>
          <w:rFonts w:ascii="Times New Roman" w:hAnsi="Times New Roman" w:cs="Times New Roman"/>
          <w:sz w:val="24"/>
          <w:szCs w:val="24"/>
        </w:rPr>
        <w:t xml:space="preserve">PSIRA is the defendant in a number of legal actions and these cases are yet to be brought before the court. The ultimate outcome of the matter could not be determined and no provision for any liability that may result was made in the financial statements. </w:t>
      </w:r>
    </w:p>
    <w:p w14:paraId="11753FA9" w14:textId="77777777" w:rsidR="00186396" w:rsidRPr="00186396" w:rsidRDefault="00186396" w:rsidP="0003779A">
      <w:pPr>
        <w:pStyle w:val="Heading2"/>
        <w:spacing w:before="0"/>
        <w:jc w:val="both"/>
        <w:rPr>
          <w:rFonts w:ascii="Times New Roman" w:hAnsi="Times New Roman" w:cs="Times New Roman"/>
          <w:b w:val="0"/>
          <w:color w:val="auto"/>
          <w:sz w:val="24"/>
          <w:szCs w:val="24"/>
        </w:rPr>
      </w:pPr>
    </w:p>
    <w:p w14:paraId="5A17F0EA"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AGSA evaluated the usefulness and reliability of the reported performance information in accordance with the criteria developed from the performance management and reporting framework, as defined in the general notice, for the following selected programmes presented in the annual performance report of PSIRA for the 2017/18 financial year: </w:t>
      </w:r>
    </w:p>
    <w:p w14:paraId="63821586"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1080B1B0" w14:textId="77777777" w:rsidR="00186396" w:rsidRPr="00186396" w:rsidRDefault="00186396" w:rsidP="0003779A">
      <w:pPr>
        <w:pStyle w:val="ListParagraph"/>
        <w:numPr>
          <w:ilvl w:val="0"/>
          <w:numId w:val="15"/>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Communications, Registration (CRM) and Training Programme: The AGSA made a material finding on the following indicator performance target: </w:t>
      </w:r>
    </w:p>
    <w:p w14:paraId="342D7804" w14:textId="77777777" w:rsidR="00186396" w:rsidRPr="00186396" w:rsidRDefault="00186396" w:rsidP="0003779A">
      <w:pPr>
        <w:pStyle w:val="ListParagraph"/>
        <w:numPr>
          <w:ilvl w:val="0"/>
          <w:numId w:val="12"/>
        </w:numPr>
        <w:autoSpaceDE w:val="0"/>
        <w:autoSpaceDN w:val="0"/>
        <w:adjustRightInd w:val="0"/>
        <w:spacing w:after="0" w:line="280" w:lineRule="exact"/>
        <w:jc w:val="both"/>
        <w:rPr>
          <w:rFonts w:ascii="Times New Roman" w:hAnsi="Times New Roman" w:cs="Times New Roman"/>
          <w:iCs/>
          <w:sz w:val="24"/>
          <w:szCs w:val="24"/>
        </w:rPr>
      </w:pPr>
      <w:r w:rsidRPr="00186396">
        <w:rPr>
          <w:rFonts w:ascii="Times New Roman" w:hAnsi="Times New Roman" w:cs="Times New Roman"/>
          <w:sz w:val="24"/>
          <w:szCs w:val="24"/>
        </w:rPr>
        <w:t xml:space="preserve">Sufficient and appropriate audit evidence could not be obtained for the reported achievement on the performance </w:t>
      </w:r>
      <w:r w:rsidRPr="00186396">
        <w:rPr>
          <w:rFonts w:ascii="Times New Roman" w:hAnsi="Times New Roman" w:cs="Times New Roman"/>
          <w:iCs/>
          <w:sz w:val="24"/>
          <w:szCs w:val="24"/>
        </w:rPr>
        <w:t xml:space="preserve">indicator measuring the average turnaround time of applications for registration that meets all the requirements for security businesses (working days). </w:t>
      </w:r>
    </w:p>
    <w:p w14:paraId="4F620B71"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7F5DCDA8"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In terms of compliance with applicable legislation regarding financial matters, financial management and other related matters, the AGSA made the following material findings:</w:t>
      </w:r>
    </w:p>
    <w:p w14:paraId="4CA79D8B"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bCs/>
          <w:sz w:val="24"/>
          <w:szCs w:val="24"/>
        </w:rPr>
      </w:pPr>
    </w:p>
    <w:p w14:paraId="5553AC8B" w14:textId="77777777" w:rsidR="00186396" w:rsidRPr="00186396" w:rsidRDefault="00186396" w:rsidP="0003779A">
      <w:pPr>
        <w:pStyle w:val="ListParagraph"/>
        <w:numPr>
          <w:ilvl w:val="0"/>
          <w:numId w:val="14"/>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Fruitless and wasteful expenditure: Effective steps were not taken to prevent fruitless and wasteful expenditure amounting to R216 428 as disclosed in note 20 to the annual financial statements, in contravention of section 51(1) (b) (ii) of the PFMA.</w:t>
      </w:r>
    </w:p>
    <w:p w14:paraId="060F428A" w14:textId="77777777" w:rsidR="00186396" w:rsidRPr="00186396" w:rsidRDefault="00186396" w:rsidP="0003779A">
      <w:pPr>
        <w:pStyle w:val="ListParagraph"/>
        <w:numPr>
          <w:ilvl w:val="0"/>
          <w:numId w:val="14"/>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Revenue: Adequate, effective and appropriate steps were not taken to collect money due, as required by section 51(1) (b) (</w:t>
      </w:r>
      <w:proofErr w:type="spellStart"/>
      <w:r w:rsidRPr="00186396">
        <w:rPr>
          <w:rFonts w:ascii="Times New Roman" w:hAnsi="Times New Roman" w:cs="Times New Roman"/>
          <w:sz w:val="24"/>
          <w:szCs w:val="24"/>
        </w:rPr>
        <w:t>i</w:t>
      </w:r>
      <w:proofErr w:type="spellEnd"/>
      <w:r w:rsidRPr="00186396">
        <w:rPr>
          <w:rFonts w:ascii="Times New Roman" w:hAnsi="Times New Roman" w:cs="Times New Roman"/>
          <w:sz w:val="24"/>
          <w:szCs w:val="24"/>
        </w:rPr>
        <w:t xml:space="preserve">) of the PFMA and Treasury Regulation 31.1.2(a) and (e). This is a repeat finding of the AGSA. </w:t>
      </w:r>
    </w:p>
    <w:p w14:paraId="12786D25"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bCs/>
          <w:sz w:val="24"/>
          <w:szCs w:val="24"/>
        </w:rPr>
      </w:pPr>
    </w:p>
    <w:p w14:paraId="30FFE315" w14:textId="77777777" w:rsidR="00186396" w:rsidRPr="00186396" w:rsidRDefault="00186396"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AGSA identified the following internal control deficiencies: </w:t>
      </w:r>
    </w:p>
    <w:p w14:paraId="63B770C6" w14:textId="77777777" w:rsidR="00186396" w:rsidRPr="00186396" w:rsidRDefault="00186396" w:rsidP="0003779A">
      <w:pPr>
        <w:spacing w:after="0" w:line="280" w:lineRule="exact"/>
        <w:jc w:val="both"/>
        <w:rPr>
          <w:rFonts w:ascii="Times New Roman" w:hAnsi="Times New Roman" w:cs="Times New Roman"/>
          <w:sz w:val="24"/>
          <w:szCs w:val="24"/>
        </w:rPr>
      </w:pPr>
    </w:p>
    <w:p w14:paraId="0F6E3519" w14:textId="77777777" w:rsidR="00186396" w:rsidRPr="00186396" w:rsidRDefault="00186396"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In terms of leadership, the PSIRA Council (Accounting Authority) did not: </w:t>
      </w:r>
    </w:p>
    <w:p w14:paraId="11F7B968" w14:textId="77777777" w:rsidR="00186396" w:rsidRPr="00186396" w:rsidRDefault="00186396" w:rsidP="0003779A">
      <w:pPr>
        <w:pStyle w:val="ListParagraph"/>
        <w:numPr>
          <w:ilvl w:val="0"/>
          <w:numId w:val="16"/>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Adequately review the annual performance report for accurate and complete reporting prior to submission for audit purposes and as a result contained numerous misstatements. This was mainly due to insufficient systems and processes that were not in place to provide adequate accurate, valid and complete audit evidence.</w:t>
      </w:r>
    </w:p>
    <w:p w14:paraId="67907C88" w14:textId="77777777" w:rsidR="00186396" w:rsidRPr="00186396" w:rsidRDefault="00186396" w:rsidP="0003779A">
      <w:pPr>
        <w:pStyle w:val="ListParagraph"/>
        <w:numPr>
          <w:ilvl w:val="0"/>
          <w:numId w:val="16"/>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Exercise adequate oversight responsibility regarding performance reporting and compliance as well as related internal controls.</w:t>
      </w:r>
    </w:p>
    <w:p w14:paraId="2D065EA0" w14:textId="77777777" w:rsidR="00186396" w:rsidRPr="00186396" w:rsidRDefault="00186396" w:rsidP="0003779A">
      <w:pPr>
        <w:pStyle w:val="ListParagraph"/>
        <w:numPr>
          <w:ilvl w:val="0"/>
          <w:numId w:val="16"/>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Monitor the implementation of the audit action plan developed to ensure that internal control deficiencies identified in the prior years were addressed.</w:t>
      </w:r>
    </w:p>
    <w:p w14:paraId="6868E535"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1B2E0E3A"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lastRenderedPageBreak/>
        <w:t>It should be noted that although the Council oversees the system of internal control within PSIRA, the implementation of these systems rests with the Executive Management.</w:t>
      </w:r>
    </w:p>
    <w:p w14:paraId="50E49718"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6C854D41"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bCs/>
          <w:sz w:val="24"/>
          <w:szCs w:val="24"/>
        </w:rPr>
      </w:pPr>
      <w:r w:rsidRPr="00186396">
        <w:rPr>
          <w:rFonts w:ascii="Times New Roman" w:hAnsi="Times New Roman" w:cs="Times New Roman"/>
          <w:bCs/>
          <w:sz w:val="24"/>
          <w:szCs w:val="24"/>
        </w:rPr>
        <w:t>In terms of financial and performance management, PSIRA did not:</w:t>
      </w:r>
    </w:p>
    <w:p w14:paraId="50F1B923" w14:textId="77777777" w:rsidR="00186396" w:rsidRPr="00186396" w:rsidRDefault="00186396" w:rsidP="0003779A">
      <w:pPr>
        <w:pStyle w:val="ListParagraph"/>
        <w:numPr>
          <w:ilvl w:val="0"/>
          <w:numId w:val="13"/>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Have a proper record management system to maintain information that supported the reported performance in the annual performance report. This included information that related to the collection, collation, verification, storing and reporting of actual performance information.</w:t>
      </w:r>
    </w:p>
    <w:p w14:paraId="64585DBD" w14:textId="77777777" w:rsidR="00186396" w:rsidRPr="00186396" w:rsidRDefault="00186396" w:rsidP="0003779A">
      <w:pPr>
        <w:pStyle w:val="ListParagraph"/>
        <w:numPr>
          <w:ilvl w:val="0"/>
          <w:numId w:val="13"/>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Implement proper record keeping in a timely manner to ensure that complete, relevant and accurate information is accessible and available to support performance reporting.</w:t>
      </w:r>
    </w:p>
    <w:p w14:paraId="2D10F653" w14:textId="77777777" w:rsidR="00186396" w:rsidRPr="00186396" w:rsidRDefault="00186396" w:rsidP="0003779A">
      <w:pPr>
        <w:pStyle w:val="ListParagraph"/>
        <w:numPr>
          <w:ilvl w:val="0"/>
          <w:numId w:val="13"/>
        </w:num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Have effective processes in place to prevent non-compliance with laws and regulations in respect of fruitless and wasteful expenditure. Non-compliance could have been prevented had compliance been properly reviewed and monitored.</w:t>
      </w:r>
    </w:p>
    <w:p w14:paraId="7EC69FBF"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24EB5B2C" w14:textId="77777777" w:rsidR="00186396" w:rsidRPr="00186396" w:rsidRDefault="00186396" w:rsidP="0003779A">
      <w:pPr>
        <w:pStyle w:val="Heading2"/>
        <w:numPr>
          <w:ilvl w:val="1"/>
          <w:numId w:val="18"/>
        </w:numPr>
        <w:spacing w:before="0"/>
        <w:jc w:val="both"/>
        <w:rPr>
          <w:rFonts w:ascii="Times New Roman" w:hAnsi="Times New Roman" w:cs="Times New Roman"/>
          <w:color w:val="auto"/>
          <w:sz w:val="24"/>
          <w:szCs w:val="24"/>
        </w:rPr>
      </w:pPr>
      <w:bookmarkStart w:id="2" w:name="_Toc526837263"/>
      <w:r w:rsidRPr="00186396">
        <w:rPr>
          <w:rFonts w:ascii="Times New Roman" w:hAnsi="Times New Roman" w:cs="Times New Roman"/>
          <w:color w:val="auto"/>
          <w:sz w:val="24"/>
          <w:szCs w:val="24"/>
        </w:rPr>
        <w:t>Report of the Audit and Risk Committee</w:t>
      </w:r>
      <w:bookmarkEnd w:id="2"/>
      <w:r w:rsidRPr="00186396">
        <w:rPr>
          <w:rFonts w:ascii="Times New Roman" w:hAnsi="Times New Roman" w:cs="Times New Roman"/>
          <w:color w:val="auto"/>
          <w:sz w:val="24"/>
          <w:szCs w:val="24"/>
        </w:rPr>
        <w:t xml:space="preserve"> </w:t>
      </w:r>
    </w:p>
    <w:p w14:paraId="74157954"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76DC7D41" w14:textId="21663F33"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Audit Committee noted the concerns raised by the AGSA in terms of a ‘going concern’ risk. However, 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Committee established that the main reason for the deficit were the significant amount of the debt provision which resulted from 8% under collection of revenue targets together with 10% over expenditure on operations.</w:t>
      </w:r>
    </w:p>
    <w:p w14:paraId="03BE1CA1"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2F5D0343" w14:textId="24710E9C"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 xml:space="preserve">Committee noted that the current Annual Fee Funding model had reached its lifespan and needs to be reviewed by introducing the Private Security Industry Levies Act, 2002, through a proclamation by the President. 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 xml:space="preserve">Committee was presented with a turnaround strategy by Management on how the finances of the entity would be improved in the next 12 months, including the </w:t>
      </w:r>
      <w:r w:rsidR="00F77B1F">
        <w:rPr>
          <w:rFonts w:ascii="Times New Roman" w:hAnsi="Times New Roman" w:cs="Times New Roman"/>
          <w:sz w:val="24"/>
          <w:szCs w:val="24"/>
        </w:rPr>
        <w:t xml:space="preserve">commencement </w:t>
      </w:r>
      <w:r w:rsidRPr="00186396">
        <w:rPr>
          <w:rFonts w:ascii="Times New Roman" w:hAnsi="Times New Roman" w:cs="Times New Roman"/>
          <w:sz w:val="24"/>
          <w:szCs w:val="24"/>
        </w:rPr>
        <w:t xml:space="preserve">of the Private Security Industry Levies Act, 2002 in the 2019/20 financial year. 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Committee expressed confidence that the strategy, if implemented properly, would yield the desired results.</w:t>
      </w:r>
    </w:p>
    <w:p w14:paraId="1E52F2B7"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6F3613FE"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Audit Committee indicated that Internal Audit was robust in the review of Management’s turnaround strategy to improve the “Going Concern” status of the entity. The Committee indicated that it was adequately assured that, when implemented properly, the objectives as per the strategy would turnaround the entity.</w:t>
      </w:r>
    </w:p>
    <w:p w14:paraId="08A9FC5A"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7C42AC95"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Internal Audit revealed certain weaknesses, which were then raised with the Management of the entity. An Internal Audit Action plan was developed by Management to resolve the findings. The Audit Committee reported that it is satisfied with the progress made in this regard to enhance the effectiveness of the internal control environment.</w:t>
      </w:r>
    </w:p>
    <w:p w14:paraId="24E3D08F"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52C4BE50" w14:textId="0528C8D5"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Committee monitored the risks faced by PSIRA as contained in the Authority’s Strategic Risk Regi</w:t>
      </w:r>
      <w:r w:rsidR="00F77B1F">
        <w:rPr>
          <w:rFonts w:ascii="Times New Roman" w:hAnsi="Times New Roman" w:cs="Times New Roman"/>
          <w:sz w:val="24"/>
          <w:szCs w:val="24"/>
        </w:rPr>
        <w:t>ster and expressed its satisfaction</w:t>
      </w:r>
      <w:r w:rsidRPr="00186396">
        <w:rPr>
          <w:rFonts w:ascii="Times New Roman" w:hAnsi="Times New Roman" w:cs="Times New Roman"/>
          <w:sz w:val="24"/>
          <w:szCs w:val="24"/>
        </w:rPr>
        <w:t xml:space="preserve"> with progress made by Management in implementing the controls to mitigate the risks to acceptable residual risk ratings. This excludes the financial sustainability risk which had since materialised in the</w:t>
      </w:r>
      <w:r w:rsidR="00F77B1F">
        <w:rPr>
          <w:rFonts w:ascii="Times New Roman" w:hAnsi="Times New Roman" w:cs="Times New Roman"/>
          <w:sz w:val="24"/>
          <w:szCs w:val="24"/>
        </w:rPr>
        <w:t xml:space="preserve"> </w:t>
      </w:r>
      <w:r w:rsidRPr="00186396">
        <w:rPr>
          <w:rFonts w:ascii="Times New Roman" w:hAnsi="Times New Roman" w:cs="Times New Roman"/>
          <w:sz w:val="24"/>
          <w:szCs w:val="24"/>
        </w:rPr>
        <w:t xml:space="preserve">2017/18 financial year. </w:t>
      </w:r>
    </w:p>
    <w:p w14:paraId="60C5DE06"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21E379A7" w14:textId="6541CFCB"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w:t>
      </w:r>
      <w:r w:rsidR="00601AB9">
        <w:rPr>
          <w:rFonts w:ascii="Times New Roman" w:hAnsi="Times New Roman" w:cs="Times New Roman"/>
          <w:sz w:val="24"/>
          <w:szCs w:val="24"/>
        </w:rPr>
        <w:t xml:space="preserve">Audit </w:t>
      </w:r>
      <w:r w:rsidRPr="00186396">
        <w:rPr>
          <w:rFonts w:ascii="Times New Roman" w:hAnsi="Times New Roman" w:cs="Times New Roman"/>
          <w:sz w:val="24"/>
          <w:szCs w:val="24"/>
        </w:rPr>
        <w:t xml:space="preserve">Committee reviewed the governance processes and reported that it is satisfied that the Audit Action plan from the governance and compliance review and audits is being implemented and continually reviewed in line with applicable prescripts, including the </w:t>
      </w:r>
      <w:r w:rsidR="00601AB9">
        <w:rPr>
          <w:rFonts w:ascii="Times New Roman" w:hAnsi="Times New Roman" w:cs="Times New Roman"/>
          <w:sz w:val="24"/>
          <w:szCs w:val="24"/>
        </w:rPr>
        <w:t>Information Communication Technology (</w:t>
      </w:r>
      <w:r w:rsidRPr="00186396">
        <w:rPr>
          <w:rFonts w:ascii="Times New Roman" w:hAnsi="Times New Roman" w:cs="Times New Roman"/>
          <w:sz w:val="24"/>
          <w:szCs w:val="24"/>
        </w:rPr>
        <w:t>ICT</w:t>
      </w:r>
      <w:r w:rsidR="00601AB9">
        <w:rPr>
          <w:rFonts w:ascii="Times New Roman" w:hAnsi="Times New Roman" w:cs="Times New Roman"/>
          <w:sz w:val="24"/>
          <w:szCs w:val="24"/>
        </w:rPr>
        <w:t>)</w:t>
      </w:r>
      <w:r w:rsidRPr="00186396">
        <w:rPr>
          <w:rFonts w:ascii="Times New Roman" w:hAnsi="Times New Roman" w:cs="Times New Roman"/>
          <w:sz w:val="24"/>
          <w:szCs w:val="24"/>
        </w:rPr>
        <w:t xml:space="preserve"> Governance Framework requirements. </w:t>
      </w:r>
    </w:p>
    <w:p w14:paraId="2EBEBD9B"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667CB727"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Internal Audit function of the Authority is outsourced to </w:t>
      </w:r>
      <w:proofErr w:type="spellStart"/>
      <w:r w:rsidRPr="00186396">
        <w:rPr>
          <w:rFonts w:ascii="Times New Roman" w:hAnsi="Times New Roman" w:cs="Times New Roman"/>
          <w:sz w:val="24"/>
          <w:szCs w:val="24"/>
        </w:rPr>
        <w:t>Nexia</w:t>
      </w:r>
      <w:proofErr w:type="spellEnd"/>
      <w:r w:rsidRPr="00186396">
        <w:rPr>
          <w:rFonts w:ascii="Times New Roman" w:hAnsi="Times New Roman" w:cs="Times New Roman"/>
          <w:sz w:val="24"/>
          <w:szCs w:val="24"/>
        </w:rPr>
        <w:t xml:space="preserve"> SAB&amp;T. The Authority reported that the Audit Plan was fully executed and audit reports submitted to the Audit and Risk Committee for review monitoring of the implementation of the management Audit Action Plan to ensure that the raised audit findings, including the AGSA’s findings in the previous financial year, were addressed and resolved by Management.</w:t>
      </w:r>
    </w:p>
    <w:p w14:paraId="598B36D2"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p>
    <w:p w14:paraId="4CC30675" w14:textId="77777777" w:rsidR="00186396" w:rsidRPr="00186396" w:rsidRDefault="00186396" w:rsidP="0003779A">
      <w:pPr>
        <w:autoSpaceDE w:val="0"/>
        <w:autoSpaceDN w:val="0"/>
        <w:adjustRightInd w:val="0"/>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Internal Audit function operates under the oversight monitoring and assessment of the Council’s Audit and Risk Committee.</w:t>
      </w:r>
    </w:p>
    <w:p w14:paraId="70DB8D1E" w14:textId="77777777" w:rsidR="006B5C77" w:rsidRPr="00186396" w:rsidRDefault="006B5C77" w:rsidP="0003779A">
      <w:pPr>
        <w:spacing w:after="0" w:line="280" w:lineRule="exact"/>
        <w:jc w:val="both"/>
        <w:rPr>
          <w:rFonts w:ascii="Times New Roman" w:hAnsi="Times New Roman" w:cs="Times New Roman"/>
          <w:sz w:val="24"/>
          <w:szCs w:val="24"/>
        </w:rPr>
      </w:pPr>
    </w:p>
    <w:p w14:paraId="31C1B734" w14:textId="77777777" w:rsidR="006B5C77" w:rsidRDefault="006B5C77"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FINANCIAL OVERVIEW 2017/18</w:t>
      </w:r>
    </w:p>
    <w:p w14:paraId="6F9E10BE" w14:textId="77777777" w:rsidR="009A1944" w:rsidRPr="009A1944" w:rsidRDefault="009A1944" w:rsidP="0003779A">
      <w:pPr>
        <w:pStyle w:val="ListParagraph"/>
        <w:spacing w:after="0" w:line="280" w:lineRule="exact"/>
        <w:ind w:left="360"/>
        <w:jc w:val="both"/>
        <w:rPr>
          <w:rFonts w:ascii="Times New Roman" w:hAnsi="Times New Roman" w:cs="Times New Roman"/>
          <w:b/>
          <w:sz w:val="24"/>
          <w:szCs w:val="24"/>
        </w:rPr>
      </w:pPr>
    </w:p>
    <w:p w14:paraId="1DF53479" w14:textId="77777777" w:rsidR="006B5C77" w:rsidRPr="009A1944" w:rsidRDefault="006B5C77" w:rsidP="0003779A">
      <w:pPr>
        <w:pStyle w:val="ListParagraph"/>
        <w:numPr>
          <w:ilvl w:val="1"/>
          <w:numId w:val="18"/>
        </w:numPr>
        <w:spacing w:after="0" w:line="280" w:lineRule="exact"/>
        <w:jc w:val="both"/>
        <w:rPr>
          <w:rFonts w:ascii="Times New Roman" w:hAnsi="Times New Roman" w:cs="Times New Roman"/>
          <w:sz w:val="24"/>
          <w:szCs w:val="24"/>
        </w:rPr>
      </w:pPr>
      <w:r w:rsidRPr="009A1944">
        <w:rPr>
          <w:rFonts w:ascii="Times New Roman" w:hAnsi="Times New Roman" w:cs="Times New Roman"/>
          <w:b/>
          <w:sz w:val="24"/>
          <w:szCs w:val="24"/>
        </w:rPr>
        <w:t>Statement of financial performance</w:t>
      </w:r>
      <w:r w:rsidRPr="009A1944">
        <w:rPr>
          <w:rFonts w:ascii="Times New Roman" w:hAnsi="Times New Roman" w:cs="Times New Roman"/>
          <w:sz w:val="24"/>
          <w:szCs w:val="24"/>
        </w:rPr>
        <w:t xml:space="preserve"> </w:t>
      </w:r>
    </w:p>
    <w:p w14:paraId="62EACBB7" w14:textId="77777777" w:rsidR="006B5C77" w:rsidRPr="00186396" w:rsidRDefault="006B5C77" w:rsidP="0003779A">
      <w:pPr>
        <w:spacing w:after="0" w:line="280" w:lineRule="exact"/>
        <w:jc w:val="both"/>
        <w:rPr>
          <w:rFonts w:ascii="Times New Roman" w:hAnsi="Times New Roman" w:cs="Times New Roman"/>
          <w:sz w:val="24"/>
          <w:szCs w:val="24"/>
        </w:rPr>
      </w:pPr>
    </w:p>
    <w:p w14:paraId="64960970" w14:textId="77777777" w:rsidR="006B5C77" w:rsidRPr="00186396" w:rsidRDefault="006B5C77"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During the year under review, the Authority collected R240.9 million (R240 893 230) in revenue, which is a 10% increase compared to the previous financial year (R218 032 940.00). However, the AGSA stated that adequate, effective and appropriate steps were not taken to collect money due, as required by section 51(1)(b)(</w:t>
      </w:r>
      <w:proofErr w:type="spellStart"/>
      <w:r w:rsidRPr="00186396">
        <w:rPr>
          <w:rFonts w:ascii="Times New Roman" w:hAnsi="Times New Roman" w:cs="Times New Roman"/>
          <w:sz w:val="24"/>
          <w:szCs w:val="24"/>
        </w:rPr>
        <w:t>i</w:t>
      </w:r>
      <w:proofErr w:type="spellEnd"/>
      <w:r w:rsidRPr="00186396">
        <w:rPr>
          <w:rFonts w:ascii="Times New Roman" w:hAnsi="Times New Roman" w:cs="Times New Roman"/>
          <w:sz w:val="24"/>
          <w:szCs w:val="24"/>
        </w:rPr>
        <w:t xml:space="preserve">) of the PFMA relating to the general responsibilities of the accounting authorities and Treasury Regulations 31.1.2(a) and (e). The overall increase in revenue was mainly due to an 87% (R8.8 million) increase in the sale of goods (ID cards and certificates issued to security providers). The increase is also due to the annual revision of annual fees payable by security service providers. </w:t>
      </w:r>
    </w:p>
    <w:p w14:paraId="6AF50558" w14:textId="77777777" w:rsidR="006B5C77" w:rsidRPr="00186396" w:rsidRDefault="006B5C77" w:rsidP="0003779A">
      <w:pPr>
        <w:spacing w:after="0" w:line="280" w:lineRule="exact"/>
        <w:jc w:val="both"/>
        <w:rPr>
          <w:rFonts w:ascii="Times New Roman" w:hAnsi="Times New Roman" w:cs="Times New Roman"/>
          <w:sz w:val="24"/>
          <w:szCs w:val="24"/>
        </w:rPr>
      </w:pPr>
    </w:p>
    <w:p w14:paraId="54DB043E" w14:textId="77777777" w:rsidR="006B5C77" w:rsidRPr="00186396" w:rsidRDefault="006B5C77"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surplus fund of the Authority decreased drastically from R31.1 million in 2015/16, to R6.6 in 2016/17 and a net loss of R12.4 million in 2017/18. </w:t>
      </w:r>
    </w:p>
    <w:p w14:paraId="713EA15A" w14:textId="77777777" w:rsidR="006B5C77" w:rsidRPr="00186396" w:rsidRDefault="006B5C77" w:rsidP="0003779A">
      <w:pPr>
        <w:spacing w:after="0" w:line="280" w:lineRule="exact"/>
        <w:jc w:val="both"/>
        <w:rPr>
          <w:rFonts w:ascii="Times New Roman" w:hAnsi="Times New Roman" w:cs="Times New Roman"/>
          <w:sz w:val="24"/>
          <w:szCs w:val="24"/>
        </w:rPr>
      </w:pPr>
    </w:p>
    <w:p w14:paraId="0AC0E9F1" w14:textId="61E05D93" w:rsidR="006B5C77" w:rsidRPr="00186396" w:rsidRDefault="006B5C77"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increase in expenditure was mainly due to </w:t>
      </w:r>
      <w:r w:rsidR="00601AB9">
        <w:rPr>
          <w:rFonts w:ascii="Times New Roman" w:hAnsi="Times New Roman" w:cs="Times New Roman"/>
          <w:sz w:val="24"/>
          <w:szCs w:val="24"/>
        </w:rPr>
        <w:t xml:space="preserve">an increase of </w:t>
      </w:r>
      <w:r w:rsidRPr="00186396">
        <w:rPr>
          <w:rFonts w:ascii="Times New Roman" w:hAnsi="Times New Roman" w:cs="Times New Roman"/>
          <w:sz w:val="24"/>
          <w:szCs w:val="24"/>
        </w:rPr>
        <w:t>66% (R10 million) in bad debt provision emanating from failure by security businesses to pay their annual fees and an increase of 15% in operating expenditure. This resulted in PSIRA posting a net deficit of R12 million for the period under review.</w:t>
      </w:r>
    </w:p>
    <w:p w14:paraId="25DB79ED" w14:textId="77777777" w:rsidR="00186396" w:rsidRPr="00186396" w:rsidRDefault="00186396" w:rsidP="0003779A">
      <w:pPr>
        <w:spacing w:after="0" w:line="280" w:lineRule="exact"/>
        <w:jc w:val="both"/>
        <w:rPr>
          <w:rFonts w:ascii="Times New Roman" w:hAnsi="Times New Roman" w:cs="Times New Roman"/>
          <w:sz w:val="24"/>
          <w:szCs w:val="24"/>
        </w:rPr>
      </w:pPr>
    </w:p>
    <w:p w14:paraId="6FE1357D" w14:textId="77777777" w:rsidR="006B5C77" w:rsidRPr="00186396" w:rsidRDefault="006B5C77"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net deficit recorded for 2017/18 pushed the Authority to implement the Private Security Industry Levies Act, 2002 to address and eliminate the going concern challenges. It is believed that the levies funding model will bring a balanced and equitable contribution from all service providers.</w:t>
      </w:r>
    </w:p>
    <w:p w14:paraId="2DCDE5B0" w14:textId="77777777" w:rsidR="00186396" w:rsidRPr="00186396" w:rsidRDefault="00186396" w:rsidP="0003779A">
      <w:pPr>
        <w:spacing w:after="0" w:line="280" w:lineRule="exact"/>
        <w:jc w:val="both"/>
        <w:rPr>
          <w:rFonts w:ascii="Times New Roman" w:hAnsi="Times New Roman" w:cs="Times New Roman"/>
          <w:sz w:val="24"/>
          <w:szCs w:val="24"/>
        </w:rPr>
      </w:pPr>
    </w:p>
    <w:p w14:paraId="4EF14C5B" w14:textId="77777777" w:rsidR="006B5C77" w:rsidRPr="00186396" w:rsidRDefault="006B5C77"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table below provides a breakdown of the Authority’s financial performance in 2017/18 compared to the previous financial year.</w:t>
      </w:r>
    </w:p>
    <w:p w14:paraId="1A0B1A79" w14:textId="77777777" w:rsidR="00600B49" w:rsidRPr="00186396" w:rsidRDefault="00600B49" w:rsidP="0003779A">
      <w:pPr>
        <w:spacing w:after="0" w:line="280" w:lineRule="exact"/>
        <w:jc w:val="both"/>
        <w:rPr>
          <w:rFonts w:ascii="Times New Roman" w:hAnsi="Times New Roman" w:cs="Times New Roman"/>
          <w:sz w:val="24"/>
          <w:szCs w:val="24"/>
        </w:rPr>
      </w:pPr>
    </w:p>
    <w:p w14:paraId="37035E83" w14:textId="77777777" w:rsidR="00186396" w:rsidRPr="00186396" w:rsidRDefault="00600B49" w:rsidP="0003779A">
      <w:pPr>
        <w:spacing w:after="0" w:line="280" w:lineRule="exact"/>
        <w:jc w:val="both"/>
        <w:rPr>
          <w:rFonts w:ascii="Times New Roman" w:hAnsi="Times New Roman" w:cs="Times New Roman"/>
          <w:b/>
          <w:sz w:val="24"/>
          <w:szCs w:val="24"/>
        </w:rPr>
      </w:pPr>
      <w:r w:rsidRPr="00186396">
        <w:rPr>
          <w:rFonts w:ascii="Times New Roman" w:hAnsi="Times New Roman" w:cs="Times New Roman"/>
          <w:b/>
          <w:sz w:val="24"/>
          <w:szCs w:val="24"/>
        </w:rPr>
        <w:t>Table 1: Statement of Financial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791"/>
      </w:tblGrid>
      <w:tr w:rsidR="00186396" w:rsidRPr="00186396" w14:paraId="62A266F8" w14:textId="77777777" w:rsidTr="00186396">
        <w:trPr>
          <w:trHeight w:val="414"/>
          <w:tblHeader/>
        </w:trPr>
        <w:tc>
          <w:tcPr>
            <w:tcW w:w="5098" w:type="dxa"/>
            <w:shd w:val="clear" w:color="auto" w:fill="E7E6E6" w:themeFill="background2"/>
            <w:vAlign w:val="center"/>
          </w:tcPr>
          <w:p w14:paraId="174D972B"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Financial year</w:t>
            </w:r>
          </w:p>
        </w:tc>
        <w:tc>
          <w:tcPr>
            <w:tcW w:w="2127" w:type="dxa"/>
            <w:shd w:val="clear" w:color="auto" w:fill="E7E6E6" w:themeFill="background2"/>
            <w:vAlign w:val="center"/>
          </w:tcPr>
          <w:p w14:paraId="16ACFC5A" w14:textId="77777777" w:rsidR="00186396" w:rsidRPr="00186396" w:rsidRDefault="00186396" w:rsidP="0003779A">
            <w:pPr>
              <w:autoSpaceDE w:val="0"/>
              <w:autoSpaceDN w:val="0"/>
              <w:adjustRightInd w:val="0"/>
              <w:spacing w:after="0" w:line="280" w:lineRule="exact"/>
              <w:jc w:val="center"/>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2016/17</w:t>
            </w:r>
          </w:p>
        </w:tc>
        <w:tc>
          <w:tcPr>
            <w:tcW w:w="1791" w:type="dxa"/>
            <w:shd w:val="clear" w:color="auto" w:fill="E7E6E6" w:themeFill="background2"/>
            <w:vAlign w:val="center"/>
          </w:tcPr>
          <w:p w14:paraId="0559D739" w14:textId="77777777" w:rsidR="00186396" w:rsidRPr="00186396" w:rsidRDefault="00186396" w:rsidP="0003779A">
            <w:pPr>
              <w:autoSpaceDE w:val="0"/>
              <w:autoSpaceDN w:val="0"/>
              <w:adjustRightInd w:val="0"/>
              <w:spacing w:after="0" w:line="280" w:lineRule="exact"/>
              <w:jc w:val="center"/>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2017/18</w:t>
            </w:r>
          </w:p>
        </w:tc>
      </w:tr>
      <w:tr w:rsidR="00186396" w:rsidRPr="00186396" w14:paraId="61BBD2F6" w14:textId="77777777" w:rsidTr="00186396">
        <w:trPr>
          <w:trHeight w:val="414"/>
        </w:trPr>
        <w:tc>
          <w:tcPr>
            <w:tcW w:w="5098" w:type="dxa"/>
            <w:shd w:val="clear" w:color="auto" w:fill="FFFFFF" w:themeFill="background1"/>
            <w:vAlign w:val="center"/>
          </w:tcPr>
          <w:p w14:paraId="0B5519F4"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Operating Revenue</w:t>
            </w:r>
          </w:p>
        </w:tc>
        <w:tc>
          <w:tcPr>
            <w:tcW w:w="2127" w:type="dxa"/>
            <w:shd w:val="clear" w:color="auto" w:fill="FFFFFF" w:themeFill="background1"/>
            <w:vAlign w:val="center"/>
          </w:tcPr>
          <w:p w14:paraId="5AD161A8" w14:textId="77777777" w:rsidR="00186396" w:rsidRPr="00186396" w:rsidRDefault="00186396" w:rsidP="0003779A">
            <w:pPr>
              <w:autoSpaceDE w:val="0"/>
              <w:autoSpaceDN w:val="0"/>
              <w:adjustRightInd w:val="0"/>
              <w:spacing w:after="0" w:line="280" w:lineRule="exact"/>
              <w:jc w:val="center"/>
              <w:rPr>
                <w:rFonts w:ascii="Times New Roman" w:hAnsi="Times New Roman" w:cs="Times New Roman"/>
                <w:b/>
                <w:sz w:val="24"/>
                <w:szCs w:val="24"/>
                <w:lang w:eastAsia="en-ZA"/>
              </w:rPr>
            </w:pPr>
          </w:p>
        </w:tc>
        <w:tc>
          <w:tcPr>
            <w:tcW w:w="1791" w:type="dxa"/>
            <w:shd w:val="clear" w:color="auto" w:fill="FFFFFF" w:themeFill="background1"/>
            <w:vAlign w:val="center"/>
          </w:tcPr>
          <w:p w14:paraId="2D9C56D4" w14:textId="77777777" w:rsidR="00186396" w:rsidRPr="00186396" w:rsidRDefault="00186396" w:rsidP="0003779A">
            <w:pPr>
              <w:autoSpaceDE w:val="0"/>
              <w:autoSpaceDN w:val="0"/>
              <w:adjustRightInd w:val="0"/>
              <w:spacing w:after="0" w:line="280" w:lineRule="exact"/>
              <w:jc w:val="center"/>
              <w:rPr>
                <w:rFonts w:ascii="Times New Roman" w:hAnsi="Times New Roman" w:cs="Times New Roman"/>
                <w:b/>
                <w:sz w:val="24"/>
                <w:szCs w:val="24"/>
                <w:lang w:eastAsia="en-ZA"/>
              </w:rPr>
            </w:pPr>
          </w:p>
        </w:tc>
      </w:tr>
      <w:tr w:rsidR="00186396" w:rsidRPr="00186396" w14:paraId="26838DBB" w14:textId="77777777" w:rsidTr="00186396">
        <w:trPr>
          <w:trHeight w:val="241"/>
        </w:trPr>
        <w:tc>
          <w:tcPr>
            <w:tcW w:w="5098" w:type="dxa"/>
            <w:shd w:val="clear" w:color="auto" w:fill="auto"/>
            <w:vAlign w:val="center"/>
          </w:tcPr>
          <w:p w14:paraId="7D99204C"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 xml:space="preserve">Sale of goods </w:t>
            </w:r>
          </w:p>
        </w:tc>
        <w:tc>
          <w:tcPr>
            <w:tcW w:w="2127" w:type="dxa"/>
            <w:shd w:val="clear" w:color="auto" w:fill="auto"/>
            <w:vAlign w:val="center"/>
          </w:tcPr>
          <w:p w14:paraId="76790A41"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10 147 213</w:t>
            </w:r>
          </w:p>
        </w:tc>
        <w:tc>
          <w:tcPr>
            <w:tcW w:w="1791" w:type="dxa"/>
            <w:shd w:val="clear" w:color="auto" w:fill="auto"/>
            <w:vAlign w:val="center"/>
          </w:tcPr>
          <w:p w14:paraId="1C8B4931"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18 991 211</w:t>
            </w:r>
          </w:p>
        </w:tc>
      </w:tr>
      <w:tr w:rsidR="00186396" w:rsidRPr="00186396" w14:paraId="73CD0F1D" w14:textId="77777777" w:rsidTr="00186396">
        <w:tc>
          <w:tcPr>
            <w:tcW w:w="5098" w:type="dxa"/>
            <w:shd w:val="clear" w:color="auto" w:fill="auto"/>
            <w:vAlign w:val="center"/>
          </w:tcPr>
          <w:p w14:paraId="1FE109DD"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Rendering of services</w:t>
            </w:r>
          </w:p>
        </w:tc>
        <w:tc>
          <w:tcPr>
            <w:tcW w:w="2127" w:type="dxa"/>
            <w:shd w:val="clear" w:color="auto" w:fill="auto"/>
            <w:vAlign w:val="center"/>
          </w:tcPr>
          <w:p w14:paraId="17442F57"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1 064 857</w:t>
            </w:r>
          </w:p>
        </w:tc>
        <w:tc>
          <w:tcPr>
            <w:tcW w:w="1791" w:type="dxa"/>
            <w:shd w:val="clear" w:color="auto" w:fill="auto"/>
            <w:vAlign w:val="center"/>
          </w:tcPr>
          <w:p w14:paraId="2DD8DE1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1 368 341</w:t>
            </w:r>
          </w:p>
        </w:tc>
      </w:tr>
      <w:tr w:rsidR="00186396" w:rsidRPr="00186396" w14:paraId="2DDCE3F4" w14:textId="77777777" w:rsidTr="00186396">
        <w:tc>
          <w:tcPr>
            <w:tcW w:w="5098" w:type="dxa"/>
            <w:shd w:val="clear" w:color="auto" w:fill="auto"/>
            <w:vAlign w:val="center"/>
          </w:tcPr>
          <w:p w14:paraId="1CC9C7EB"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Annual fees</w:t>
            </w:r>
          </w:p>
        </w:tc>
        <w:tc>
          <w:tcPr>
            <w:tcW w:w="2127" w:type="dxa"/>
            <w:shd w:val="clear" w:color="auto" w:fill="auto"/>
            <w:vAlign w:val="center"/>
          </w:tcPr>
          <w:p w14:paraId="040749EE"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123 247 052</w:t>
            </w:r>
          </w:p>
        </w:tc>
        <w:tc>
          <w:tcPr>
            <w:tcW w:w="1791" w:type="dxa"/>
            <w:shd w:val="clear" w:color="auto" w:fill="auto"/>
            <w:vAlign w:val="center"/>
          </w:tcPr>
          <w:p w14:paraId="26ABF4D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128 754 724</w:t>
            </w:r>
          </w:p>
        </w:tc>
      </w:tr>
      <w:tr w:rsidR="00186396" w:rsidRPr="00186396" w14:paraId="2BBDC3D5" w14:textId="77777777" w:rsidTr="00186396">
        <w:tc>
          <w:tcPr>
            <w:tcW w:w="5098" w:type="dxa"/>
            <w:shd w:val="clear" w:color="auto" w:fill="auto"/>
            <w:vAlign w:val="center"/>
          </w:tcPr>
          <w:p w14:paraId="0E21C72F"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 xml:space="preserve">Infrastructure re-assessment </w:t>
            </w:r>
          </w:p>
        </w:tc>
        <w:tc>
          <w:tcPr>
            <w:tcW w:w="2127" w:type="dxa"/>
            <w:shd w:val="clear" w:color="auto" w:fill="auto"/>
            <w:vAlign w:val="center"/>
          </w:tcPr>
          <w:p w14:paraId="40E30AC0"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46 081</w:t>
            </w:r>
          </w:p>
        </w:tc>
        <w:tc>
          <w:tcPr>
            <w:tcW w:w="1791" w:type="dxa"/>
            <w:shd w:val="clear" w:color="auto" w:fill="auto"/>
            <w:vAlign w:val="center"/>
          </w:tcPr>
          <w:p w14:paraId="612035D3"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75 900</w:t>
            </w:r>
          </w:p>
        </w:tc>
      </w:tr>
      <w:tr w:rsidR="00186396" w:rsidRPr="00186396" w14:paraId="7D4E897C" w14:textId="77777777" w:rsidTr="00186396">
        <w:tc>
          <w:tcPr>
            <w:tcW w:w="5098" w:type="dxa"/>
            <w:shd w:val="clear" w:color="auto" w:fill="auto"/>
            <w:vAlign w:val="center"/>
          </w:tcPr>
          <w:p w14:paraId="2A0E969A"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 xml:space="preserve">Course reports </w:t>
            </w:r>
          </w:p>
        </w:tc>
        <w:tc>
          <w:tcPr>
            <w:tcW w:w="2127" w:type="dxa"/>
            <w:shd w:val="clear" w:color="auto" w:fill="auto"/>
            <w:vAlign w:val="center"/>
          </w:tcPr>
          <w:p w14:paraId="0CB44BB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33 129 330</w:t>
            </w:r>
          </w:p>
        </w:tc>
        <w:tc>
          <w:tcPr>
            <w:tcW w:w="1791" w:type="dxa"/>
            <w:shd w:val="clear" w:color="auto" w:fill="auto"/>
            <w:vAlign w:val="center"/>
          </w:tcPr>
          <w:p w14:paraId="7BC9870A"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38 136 200</w:t>
            </w:r>
          </w:p>
        </w:tc>
      </w:tr>
      <w:tr w:rsidR="00186396" w:rsidRPr="00186396" w14:paraId="575356DC" w14:textId="77777777" w:rsidTr="00186396">
        <w:tc>
          <w:tcPr>
            <w:tcW w:w="5098" w:type="dxa"/>
            <w:shd w:val="clear" w:color="auto" w:fill="auto"/>
            <w:vAlign w:val="center"/>
          </w:tcPr>
          <w:p w14:paraId="48FD47D1"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Registration fees</w:t>
            </w:r>
          </w:p>
        </w:tc>
        <w:tc>
          <w:tcPr>
            <w:tcW w:w="2127" w:type="dxa"/>
            <w:shd w:val="clear" w:color="auto" w:fill="auto"/>
            <w:vAlign w:val="center"/>
          </w:tcPr>
          <w:p w14:paraId="37B8FAD0"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32 429 195</w:t>
            </w:r>
          </w:p>
        </w:tc>
        <w:tc>
          <w:tcPr>
            <w:tcW w:w="1791" w:type="dxa"/>
            <w:shd w:val="clear" w:color="auto" w:fill="auto"/>
            <w:vAlign w:val="center"/>
          </w:tcPr>
          <w:p w14:paraId="4E7AC7E4"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34 857 290</w:t>
            </w:r>
          </w:p>
        </w:tc>
      </w:tr>
      <w:tr w:rsidR="00186396" w:rsidRPr="00186396" w14:paraId="3F96E9BA" w14:textId="77777777" w:rsidTr="00186396">
        <w:tc>
          <w:tcPr>
            <w:tcW w:w="5098" w:type="dxa"/>
            <w:shd w:val="clear" w:color="auto" w:fill="auto"/>
            <w:vAlign w:val="center"/>
          </w:tcPr>
          <w:p w14:paraId="33381861"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lastRenderedPageBreak/>
              <w:t>Total revenue from exchange transactions</w:t>
            </w:r>
          </w:p>
        </w:tc>
        <w:tc>
          <w:tcPr>
            <w:tcW w:w="2127" w:type="dxa"/>
            <w:shd w:val="clear" w:color="auto" w:fill="auto"/>
            <w:vAlign w:val="center"/>
          </w:tcPr>
          <w:p w14:paraId="0A0C0EA5"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 xml:space="preserve">200 063 728 </w:t>
            </w:r>
          </w:p>
        </w:tc>
        <w:tc>
          <w:tcPr>
            <w:tcW w:w="1791" w:type="dxa"/>
            <w:shd w:val="clear" w:color="auto" w:fill="auto"/>
            <w:vAlign w:val="center"/>
          </w:tcPr>
          <w:p w14:paraId="0B9A756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222 183 666</w:t>
            </w:r>
          </w:p>
        </w:tc>
      </w:tr>
      <w:tr w:rsidR="00186396" w:rsidRPr="00186396" w14:paraId="334FCEC6" w14:textId="77777777" w:rsidTr="00186396">
        <w:tc>
          <w:tcPr>
            <w:tcW w:w="9016" w:type="dxa"/>
            <w:gridSpan w:val="3"/>
            <w:shd w:val="clear" w:color="auto" w:fill="auto"/>
            <w:vAlign w:val="center"/>
          </w:tcPr>
          <w:p w14:paraId="1B916156"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p>
        </w:tc>
      </w:tr>
      <w:tr w:rsidR="00186396" w:rsidRPr="00186396" w14:paraId="0037A991" w14:textId="77777777" w:rsidTr="00186396">
        <w:tc>
          <w:tcPr>
            <w:tcW w:w="5098" w:type="dxa"/>
            <w:shd w:val="clear" w:color="auto" w:fill="auto"/>
            <w:vAlign w:val="center"/>
          </w:tcPr>
          <w:p w14:paraId="17BC540E"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Revenue from non-exchange transactions</w:t>
            </w:r>
          </w:p>
        </w:tc>
        <w:tc>
          <w:tcPr>
            <w:tcW w:w="2127" w:type="dxa"/>
            <w:shd w:val="clear" w:color="auto" w:fill="auto"/>
            <w:vAlign w:val="center"/>
          </w:tcPr>
          <w:p w14:paraId="2EF1538F"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c>
          <w:tcPr>
            <w:tcW w:w="1791" w:type="dxa"/>
            <w:shd w:val="clear" w:color="auto" w:fill="auto"/>
            <w:vAlign w:val="center"/>
          </w:tcPr>
          <w:p w14:paraId="7B1F70CF"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r>
      <w:tr w:rsidR="00186396" w:rsidRPr="00186396" w14:paraId="2E5B23EF" w14:textId="77777777" w:rsidTr="00186396">
        <w:tc>
          <w:tcPr>
            <w:tcW w:w="5098" w:type="dxa"/>
            <w:shd w:val="clear" w:color="auto" w:fill="auto"/>
            <w:vAlign w:val="center"/>
          </w:tcPr>
          <w:p w14:paraId="7270D698" w14:textId="77777777" w:rsidR="00186396" w:rsidRPr="00186396" w:rsidRDefault="00186396" w:rsidP="0003779A">
            <w:pPr>
              <w:autoSpaceDE w:val="0"/>
              <w:autoSpaceDN w:val="0"/>
              <w:adjustRightInd w:val="0"/>
              <w:spacing w:after="0" w:line="280" w:lineRule="exac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Grants received</w:t>
            </w:r>
          </w:p>
        </w:tc>
        <w:tc>
          <w:tcPr>
            <w:tcW w:w="2127" w:type="dxa"/>
            <w:shd w:val="clear" w:color="auto" w:fill="auto"/>
            <w:vAlign w:val="center"/>
          </w:tcPr>
          <w:p w14:paraId="6DE58AE4"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w:t>
            </w:r>
          </w:p>
        </w:tc>
        <w:tc>
          <w:tcPr>
            <w:tcW w:w="1791" w:type="dxa"/>
            <w:shd w:val="clear" w:color="auto" w:fill="auto"/>
            <w:vAlign w:val="center"/>
          </w:tcPr>
          <w:p w14:paraId="1A0E36DB"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p>
        </w:tc>
      </w:tr>
      <w:tr w:rsidR="00186396" w:rsidRPr="00186396" w14:paraId="31018059" w14:textId="77777777" w:rsidTr="00186396">
        <w:tc>
          <w:tcPr>
            <w:tcW w:w="5098" w:type="dxa"/>
            <w:shd w:val="clear" w:color="auto" w:fill="auto"/>
            <w:vAlign w:val="center"/>
          </w:tcPr>
          <w:p w14:paraId="797E6063" w14:textId="77777777" w:rsidR="00186396" w:rsidRPr="00186396" w:rsidRDefault="00186396" w:rsidP="0003779A">
            <w:pPr>
              <w:autoSpaceDE w:val="0"/>
              <w:autoSpaceDN w:val="0"/>
              <w:adjustRightInd w:val="0"/>
              <w:spacing w:after="0" w:line="280" w:lineRule="exac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Bad debt recoveries</w:t>
            </w:r>
          </w:p>
        </w:tc>
        <w:tc>
          <w:tcPr>
            <w:tcW w:w="2127" w:type="dxa"/>
            <w:shd w:val="clear" w:color="auto" w:fill="auto"/>
            <w:vAlign w:val="center"/>
          </w:tcPr>
          <w:p w14:paraId="0044AAA2"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758 848</w:t>
            </w:r>
          </w:p>
        </w:tc>
        <w:tc>
          <w:tcPr>
            <w:tcW w:w="1791" w:type="dxa"/>
            <w:shd w:val="clear" w:color="auto" w:fill="auto"/>
            <w:vAlign w:val="center"/>
          </w:tcPr>
          <w:p w14:paraId="6552B54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394 457</w:t>
            </w:r>
          </w:p>
        </w:tc>
      </w:tr>
      <w:tr w:rsidR="00186396" w:rsidRPr="00186396" w14:paraId="2609947F" w14:textId="77777777" w:rsidTr="00186396">
        <w:tc>
          <w:tcPr>
            <w:tcW w:w="5098" w:type="dxa"/>
            <w:shd w:val="clear" w:color="auto" w:fill="auto"/>
            <w:vAlign w:val="center"/>
          </w:tcPr>
          <w:p w14:paraId="21A59B7E" w14:textId="77777777" w:rsidR="00186396" w:rsidRPr="00186396" w:rsidRDefault="00186396" w:rsidP="0003779A">
            <w:pPr>
              <w:autoSpaceDE w:val="0"/>
              <w:autoSpaceDN w:val="0"/>
              <w:adjustRightInd w:val="0"/>
              <w:spacing w:after="0" w:line="280" w:lineRule="exac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 xml:space="preserve">Sundry income </w:t>
            </w:r>
          </w:p>
        </w:tc>
        <w:tc>
          <w:tcPr>
            <w:tcW w:w="2127" w:type="dxa"/>
            <w:shd w:val="clear" w:color="auto" w:fill="auto"/>
            <w:vAlign w:val="center"/>
          </w:tcPr>
          <w:p w14:paraId="694AFD5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2 698 290</w:t>
            </w:r>
          </w:p>
        </w:tc>
        <w:tc>
          <w:tcPr>
            <w:tcW w:w="1791" w:type="dxa"/>
            <w:shd w:val="clear" w:color="auto" w:fill="auto"/>
            <w:vAlign w:val="center"/>
          </w:tcPr>
          <w:p w14:paraId="7CE6319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2 147 917</w:t>
            </w:r>
          </w:p>
        </w:tc>
      </w:tr>
      <w:tr w:rsidR="00186396" w:rsidRPr="00186396" w14:paraId="72FEC63C" w14:textId="77777777" w:rsidTr="00186396">
        <w:tc>
          <w:tcPr>
            <w:tcW w:w="5098" w:type="dxa"/>
            <w:shd w:val="clear" w:color="auto" w:fill="auto"/>
            <w:vAlign w:val="center"/>
          </w:tcPr>
          <w:p w14:paraId="5892A4C7" w14:textId="77777777" w:rsidR="00186396" w:rsidRPr="00186396" w:rsidRDefault="00186396" w:rsidP="0003779A">
            <w:pPr>
              <w:autoSpaceDE w:val="0"/>
              <w:autoSpaceDN w:val="0"/>
              <w:adjustRightInd w:val="0"/>
              <w:spacing w:after="0" w:line="280" w:lineRule="exac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 xml:space="preserve">Interest received </w:t>
            </w:r>
          </w:p>
        </w:tc>
        <w:tc>
          <w:tcPr>
            <w:tcW w:w="2127" w:type="dxa"/>
            <w:shd w:val="clear" w:color="auto" w:fill="auto"/>
            <w:vAlign w:val="center"/>
          </w:tcPr>
          <w:p w14:paraId="0CC83B91"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3 658 381</w:t>
            </w:r>
          </w:p>
        </w:tc>
        <w:tc>
          <w:tcPr>
            <w:tcW w:w="1791" w:type="dxa"/>
            <w:shd w:val="clear" w:color="auto" w:fill="auto"/>
            <w:vAlign w:val="center"/>
          </w:tcPr>
          <w:p w14:paraId="78A1D1E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1 279 617</w:t>
            </w:r>
          </w:p>
        </w:tc>
      </w:tr>
      <w:tr w:rsidR="00186396" w:rsidRPr="00186396" w14:paraId="237B8C09" w14:textId="77777777" w:rsidTr="00186396">
        <w:tc>
          <w:tcPr>
            <w:tcW w:w="5098" w:type="dxa"/>
            <w:shd w:val="clear" w:color="auto" w:fill="auto"/>
            <w:vAlign w:val="center"/>
          </w:tcPr>
          <w:p w14:paraId="3307EFE6" w14:textId="77777777" w:rsidR="00186396" w:rsidRPr="00186396" w:rsidRDefault="00186396" w:rsidP="0003779A">
            <w:pPr>
              <w:autoSpaceDE w:val="0"/>
              <w:autoSpaceDN w:val="0"/>
              <w:adjustRightInd w:val="0"/>
              <w:spacing w:after="0" w:line="280" w:lineRule="exac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Fines</w:t>
            </w:r>
          </w:p>
        </w:tc>
        <w:tc>
          <w:tcPr>
            <w:tcW w:w="2127" w:type="dxa"/>
            <w:shd w:val="clear" w:color="auto" w:fill="auto"/>
            <w:vAlign w:val="center"/>
          </w:tcPr>
          <w:p w14:paraId="528B0705"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10 853 693</w:t>
            </w:r>
          </w:p>
        </w:tc>
        <w:tc>
          <w:tcPr>
            <w:tcW w:w="1791" w:type="dxa"/>
            <w:shd w:val="clear" w:color="auto" w:fill="auto"/>
            <w:vAlign w:val="center"/>
          </w:tcPr>
          <w:p w14:paraId="3A993B0F"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i/>
                <w:sz w:val="24"/>
                <w:szCs w:val="24"/>
                <w:lang w:eastAsia="en-ZA"/>
              </w:rPr>
            </w:pPr>
            <w:r w:rsidRPr="00186396">
              <w:rPr>
                <w:rFonts w:ascii="Times New Roman" w:hAnsi="Times New Roman" w:cs="Times New Roman"/>
                <w:i/>
                <w:sz w:val="24"/>
                <w:szCs w:val="24"/>
                <w:lang w:eastAsia="en-ZA"/>
              </w:rPr>
              <w:t>14 887 573</w:t>
            </w:r>
          </w:p>
        </w:tc>
      </w:tr>
      <w:tr w:rsidR="00186396" w:rsidRPr="00186396" w14:paraId="35AE6990" w14:textId="77777777" w:rsidTr="00186396">
        <w:trPr>
          <w:trHeight w:val="276"/>
        </w:trPr>
        <w:tc>
          <w:tcPr>
            <w:tcW w:w="5098" w:type="dxa"/>
            <w:shd w:val="clear" w:color="auto" w:fill="auto"/>
            <w:vAlign w:val="center"/>
          </w:tcPr>
          <w:p w14:paraId="55B80A16"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Total revenue from non-exchange transactions</w:t>
            </w:r>
          </w:p>
        </w:tc>
        <w:tc>
          <w:tcPr>
            <w:tcW w:w="2127" w:type="dxa"/>
            <w:shd w:val="clear" w:color="auto" w:fill="auto"/>
            <w:vAlign w:val="center"/>
          </w:tcPr>
          <w:p w14:paraId="1067DF83"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17 696 212</w:t>
            </w:r>
          </w:p>
        </w:tc>
        <w:tc>
          <w:tcPr>
            <w:tcW w:w="1791" w:type="dxa"/>
            <w:shd w:val="clear" w:color="auto" w:fill="auto"/>
            <w:vAlign w:val="center"/>
          </w:tcPr>
          <w:p w14:paraId="7BF65F2E"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18 709 564</w:t>
            </w:r>
          </w:p>
        </w:tc>
      </w:tr>
      <w:tr w:rsidR="00186396" w:rsidRPr="00186396" w14:paraId="16E51D0F" w14:textId="77777777" w:rsidTr="00186396">
        <w:trPr>
          <w:trHeight w:val="276"/>
        </w:trPr>
        <w:tc>
          <w:tcPr>
            <w:tcW w:w="5098" w:type="dxa"/>
            <w:shd w:val="clear" w:color="auto" w:fill="auto"/>
            <w:vAlign w:val="center"/>
          </w:tcPr>
          <w:p w14:paraId="7F148AE8"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 xml:space="preserve">Total Revenue </w:t>
            </w:r>
          </w:p>
        </w:tc>
        <w:tc>
          <w:tcPr>
            <w:tcW w:w="2127" w:type="dxa"/>
            <w:shd w:val="clear" w:color="auto" w:fill="auto"/>
            <w:vAlign w:val="center"/>
          </w:tcPr>
          <w:p w14:paraId="5221DF11"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218 032 940</w:t>
            </w:r>
          </w:p>
        </w:tc>
        <w:tc>
          <w:tcPr>
            <w:tcW w:w="1791" w:type="dxa"/>
            <w:shd w:val="clear" w:color="auto" w:fill="auto"/>
            <w:vAlign w:val="center"/>
          </w:tcPr>
          <w:p w14:paraId="78776185"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240 893 230</w:t>
            </w:r>
          </w:p>
        </w:tc>
      </w:tr>
      <w:tr w:rsidR="00186396" w:rsidRPr="00186396" w14:paraId="6F0FD424" w14:textId="77777777" w:rsidTr="00186396">
        <w:trPr>
          <w:trHeight w:val="276"/>
        </w:trPr>
        <w:tc>
          <w:tcPr>
            <w:tcW w:w="9016" w:type="dxa"/>
            <w:gridSpan w:val="3"/>
            <w:shd w:val="clear" w:color="auto" w:fill="auto"/>
            <w:vAlign w:val="center"/>
          </w:tcPr>
          <w:p w14:paraId="6E989818"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p>
        </w:tc>
      </w:tr>
      <w:tr w:rsidR="00186396" w:rsidRPr="00186396" w14:paraId="6EB00A88" w14:textId="77777777" w:rsidTr="00186396">
        <w:trPr>
          <w:trHeight w:val="276"/>
        </w:trPr>
        <w:tc>
          <w:tcPr>
            <w:tcW w:w="5098" w:type="dxa"/>
            <w:shd w:val="clear" w:color="auto" w:fill="auto"/>
            <w:vAlign w:val="center"/>
          </w:tcPr>
          <w:p w14:paraId="4D4A59FF"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Operating Expenditure</w:t>
            </w:r>
          </w:p>
        </w:tc>
        <w:tc>
          <w:tcPr>
            <w:tcW w:w="2127" w:type="dxa"/>
            <w:shd w:val="clear" w:color="auto" w:fill="auto"/>
            <w:vAlign w:val="center"/>
          </w:tcPr>
          <w:p w14:paraId="386B5B4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p>
        </w:tc>
        <w:tc>
          <w:tcPr>
            <w:tcW w:w="1791" w:type="dxa"/>
            <w:shd w:val="clear" w:color="auto" w:fill="auto"/>
            <w:vAlign w:val="center"/>
          </w:tcPr>
          <w:p w14:paraId="0999DC96"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p>
        </w:tc>
      </w:tr>
      <w:tr w:rsidR="00186396" w:rsidRPr="00186396" w14:paraId="7E21DC05" w14:textId="77777777" w:rsidTr="00186396">
        <w:trPr>
          <w:trHeight w:val="276"/>
        </w:trPr>
        <w:tc>
          <w:tcPr>
            <w:tcW w:w="5098" w:type="dxa"/>
            <w:shd w:val="clear" w:color="auto" w:fill="auto"/>
            <w:vAlign w:val="center"/>
          </w:tcPr>
          <w:p w14:paraId="7290EB67"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Employee costs</w:t>
            </w:r>
          </w:p>
        </w:tc>
        <w:tc>
          <w:tcPr>
            <w:tcW w:w="2127" w:type="dxa"/>
            <w:shd w:val="clear" w:color="auto" w:fill="auto"/>
            <w:vAlign w:val="center"/>
          </w:tcPr>
          <w:p w14:paraId="3CA3D31E"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(122 000487)</w:t>
            </w:r>
          </w:p>
        </w:tc>
        <w:tc>
          <w:tcPr>
            <w:tcW w:w="1791" w:type="dxa"/>
            <w:shd w:val="clear" w:color="auto" w:fill="auto"/>
            <w:vAlign w:val="center"/>
          </w:tcPr>
          <w:p w14:paraId="73E6F3BF"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(132 863 844)</w:t>
            </w:r>
          </w:p>
        </w:tc>
      </w:tr>
      <w:tr w:rsidR="00186396" w:rsidRPr="00186396" w14:paraId="52739C1D" w14:textId="77777777" w:rsidTr="00186396">
        <w:trPr>
          <w:trHeight w:val="276"/>
        </w:trPr>
        <w:tc>
          <w:tcPr>
            <w:tcW w:w="5098" w:type="dxa"/>
            <w:shd w:val="clear" w:color="auto" w:fill="auto"/>
            <w:vAlign w:val="center"/>
          </w:tcPr>
          <w:p w14:paraId="7402B2E9"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Other operating expenditure</w:t>
            </w:r>
          </w:p>
        </w:tc>
        <w:tc>
          <w:tcPr>
            <w:tcW w:w="2127" w:type="dxa"/>
            <w:shd w:val="clear" w:color="auto" w:fill="auto"/>
            <w:vAlign w:val="center"/>
          </w:tcPr>
          <w:p w14:paraId="269681AB"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(77 236 8741)</w:t>
            </w:r>
          </w:p>
        </w:tc>
        <w:tc>
          <w:tcPr>
            <w:tcW w:w="1791" w:type="dxa"/>
            <w:shd w:val="clear" w:color="auto" w:fill="auto"/>
            <w:vAlign w:val="center"/>
          </w:tcPr>
          <w:p w14:paraId="76F93BAF"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(88 672 292)</w:t>
            </w:r>
          </w:p>
        </w:tc>
      </w:tr>
      <w:tr w:rsidR="00186396" w:rsidRPr="00186396" w14:paraId="44739D48" w14:textId="77777777" w:rsidTr="00186396">
        <w:trPr>
          <w:trHeight w:val="276"/>
        </w:trPr>
        <w:tc>
          <w:tcPr>
            <w:tcW w:w="5098" w:type="dxa"/>
            <w:shd w:val="clear" w:color="auto" w:fill="auto"/>
            <w:vAlign w:val="center"/>
          </w:tcPr>
          <w:p w14:paraId="3838E1F9"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Bad debts</w:t>
            </w:r>
          </w:p>
        </w:tc>
        <w:tc>
          <w:tcPr>
            <w:tcW w:w="2127" w:type="dxa"/>
            <w:shd w:val="clear" w:color="auto" w:fill="auto"/>
            <w:vAlign w:val="center"/>
          </w:tcPr>
          <w:p w14:paraId="7941D456"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(15 528 892)</w:t>
            </w:r>
          </w:p>
        </w:tc>
        <w:tc>
          <w:tcPr>
            <w:tcW w:w="1791" w:type="dxa"/>
            <w:shd w:val="clear" w:color="auto" w:fill="auto"/>
            <w:vAlign w:val="center"/>
          </w:tcPr>
          <w:p w14:paraId="6D7BE100"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(25 788 648)</w:t>
            </w:r>
          </w:p>
        </w:tc>
      </w:tr>
      <w:tr w:rsidR="00186396" w:rsidRPr="00186396" w14:paraId="30179F2A" w14:textId="77777777" w:rsidTr="00186396">
        <w:trPr>
          <w:trHeight w:val="276"/>
        </w:trPr>
        <w:tc>
          <w:tcPr>
            <w:tcW w:w="5098" w:type="dxa"/>
            <w:shd w:val="clear" w:color="auto" w:fill="auto"/>
            <w:vAlign w:val="center"/>
          </w:tcPr>
          <w:p w14:paraId="2265BCBB"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Finance costs</w:t>
            </w:r>
          </w:p>
        </w:tc>
        <w:tc>
          <w:tcPr>
            <w:tcW w:w="2127" w:type="dxa"/>
            <w:shd w:val="clear" w:color="auto" w:fill="auto"/>
            <w:vAlign w:val="center"/>
          </w:tcPr>
          <w:p w14:paraId="34062927"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(9 458)</w:t>
            </w:r>
          </w:p>
        </w:tc>
        <w:tc>
          <w:tcPr>
            <w:tcW w:w="1791" w:type="dxa"/>
            <w:shd w:val="clear" w:color="auto" w:fill="auto"/>
            <w:vAlign w:val="center"/>
          </w:tcPr>
          <w:p w14:paraId="6B658120"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(13 187)</w:t>
            </w:r>
          </w:p>
        </w:tc>
      </w:tr>
      <w:tr w:rsidR="00186396" w:rsidRPr="00186396" w14:paraId="7C9E8994" w14:textId="77777777" w:rsidTr="00186396">
        <w:trPr>
          <w:trHeight w:val="276"/>
        </w:trPr>
        <w:tc>
          <w:tcPr>
            <w:tcW w:w="5098" w:type="dxa"/>
            <w:shd w:val="clear" w:color="auto" w:fill="auto"/>
            <w:vAlign w:val="center"/>
          </w:tcPr>
          <w:p w14:paraId="1541CF86"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Depreciation and amortisation</w:t>
            </w:r>
          </w:p>
        </w:tc>
        <w:tc>
          <w:tcPr>
            <w:tcW w:w="2127" w:type="dxa"/>
            <w:shd w:val="clear" w:color="auto" w:fill="auto"/>
            <w:vAlign w:val="center"/>
          </w:tcPr>
          <w:p w14:paraId="18C3032D"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(3 356 664)</w:t>
            </w:r>
          </w:p>
        </w:tc>
        <w:tc>
          <w:tcPr>
            <w:tcW w:w="1791" w:type="dxa"/>
            <w:shd w:val="clear" w:color="auto" w:fill="auto"/>
            <w:vAlign w:val="center"/>
          </w:tcPr>
          <w:p w14:paraId="0C5D915E"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(3 641 553)</w:t>
            </w:r>
          </w:p>
        </w:tc>
      </w:tr>
      <w:tr w:rsidR="00186396" w:rsidRPr="00186396" w14:paraId="3EA8C992" w14:textId="77777777" w:rsidTr="00186396">
        <w:trPr>
          <w:trHeight w:val="276"/>
        </w:trPr>
        <w:tc>
          <w:tcPr>
            <w:tcW w:w="5098" w:type="dxa"/>
            <w:shd w:val="clear" w:color="auto" w:fill="auto"/>
            <w:vAlign w:val="center"/>
          </w:tcPr>
          <w:p w14:paraId="6910E913"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Total operating expenditure</w:t>
            </w:r>
          </w:p>
        </w:tc>
        <w:tc>
          <w:tcPr>
            <w:tcW w:w="2127" w:type="dxa"/>
            <w:shd w:val="clear" w:color="auto" w:fill="auto"/>
            <w:vAlign w:val="center"/>
          </w:tcPr>
          <w:p w14:paraId="48CA76E9"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(211 118 632)</w:t>
            </w:r>
          </w:p>
        </w:tc>
        <w:tc>
          <w:tcPr>
            <w:tcW w:w="1791" w:type="dxa"/>
            <w:shd w:val="clear" w:color="auto" w:fill="auto"/>
            <w:vAlign w:val="center"/>
          </w:tcPr>
          <w:p w14:paraId="1A40AFE6"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(253 176 246)</w:t>
            </w:r>
          </w:p>
        </w:tc>
      </w:tr>
      <w:tr w:rsidR="00186396" w:rsidRPr="00186396" w14:paraId="2E5119ED" w14:textId="77777777" w:rsidTr="00186396">
        <w:trPr>
          <w:trHeight w:val="276"/>
        </w:trPr>
        <w:tc>
          <w:tcPr>
            <w:tcW w:w="5098" w:type="dxa"/>
            <w:shd w:val="clear" w:color="auto" w:fill="auto"/>
            <w:vAlign w:val="center"/>
          </w:tcPr>
          <w:p w14:paraId="6C49B6A9"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p>
        </w:tc>
        <w:tc>
          <w:tcPr>
            <w:tcW w:w="2127" w:type="dxa"/>
            <w:shd w:val="clear" w:color="auto" w:fill="auto"/>
            <w:vAlign w:val="center"/>
          </w:tcPr>
          <w:p w14:paraId="62F15C51"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c>
          <w:tcPr>
            <w:tcW w:w="1791" w:type="dxa"/>
            <w:shd w:val="clear" w:color="auto" w:fill="auto"/>
            <w:vAlign w:val="center"/>
          </w:tcPr>
          <w:p w14:paraId="606F710E"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r>
      <w:tr w:rsidR="00186396" w:rsidRPr="00186396" w14:paraId="2F91873B" w14:textId="77777777" w:rsidTr="00186396">
        <w:trPr>
          <w:trHeight w:val="276"/>
        </w:trPr>
        <w:tc>
          <w:tcPr>
            <w:tcW w:w="5098" w:type="dxa"/>
            <w:shd w:val="clear" w:color="auto" w:fill="auto"/>
            <w:vAlign w:val="center"/>
          </w:tcPr>
          <w:p w14:paraId="785C6BE4"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Operating surplus (deficit)</w:t>
            </w:r>
          </w:p>
        </w:tc>
        <w:tc>
          <w:tcPr>
            <w:tcW w:w="2127" w:type="dxa"/>
            <w:shd w:val="clear" w:color="auto" w:fill="auto"/>
            <w:vAlign w:val="center"/>
          </w:tcPr>
          <w:p w14:paraId="0CA3FF05"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6 914 308</w:t>
            </w:r>
          </w:p>
        </w:tc>
        <w:tc>
          <w:tcPr>
            <w:tcW w:w="1791" w:type="dxa"/>
            <w:shd w:val="clear" w:color="auto" w:fill="auto"/>
            <w:vAlign w:val="center"/>
          </w:tcPr>
          <w:p w14:paraId="0A7B199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(12 378 016)</w:t>
            </w:r>
          </w:p>
        </w:tc>
      </w:tr>
      <w:tr w:rsidR="00186396" w:rsidRPr="00186396" w14:paraId="193C2C53" w14:textId="77777777" w:rsidTr="00186396">
        <w:trPr>
          <w:trHeight w:val="276"/>
        </w:trPr>
        <w:tc>
          <w:tcPr>
            <w:tcW w:w="5098" w:type="dxa"/>
            <w:shd w:val="clear" w:color="auto" w:fill="auto"/>
            <w:vAlign w:val="center"/>
          </w:tcPr>
          <w:p w14:paraId="7CFD9FF2"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r w:rsidRPr="00186396">
              <w:rPr>
                <w:rFonts w:ascii="Times New Roman" w:hAnsi="Times New Roman" w:cs="Times New Roman"/>
                <w:sz w:val="24"/>
                <w:szCs w:val="24"/>
                <w:lang w:eastAsia="en-ZA"/>
              </w:rPr>
              <w:t>Profit/(Loss) on disposable assets</w:t>
            </w:r>
          </w:p>
        </w:tc>
        <w:tc>
          <w:tcPr>
            <w:tcW w:w="2127" w:type="dxa"/>
            <w:shd w:val="clear" w:color="auto" w:fill="auto"/>
            <w:vAlign w:val="center"/>
          </w:tcPr>
          <w:p w14:paraId="28EE0BFD"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(300 841)</w:t>
            </w:r>
          </w:p>
        </w:tc>
        <w:tc>
          <w:tcPr>
            <w:tcW w:w="1791" w:type="dxa"/>
            <w:shd w:val="clear" w:color="auto" w:fill="auto"/>
            <w:vAlign w:val="center"/>
          </w:tcPr>
          <w:p w14:paraId="4F4EB32A"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r w:rsidRPr="00186396">
              <w:rPr>
                <w:rFonts w:ascii="Times New Roman" w:hAnsi="Times New Roman" w:cs="Times New Roman"/>
                <w:sz w:val="24"/>
                <w:szCs w:val="24"/>
                <w:lang w:eastAsia="en-ZA"/>
              </w:rPr>
              <w:t>(95 447)</w:t>
            </w:r>
          </w:p>
        </w:tc>
      </w:tr>
      <w:tr w:rsidR="00186396" w:rsidRPr="00186396" w14:paraId="6BB4E436" w14:textId="77777777" w:rsidTr="00186396">
        <w:trPr>
          <w:trHeight w:val="276"/>
        </w:trPr>
        <w:tc>
          <w:tcPr>
            <w:tcW w:w="5098" w:type="dxa"/>
            <w:shd w:val="clear" w:color="auto" w:fill="auto"/>
            <w:vAlign w:val="center"/>
          </w:tcPr>
          <w:p w14:paraId="347D2C5E" w14:textId="77777777" w:rsidR="00186396" w:rsidRPr="00186396" w:rsidRDefault="00186396" w:rsidP="0003779A">
            <w:pPr>
              <w:autoSpaceDE w:val="0"/>
              <w:autoSpaceDN w:val="0"/>
              <w:adjustRightInd w:val="0"/>
              <w:spacing w:after="0" w:line="280" w:lineRule="exact"/>
              <w:rPr>
                <w:rFonts w:ascii="Times New Roman" w:hAnsi="Times New Roman" w:cs="Times New Roman"/>
                <w:sz w:val="24"/>
                <w:szCs w:val="24"/>
                <w:lang w:eastAsia="en-ZA"/>
              </w:rPr>
            </w:pPr>
          </w:p>
        </w:tc>
        <w:tc>
          <w:tcPr>
            <w:tcW w:w="2127" w:type="dxa"/>
            <w:shd w:val="clear" w:color="auto" w:fill="auto"/>
            <w:vAlign w:val="center"/>
          </w:tcPr>
          <w:p w14:paraId="411BDF2D"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c>
          <w:tcPr>
            <w:tcW w:w="1791" w:type="dxa"/>
            <w:shd w:val="clear" w:color="auto" w:fill="auto"/>
            <w:vAlign w:val="center"/>
          </w:tcPr>
          <w:p w14:paraId="654D90B2"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sz w:val="24"/>
                <w:szCs w:val="24"/>
                <w:lang w:eastAsia="en-ZA"/>
              </w:rPr>
            </w:pPr>
          </w:p>
        </w:tc>
      </w:tr>
      <w:tr w:rsidR="00186396" w:rsidRPr="00186396" w14:paraId="2525B36F" w14:textId="77777777" w:rsidTr="00186396">
        <w:trPr>
          <w:trHeight w:val="276"/>
        </w:trPr>
        <w:tc>
          <w:tcPr>
            <w:tcW w:w="5098" w:type="dxa"/>
            <w:shd w:val="clear" w:color="auto" w:fill="auto"/>
            <w:vAlign w:val="center"/>
          </w:tcPr>
          <w:p w14:paraId="15A3ECDF" w14:textId="77777777" w:rsidR="00186396" w:rsidRPr="00186396" w:rsidRDefault="00186396" w:rsidP="0003779A">
            <w:pPr>
              <w:autoSpaceDE w:val="0"/>
              <w:autoSpaceDN w:val="0"/>
              <w:adjustRightInd w:val="0"/>
              <w:spacing w:after="0" w:line="280" w:lineRule="exac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Surplus/ (Deficit) for the year</w:t>
            </w:r>
          </w:p>
        </w:tc>
        <w:tc>
          <w:tcPr>
            <w:tcW w:w="2127" w:type="dxa"/>
            <w:shd w:val="clear" w:color="auto" w:fill="auto"/>
            <w:vAlign w:val="center"/>
          </w:tcPr>
          <w:p w14:paraId="4CC2E73A"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6 613 467</w:t>
            </w:r>
          </w:p>
        </w:tc>
        <w:tc>
          <w:tcPr>
            <w:tcW w:w="1791" w:type="dxa"/>
            <w:shd w:val="clear" w:color="auto" w:fill="auto"/>
            <w:vAlign w:val="center"/>
          </w:tcPr>
          <w:p w14:paraId="6C2D6918" w14:textId="77777777" w:rsidR="00186396" w:rsidRPr="00186396" w:rsidRDefault="00186396" w:rsidP="0003779A">
            <w:pPr>
              <w:autoSpaceDE w:val="0"/>
              <w:autoSpaceDN w:val="0"/>
              <w:adjustRightInd w:val="0"/>
              <w:spacing w:after="0" w:line="280" w:lineRule="exact"/>
              <w:jc w:val="right"/>
              <w:rPr>
                <w:rFonts w:ascii="Times New Roman" w:hAnsi="Times New Roman" w:cs="Times New Roman"/>
                <w:b/>
                <w:sz w:val="24"/>
                <w:szCs w:val="24"/>
                <w:lang w:eastAsia="en-ZA"/>
              </w:rPr>
            </w:pPr>
            <w:r w:rsidRPr="00186396">
              <w:rPr>
                <w:rFonts w:ascii="Times New Roman" w:hAnsi="Times New Roman" w:cs="Times New Roman"/>
                <w:b/>
                <w:sz w:val="24"/>
                <w:szCs w:val="24"/>
                <w:lang w:eastAsia="en-ZA"/>
              </w:rPr>
              <w:t>(12 378 463)</w:t>
            </w:r>
          </w:p>
        </w:tc>
      </w:tr>
    </w:tbl>
    <w:p w14:paraId="32616A97" w14:textId="786C1DC7" w:rsidR="00F67E80" w:rsidRPr="00186396" w:rsidRDefault="00CF0E1D"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b/>
      </w:r>
      <w:r w:rsidRPr="00186396">
        <w:rPr>
          <w:rFonts w:ascii="Times New Roman" w:hAnsi="Times New Roman" w:cs="Times New Roman"/>
          <w:sz w:val="24"/>
          <w:szCs w:val="24"/>
        </w:rPr>
        <w:tab/>
      </w:r>
      <w:r w:rsidRPr="00186396">
        <w:rPr>
          <w:rFonts w:ascii="Times New Roman" w:hAnsi="Times New Roman" w:cs="Times New Roman"/>
          <w:sz w:val="24"/>
          <w:szCs w:val="24"/>
        </w:rPr>
        <w:tab/>
      </w:r>
      <w:r w:rsidRPr="00186396">
        <w:rPr>
          <w:rFonts w:ascii="Times New Roman" w:hAnsi="Times New Roman" w:cs="Times New Roman"/>
          <w:sz w:val="24"/>
          <w:szCs w:val="24"/>
        </w:rPr>
        <w:tab/>
      </w:r>
      <w:r w:rsidRPr="00186396">
        <w:rPr>
          <w:rFonts w:ascii="Times New Roman" w:hAnsi="Times New Roman" w:cs="Times New Roman"/>
          <w:sz w:val="24"/>
          <w:szCs w:val="24"/>
        </w:rPr>
        <w:tab/>
      </w:r>
      <w:r w:rsidRPr="00186396">
        <w:rPr>
          <w:rFonts w:ascii="Times New Roman" w:hAnsi="Times New Roman" w:cs="Times New Roman"/>
          <w:sz w:val="24"/>
          <w:szCs w:val="24"/>
        </w:rPr>
        <w:tab/>
      </w:r>
      <w:r w:rsidR="00DF270F">
        <w:rPr>
          <w:rFonts w:ascii="Times New Roman" w:hAnsi="Times New Roman" w:cs="Times New Roman"/>
          <w:sz w:val="24"/>
          <w:szCs w:val="24"/>
        </w:rPr>
        <w:t xml:space="preserve">                          </w:t>
      </w:r>
      <w:r w:rsidRPr="00186396">
        <w:rPr>
          <w:rFonts w:ascii="Times New Roman" w:hAnsi="Times New Roman" w:cs="Times New Roman"/>
          <w:sz w:val="24"/>
          <w:szCs w:val="24"/>
        </w:rPr>
        <w:t>Source: 2017/18 Annual Report</w:t>
      </w:r>
    </w:p>
    <w:p w14:paraId="5E42DE59" w14:textId="77777777" w:rsidR="00186396" w:rsidRPr="00186396" w:rsidRDefault="00186396" w:rsidP="0003779A">
      <w:pPr>
        <w:spacing w:after="0" w:line="280" w:lineRule="exact"/>
        <w:jc w:val="both"/>
        <w:rPr>
          <w:rFonts w:ascii="Times New Roman" w:hAnsi="Times New Roman" w:cs="Times New Roman"/>
          <w:sz w:val="24"/>
          <w:szCs w:val="24"/>
        </w:rPr>
      </w:pPr>
    </w:p>
    <w:p w14:paraId="4658DEB6"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provision for debt impairment was raised from R44 million in 2016/17 to R56 million in 2017/18. </w:t>
      </w:r>
    </w:p>
    <w:p w14:paraId="5A64D8E9" w14:textId="77777777" w:rsidR="00186396" w:rsidRPr="00186396" w:rsidRDefault="00186396" w:rsidP="0003779A">
      <w:pPr>
        <w:spacing w:after="0" w:line="280" w:lineRule="exact"/>
        <w:jc w:val="both"/>
        <w:rPr>
          <w:rFonts w:ascii="Times New Roman" w:hAnsi="Times New Roman" w:cs="Times New Roman"/>
          <w:sz w:val="24"/>
          <w:szCs w:val="24"/>
        </w:rPr>
      </w:pPr>
    </w:p>
    <w:p w14:paraId="69E258F4"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In terms of contingent liabilities, the Authority is a defendant in a number of legal actions. The cases are yet to be brought before the court. It is not possible at this stage of proceedings to determine the losses that PSIRA would suffer in the event that the Court found against PSIRA. Estimated liability amounts to R671 500.00 (2017: R741 000.00).  </w:t>
      </w:r>
    </w:p>
    <w:p w14:paraId="2B7B8194" w14:textId="77777777" w:rsidR="00186396" w:rsidRPr="00186396" w:rsidRDefault="00186396" w:rsidP="0003779A">
      <w:pPr>
        <w:spacing w:after="0" w:line="280" w:lineRule="exact"/>
        <w:jc w:val="both"/>
        <w:rPr>
          <w:rFonts w:ascii="Times New Roman" w:hAnsi="Times New Roman" w:cs="Times New Roman"/>
          <w:sz w:val="24"/>
          <w:szCs w:val="24"/>
        </w:rPr>
      </w:pPr>
    </w:p>
    <w:p w14:paraId="3C26C4B0"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Authority did not incur irregular expenditure during the 2017/18 financial year. This is the second consecutive year in which no irregular expenditure was incurred.   </w:t>
      </w:r>
    </w:p>
    <w:p w14:paraId="36545713" w14:textId="77777777" w:rsidR="00186396" w:rsidRPr="00186396" w:rsidRDefault="00186396" w:rsidP="0003779A">
      <w:pPr>
        <w:spacing w:after="0" w:line="280" w:lineRule="exact"/>
        <w:jc w:val="both"/>
        <w:rPr>
          <w:rFonts w:ascii="Times New Roman" w:hAnsi="Times New Roman" w:cs="Times New Roman"/>
          <w:sz w:val="24"/>
          <w:szCs w:val="24"/>
        </w:rPr>
      </w:pPr>
    </w:p>
    <w:p w14:paraId="5C9D4426"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During the 2017/18 financial year, fruitless and wasteful expenditure of R216 428 (2017: R116 754) was incurred as a result of late payments made to SARS and other creditors, late cancellation of services, traffic fines, accommodation that was paid and not utilised as well as overtime paid due to a system error. Interest and penalties on late payment of employee taxes is under investigation.</w:t>
      </w:r>
    </w:p>
    <w:p w14:paraId="184C5440" w14:textId="77777777" w:rsidR="00F67E80" w:rsidRPr="00186396" w:rsidRDefault="00F67E80" w:rsidP="0003779A">
      <w:pPr>
        <w:spacing w:after="0" w:line="280" w:lineRule="exact"/>
        <w:jc w:val="both"/>
        <w:rPr>
          <w:rFonts w:ascii="Times New Roman" w:hAnsi="Times New Roman" w:cs="Times New Roman"/>
          <w:sz w:val="24"/>
          <w:szCs w:val="24"/>
        </w:rPr>
      </w:pPr>
    </w:p>
    <w:p w14:paraId="4348EB0C" w14:textId="77777777" w:rsidR="00F67E80" w:rsidRPr="009A1944" w:rsidRDefault="00F67E80"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PEFORMANCE AGAINST PREDETERMINED TARGETS FOR 2017/18</w:t>
      </w:r>
    </w:p>
    <w:p w14:paraId="5F6E165B" w14:textId="77777777" w:rsidR="00186396" w:rsidRPr="00186396" w:rsidRDefault="00186396" w:rsidP="0003779A">
      <w:pPr>
        <w:spacing w:after="0" w:line="280" w:lineRule="exact"/>
        <w:jc w:val="both"/>
        <w:rPr>
          <w:rFonts w:ascii="Times New Roman" w:hAnsi="Times New Roman" w:cs="Times New Roman"/>
          <w:sz w:val="24"/>
          <w:szCs w:val="24"/>
        </w:rPr>
      </w:pPr>
    </w:p>
    <w:p w14:paraId="1D5C8996"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Authority has achieved 81.8% of its predetermined performance indicator targets at the end of the 2017/18 financial year (18 targets achieved from a total of 22). However, there has been a steady decline in performance since 2015/16.  </w:t>
      </w:r>
    </w:p>
    <w:p w14:paraId="021701E2" w14:textId="77777777" w:rsidR="00186396" w:rsidRPr="00186396" w:rsidRDefault="00186396" w:rsidP="0003779A">
      <w:pPr>
        <w:spacing w:after="0" w:line="280" w:lineRule="exact"/>
        <w:jc w:val="both"/>
        <w:rPr>
          <w:rFonts w:ascii="Times New Roman" w:hAnsi="Times New Roman" w:cs="Times New Roman"/>
          <w:sz w:val="24"/>
          <w:szCs w:val="24"/>
        </w:rPr>
      </w:pPr>
    </w:p>
    <w:p w14:paraId="47AFEC08" w14:textId="39CE40E4"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Over the three-year period, the total achievement of targets declined from 94.3% in 2015/16 to 85.7% in 2016/17 to where it is currently at 81.8% in 2017/18. A similar declining trend is visible in the Administration and Communication, Training and Registration Programmes. The performance of Programme 2: Law Enforcement is unstable over the three-year period. </w:t>
      </w:r>
    </w:p>
    <w:p w14:paraId="42FEB9D6" w14:textId="77777777" w:rsidR="00F67E80" w:rsidRPr="00186396" w:rsidRDefault="00F67E80" w:rsidP="0003779A">
      <w:pPr>
        <w:spacing w:after="0" w:line="280" w:lineRule="exact"/>
        <w:jc w:val="both"/>
        <w:rPr>
          <w:rFonts w:ascii="Times New Roman" w:hAnsi="Times New Roman" w:cs="Times New Roman"/>
          <w:sz w:val="24"/>
          <w:szCs w:val="24"/>
        </w:rPr>
      </w:pPr>
    </w:p>
    <w:p w14:paraId="412C29CC"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noProof/>
          <w:sz w:val="24"/>
          <w:szCs w:val="24"/>
          <w:lang w:eastAsia="en-ZA"/>
        </w:rPr>
        <w:drawing>
          <wp:anchor distT="0" distB="0" distL="114300" distR="114300" simplePos="0" relativeHeight="251659264" behindDoc="0" locked="0" layoutInCell="1" allowOverlap="1" wp14:anchorId="428A295D" wp14:editId="4961AFBF">
            <wp:simplePos x="0" y="0"/>
            <wp:positionH relativeFrom="margin">
              <wp:align>right</wp:align>
            </wp:positionH>
            <wp:positionV relativeFrom="paragraph">
              <wp:posOffset>250825</wp:posOffset>
            </wp:positionV>
            <wp:extent cx="5731510" cy="2606040"/>
            <wp:effectExtent l="0" t="0" r="2540" b="38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186396">
        <w:rPr>
          <w:rFonts w:ascii="Times New Roman" w:hAnsi="Times New Roman" w:cs="Times New Roman"/>
          <w:b/>
          <w:i/>
          <w:sz w:val="24"/>
          <w:szCs w:val="24"/>
        </w:rPr>
        <w:t>Graph 1: Comparative performance between 2015/16 and 2017/18</w:t>
      </w:r>
    </w:p>
    <w:p w14:paraId="564C55E5" w14:textId="77777777" w:rsidR="00F67E80" w:rsidRPr="00186396" w:rsidRDefault="00F67E80" w:rsidP="0003779A">
      <w:pPr>
        <w:spacing w:after="0" w:line="280" w:lineRule="exact"/>
        <w:jc w:val="both"/>
        <w:rPr>
          <w:rFonts w:ascii="Times New Roman" w:hAnsi="Times New Roman" w:cs="Times New Roman"/>
          <w:sz w:val="24"/>
          <w:szCs w:val="24"/>
        </w:rPr>
      </w:pPr>
    </w:p>
    <w:p w14:paraId="4988036A"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While performance declined over the three-year period, the Authority’s expenditure increased from R184,9 million in 2015/16, R211.1 million in 2016/17 and R253.2 million in 2017/18. There is a misalignment between the declining performance and increasing expenditure of the Authority. </w:t>
      </w:r>
    </w:p>
    <w:p w14:paraId="01F7CF74" w14:textId="77777777" w:rsidR="00186396" w:rsidRPr="00186396" w:rsidRDefault="00186396" w:rsidP="0003779A">
      <w:pPr>
        <w:pStyle w:val="Heading2"/>
        <w:spacing w:before="0"/>
        <w:jc w:val="both"/>
        <w:rPr>
          <w:rFonts w:ascii="Times New Roman" w:eastAsiaTheme="minorHAnsi" w:hAnsi="Times New Roman" w:cs="Times New Roman"/>
          <w:b w:val="0"/>
          <w:color w:val="auto"/>
          <w:sz w:val="24"/>
          <w:szCs w:val="24"/>
        </w:rPr>
      </w:pPr>
      <w:bookmarkStart w:id="3" w:name="_Toc526837267"/>
    </w:p>
    <w:p w14:paraId="1ADE55BB" w14:textId="77777777" w:rsidR="00F67E80" w:rsidRPr="00186396" w:rsidRDefault="00F67E80" w:rsidP="0003779A">
      <w:pPr>
        <w:pStyle w:val="Heading2"/>
        <w:numPr>
          <w:ilvl w:val="1"/>
          <w:numId w:val="18"/>
        </w:numPr>
        <w:spacing w:before="0"/>
        <w:jc w:val="both"/>
        <w:rPr>
          <w:rFonts w:ascii="Times New Roman" w:hAnsi="Times New Roman" w:cs="Times New Roman"/>
          <w:color w:val="auto"/>
          <w:sz w:val="24"/>
          <w:szCs w:val="24"/>
        </w:rPr>
      </w:pPr>
      <w:r w:rsidRPr="00186396">
        <w:rPr>
          <w:rFonts w:ascii="Times New Roman" w:hAnsi="Times New Roman" w:cs="Times New Roman"/>
          <w:color w:val="auto"/>
          <w:sz w:val="24"/>
          <w:szCs w:val="24"/>
        </w:rPr>
        <w:t>Administration Programme</w:t>
      </w:r>
      <w:bookmarkEnd w:id="3"/>
      <w:r w:rsidRPr="00186396">
        <w:rPr>
          <w:rFonts w:ascii="Times New Roman" w:hAnsi="Times New Roman" w:cs="Times New Roman"/>
          <w:color w:val="auto"/>
          <w:sz w:val="24"/>
          <w:szCs w:val="24"/>
        </w:rPr>
        <w:t xml:space="preserve"> </w:t>
      </w:r>
    </w:p>
    <w:p w14:paraId="5E8BB070" w14:textId="77777777" w:rsidR="00F67E80" w:rsidRPr="00186396" w:rsidRDefault="00F67E80" w:rsidP="0003779A">
      <w:pPr>
        <w:spacing w:after="0" w:line="280" w:lineRule="exact"/>
        <w:jc w:val="both"/>
        <w:rPr>
          <w:rFonts w:ascii="Times New Roman" w:hAnsi="Times New Roman" w:cs="Times New Roman"/>
          <w:sz w:val="24"/>
          <w:szCs w:val="24"/>
        </w:rPr>
      </w:pPr>
    </w:p>
    <w:p w14:paraId="2FFCB0CD" w14:textId="773466C2"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Administration Programme achieved three out of four performance targets, which is an achiev</w:t>
      </w:r>
      <w:r w:rsidR="00F77B1F">
        <w:rPr>
          <w:rFonts w:ascii="Times New Roman" w:hAnsi="Times New Roman" w:cs="Times New Roman"/>
          <w:sz w:val="24"/>
          <w:szCs w:val="24"/>
        </w:rPr>
        <w:t>ement of 75%, showing a decline</w:t>
      </w:r>
      <w:r w:rsidRPr="00186396">
        <w:rPr>
          <w:rFonts w:ascii="Times New Roman" w:hAnsi="Times New Roman" w:cs="Times New Roman"/>
          <w:sz w:val="24"/>
          <w:szCs w:val="24"/>
        </w:rPr>
        <w:t xml:space="preserve"> when compared to the achievement of 83.3% in the previous financial year. The Programme did not manage to collect 72% of its revenue during the 2017/18 financial year, which placed a significant pressure on the budget. At year-end, the Authority had a net loss of R12.4 million.  </w:t>
      </w:r>
    </w:p>
    <w:p w14:paraId="0C176278" w14:textId="77777777" w:rsidR="00186396" w:rsidRPr="00186396" w:rsidRDefault="00186396" w:rsidP="0003779A">
      <w:pPr>
        <w:pStyle w:val="Heading3"/>
        <w:rPr>
          <w:rFonts w:ascii="Times New Roman" w:eastAsiaTheme="minorHAnsi" w:hAnsi="Times New Roman" w:cs="Times New Roman"/>
          <w:b w:val="0"/>
          <w:i w:val="0"/>
          <w:color w:val="auto"/>
          <w:sz w:val="24"/>
        </w:rPr>
      </w:pPr>
      <w:bookmarkStart w:id="4" w:name="_Toc526837268"/>
    </w:p>
    <w:p w14:paraId="78295FB2" w14:textId="77777777" w:rsidR="00F67E80" w:rsidRPr="009A1944" w:rsidRDefault="00F67E80" w:rsidP="0003779A">
      <w:pPr>
        <w:pStyle w:val="Heading3"/>
        <w:numPr>
          <w:ilvl w:val="2"/>
          <w:numId w:val="18"/>
        </w:numPr>
        <w:rPr>
          <w:rFonts w:ascii="Times New Roman" w:hAnsi="Times New Roman" w:cs="Times New Roman"/>
          <w:i w:val="0"/>
          <w:color w:val="auto"/>
          <w:sz w:val="24"/>
        </w:rPr>
      </w:pPr>
      <w:r w:rsidRPr="009A1944">
        <w:rPr>
          <w:rFonts w:ascii="Times New Roman" w:hAnsi="Times New Roman" w:cs="Times New Roman"/>
          <w:i w:val="0"/>
          <w:color w:val="auto"/>
          <w:sz w:val="24"/>
        </w:rPr>
        <w:t>Human resource management</w:t>
      </w:r>
      <w:bookmarkEnd w:id="4"/>
      <w:r w:rsidRPr="009A1944">
        <w:rPr>
          <w:rFonts w:ascii="Times New Roman" w:hAnsi="Times New Roman" w:cs="Times New Roman"/>
          <w:i w:val="0"/>
          <w:color w:val="auto"/>
          <w:sz w:val="24"/>
        </w:rPr>
        <w:t xml:space="preserve"> </w:t>
      </w:r>
    </w:p>
    <w:p w14:paraId="66492227" w14:textId="77777777" w:rsidR="00F67E80" w:rsidRPr="00186396" w:rsidRDefault="00F67E80" w:rsidP="0003779A">
      <w:pPr>
        <w:spacing w:after="0" w:line="280" w:lineRule="exact"/>
        <w:jc w:val="both"/>
        <w:rPr>
          <w:rFonts w:ascii="Times New Roman" w:hAnsi="Times New Roman" w:cs="Times New Roman"/>
          <w:sz w:val="24"/>
          <w:szCs w:val="24"/>
        </w:rPr>
      </w:pPr>
    </w:p>
    <w:p w14:paraId="1EB020FD"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At the end of March 2018, the PSIRA had 277 permanent staff members, which is an increase compared to the staff establishment of 265 in the 2016/17 financial year (in 2015/16, the staff establishment was 241). The Authority further has 14 staff members employed on a fixed</w:t>
      </w:r>
      <w:r w:rsidR="006B1075">
        <w:rPr>
          <w:rFonts w:ascii="Times New Roman" w:hAnsi="Times New Roman" w:cs="Times New Roman"/>
          <w:sz w:val="24"/>
          <w:szCs w:val="24"/>
        </w:rPr>
        <w:t xml:space="preserve"> term</w:t>
      </w:r>
    </w:p>
    <w:p w14:paraId="65EE562F" w14:textId="77777777" w:rsidR="00F67E80" w:rsidRDefault="00F67E80" w:rsidP="0003779A">
      <w:pPr>
        <w:spacing w:after="0" w:line="280" w:lineRule="exact"/>
        <w:jc w:val="both"/>
        <w:rPr>
          <w:rFonts w:ascii="Times New Roman" w:hAnsi="Times New Roman" w:cs="Times New Roman"/>
          <w:sz w:val="24"/>
          <w:szCs w:val="24"/>
        </w:rPr>
      </w:pPr>
      <w:proofErr w:type="gramStart"/>
      <w:r w:rsidRPr="00186396">
        <w:rPr>
          <w:rFonts w:ascii="Times New Roman" w:hAnsi="Times New Roman" w:cs="Times New Roman"/>
          <w:sz w:val="24"/>
          <w:szCs w:val="24"/>
        </w:rPr>
        <w:t>contract</w:t>
      </w:r>
      <w:proofErr w:type="gramEnd"/>
      <w:r w:rsidRPr="00186396">
        <w:rPr>
          <w:rFonts w:ascii="Times New Roman" w:hAnsi="Times New Roman" w:cs="Times New Roman"/>
          <w:sz w:val="24"/>
          <w:szCs w:val="24"/>
        </w:rPr>
        <w:t xml:space="preserve"> and 42 interns, most of which is located in the Law Enforcement Programme. In total, the Authority had 333 staff members as at the end of the 2017/18 financial year. </w:t>
      </w:r>
    </w:p>
    <w:p w14:paraId="036D45D5" w14:textId="77777777" w:rsidR="00186396" w:rsidRPr="00186396" w:rsidRDefault="00186396" w:rsidP="0003779A">
      <w:pPr>
        <w:spacing w:after="0" w:line="280" w:lineRule="exact"/>
        <w:jc w:val="both"/>
        <w:rPr>
          <w:rFonts w:ascii="Times New Roman" w:hAnsi="Times New Roman" w:cs="Times New Roman"/>
          <w:sz w:val="24"/>
          <w:szCs w:val="24"/>
        </w:rPr>
      </w:pPr>
    </w:p>
    <w:p w14:paraId="121CC06B" w14:textId="77777777" w:rsidR="00F67E80"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From the total 277 permanent personnel, 153 are employed in the Law Enforcement Programme (55%). Personnel expenditure comprised 52% of the total expenditure during the 2017/18 financial year. The Authority reported that salaries were increased by 7.5% across the board, with the exception of the Executives, whose packages were adjusted by 7.2%. </w:t>
      </w:r>
    </w:p>
    <w:p w14:paraId="740E79A6" w14:textId="77777777" w:rsidR="00186396" w:rsidRPr="00186396" w:rsidRDefault="00186396" w:rsidP="0003779A">
      <w:pPr>
        <w:spacing w:after="0" w:line="280" w:lineRule="exact"/>
        <w:jc w:val="both"/>
        <w:rPr>
          <w:rFonts w:ascii="Times New Roman" w:hAnsi="Times New Roman" w:cs="Times New Roman"/>
          <w:sz w:val="24"/>
          <w:szCs w:val="24"/>
        </w:rPr>
      </w:pPr>
    </w:p>
    <w:p w14:paraId="6A5DB8A8" w14:textId="77777777" w:rsidR="00F67E80"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As at 31 March 2018, the vacancy rate for the Authority was 5% overall. The Authority had a total of 15 vacant posts distributed across the three programmes (P1: 6; P2: 6; P3:3). </w:t>
      </w:r>
    </w:p>
    <w:p w14:paraId="2881FFD7" w14:textId="77777777" w:rsidR="00186396" w:rsidRPr="00186396" w:rsidRDefault="00186396" w:rsidP="0003779A">
      <w:pPr>
        <w:spacing w:after="0" w:line="280" w:lineRule="exact"/>
        <w:jc w:val="both"/>
        <w:rPr>
          <w:rFonts w:ascii="Times New Roman" w:hAnsi="Times New Roman" w:cs="Times New Roman"/>
          <w:sz w:val="24"/>
          <w:szCs w:val="24"/>
        </w:rPr>
      </w:pPr>
    </w:p>
    <w:p w14:paraId="1E40A9C8" w14:textId="46C8D789" w:rsidR="00F67E80"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At the start of the 2017/18 financial year, the Authority had 265 employees. During the year, 27 employees </w:t>
      </w:r>
      <w:r w:rsidR="00C957AD">
        <w:rPr>
          <w:rFonts w:ascii="Times New Roman" w:hAnsi="Times New Roman" w:cs="Times New Roman"/>
          <w:sz w:val="24"/>
          <w:szCs w:val="24"/>
        </w:rPr>
        <w:t>were appointed and 15 employees</w:t>
      </w:r>
      <w:r w:rsidRPr="00186396">
        <w:rPr>
          <w:rFonts w:ascii="Times New Roman" w:hAnsi="Times New Roman" w:cs="Times New Roman"/>
          <w:sz w:val="24"/>
          <w:szCs w:val="24"/>
        </w:rPr>
        <w:t xml:space="preserve"> left the employ of the Authority, of which 13 were resignations (76%). The Authority had an employee turnover rate of 4.3% during the 2017/18 financial year.  </w:t>
      </w:r>
    </w:p>
    <w:p w14:paraId="31BE2CDB" w14:textId="77777777" w:rsidR="00186396" w:rsidRPr="00186396" w:rsidRDefault="00186396" w:rsidP="0003779A">
      <w:pPr>
        <w:spacing w:after="0" w:line="280" w:lineRule="exact"/>
        <w:jc w:val="both"/>
        <w:rPr>
          <w:rFonts w:ascii="Times New Roman" w:hAnsi="Times New Roman" w:cs="Times New Roman"/>
          <w:sz w:val="24"/>
          <w:szCs w:val="24"/>
        </w:rPr>
      </w:pPr>
    </w:p>
    <w:p w14:paraId="67CBA72C" w14:textId="77777777" w:rsidR="00F67E80" w:rsidRPr="009A1944" w:rsidRDefault="00F67E80" w:rsidP="0003779A">
      <w:pPr>
        <w:pStyle w:val="ListParagraph"/>
        <w:numPr>
          <w:ilvl w:val="1"/>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 xml:space="preserve">Law Enforcement Programme </w:t>
      </w:r>
    </w:p>
    <w:p w14:paraId="0AD9261E" w14:textId="77777777" w:rsidR="00186396" w:rsidRDefault="00186396" w:rsidP="0003779A">
      <w:pPr>
        <w:spacing w:after="0" w:line="280" w:lineRule="exact"/>
        <w:jc w:val="both"/>
        <w:rPr>
          <w:rFonts w:ascii="Times New Roman" w:hAnsi="Times New Roman" w:cs="Times New Roman"/>
          <w:sz w:val="24"/>
          <w:szCs w:val="24"/>
        </w:rPr>
      </w:pPr>
    </w:p>
    <w:p w14:paraId="47980C4A" w14:textId="77777777" w:rsidR="001E7425"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Law Enforcement Programme achieved 100% of its seven predetermined performance targets at the end of the 2017/18 financial year. This is an improvement compared to the 83.3% achievement in the previous financial year.   </w:t>
      </w:r>
    </w:p>
    <w:p w14:paraId="2F1C3FFC" w14:textId="77777777" w:rsidR="00186396" w:rsidRPr="00186396" w:rsidRDefault="00186396" w:rsidP="0003779A">
      <w:pPr>
        <w:spacing w:after="0" w:line="280" w:lineRule="exact"/>
        <w:jc w:val="both"/>
        <w:rPr>
          <w:rFonts w:ascii="Times New Roman" w:hAnsi="Times New Roman" w:cs="Times New Roman"/>
          <w:sz w:val="24"/>
          <w:szCs w:val="24"/>
        </w:rPr>
      </w:pPr>
    </w:p>
    <w:p w14:paraId="69CF7CDD" w14:textId="77777777" w:rsidR="00F67E80" w:rsidRPr="009A1944" w:rsidRDefault="00F67E80" w:rsidP="0003779A">
      <w:pPr>
        <w:pStyle w:val="ListParagraph"/>
        <w:numPr>
          <w:ilvl w:val="2"/>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 xml:space="preserve">Law Enforcement Operational Report </w:t>
      </w:r>
    </w:p>
    <w:p w14:paraId="57F60DB7" w14:textId="77777777" w:rsidR="00F67E80" w:rsidRPr="00186396" w:rsidRDefault="00F67E80" w:rsidP="0003779A">
      <w:pPr>
        <w:spacing w:after="0" w:line="280" w:lineRule="exact"/>
        <w:jc w:val="both"/>
        <w:rPr>
          <w:rFonts w:ascii="Times New Roman" w:hAnsi="Times New Roman" w:cs="Times New Roman"/>
          <w:sz w:val="24"/>
          <w:szCs w:val="24"/>
        </w:rPr>
      </w:pPr>
    </w:p>
    <w:p w14:paraId="157900BF"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During the 2017/18 financial year, the Law Enforcement Programme conducted 40 692 compliance inspections of security service providers, which is a significant increase when compared to the 35 646 inspections conducted during the previous financial year. Of the 40 692 compliance inspections conducted - </w:t>
      </w:r>
    </w:p>
    <w:p w14:paraId="5E1E5C01" w14:textId="7FB294CB" w:rsidR="00F67E80" w:rsidRPr="00186396" w:rsidRDefault="00F67E80" w:rsidP="0003779A">
      <w:pPr>
        <w:pStyle w:val="ListParagraph"/>
        <w:numPr>
          <w:ilvl w:val="0"/>
          <w:numId w:val="4"/>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6 253 compliance inspections were conducted at security businesses compared to 6 001 inspections in the previous year</w:t>
      </w:r>
      <w:r w:rsidR="00C957AD">
        <w:rPr>
          <w:rFonts w:ascii="Times New Roman" w:hAnsi="Times New Roman" w:cs="Times New Roman"/>
          <w:sz w:val="24"/>
          <w:szCs w:val="24"/>
        </w:rPr>
        <w:t>;</w:t>
      </w:r>
      <w:r w:rsidRPr="00186396">
        <w:rPr>
          <w:rFonts w:ascii="Times New Roman" w:hAnsi="Times New Roman" w:cs="Times New Roman"/>
          <w:sz w:val="24"/>
          <w:szCs w:val="24"/>
        </w:rPr>
        <w:t xml:space="preserve"> and  </w:t>
      </w:r>
    </w:p>
    <w:p w14:paraId="4DBC6A2E" w14:textId="77777777" w:rsidR="00F67E80" w:rsidRPr="00186396" w:rsidRDefault="00F67E80" w:rsidP="0003779A">
      <w:pPr>
        <w:pStyle w:val="ListParagraph"/>
        <w:numPr>
          <w:ilvl w:val="0"/>
          <w:numId w:val="4"/>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34 439 compliance inspections were conducted of security officers deployed at different sites, compared to 29 645 inspections in the previous year.</w:t>
      </w:r>
    </w:p>
    <w:p w14:paraId="50423C0E" w14:textId="77777777" w:rsidR="00186396" w:rsidRDefault="00186396" w:rsidP="0003779A">
      <w:pPr>
        <w:spacing w:after="0" w:line="280" w:lineRule="exact"/>
        <w:jc w:val="both"/>
        <w:rPr>
          <w:rFonts w:ascii="Times New Roman" w:hAnsi="Times New Roman" w:cs="Times New Roman"/>
          <w:sz w:val="24"/>
          <w:szCs w:val="24"/>
        </w:rPr>
      </w:pPr>
    </w:p>
    <w:p w14:paraId="1806BAA8" w14:textId="77777777" w:rsidR="00F67E80" w:rsidRPr="00186396" w:rsidRDefault="00F67E8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During 2017/18, 314 inspections were conducted at small businesses, 1 341 inspections at large </w:t>
      </w:r>
      <w:proofErr w:type="gramStart"/>
      <w:r w:rsidRPr="00186396">
        <w:rPr>
          <w:rFonts w:ascii="Times New Roman" w:hAnsi="Times New Roman" w:cs="Times New Roman"/>
          <w:sz w:val="24"/>
          <w:szCs w:val="24"/>
        </w:rPr>
        <w:t>businesses</w:t>
      </w:r>
      <w:proofErr w:type="gramEnd"/>
      <w:r w:rsidRPr="00186396">
        <w:rPr>
          <w:rFonts w:ascii="Times New Roman" w:hAnsi="Times New Roman" w:cs="Times New Roman"/>
          <w:sz w:val="24"/>
          <w:szCs w:val="24"/>
        </w:rPr>
        <w:t xml:space="preserve"> and 696 inspections at medium-sized businesses. </w:t>
      </w:r>
    </w:p>
    <w:p w14:paraId="55338324"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Department has implemented targets for inspections for the different sectors (segmentation) of the industry. A total of 4 303 sector specific inspections were conducted in the following categories of security service providers:</w:t>
      </w:r>
    </w:p>
    <w:p w14:paraId="343ADA30"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Guarding: 3 318 </w:t>
      </w:r>
    </w:p>
    <w:p w14:paraId="50D142AC"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Electronic security: 284 </w:t>
      </w:r>
    </w:p>
    <w:p w14:paraId="06F79528"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Private investigator: 90 </w:t>
      </w:r>
    </w:p>
    <w:p w14:paraId="6321DCBF"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Training industry: 277</w:t>
      </w:r>
    </w:p>
    <w:p w14:paraId="251E7497"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Locksmith: 146</w:t>
      </w:r>
    </w:p>
    <w:p w14:paraId="1C6B793C" w14:textId="77777777" w:rsidR="008B4230" w:rsidRPr="00186396" w:rsidRDefault="008B4230" w:rsidP="0003779A">
      <w:pPr>
        <w:pStyle w:val="ListParagraph"/>
        <w:numPr>
          <w:ilvl w:val="0"/>
          <w:numId w:val="9"/>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In-house: 188  </w:t>
      </w:r>
    </w:p>
    <w:p w14:paraId="6216A4FF" w14:textId="77777777" w:rsidR="00186396" w:rsidRDefault="00186396" w:rsidP="0003779A">
      <w:pPr>
        <w:spacing w:after="0" w:line="280" w:lineRule="exact"/>
        <w:jc w:val="both"/>
        <w:rPr>
          <w:rFonts w:ascii="Times New Roman" w:hAnsi="Times New Roman" w:cs="Times New Roman"/>
          <w:sz w:val="24"/>
          <w:szCs w:val="24"/>
        </w:rPr>
      </w:pPr>
    </w:p>
    <w:p w14:paraId="0E25D786" w14:textId="6E21496E"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During the period 1 April 2017 to 31 March 2018, more investigations were finalised than in the previous financial year (2017/18</w:t>
      </w:r>
      <w:r w:rsidR="00440BB5">
        <w:rPr>
          <w:rFonts w:ascii="Times New Roman" w:hAnsi="Times New Roman" w:cs="Times New Roman"/>
          <w:sz w:val="24"/>
          <w:szCs w:val="24"/>
        </w:rPr>
        <w:t>: 3 144; 2016/17: 2 571). A</w:t>
      </w:r>
      <w:r w:rsidRPr="00186396">
        <w:rPr>
          <w:rFonts w:ascii="Times New Roman" w:hAnsi="Times New Roman" w:cs="Times New Roman"/>
          <w:sz w:val="24"/>
          <w:szCs w:val="24"/>
        </w:rPr>
        <w:t xml:space="preserve"> total of 2 350 improper conduct dockets against security businesses were compiled compared to 2 292 dockets in the previous year, of which 704 cases were pending against security service providers for allegations of failure to comply with the Private Security Sector Provident Fund.</w:t>
      </w:r>
    </w:p>
    <w:p w14:paraId="5CC9EA92" w14:textId="77777777" w:rsidR="00186396" w:rsidRPr="00186396" w:rsidRDefault="00186396" w:rsidP="0003779A">
      <w:pPr>
        <w:spacing w:after="0" w:line="280" w:lineRule="exact"/>
        <w:jc w:val="both"/>
        <w:rPr>
          <w:rFonts w:ascii="Times New Roman" w:hAnsi="Times New Roman" w:cs="Times New Roman"/>
          <w:sz w:val="24"/>
          <w:szCs w:val="24"/>
        </w:rPr>
      </w:pPr>
    </w:p>
    <w:p w14:paraId="4938DA66"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A total of 1 902 firearm application enquiries were received from the Central Firearm Registry (CFR) and finalised. This is an increase when compared to the 1 509 applications the previous year. Of the 1 902 processed, the CFR was informed that 551 of the applicants owed annual amounts or fines, 161 businesses did not report changes, 172 persons responsible for the firearms were not linked to the business or registered, 5 owners/ </w:t>
      </w:r>
      <w:r w:rsidRPr="00186396">
        <w:rPr>
          <w:rFonts w:ascii="Times New Roman" w:hAnsi="Times New Roman" w:cs="Times New Roman"/>
          <w:sz w:val="24"/>
          <w:szCs w:val="24"/>
        </w:rPr>
        <w:lastRenderedPageBreak/>
        <w:t xml:space="preserve">partners/members/directors were not registered and/or trained and 18 businesses were not registered. Some 995 applicants were cleared by the Authority for consideration by the CFR. During 2017/18, 1 324 firearm inspections were conducted. </w:t>
      </w:r>
    </w:p>
    <w:p w14:paraId="251F6275" w14:textId="77777777" w:rsidR="008B4230" w:rsidRPr="00186396" w:rsidRDefault="008B4230" w:rsidP="0003779A">
      <w:pPr>
        <w:spacing w:after="0" w:line="280" w:lineRule="exact"/>
        <w:jc w:val="both"/>
        <w:rPr>
          <w:rFonts w:ascii="Times New Roman" w:hAnsi="Times New Roman" w:cs="Times New Roman"/>
          <w:sz w:val="24"/>
          <w:szCs w:val="24"/>
        </w:rPr>
      </w:pPr>
    </w:p>
    <w:p w14:paraId="4010EF75"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A total number of 2 288 689 security officers were confirmed registered with PSIRA as at 31 March 2018 compared to the 2 365 782 reported in the 2016/2017 financial year (77 093 less), due to the withdrawal of officers deceased, in correctional services facilities and retired. </w:t>
      </w:r>
    </w:p>
    <w:p w14:paraId="64BF23E2"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There has been a decline of 6.06% in male registration and an increase of 2.46% in the registration of female security officers.</w:t>
      </w:r>
    </w:p>
    <w:p w14:paraId="13D080C7" w14:textId="77777777" w:rsidR="00186396" w:rsidRPr="00186396" w:rsidRDefault="00186396" w:rsidP="0003779A">
      <w:pPr>
        <w:spacing w:after="0" w:line="280" w:lineRule="exact"/>
        <w:jc w:val="both"/>
        <w:rPr>
          <w:rFonts w:ascii="Times New Roman" w:hAnsi="Times New Roman" w:cs="Times New Roman"/>
          <w:sz w:val="24"/>
          <w:szCs w:val="24"/>
        </w:rPr>
      </w:pPr>
    </w:p>
    <w:p w14:paraId="40E90671" w14:textId="77777777" w:rsidR="001E28BB"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There were 1 301 new security businesses registered during 2017/2018 compared to the new registrations of 1 376 reported in 2016/2017. The Authority reported that the decline is attributed to the annual fee increase and the ripple effects of a decline in economic growth.</w:t>
      </w:r>
    </w:p>
    <w:p w14:paraId="46A90713" w14:textId="77777777" w:rsidR="00186396" w:rsidRDefault="00186396" w:rsidP="0003779A">
      <w:pPr>
        <w:spacing w:after="0" w:line="280" w:lineRule="exact"/>
        <w:jc w:val="both"/>
        <w:rPr>
          <w:rFonts w:ascii="Times New Roman" w:hAnsi="Times New Roman" w:cs="Times New Roman"/>
          <w:sz w:val="24"/>
          <w:szCs w:val="24"/>
        </w:rPr>
      </w:pPr>
    </w:p>
    <w:p w14:paraId="5D813E90" w14:textId="77777777" w:rsidR="008B4230" w:rsidRPr="009A1944" w:rsidRDefault="008B4230" w:rsidP="0003779A">
      <w:pPr>
        <w:pStyle w:val="ListParagraph"/>
        <w:numPr>
          <w:ilvl w:val="1"/>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Communication, Training and Registration Programme</w:t>
      </w:r>
    </w:p>
    <w:p w14:paraId="424A1246" w14:textId="77777777" w:rsidR="00186396" w:rsidRDefault="00186396" w:rsidP="0003779A">
      <w:pPr>
        <w:spacing w:after="0" w:line="280" w:lineRule="exact"/>
        <w:jc w:val="both"/>
        <w:rPr>
          <w:rFonts w:ascii="Times New Roman" w:hAnsi="Times New Roman" w:cs="Times New Roman"/>
          <w:sz w:val="24"/>
          <w:szCs w:val="24"/>
        </w:rPr>
      </w:pPr>
    </w:p>
    <w:p w14:paraId="2EABD9DA"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Communication, Training and Registration Programme achieved eight out of 11 performance indicator targets, which is an achievement of 72.7%. The performance declined compared to the achievement of 90% on performance indicator targets. The Authority underperformed on the following three performance indicators:</w:t>
      </w:r>
    </w:p>
    <w:p w14:paraId="11D1528B" w14:textId="77777777" w:rsidR="008B4230" w:rsidRPr="00186396" w:rsidRDefault="008B4230" w:rsidP="0003779A">
      <w:pPr>
        <w:pStyle w:val="ListParagraph"/>
        <w:numPr>
          <w:ilvl w:val="0"/>
          <w:numId w:val="5"/>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An average turnaround of 17 average working days of applications for registration meeting all the requirements for security businesses was reached against the target of 15 average working days. This was due to an increase in the volume of applications for registration.</w:t>
      </w:r>
    </w:p>
    <w:p w14:paraId="265869E0" w14:textId="77777777" w:rsidR="008B4230" w:rsidRPr="00186396" w:rsidRDefault="008B4230" w:rsidP="0003779A">
      <w:pPr>
        <w:pStyle w:val="ListParagraph"/>
        <w:numPr>
          <w:ilvl w:val="0"/>
          <w:numId w:val="5"/>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Industry Registration </w:t>
      </w:r>
      <w:proofErr w:type="spellStart"/>
      <w:r w:rsidRPr="00186396">
        <w:rPr>
          <w:rFonts w:ascii="Times New Roman" w:hAnsi="Times New Roman" w:cs="Times New Roman"/>
          <w:sz w:val="24"/>
          <w:szCs w:val="24"/>
        </w:rPr>
        <w:t>subprogramme</w:t>
      </w:r>
      <w:proofErr w:type="spellEnd"/>
      <w:r w:rsidRPr="00186396">
        <w:rPr>
          <w:rFonts w:ascii="Times New Roman" w:hAnsi="Times New Roman" w:cs="Times New Roman"/>
          <w:sz w:val="24"/>
          <w:szCs w:val="24"/>
        </w:rPr>
        <w:t xml:space="preserve"> managed to achieve 39% training security service providers registered with PSIRA accredited for NQF qualifications against a target of 50%. The underachievement was reportedly due to the cumbersome accreditation process. </w:t>
      </w:r>
    </w:p>
    <w:p w14:paraId="28E285E0" w14:textId="08F14933" w:rsidR="008B4230" w:rsidRPr="00186396" w:rsidRDefault="008B4230" w:rsidP="0003779A">
      <w:pPr>
        <w:pStyle w:val="ListParagraph"/>
        <w:numPr>
          <w:ilvl w:val="0"/>
          <w:numId w:val="5"/>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Research and Development </w:t>
      </w:r>
      <w:proofErr w:type="spellStart"/>
      <w:r w:rsidRPr="00186396">
        <w:rPr>
          <w:rFonts w:ascii="Times New Roman" w:hAnsi="Times New Roman" w:cs="Times New Roman"/>
          <w:sz w:val="24"/>
          <w:szCs w:val="24"/>
        </w:rPr>
        <w:t>subprogramme</w:t>
      </w:r>
      <w:proofErr w:type="spellEnd"/>
      <w:r w:rsidRPr="00186396">
        <w:rPr>
          <w:rFonts w:ascii="Times New Roman" w:hAnsi="Times New Roman" w:cs="Times New Roman"/>
          <w:sz w:val="24"/>
          <w:szCs w:val="24"/>
        </w:rPr>
        <w:t xml:space="preserve"> did not establish the partnership as targeted for the 2017/18 financial year. The partnership concluded with UCT during the previous financial year was extended to the 2017/18 year. </w:t>
      </w:r>
    </w:p>
    <w:p w14:paraId="1536B181" w14:textId="77777777" w:rsidR="00186396" w:rsidRDefault="00186396" w:rsidP="0003779A">
      <w:pPr>
        <w:spacing w:after="0" w:line="280" w:lineRule="exact"/>
        <w:jc w:val="both"/>
        <w:rPr>
          <w:rFonts w:ascii="Times New Roman" w:hAnsi="Times New Roman" w:cs="Times New Roman"/>
          <w:sz w:val="24"/>
          <w:szCs w:val="24"/>
        </w:rPr>
      </w:pPr>
    </w:p>
    <w:p w14:paraId="6E444E25"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In 2017/18, there were 405 PSIRA accredited training centres, which is a 9.6% increase when compared to the 366 accredited training centres at the end of the previous financial year. The Authority reported that a total of 428 843 course reports were processed successfully during the 2017/18 financial year.</w:t>
      </w:r>
    </w:p>
    <w:p w14:paraId="4D76C8B1" w14:textId="77777777" w:rsidR="00186396" w:rsidRDefault="00186396" w:rsidP="0003779A">
      <w:pPr>
        <w:spacing w:after="0" w:line="280" w:lineRule="exact"/>
        <w:jc w:val="both"/>
        <w:rPr>
          <w:rFonts w:ascii="Times New Roman" w:hAnsi="Times New Roman" w:cs="Times New Roman"/>
          <w:sz w:val="24"/>
          <w:szCs w:val="24"/>
        </w:rPr>
      </w:pPr>
    </w:p>
    <w:p w14:paraId="60FE13D4" w14:textId="77777777" w:rsidR="008B4230" w:rsidRPr="00186396" w:rsidRDefault="008B4230"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Research and Development Unit undertook and finalised studies on the following:</w:t>
      </w:r>
    </w:p>
    <w:p w14:paraId="0E4B8A94" w14:textId="77777777" w:rsidR="008B4230" w:rsidRPr="00186396" w:rsidRDefault="008B4230" w:rsidP="0003779A">
      <w:pPr>
        <w:pStyle w:val="ListParagraph"/>
        <w:numPr>
          <w:ilvl w:val="0"/>
          <w:numId w:val="6"/>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Regulatory locksmith within the South African private security industry - “More than just a key cutter: The regulation of the locksmith industry”.</w:t>
      </w:r>
    </w:p>
    <w:p w14:paraId="03100C16" w14:textId="77777777" w:rsidR="008B4230" w:rsidRPr="00186396" w:rsidRDefault="008B4230" w:rsidP="0003779A">
      <w:pPr>
        <w:pStyle w:val="ListParagraph"/>
        <w:numPr>
          <w:ilvl w:val="0"/>
          <w:numId w:val="6"/>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Private investigation – “The private eye under the microscope: Towards effective regulations of the private investigation industry within the South African private security industry”.</w:t>
      </w:r>
    </w:p>
    <w:p w14:paraId="19AC63F0" w14:textId="77777777" w:rsidR="008B4230" w:rsidRPr="00186396" w:rsidRDefault="008B4230" w:rsidP="0003779A">
      <w:pPr>
        <w:pStyle w:val="ListParagraph"/>
        <w:numPr>
          <w:ilvl w:val="0"/>
          <w:numId w:val="6"/>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Goods in transit - “Armoured security: Regulating high-value goods in transit”.</w:t>
      </w:r>
    </w:p>
    <w:p w14:paraId="0582ADA8" w14:textId="77777777" w:rsidR="008B4230" w:rsidRPr="00186396" w:rsidRDefault="008B4230" w:rsidP="0003779A">
      <w:pPr>
        <w:pStyle w:val="ListParagraph"/>
        <w:numPr>
          <w:ilvl w:val="0"/>
          <w:numId w:val="6"/>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Armed response security sector in South Africa – “When duty calls: The armed response security sector in South Africa”.</w:t>
      </w:r>
    </w:p>
    <w:p w14:paraId="014CCABF" w14:textId="77777777" w:rsidR="008B4230" w:rsidRPr="00186396" w:rsidRDefault="008B4230" w:rsidP="0003779A">
      <w:pPr>
        <w:spacing w:after="0" w:line="280" w:lineRule="exact"/>
        <w:jc w:val="both"/>
        <w:rPr>
          <w:rFonts w:ascii="Times New Roman" w:hAnsi="Times New Roman" w:cs="Times New Roman"/>
          <w:sz w:val="24"/>
          <w:szCs w:val="24"/>
        </w:rPr>
      </w:pPr>
    </w:p>
    <w:p w14:paraId="7A0AA426" w14:textId="77777777" w:rsidR="001E28BB" w:rsidRPr="009A1944" w:rsidRDefault="001E28BB"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COMMITTEE OBSERVATIONS</w:t>
      </w:r>
    </w:p>
    <w:p w14:paraId="054850CD" w14:textId="77777777" w:rsidR="001E28BB" w:rsidRPr="00186396" w:rsidRDefault="001E28BB" w:rsidP="0003779A">
      <w:pPr>
        <w:spacing w:after="0" w:line="280" w:lineRule="exact"/>
        <w:jc w:val="both"/>
        <w:rPr>
          <w:rFonts w:ascii="Times New Roman" w:hAnsi="Times New Roman" w:cs="Times New Roman"/>
          <w:sz w:val="24"/>
          <w:szCs w:val="24"/>
        </w:rPr>
      </w:pPr>
    </w:p>
    <w:p w14:paraId="42508564" w14:textId="77777777" w:rsidR="001E28BB"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lastRenderedPageBreak/>
        <w:t xml:space="preserve">The Committee made the following </w:t>
      </w:r>
      <w:r w:rsidR="008E301B" w:rsidRPr="00186396">
        <w:rPr>
          <w:rFonts w:ascii="Times New Roman" w:hAnsi="Times New Roman" w:cs="Times New Roman"/>
          <w:sz w:val="24"/>
          <w:szCs w:val="24"/>
        </w:rPr>
        <w:t>key observations during the 2017/18</w:t>
      </w:r>
      <w:r w:rsidRPr="00186396">
        <w:rPr>
          <w:rFonts w:ascii="Times New Roman" w:hAnsi="Times New Roman" w:cs="Times New Roman"/>
          <w:sz w:val="24"/>
          <w:szCs w:val="24"/>
        </w:rPr>
        <w:t xml:space="preserve"> Annual Report hearing:</w:t>
      </w:r>
    </w:p>
    <w:p w14:paraId="261A1AA8" w14:textId="77777777" w:rsidR="00186396" w:rsidRPr="00186396" w:rsidRDefault="00186396" w:rsidP="0003779A">
      <w:pPr>
        <w:spacing w:after="0" w:line="280" w:lineRule="exact"/>
        <w:jc w:val="both"/>
        <w:rPr>
          <w:rFonts w:ascii="Times New Roman" w:hAnsi="Times New Roman" w:cs="Times New Roman"/>
          <w:sz w:val="24"/>
          <w:szCs w:val="24"/>
        </w:rPr>
      </w:pPr>
    </w:p>
    <w:p w14:paraId="28F24594" w14:textId="149284F4" w:rsidR="00A11D5B" w:rsidRDefault="007B2FBC"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Governance</w:t>
      </w:r>
      <w:r w:rsidR="008E301B" w:rsidRPr="00186396">
        <w:rPr>
          <w:rFonts w:ascii="Times New Roman" w:hAnsi="Times New Roman" w:cs="Times New Roman"/>
          <w:sz w:val="24"/>
          <w:szCs w:val="24"/>
        </w:rPr>
        <w:t xml:space="preserve">: </w:t>
      </w:r>
      <w:r w:rsidR="00170CDA" w:rsidRPr="00186396">
        <w:rPr>
          <w:rFonts w:ascii="Times New Roman" w:hAnsi="Times New Roman" w:cs="Times New Roman"/>
          <w:sz w:val="24"/>
          <w:szCs w:val="24"/>
        </w:rPr>
        <w:t xml:space="preserve"> </w:t>
      </w:r>
      <w:r w:rsidR="00067126" w:rsidRPr="00186396">
        <w:rPr>
          <w:rFonts w:ascii="Times New Roman" w:hAnsi="Times New Roman" w:cs="Times New Roman"/>
          <w:sz w:val="24"/>
          <w:szCs w:val="24"/>
        </w:rPr>
        <w:t>The Committee</w:t>
      </w:r>
      <w:r w:rsidR="001102E2" w:rsidRPr="00186396">
        <w:rPr>
          <w:rFonts w:ascii="Times New Roman" w:hAnsi="Times New Roman" w:cs="Times New Roman"/>
          <w:sz w:val="24"/>
          <w:szCs w:val="24"/>
        </w:rPr>
        <w:t xml:space="preserve"> </w:t>
      </w:r>
      <w:r w:rsidR="009B1FAB">
        <w:rPr>
          <w:rFonts w:ascii="Times New Roman" w:hAnsi="Times New Roman" w:cs="Times New Roman"/>
          <w:sz w:val="24"/>
          <w:szCs w:val="24"/>
        </w:rPr>
        <w:t xml:space="preserve">noted the </w:t>
      </w:r>
      <w:r w:rsidR="00845A52" w:rsidRPr="00186396">
        <w:rPr>
          <w:rFonts w:ascii="Times New Roman" w:hAnsi="Times New Roman" w:cs="Times New Roman"/>
          <w:sz w:val="24"/>
          <w:szCs w:val="24"/>
        </w:rPr>
        <w:t>concerns</w:t>
      </w:r>
      <w:r w:rsidR="00390F7F" w:rsidRPr="00186396">
        <w:rPr>
          <w:rFonts w:ascii="Times New Roman" w:hAnsi="Times New Roman" w:cs="Times New Roman"/>
          <w:sz w:val="24"/>
          <w:szCs w:val="24"/>
        </w:rPr>
        <w:t xml:space="preserve"> raised </w:t>
      </w:r>
      <w:r w:rsidR="00170CDA" w:rsidRPr="00186396">
        <w:rPr>
          <w:rFonts w:ascii="Times New Roman" w:hAnsi="Times New Roman" w:cs="Times New Roman"/>
          <w:sz w:val="24"/>
          <w:szCs w:val="24"/>
        </w:rPr>
        <w:t xml:space="preserve">by the </w:t>
      </w:r>
      <w:r w:rsidR="00740A4A">
        <w:rPr>
          <w:rFonts w:ascii="Times New Roman" w:hAnsi="Times New Roman" w:cs="Times New Roman"/>
          <w:sz w:val="24"/>
          <w:szCs w:val="24"/>
        </w:rPr>
        <w:t>AGSA</w:t>
      </w:r>
      <w:r w:rsidR="00170CDA" w:rsidRPr="00186396">
        <w:rPr>
          <w:rFonts w:ascii="Times New Roman" w:hAnsi="Times New Roman" w:cs="Times New Roman"/>
          <w:sz w:val="24"/>
          <w:szCs w:val="24"/>
        </w:rPr>
        <w:t xml:space="preserve"> </w:t>
      </w:r>
      <w:r w:rsidR="009B1FAB">
        <w:rPr>
          <w:rFonts w:ascii="Times New Roman" w:hAnsi="Times New Roman" w:cs="Times New Roman"/>
          <w:sz w:val="24"/>
          <w:szCs w:val="24"/>
        </w:rPr>
        <w:t xml:space="preserve">especially regarding the inadequacy of </w:t>
      </w:r>
      <w:r w:rsidR="00740A4A">
        <w:rPr>
          <w:rFonts w:ascii="Times New Roman" w:hAnsi="Times New Roman" w:cs="Times New Roman"/>
          <w:sz w:val="24"/>
          <w:szCs w:val="24"/>
        </w:rPr>
        <w:t>i</w:t>
      </w:r>
      <w:r w:rsidR="004D2F41" w:rsidRPr="00186396">
        <w:rPr>
          <w:rFonts w:ascii="Times New Roman" w:hAnsi="Times New Roman" w:cs="Times New Roman"/>
          <w:sz w:val="24"/>
          <w:szCs w:val="24"/>
        </w:rPr>
        <w:t xml:space="preserve">nternal </w:t>
      </w:r>
      <w:r w:rsidR="00740A4A">
        <w:rPr>
          <w:rFonts w:ascii="Times New Roman" w:hAnsi="Times New Roman" w:cs="Times New Roman"/>
          <w:sz w:val="24"/>
          <w:szCs w:val="24"/>
        </w:rPr>
        <w:t>c</w:t>
      </w:r>
      <w:r w:rsidR="004D2F41" w:rsidRPr="00186396">
        <w:rPr>
          <w:rFonts w:ascii="Times New Roman" w:hAnsi="Times New Roman" w:cs="Times New Roman"/>
          <w:sz w:val="24"/>
          <w:szCs w:val="24"/>
        </w:rPr>
        <w:t>ontrol</w:t>
      </w:r>
      <w:r w:rsidR="009B1FAB">
        <w:rPr>
          <w:rFonts w:ascii="Times New Roman" w:hAnsi="Times New Roman" w:cs="Times New Roman"/>
          <w:sz w:val="24"/>
          <w:szCs w:val="24"/>
        </w:rPr>
        <w:t xml:space="preserve"> mechanisms. </w:t>
      </w:r>
      <w:r w:rsidR="001102E2" w:rsidRPr="00186396">
        <w:rPr>
          <w:rFonts w:ascii="Times New Roman" w:hAnsi="Times New Roman" w:cs="Times New Roman"/>
          <w:sz w:val="24"/>
          <w:szCs w:val="24"/>
        </w:rPr>
        <w:t>The Committee</w:t>
      </w:r>
      <w:r w:rsidR="009C787C" w:rsidRPr="00186396">
        <w:rPr>
          <w:rFonts w:ascii="Times New Roman" w:hAnsi="Times New Roman" w:cs="Times New Roman"/>
          <w:sz w:val="24"/>
          <w:szCs w:val="24"/>
        </w:rPr>
        <w:t xml:space="preserve"> was of the view that </w:t>
      </w:r>
      <w:r w:rsidR="005625BB">
        <w:rPr>
          <w:rFonts w:ascii="Times New Roman" w:hAnsi="Times New Roman" w:cs="Times New Roman"/>
          <w:sz w:val="24"/>
          <w:szCs w:val="24"/>
        </w:rPr>
        <w:t xml:space="preserve">the implementation of these </w:t>
      </w:r>
      <w:r w:rsidR="002F2667" w:rsidRPr="00186396">
        <w:rPr>
          <w:rFonts w:ascii="Times New Roman" w:hAnsi="Times New Roman" w:cs="Times New Roman"/>
          <w:sz w:val="24"/>
          <w:szCs w:val="24"/>
        </w:rPr>
        <w:t xml:space="preserve">responsibilities </w:t>
      </w:r>
      <w:r w:rsidR="005625BB">
        <w:rPr>
          <w:rFonts w:ascii="Times New Roman" w:hAnsi="Times New Roman" w:cs="Times New Roman"/>
          <w:sz w:val="24"/>
          <w:szCs w:val="24"/>
        </w:rPr>
        <w:t xml:space="preserve">should have been prioritised </w:t>
      </w:r>
      <w:r w:rsidR="009C787C" w:rsidRPr="00186396">
        <w:rPr>
          <w:rFonts w:ascii="Times New Roman" w:hAnsi="Times New Roman" w:cs="Times New Roman"/>
          <w:sz w:val="24"/>
          <w:szCs w:val="24"/>
        </w:rPr>
        <w:t xml:space="preserve">by the </w:t>
      </w:r>
      <w:r w:rsidR="003735A1">
        <w:rPr>
          <w:rFonts w:ascii="Times New Roman" w:hAnsi="Times New Roman" w:cs="Times New Roman"/>
          <w:sz w:val="24"/>
          <w:szCs w:val="24"/>
        </w:rPr>
        <w:t>Council</w:t>
      </w:r>
      <w:r w:rsidR="005625BB">
        <w:rPr>
          <w:rFonts w:ascii="Times New Roman" w:hAnsi="Times New Roman" w:cs="Times New Roman"/>
          <w:sz w:val="24"/>
          <w:szCs w:val="24"/>
        </w:rPr>
        <w:t>,</w:t>
      </w:r>
      <w:r w:rsidR="003735A1">
        <w:rPr>
          <w:rFonts w:ascii="Times New Roman" w:hAnsi="Times New Roman" w:cs="Times New Roman"/>
          <w:sz w:val="24"/>
          <w:szCs w:val="24"/>
        </w:rPr>
        <w:t xml:space="preserve"> </w:t>
      </w:r>
      <w:r w:rsidR="009B1FAB">
        <w:rPr>
          <w:rFonts w:ascii="Times New Roman" w:hAnsi="Times New Roman" w:cs="Times New Roman"/>
          <w:sz w:val="24"/>
          <w:szCs w:val="24"/>
        </w:rPr>
        <w:t>as the Accounting Authority of PSIRA</w:t>
      </w:r>
      <w:r w:rsidR="003735A1">
        <w:rPr>
          <w:rFonts w:ascii="Times New Roman" w:hAnsi="Times New Roman" w:cs="Times New Roman"/>
          <w:sz w:val="24"/>
          <w:szCs w:val="24"/>
        </w:rPr>
        <w:t>.</w:t>
      </w:r>
      <w:r w:rsidR="009B1FAB">
        <w:rPr>
          <w:rFonts w:ascii="Times New Roman" w:hAnsi="Times New Roman" w:cs="Times New Roman"/>
          <w:sz w:val="24"/>
          <w:szCs w:val="24"/>
        </w:rPr>
        <w:t xml:space="preserve"> </w:t>
      </w:r>
      <w:r w:rsidR="00E35F20" w:rsidRPr="00186396">
        <w:rPr>
          <w:rFonts w:ascii="Times New Roman" w:hAnsi="Times New Roman" w:cs="Times New Roman"/>
          <w:sz w:val="24"/>
          <w:szCs w:val="24"/>
        </w:rPr>
        <w:t>The</w:t>
      </w:r>
      <w:r w:rsidR="009B1FAB">
        <w:rPr>
          <w:rFonts w:ascii="Times New Roman" w:hAnsi="Times New Roman" w:cs="Times New Roman"/>
          <w:sz w:val="24"/>
          <w:szCs w:val="24"/>
        </w:rPr>
        <w:t xml:space="preserve"> </w:t>
      </w:r>
      <w:r w:rsidR="003735A1">
        <w:rPr>
          <w:rFonts w:ascii="Times New Roman" w:hAnsi="Times New Roman" w:cs="Times New Roman"/>
          <w:sz w:val="24"/>
          <w:szCs w:val="24"/>
        </w:rPr>
        <w:t>Council</w:t>
      </w:r>
      <w:r w:rsidR="003735A1" w:rsidRPr="00186396">
        <w:rPr>
          <w:rFonts w:ascii="Times New Roman" w:hAnsi="Times New Roman" w:cs="Times New Roman"/>
          <w:sz w:val="24"/>
          <w:szCs w:val="24"/>
        </w:rPr>
        <w:t xml:space="preserve"> </w:t>
      </w:r>
      <w:r w:rsidR="00E35F20" w:rsidRPr="00186396">
        <w:rPr>
          <w:rFonts w:ascii="Times New Roman" w:hAnsi="Times New Roman" w:cs="Times New Roman"/>
          <w:sz w:val="24"/>
          <w:szCs w:val="24"/>
        </w:rPr>
        <w:t>indicated that it has noted al</w:t>
      </w:r>
      <w:r w:rsidR="00845A52" w:rsidRPr="00186396">
        <w:rPr>
          <w:rFonts w:ascii="Times New Roman" w:hAnsi="Times New Roman" w:cs="Times New Roman"/>
          <w:sz w:val="24"/>
          <w:szCs w:val="24"/>
        </w:rPr>
        <w:t>l issues raised by the AGSA</w:t>
      </w:r>
      <w:r w:rsidR="009B1FAB">
        <w:rPr>
          <w:rFonts w:ascii="Times New Roman" w:hAnsi="Times New Roman" w:cs="Times New Roman"/>
          <w:sz w:val="24"/>
          <w:szCs w:val="24"/>
        </w:rPr>
        <w:t xml:space="preserve"> regarding the deficiencies within its governance structure</w:t>
      </w:r>
      <w:r w:rsidR="00135201">
        <w:rPr>
          <w:rFonts w:ascii="Times New Roman" w:hAnsi="Times New Roman" w:cs="Times New Roman"/>
          <w:sz w:val="24"/>
          <w:szCs w:val="24"/>
        </w:rPr>
        <w:t xml:space="preserve"> and responsibilities</w:t>
      </w:r>
      <w:r w:rsidR="00845A52" w:rsidRPr="00186396">
        <w:rPr>
          <w:rFonts w:ascii="Times New Roman" w:hAnsi="Times New Roman" w:cs="Times New Roman"/>
          <w:sz w:val="24"/>
          <w:szCs w:val="24"/>
        </w:rPr>
        <w:t xml:space="preserve">. </w:t>
      </w:r>
      <w:r w:rsidR="00740A4A">
        <w:rPr>
          <w:rFonts w:ascii="Times New Roman" w:hAnsi="Times New Roman" w:cs="Times New Roman"/>
          <w:sz w:val="24"/>
          <w:szCs w:val="24"/>
        </w:rPr>
        <w:t xml:space="preserve">The </w:t>
      </w:r>
      <w:r w:rsidR="003735A1">
        <w:rPr>
          <w:rFonts w:ascii="Times New Roman" w:hAnsi="Times New Roman" w:cs="Times New Roman"/>
          <w:sz w:val="24"/>
          <w:szCs w:val="24"/>
        </w:rPr>
        <w:t xml:space="preserve">Council </w:t>
      </w:r>
      <w:r w:rsidR="004D2F41" w:rsidRPr="00186396">
        <w:rPr>
          <w:rFonts w:ascii="Times New Roman" w:hAnsi="Times New Roman" w:cs="Times New Roman"/>
          <w:sz w:val="24"/>
          <w:szCs w:val="24"/>
        </w:rPr>
        <w:t>further</w:t>
      </w:r>
      <w:r w:rsidR="00E35F20" w:rsidRPr="00186396">
        <w:rPr>
          <w:rFonts w:ascii="Times New Roman" w:hAnsi="Times New Roman" w:cs="Times New Roman"/>
          <w:sz w:val="24"/>
          <w:szCs w:val="24"/>
        </w:rPr>
        <w:t xml:space="preserve"> indicated </w:t>
      </w:r>
      <w:r w:rsidR="00F7709B" w:rsidRPr="00186396">
        <w:rPr>
          <w:rFonts w:ascii="Times New Roman" w:hAnsi="Times New Roman" w:cs="Times New Roman"/>
          <w:sz w:val="24"/>
          <w:szCs w:val="24"/>
        </w:rPr>
        <w:t xml:space="preserve">that </w:t>
      </w:r>
      <w:r w:rsidR="00837CAE">
        <w:rPr>
          <w:rFonts w:ascii="Times New Roman" w:hAnsi="Times New Roman" w:cs="Times New Roman"/>
          <w:sz w:val="24"/>
          <w:szCs w:val="24"/>
        </w:rPr>
        <w:t xml:space="preserve">several steps have been taken to address </w:t>
      </w:r>
      <w:r w:rsidR="00135201">
        <w:rPr>
          <w:rFonts w:ascii="Times New Roman" w:hAnsi="Times New Roman" w:cs="Times New Roman"/>
          <w:sz w:val="24"/>
          <w:szCs w:val="24"/>
        </w:rPr>
        <w:t xml:space="preserve">the </w:t>
      </w:r>
      <w:r w:rsidR="00837CAE">
        <w:rPr>
          <w:rFonts w:ascii="Times New Roman" w:hAnsi="Times New Roman" w:cs="Times New Roman"/>
          <w:sz w:val="24"/>
          <w:szCs w:val="24"/>
        </w:rPr>
        <w:t xml:space="preserve">deficiencies, amongst which was the </w:t>
      </w:r>
      <w:r w:rsidR="00F7709B" w:rsidRPr="00186396">
        <w:rPr>
          <w:rFonts w:ascii="Times New Roman" w:hAnsi="Times New Roman" w:cs="Times New Roman"/>
          <w:sz w:val="24"/>
          <w:szCs w:val="24"/>
        </w:rPr>
        <w:t xml:space="preserve">decision that </w:t>
      </w:r>
      <w:r w:rsidR="00837CAE">
        <w:rPr>
          <w:rFonts w:ascii="Times New Roman" w:hAnsi="Times New Roman" w:cs="Times New Roman"/>
          <w:sz w:val="24"/>
          <w:szCs w:val="24"/>
        </w:rPr>
        <w:t xml:space="preserve">the </w:t>
      </w:r>
      <w:r w:rsidR="003735A1">
        <w:rPr>
          <w:rFonts w:ascii="Times New Roman" w:hAnsi="Times New Roman" w:cs="Times New Roman"/>
          <w:sz w:val="24"/>
          <w:szCs w:val="24"/>
        </w:rPr>
        <w:t xml:space="preserve">Council </w:t>
      </w:r>
      <w:r w:rsidR="00837CAE">
        <w:rPr>
          <w:rFonts w:ascii="Times New Roman" w:hAnsi="Times New Roman" w:cs="Times New Roman"/>
          <w:sz w:val="24"/>
          <w:szCs w:val="24"/>
        </w:rPr>
        <w:t xml:space="preserve">should not have a </w:t>
      </w:r>
      <w:r w:rsidR="00E35F20" w:rsidRPr="00186396">
        <w:rPr>
          <w:rFonts w:ascii="Times New Roman" w:hAnsi="Times New Roman" w:cs="Times New Roman"/>
          <w:sz w:val="24"/>
          <w:szCs w:val="24"/>
        </w:rPr>
        <w:t>permanent Chairperson</w:t>
      </w:r>
      <w:r w:rsidR="00F77B1F">
        <w:rPr>
          <w:rFonts w:ascii="Times New Roman" w:hAnsi="Times New Roman" w:cs="Times New Roman"/>
          <w:sz w:val="24"/>
          <w:szCs w:val="24"/>
        </w:rPr>
        <w:t xml:space="preserve"> as in</w:t>
      </w:r>
      <w:r w:rsidR="00837CAE">
        <w:rPr>
          <w:rFonts w:ascii="Times New Roman" w:hAnsi="Times New Roman" w:cs="Times New Roman"/>
          <w:sz w:val="24"/>
          <w:szCs w:val="24"/>
        </w:rPr>
        <w:t xml:space="preserve"> the past</w:t>
      </w:r>
      <w:r w:rsidR="00E35F20" w:rsidRPr="00186396">
        <w:rPr>
          <w:rFonts w:ascii="Times New Roman" w:hAnsi="Times New Roman" w:cs="Times New Roman"/>
          <w:sz w:val="24"/>
          <w:szCs w:val="24"/>
        </w:rPr>
        <w:t xml:space="preserve">. </w:t>
      </w:r>
      <w:r w:rsidR="004D2F41" w:rsidRPr="00186396">
        <w:rPr>
          <w:rFonts w:ascii="Times New Roman" w:hAnsi="Times New Roman" w:cs="Times New Roman"/>
          <w:sz w:val="24"/>
          <w:szCs w:val="24"/>
        </w:rPr>
        <w:t xml:space="preserve">The </w:t>
      </w:r>
      <w:r w:rsidR="003735A1">
        <w:rPr>
          <w:rFonts w:ascii="Times New Roman" w:hAnsi="Times New Roman" w:cs="Times New Roman"/>
          <w:sz w:val="24"/>
          <w:szCs w:val="24"/>
        </w:rPr>
        <w:t xml:space="preserve">Council </w:t>
      </w:r>
      <w:r w:rsidR="005625BB">
        <w:rPr>
          <w:rFonts w:ascii="Times New Roman" w:hAnsi="Times New Roman" w:cs="Times New Roman"/>
          <w:sz w:val="24"/>
          <w:szCs w:val="24"/>
        </w:rPr>
        <w:t>indicate</w:t>
      </w:r>
      <w:r w:rsidR="00F063A1">
        <w:rPr>
          <w:rFonts w:ascii="Times New Roman" w:hAnsi="Times New Roman" w:cs="Times New Roman"/>
          <w:sz w:val="24"/>
          <w:szCs w:val="24"/>
        </w:rPr>
        <w:t>d</w:t>
      </w:r>
      <w:r w:rsidR="00135201">
        <w:rPr>
          <w:rFonts w:ascii="Times New Roman" w:hAnsi="Times New Roman" w:cs="Times New Roman"/>
          <w:sz w:val="24"/>
          <w:szCs w:val="24"/>
        </w:rPr>
        <w:t xml:space="preserve"> that it</w:t>
      </w:r>
      <w:r w:rsidR="005625BB">
        <w:rPr>
          <w:rFonts w:ascii="Times New Roman" w:hAnsi="Times New Roman" w:cs="Times New Roman"/>
          <w:sz w:val="24"/>
          <w:szCs w:val="24"/>
        </w:rPr>
        <w:t xml:space="preserve"> </w:t>
      </w:r>
      <w:r w:rsidR="003735A1">
        <w:rPr>
          <w:rFonts w:ascii="Times New Roman" w:hAnsi="Times New Roman" w:cs="Times New Roman"/>
          <w:sz w:val="24"/>
          <w:szCs w:val="24"/>
        </w:rPr>
        <w:t xml:space="preserve">will be in a position to report on further actions taken during the </w:t>
      </w:r>
      <w:r w:rsidR="004D2F41" w:rsidRPr="00186396">
        <w:rPr>
          <w:rFonts w:ascii="Times New Roman" w:hAnsi="Times New Roman" w:cs="Times New Roman"/>
          <w:sz w:val="24"/>
          <w:szCs w:val="24"/>
        </w:rPr>
        <w:t>next financial year</w:t>
      </w:r>
      <w:r w:rsidR="005625BB">
        <w:rPr>
          <w:rFonts w:ascii="Times New Roman" w:hAnsi="Times New Roman" w:cs="Times New Roman"/>
          <w:sz w:val="24"/>
          <w:szCs w:val="24"/>
        </w:rPr>
        <w:t xml:space="preserve"> to strengthen the effectiveness of the Council</w:t>
      </w:r>
      <w:r w:rsidR="003735A1">
        <w:rPr>
          <w:rFonts w:ascii="Times New Roman" w:hAnsi="Times New Roman" w:cs="Times New Roman"/>
          <w:sz w:val="24"/>
          <w:szCs w:val="24"/>
        </w:rPr>
        <w:t xml:space="preserve">. </w:t>
      </w:r>
      <w:r w:rsidR="00A11D5B" w:rsidRPr="00186396">
        <w:rPr>
          <w:rFonts w:ascii="Times New Roman" w:hAnsi="Times New Roman" w:cs="Times New Roman"/>
          <w:sz w:val="24"/>
          <w:szCs w:val="24"/>
        </w:rPr>
        <w:t xml:space="preserve">The Committee </w:t>
      </w:r>
      <w:r w:rsidR="00C864C3">
        <w:rPr>
          <w:rFonts w:ascii="Times New Roman" w:hAnsi="Times New Roman" w:cs="Times New Roman"/>
          <w:sz w:val="24"/>
          <w:szCs w:val="24"/>
        </w:rPr>
        <w:t>remained concerned about the effective</w:t>
      </w:r>
      <w:r w:rsidR="003735A1">
        <w:rPr>
          <w:rFonts w:ascii="Times New Roman" w:hAnsi="Times New Roman" w:cs="Times New Roman"/>
          <w:sz w:val="24"/>
          <w:szCs w:val="24"/>
        </w:rPr>
        <w:t xml:space="preserve"> function</w:t>
      </w:r>
      <w:r w:rsidR="00FF257F">
        <w:rPr>
          <w:rFonts w:ascii="Times New Roman" w:hAnsi="Times New Roman" w:cs="Times New Roman"/>
          <w:sz w:val="24"/>
          <w:szCs w:val="24"/>
        </w:rPr>
        <w:t xml:space="preserve">ing </w:t>
      </w:r>
      <w:r w:rsidR="00C864C3">
        <w:rPr>
          <w:rFonts w:ascii="Times New Roman" w:hAnsi="Times New Roman" w:cs="Times New Roman"/>
          <w:sz w:val="24"/>
          <w:szCs w:val="24"/>
        </w:rPr>
        <w:t>of the Board</w:t>
      </w:r>
      <w:r w:rsidR="003735A1">
        <w:rPr>
          <w:rFonts w:ascii="Times New Roman" w:hAnsi="Times New Roman" w:cs="Times New Roman"/>
          <w:sz w:val="24"/>
          <w:szCs w:val="24"/>
        </w:rPr>
        <w:t xml:space="preserve"> based on the adverse findings of the AGSA regarding </w:t>
      </w:r>
      <w:r w:rsidR="00135201">
        <w:rPr>
          <w:rFonts w:ascii="Times New Roman" w:hAnsi="Times New Roman" w:cs="Times New Roman"/>
          <w:sz w:val="24"/>
          <w:szCs w:val="24"/>
        </w:rPr>
        <w:t xml:space="preserve">the </w:t>
      </w:r>
      <w:r w:rsidR="003735A1">
        <w:rPr>
          <w:rFonts w:ascii="Times New Roman" w:hAnsi="Times New Roman" w:cs="Times New Roman"/>
          <w:sz w:val="24"/>
          <w:szCs w:val="24"/>
        </w:rPr>
        <w:t xml:space="preserve">inadequacies </w:t>
      </w:r>
      <w:r w:rsidR="00C864C3">
        <w:rPr>
          <w:rFonts w:ascii="Times New Roman" w:hAnsi="Times New Roman" w:cs="Times New Roman"/>
          <w:sz w:val="24"/>
          <w:szCs w:val="24"/>
        </w:rPr>
        <w:t xml:space="preserve">of the Accounting Authority. </w:t>
      </w:r>
    </w:p>
    <w:p w14:paraId="7164172E" w14:textId="77777777" w:rsidR="00186396" w:rsidRPr="00186396" w:rsidRDefault="00186396" w:rsidP="0003779A">
      <w:pPr>
        <w:spacing w:after="0" w:line="280" w:lineRule="exact"/>
        <w:jc w:val="both"/>
        <w:rPr>
          <w:rFonts w:ascii="Times New Roman" w:hAnsi="Times New Roman" w:cs="Times New Roman"/>
          <w:sz w:val="24"/>
          <w:szCs w:val="24"/>
        </w:rPr>
      </w:pPr>
    </w:p>
    <w:p w14:paraId="0D74BAA6" w14:textId="473F09BC" w:rsidR="000B5AFB" w:rsidRDefault="004D2F41"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Committee asked whether </w:t>
      </w:r>
      <w:r w:rsidR="000B5AFB" w:rsidRPr="00186396">
        <w:rPr>
          <w:rFonts w:ascii="Times New Roman" w:hAnsi="Times New Roman" w:cs="Times New Roman"/>
          <w:sz w:val="24"/>
          <w:szCs w:val="24"/>
        </w:rPr>
        <w:t xml:space="preserve">there were interactions between the </w:t>
      </w:r>
      <w:r w:rsidR="00EB64E7">
        <w:rPr>
          <w:rFonts w:ascii="Times New Roman" w:hAnsi="Times New Roman" w:cs="Times New Roman"/>
          <w:sz w:val="24"/>
          <w:szCs w:val="24"/>
        </w:rPr>
        <w:t>Council</w:t>
      </w:r>
      <w:r w:rsidR="00EB64E7" w:rsidRPr="00186396">
        <w:rPr>
          <w:rFonts w:ascii="Times New Roman" w:hAnsi="Times New Roman" w:cs="Times New Roman"/>
          <w:sz w:val="24"/>
          <w:szCs w:val="24"/>
        </w:rPr>
        <w:t xml:space="preserve"> </w:t>
      </w:r>
      <w:r w:rsidR="000B5AFB" w:rsidRPr="00186396">
        <w:rPr>
          <w:rFonts w:ascii="Times New Roman" w:hAnsi="Times New Roman" w:cs="Times New Roman"/>
          <w:sz w:val="24"/>
          <w:szCs w:val="24"/>
        </w:rPr>
        <w:t>and AGSA after the Authority received the report</w:t>
      </w:r>
      <w:r w:rsidR="00591BC0">
        <w:rPr>
          <w:rFonts w:ascii="Times New Roman" w:hAnsi="Times New Roman" w:cs="Times New Roman"/>
          <w:sz w:val="24"/>
          <w:szCs w:val="24"/>
        </w:rPr>
        <w:t xml:space="preserve"> to address adverse findings</w:t>
      </w:r>
      <w:r w:rsidR="000B5AFB" w:rsidRPr="00186396">
        <w:rPr>
          <w:rFonts w:ascii="Times New Roman" w:hAnsi="Times New Roman" w:cs="Times New Roman"/>
          <w:sz w:val="24"/>
          <w:szCs w:val="24"/>
        </w:rPr>
        <w:t xml:space="preserve">. </w:t>
      </w:r>
      <w:r w:rsidR="001E026A" w:rsidRPr="00186396">
        <w:rPr>
          <w:rFonts w:ascii="Times New Roman" w:hAnsi="Times New Roman" w:cs="Times New Roman"/>
          <w:sz w:val="24"/>
          <w:szCs w:val="24"/>
        </w:rPr>
        <w:t xml:space="preserve">The </w:t>
      </w:r>
      <w:r w:rsidR="002F7C87">
        <w:rPr>
          <w:rFonts w:ascii="Times New Roman" w:hAnsi="Times New Roman" w:cs="Times New Roman"/>
          <w:sz w:val="24"/>
          <w:szCs w:val="24"/>
        </w:rPr>
        <w:t>Council indicated that engagements with the AGSA took place prior to the finalisation of the audit report</w:t>
      </w:r>
      <w:r w:rsidR="009A763C">
        <w:rPr>
          <w:rFonts w:ascii="Times New Roman" w:hAnsi="Times New Roman" w:cs="Times New Roman"/>
          <w:sz w:val="24"/>
          <w:szCs w:val="24"/>
        </w:rPr>
        <w:t xml:space="preserve"> and that findings were discussed</w:t>
      </w:r>
      <w:r w:rsidR="002F7C87">
        <w:rPr>
          <w:rFonts w:ascii="Times New Roman" w:hAnsi="Times New Roman" w:cs="Times New Roman"/>
          <w:sz w:val="24"/>
          <w:szCs w:val="24"/>
        </w:rPr>
        <w:t xml:space="preserve">. </w:t>
      </w:r>
      <w:r w:rsidR="00E45B97">
        <w:rPr>
          <w:rFonts w:ascii="Times New Roman" w:hAnsi="Times New Roman" w:cs="Times New Roman"/>
          <w:sz w:val="24"/>
          <w:szCs w:val="24"/>
        </w:rPr>
        <w:t xml:space="preserve"> </w:t>
      </w:r>
      <w:r w:rsidR="000B5AFB" w:rsidRPr="00186396">
        <w:rPr>
          <w:rFonts w:ascii="Times New Roman" w:hAnsi="Times New Roman" w:cs="Times New Roman"/>
          <w:sz w:val="24"/>
          <w:szCs w:val="24"/>
        </w:rPr>
        <w:t xml:space="preserve">The Committee questioned whether the </w:t>
      </w:r>
      <w:r w:rsidR="007B2FBC">
        <w:rPr>
          <w:rFonts w:ascii="Times New Roman" w:hAnsi="Times New Roman" w:cs="Times New Roman"/>
          <w:sz w:val="24"/>
          <w:szCs w:val="24"/>
        </w:rPr>
        <w:t>Council</w:t>
      </w:r>
      <w:r w:rsidR="007B2FBC" w:rsidRPr="00186396">
        <w:rPr>
          <w:rFonts w:ascii="Times New Roman" w:hAnsi="Times New Roman" w:cs="Times New Roman"/>
          <w:sz w:val="24"/>
          <w:szCs w:val="24"/>
        </w:rPr>
        <w:t xml:space="preserve"> </w:t>
      </w:r>
      <w:r w:rsidR="000B5AFB" w:rsidRPr="00186396">
        <w:rPr>
          <w:rFonts w:ascii="Times New Roman" w:hAnsi="Times New Roman" w:cs="Times New Roman"/>
          <w:sz w:val="24"/>
          <w:szCs w:val="24"/>
        </w:rPr>
        <w:t xml:space="preserve">has evaluated the </w:t>
      </w:r>
      <w:r w:rsidR="000E0383">
        <w:rPr>
          <w:rFonts w:ascii="Times New Roman" w:hAnsi="Times New Roman" w:cs="Times New Roman"/>
          <w:sz w:val="24"/>
          <w:szCs w:val="24"/>
        </w:rPr>
        <w:t xml:space="preserve">audit finding and whether an audit action </w:t>
      </w:r>
      <w:proofErr w:type="gramStart"/>
      <w:r w:rsidR="000E0383">
        <w:rPr>
          <w:rFonts w:ascii="Times New Roman" w:hAnsi="Times New Roman" w:cs="Times New Roman"/>
          <w:sz w:val="24"/>
          <w:szCs w:val="24"/>
        </w:rPr>
        <w:t>plan</w:t>
      </w:r>
      <w:proofErr w:type="gramEnd"/>
      <w:r w:rsidR="000E0383">
        <w:rPr>
          <w:rFonts w:ascii="Times New Roman" w:hAnsi="Times New Roman" w:cs="Times New Roman"/>
          <w:sz w:val="24"/>
          <w:szCs w:val="24"/>
        </w:rPr>
        <w:t xml:space="preserve"> was developed to address</w:t>
      </w:r>
      <w:r w:rsidR="001E026A" w:rsidRPr="00186396">
        <w:rPr>
          <w:rFonts w:ascii="Times New Roman" w:hAnsi="Times New Roman" w:cs="Times New Roman"/>
          <w:sz w:val="24"/>
          <w:szCs w:val="24"/>
        </w:rPr>
        <w:t xml:space="preserve"> </w:t>
      </w:r>
      <w:r w:rsidR="000E0383">
        <w:rPr>
          <w:rFonts w:ascii="Times New Roman" w:hAnsi="Times New Roman" w:cs="Times New Roman"/>
          <w:sz w:val="24"/>
          <w:szCs w:val="24"/>
        </w:rPr>
        <w:t xml:space="preserve">the adverse findings. </w:t>
      </w:r>
      <w:r w:rsidR="001E026A" w:rsidRPr="00186396">
        <w:rPr>
          <w:rFonts w:ascii="Times New Roman" w:hAnsi="Times New Roman" w:cs="Times New Roman"/>
          <w:sz w:val="24"/>
          <w:szCs w:val="24"/>
        </w:rPr>
        <w:t xml:space="preserve">The </w:t>
      </w:r>
      <w:r w:rsidR="00135201">
        <w:rPr>
          <w:rFonts w:ascii="Times New Roman" w:hAnsi="Times New Roman" w:cs="Times New Roman"/>
          <w:sz w:val="24"/>
          <w:szCs w:val="24"/>
        </w:rPr>
        <w:t xml:space="preserve">Council </w:t>
      </w:r>
      <w:r w:rsidR="00D252F7" w:rsidRPr="00186396">
        <w:rPr>
          <w:rFonts w:ascii="Times New Roman" w:hAnsi="Times New Roman" w:cs="Times New Roman"/>
          <w:sz w:val="24"/>
          <w:szCs w:val="24"/>
        </w:rPr>
        <w:t>indicated that there was</w:t>
      </w:r>
      <w:r w:rsidR="001E026A" w:rsidRPr="00186396">
        <w:rPr>
          <w:rFonts w:ascii="Times New Roman" w:hAnsi="Times New Roman" w:cs="Times New Roman"/>
          <w:sz w:val="24"/>
          <w:szCs w:val="24"/>
        </w:rPr>
        <w:t xml:space="preserve"> an action plan</w:t>
      </w:r>
      <w:r w:rsidR="00D252F7" w:rsidRPr="00186396">
        <w:rPr>
          <w:rFonts w:ascii="Times New Roman" w:hAnsi="Times New Roman" w:cs="Times New Roman"/>
          <w:sz w:val="24"/>
          <w:szCs w:val="24"/>
        </w:rPr>
        <w:t xml:space="preserve"> </w:t>
      </w:r>
      <w:r w:rsidR="00CA55E9">
        <w:rPr>
          <w:rFonts w:ascii="Times New Roman" w:hAnsi="Times New Roman" w:cs="Times New Roman"/>
          <w:sz w:val="24"/>
          <w:szCs w:val="24"/>
        </w:rPr>
        <w:t xml:space="preserve">in place </w:t>
      </w:r>
      <w:r w:rsidR="001E026A" w:rsidRPr="00186396">
        <w:rPr>
          <w:rFonts w:ascii="Times New Roman" w:hAnsi="Times New Roman" w:cs="Times New Roman"/>
          <w:sz w:val="24"/>
          <w:szCs w:val="24"/>
        </w:rPr>
        <w:t xml:space="preserve">and </w:t>
      </w:r>
      <w:r w:rsidR="00CA55E9">
        <w:rPr>
          <w:rFonts w:ascii="Times New Roman" w:hAnsi="Times New Roman" w:cs="Times New Roman"/>
          <w:sz w:val="24"/>
          <w:szCs w:val="24"/>
        </w:rPr>
        <w:t xml:space="preserve">that it was confident that the plan will address the challenges highlighted by the AGSA. </w:t>
      </w:r>
    </w:p>
    <w:p w14:paraId="2CE0E9FA" w14:textId="0206B365" w:rsidR="00AC212D" w:rsidRDefault="00AC212D" w:rsidP="0003779A">
      <w:pPr>
        <w:spacing w:after="0" w:line="280" w:lineRule="exact"/>
        <w:jc w:val="both"/>
        <w:rPr>
          <w:rFonts w:ascii="Times New Roman" w:hAnsi="Times New Roman" w:cs="Times New Roman"/>
          <w:sz w:val="24"/>
          <w:szCs w:val="24"/>
        </w:rPr>
      </w:pPr>
    </w:p>
    <w:p w14:paraId="561CECAD" w14:textId="2E70083B" w:rsidR="00AC212D" w:rsidRDefault="007B2FBC" w:rsidP="0003779A">
      <w:pPr>
        <w:spacing w:after="0" w:line="280" w:lineRule="exact"/>
        <w:jc w:val="both"/>
        <w:rPr>
          <w:rFonts w:ascii="Times New Roman" w:hAnsi="Times New Roman" w:cs="Times New Roman"/>
          <w:sz w:val="24"/>
          <w:szCs w:val="24"/>
        </w:rPr>
      </w:pPr>
      <w:r w:rsidRPr="007B2FBC">
        <w:rPr>
          <w:rFonts w:ascii="Times New Roman" w:hAnsi="Times New Roman" w:cs="Times New Roman"/>
          <w:b/>
          <w:sz w:val="24"/>
          <w:szCs w:val="24"/>
        </w:rPr>
        <w:t xml:space="preserve">Audit query response times: </w:t>
      </w:r>
      <w:r w:rsidR="00AC212D">
        <w:rPr>
          <w:rFonts w:ascii="Times New Roman" w:hAnsi="Times New Roman" w:cs="Times New Roman"/>
          <w:sz w:val="24"/>
          <w:szCs w:val="24"/>
        </w:rPr>
        <w:t xml:space="preserve">The Committee questioned whether the Authority adheres to the timeframe given to respond to audit </w:t>
      </w:r>
      <w:r w:rsidR="001825E7">
        <w:rPr>
          <w:rFonts w:ascii="Times New Roman" w:hAnsi="Times New Roman" w:cs="Times New Roman"/>
          <w:sz w:val="24"/>
          <w:szCs w:val="24"/>
        </w:rPr>
        <w:t>queries</w:t>
      </w:r>
      <w:r w:rsidR="00AC212D">
        <w:rPr>
          <w:rFonts w:ascii="Times New Roman" w:hAnsi="Times New Roman" w:cs="Times New Roman"/>
          <w:sz w:val="24"/>
          <w:szCs w:val="24"/>
        </w:rPr>
        <w:t>. The Authority indicated that the three-day turnaround time was not met due to delays from regional offices. The Authority explained that registration forms are filed through Metro File and that files have to be manually retrieved to provide supporting evidence to the AGSA.</w:t>
      </w:r>
      <w:r w:rsidR="00CA2106">
        <w:rPr>
          <w:rFonts w:ascii="Times New Roman" w:hAnsi="Times New Roman" w:cs="Times New Roman"/>
          <w:sz w:val="24"/>
          <w:szCs w:val="24"/>
        </w:rPr>
        <w:t xml:space="preserve"> The Authority further indicated that in future the Enterprise Risk Plan will include the automation of these processes.</w:t>
      </w:r>
      <w:r w:rsidR="00AC212D">
        <w:rPr>
          <w:rFonts w:ascii="Times New Roman" w:hAnsi="Times New Roman" w:cs="Times New Roman"/>
          <w:sz w:val="24"/>
          <w:szCs w:val="24"/>
        </w:rPr>
        <w:t xml:space="preserve">  </w:t>
      </w:r>
    </w:p>
    <w:p w14:paraId="52293045" w14:textId="77777777" w:rsidR="00186396" w:rsidRPr="00186396" w:rsidRDefault="00186396" w:rsidP="0003779A">
      <w:pPr>
        <w:spacing w:after="0" w:line="280" w:lineRule="exact"/>
        <w:jc w:val="both"/>
        <w:rPr>
          <w:rFonts w:ascii="Times New Roman" w:hAnsi="Times New Roman" w:cs="Times New Roman"/>
          <w:sz w:val="24"/>
          <w:szCs w:val="24"/>
        </w:rPr>
      </w:pPr>
    </w:p>
    <w:p w14:paraId="681314E4" w14:textId="566BADA9" w:rsidR="00A75C71" w:rsidRPr="00186396" w:rsidRDefault="00067126"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 xml:space="preserve">Financial </w:t>
      </w:r>
      <w:r w:rsidR="002F7C87">
        <w:rPr>
          <w:rFonts w:ascii="Times New Roman" w:hAnsi="Times New Roman" w:cs="Times New Roman"/>
          <w:b/>
          <w:sz w:val="24"/>
          <w:szCs w:val="24"/>
        </w:rPr>
        <w:t>health</w:t>
      </w:r>
      <w:r w:rsidRPr="00186396">
        <w:rPr>
          <w:rFonts w:ascii="Times New Roman" w:hAnsi="Times New Roman" w:cs="Times New Roman"/>
          <w:b/>
          <w:sz w:val="24"/>
          <w:szCs w:val="24"/>
        </w:rPr>
        <w:t>:</w:t>
      </w:r>
      <w:r w:rsidR="008F1532" w:rsidRPr="00186396">
        <w:rPr>
          <w:rFonts w:ascii="Times New Roman" w:hAnsi="Times New Roman" w:cs="Times New Roman"/>
          <w:b/>
          <w:sz w:val="24"/>
          <w:szCs w:val="24"/>
        </w:rPr>
        <w:t xml:space="preserve"> </w:t>
      </w:r>
      <w:r w:rsidR="00856A10" w:rsidRPr="00186396">
        <w:rPr>
          <w:rFonts w:ascii="Times New Roman" w:hAnsi="Times New Roman" w:cs="Times New Roman"/>
          <w:sz w:val="24"/>
          <w:szCs w:val="24"/>
        </w:rPr>
        <w:t xml:space="preserve">The Committee highlighted the findings </w:t>
      </w:r>
      <w:r w:rsidR="00CA55E9">
        <w:rPr>
          <w:rFonts w:ascii="Times New Roman" w:hAnsi="Times New Roman" w:cs="Times New Roman"/>
          <w:sz w:val="24"/>
          <w:szCs w:val="24"/>
        </w:rPr>
        <w:t>made by</w:t>
      </w:r>
      <w:r w:rsidR="00856A10" w:rsidRPr="00186396">
        <w:rPr>
          <w:rFonts w:ascii="Times New Roman" w:hAnsi="Times New Roman" w:cs="Times New Roman"/>
          <w:sz w:val="24"/>
          <w:szCs w:val="24"/>
        </w:rPr>
        <w:t xml:space="preserve"> the AGSA </w:t>
      </w:r>
      <w:r w:rsidR="00CA55E9">
        <w:rPr>
          <w:rFonts w:ascii="Times New Roman" w:hAnsi="Times New Roman" w:cs="Times New Roman"/>
          <w:sz w:val="24"/>
          <w:szCs w:val="24"/>
        </w:rPr>
        <w:t xml:space="preserve">regarding the </w:t>
      </w:r>
      <w:r w:rsidR="00856A10" w:rsidRPr="00186396">
        <w:rPr>
          <w:rFonts w:ascii="Times New Roman" w:hAnsi="Times New Roman" w:cs="Times New Roman"/>
          <w:sz w:val="24"/>
          <w:szCs w:val="24"/>
        </w:rPr>
        <w:t xml:space="preserve">financial </w:t>
      </w:r>
      <w:r w:rsidR="00CA55E9">
        <w:rPr>
          <w:rFonts w:ascii="Times New Roman" w:hAnsi="Times New Roman" w:cs="Times New Roman"/>
          <w:sz w:val="24"/>
          <w:szCs w:val="24"/>
        </w:rPr>
        <w:t xml:space="preserve">sustainability </w:t>
      </w:r>
      <w:r w:rsidR="00856A10" w:rsidRPr="00186396">
        <w:rPr>
          <w:rFonts w:ascii="Times New Roman" w:hAnsi="Times New Roman" w:cs="Times New Roman"/>
          <w:sz w:val="24"/>
          <w:szCs w:val="24"/>
        </w:rPr>
        <w:t>of the Authority</w:t>
      </w:r>
      <w:r w:rsidR="00D252F7" w:rsidRPr="00186396">
        <w:rPr>
          <w:rFonts w:ascii="Times New Roman" w:hAnsi="Times New Roman" w:cs="Times New Roman"/>
          <w:sz w:val="24"/>
          <w:szCs w:val="24"/>
        </w:rPr>
        <w:t>.</w:t>
      </w:r>
      <w:r w:rsidR="00CA55E9">
        <w:rPr>
          <w:rFonts w:ascii="Times New Roman" w:hAnsi="Times New Roman" w:cs="Times New Roman"/>
          <w:sz w:val="24"/>
          <w:szCs w:val="24"/>
        </w:rPr>
        <w:t xml:space="preserve"> </w:t>
      </w:r>
      <w:r w:rsidR="000C688C" w:rsidRPr="00186396">
        <w:rPr>
          <w:rFonts w:ascii="Times New Roman" w:hAnsi="Times New Roman" w:cs="Times New Roman"/>
          <w:sz w:val="24"/>
          <w:szCs w:val="24"/>
        </w:rPr>
        <w:t xml:space="preserve">The Committee </w:t>
      </w:r>
      <w:r w:rsidR="00CA55E9">
        <w:rPr>
          <w:rFonts w:ascii="Times New Roman" w:hAnsi="Times New Roman" w:cs="Times New Roman"/>
          <w:sz w:val="24"/>
          <w:szCs w:val="24"/>
        </w:rPr>
        <w:t xml:space="preserve">expressed concern about the </w:t>
      </w:r>
      <w:r w:rsidR="000C688C" w:rsidRPr="00186396">
        <w:rPr>
          <w:rFonts w:ascii="Times New Roman" w:hAnsi="Times New Roman" w:cs="Times New Roman"/>
          <w:sz w:val="24"/>
          <w:szCs w:val="24"/>
        </w:rPr>
        <w:t>material</w:t>
      </w:r>
      <w:r w:rsidR="008F1532" w:rsidRPr="00186396">
        <w:rPr>
          <w:rFonts w:ascii="Times New Roman" w:hAnsi="Times New Roman" w:cs="Times New Roman"/>
          <w:sz w:val="24"/>
          <w:szCs w:val="24"/>
        </w:rPr>
        <w:t xml:space="preserve"> uncertainty </w:t>
      </w:r>
      <w:r w:rsidR="00CA55E9">
        <w:rPr>
          <w:rFonts w:ascii="Times New Roman" w:hAnsi="Times New Roman" w:cs="Times New Roman"/>
          <w:sz w:val="24"/>
          <w:szCs w:val="24"/>
        </w:rPr>
        <w:t>that was raised</w:t>
      </w:r>
      <w:r w:rsidR="006666FF">
        <w:rPr>
          <w:rFonts w:ascii="Times New Roman" w:hAnsi="Times New Roman" w:cs="Times New Roman"/>
          <w:sz w:val="24"/>
          <w:szCs w:val="24"/>
        </w:rPr>
        <w:t>, which puts the Authority’s ability to continue as a going concern</w:t>
      </w:r>
      <w:r w:rsidR="001825E7">
        <w:rPr>
          <w:rFonts w:ascii="Times New Roman" w:hAnsi="Times New Roman" w:cs="Times New Roman"/>
          <w:sz w:val="24"/>
          <w:szCs w:val="24"/>
        </w:rPr>
        <w:t xml:space="preserve"> into question</w:t>
      </w:r>
      <w:r w:rsidR="006666FF">
        <w:rPr>
          <w:rFonts w:ascii="Times New Roman" w:hAnsi="Times New Roman" w:cs="Times New Roman"/>
          <w:sz w:val="24"/>
          <w:szCs w:val="24"/>
        </w:rPr>
        <w:t>. The Authority incurred a</w:t>
      </w:r>
      <w:r w:rsidR="00F645BA">
        <w:rPr>
          <w:rFonts w:ascii="Times New Roman" w:hAnsi="Times New Roman" w:cs="Times New Roman"/>
          <w:sz w:val="24"/>
          <w:szCs w:val="24"/>
        </w:rPr>
        <w:t xml:space="preserve"> net loss of R12</w:t>
      </w:r>
      <w:r w:rsidR="00994E5B">
        <w:rPr>
          <w:rFonts w:ascii="Times New Roman" w:hAnsi="Times New Roman" w:cs="Times New Roman"/>
          <w:sz w:val="24"/>
          <w:szCs w:val="24"/>
        </w:rPr>
        <w:t>.4</w:t>
      </w:r>
      <w:r w:rsidR="00F645BA">
        <w:rPr>
          <w:rFonts w:ascii="Times New Roman" w:hAnsi="Times New Roman" w:cs="Times New Roman"/>
          <w:sz w:val="24"/>
          <w:szCs w:val="24"/>
        </w:rPr>
        <w:t xml:space="preserve"> million recorded at year-end</w:t>
      </w:r>
      <w:r w:rsidR="006666FF">
        <w:rPr>
          <w:rFonts w:ascii="Times New Roman" w:hAnsi="Times New Roman" w:cs="Times New Roman"/>
          <w:sz w:val="24"/>
          <w:szCs w:val="24"/>
        </w:rPr>
        <w:t xml:space="preserve"> and its current liabilities exceeded its current assets by R13.8 million.</w:t>
      </w:r>
      <w:r w:rsidR="00CA55E9">
        <w:rPr>
          <w:rFonts w:ascii="Times New Roman" w:hAnsi="Times New Roman" w:cs="Times New Roman"/>
          <w:sz w:val="24"/>
          <w:szCs w:val="24"/>
        </w:rPr>
        <w:t xml:space="preserve"> </w:t>
      </w:r>
      <w:r w:rsidR="006666FF">
        <w:rPr>
          <w:rFonts w:ascii="Times New Roman" w:hAnsi="Times New Roman" w:cs="Times New Roman"/>
          <w:sz w:val="24"/>
          <w:szCs w:val="24"/>
        </w:rPr>
        <w:t xml:space="preserve">One of the </w:t>
      </w:r>
      <w:r w:rsidR="008F1532" w:rsidRPr="00186396">
        <w:rPr>
          <w:rFonts w:ascii="Times New Roman" w:hAnsi="Times New Roman" w:cs="Times New Roman"/>
          <w:sz w:val="24"/>
          <w:szCs w:val="24"/>
        </w:rPr>
        <w:t>key concern</w:t>
      </w:r>
      <w:r w:rsidR="006666FF">
        <w:rPr>
          <w:rFonts w:ascii="Times New Roman" w:hAnsi="Times New Roman" w:cs="Times New Roman"/>
          <w:sz w:val="24"/>
          <w:szCs w:val="24"/>
        </w:rPr>
        <w:t>s</w:t>
      </w:r>
      <w:r w:rsidR="008F1532" w:rsidRPr="00186396">
        <w:rPr>
          <w:rFonts w:ascii="Times New Roman" w:hAnsi="Times New Roman" w:cs="Times New Roman"/>
          <w:sz w:val="24"/>
          <w:szCs w:val="24"/>
        </w:rPr>
        <w:t xml:space="preserve"> </w:t>
      </w:r>
      <w:r w:rsidR="006666FF">
        <w:rPr>
          <w:rFonts w:ascii="Times New Roman" w:hAnsi="Times New Roman" w:cs="Times New Roman"/>
          <w:sz w:val="24"/>
          <w:szCs w:val="24"/>
        </w:rPr>
        <w:t>raised by the AGSA</w:t>
      </w:r>
      <w:r w:rsidR="008F1532" w:rsidRPr="00186396">
        <w:rPr>
          <w:rFonts w:ascii="Times New Roman" w:hAnsi="Times New Roman" w:cs="Times New Roman"/>
          <w:sz w:val="24"/>
          <w:szCs w:val="24"/>
        </w:rPr>
        <w:t xml:space="preserve"> </w:t>
      </w:r>
      <w:r w:rsidR="009C787C" w:rsidRPr="00186396">
        <w:rPr>
          <w:rFonts w:ascii="Times New Roman" w:hAnsi="Times New Roman" w:cs="Times New Roman"/>
          <w:sz w:val="24"/>
          <w:szCs w:val="24"/>
        </w:rPr>
        <w:t>was about</w:t>
      </w:r>
      <w:r w:rsidR="008F1532" w:rsidRPr="00186396">
        <w:rPr>
          <w:rFonts w:ascii="Times New Roman" w:hAnsi="Times New Roman" w:cs="Times New Roman"/>
          <w:sz w:val="24"/>
          <w:szCs w:val="24"/>
        </w:rPr>
        <w:t xml:space="preserve"> </w:t>
      </w:r>
      <w:r w:rsidR="00856A10" w:rsidRPr="00186396">
        <w:rPr>
          <w:rFonts w:ascii="Times New Roman" w:hAnsi="Times New Roman" w:cs="Times New Roman"/>
          <w:sz w:val="24"/>
          <w:szCs w:val="24"/>
        </w:rPr>
        <w:t xml:space="preserve">the </w:t>
      </w:r>
      <w:r w:rsidR="002F7C87">
        <w:rPr>
          <w:rFonts w:ascii="Times New Roman" w:hAnsi="Times New Roman" w:cs="Times New Roman"/>
          <w:sz w:val="24"/>
          <w:szCs w:val="24"/>
        </w:rPr>
        <w:t xml:space="preserve">non-implementation of </w:t>
      </w:r>
      <w:r w:rsidR="007C3926" w:rsidRPr="00186396">
        <w:rPr>
          <w:rFonts w:ascii="Times New Roman" w:hAnsi="Times New Roman" w:cs="Times New Roman"/>
          <w:sz w:val="24"/>
          <w:szCs w:val="24"/>
        </w:rPr>
        <w:t>time</w:t>
      </w:r>
      <w:r w:rsidR="002F7C87">
        <w:rPr>
          <w:rFonts w:ascii="Times New Roman" w:hAnsi="Times New Roman" w:cs="Times New Roman"/>
          <w:sz w:val="24"/>
          <w:szCs w:val="24"/>
        </w:rPr>
        <w:t xml:space="preserve">ly </w:t>
      </w:r>
      <w:r w:rsidR="008F1532" w:rsidRPr="00186396">
        <w:rPr>
          <w:rFonts w:ascii="Times New Roman" w:hAnsi="Times New Roman" w:cs="Times New Roman"/>
          <w:sz w:val="24"/>
          <w:szCs w:val="24"/>
        </w:rPr>
        <w:t xml:space="preserve">remedial action </w:t>
      </w:r>
      <w:r w:rsidR="009C787C" w:rsidRPr="00186396">
        <w:rPr>
          <w:rFonts w:ascii="Times New Roman" w:hAnsi="Times New Roman" w:cs="Times New Roman"/>
          <w:sz w:val="24"/>
          <w:szCs w:val="24"/>
        </w:rPr>
        <w:t>to improve</w:t>
      </w:r>
      <w:r w:rsidR="008F1532" w:rsidRPr="00186396">
        <w:rPr>
          <w:rFonts w:ascii="Times New Roman" w:hAnsi="Times New Roman" w:cs="Times New Roman"/>
          <w:sz w:val="24"/>
          <w:szCs w:val="24"/>
        </w:rPr>
        <w:t xml:space="preserve"> the revenue management at PSIRA</w:t>
      </w:r>
      <w:r w:rsidR="002F7C87">
        <w:rPr>
          <w:rFonts w:ascii="Times New Roman" w:hAnsi="Times New Roman" w:cs="Times New Roman"/>
          <w:sz w:val="24"/>
          <w:szCs w:val="24"/>
        </w:rPr>
        <w:t>,</w:t>
      </w:r>
      <w:r w:rsidR="008F1532" w:rsidRPr="00186396">
        <w:rPr>
          <w:rFonts w:ascii="Times New Roman" w:hAnsi="Times New Roman" w:cs="Times New Roman"/>
          <w:sz w:val="24"/>
          <w:szCs w:val="24"/>
        </w:rPr>
        <w:t xml:space="preserve"> particularly </w:t>
      </w:r>
      <w:r w:rsidR="000C688C" w:rsidRPr="00186396">
        <w:rPr>
          <w:rFonts w:ascii="Times New Roman" w:hAnsi="Times New Roman" w:cs="Times New Roman"/>
          <w:sz w:val="24"/>
          <w:szCs w:val="24"/>
        </w:rPr>
        <w:t>focusing on de</w:t>
      </w:r>
      <w:r w:rsidR="007C3926" w:rsidRPr="00186396">
        <w:rPr>
          <w:rFonts w:ascii="Times New Roman" w:hAnsi="Times New Roman" w:cs="Times New Roman"/>
          <w:sz w:val="24"/>
          <w:szCs w:val="24"/>
        </w:rPr>
        <w:t xml:space="preserve">bt collect period and austerity measures. </w:t>
      </w:r>
      <w:r w:rsidR="002F7C87">
        <w:rPr>
          <w:rFonts w:ascii="Times New Roman" w:hAnsi="Times New Roman" w:cs="Times New Roman"/>
          <w:sz w:val="24"/>
          <w:szCs w:val="24"/>
        </w:rPr>
        <w:t xml:space="preserve">The Committee stated that assurances must be given regarding the financial viability model of the Authority. </w:t>
      </w:r>
      <w:r w:rsidR="00FF42CF" w:rsidRPr="00186396">
        <w:rPr>
          <w:rFonts w:ascii="Times New Roman" w:hAnsi="Times New Roman" w:cs="Times New Roman"/>
          <w:sz w:val="24"/>
          <w:szCs w:val="24"/>
        </w:rPr>
        <w:t>The Authority indicated that it had planned and budgeted</w:t>
      </w:r>
      <w:r w:rsidR="00D252F7" w:rsidRPr="00186396">
        <w:rPr>
          <w:rFonts w:ascii="Times New Roman" w:hAnsi="Times New Roman" w:cs="Times New Roman"/>
          <w:sz w:val="24"/>
          <w:szCs w:val="24"/>
        </w:rPr>
        <w:t xml:space="preserve"> for the items</w:t>
      </w:r>
      <w:r w:rsidR="000F31B9">
        <w:rPr>
          <w:rFonts w:ascii="Times New Roman" w:hAnsi="Times New Roman" w:cs="Times New Roman"/>
          <w:sz w:val="24"/>
          <w:szCs w:val="24"/>
        </w:rPr>
        <w:t xml:space="preserve"> and that austerity measures were put in place</w:t>
      </w:r>
      <w:r w:rsidR="00FF42CF" w:rsidRPr="00186396">
        <w:rPr>
          <w:rFonts w:ascii="Times New Roman" w:hAnsi="Times New Roman" w:cs="Times New Roman"/>
          <w:sz w:val="24"/>
          <w:szCs w:val="24"/>
        </w:rPr>
        <w:t>.</w:t>
      </w:r>
      <w:r w:rsidR="00D252F7" w:rsidRPr="00186396">
        <w:rPr>
          <w:rFonts w:ascii="Times New Roman" w:hAnsi="Times New Roman" w:cs="Times New Roman"/>
          <w:sz w:val="24"/>
          <w:szCs w:val="24"/>
        </w:rPr>
        <w:t xml:space="preserve"> </w:t>
      </w:r>
      <w:r w:rsidR="00604450" w:rsidRPr="00186396">
        <w:rPr>
          <w:rFonts w:ascii="Times New Roman" w:hAnsi="Times New Roman" w:cs="Times New Roman"/>
          <w:sz w:val="24"/>
          <w:szCs w:val="24"/>
        </w:rPr>
        <w:t xml:space="preserve">The </w:t>
      </w:r>
      <w:r w:rsidR="000F31B9">
        <w:rPr>
          <w:rFonts w:ascii="Times New Roman" w:hAnsi="Times New Roman" w:cs="Times New Roman"/>
          <w:sz w:val="24"/>
          <w:szCs w:val="24"/>
        </w:rPr>
        <w:t>shortfall</w:t>
      </w:r>
      <w:r w:rsidR="000F31B9" w:rsidRPr="00186396">
        <w:rPr>
          <w:rFonts w:ascii="Times New Roman" w:hAnsi="Times New Roman" w:cs="Times New Roman"/>
          <w:sz w:val="24"/>
          <w:szCs w:val="24"/>
        </w:rPr>
        <w:t xml:space="preserve"> </w:t>
      </w:r>
      <w:r w:rsidR="00604450" w:rsidRPr="00186396">
        <w:rPr>
          <w:rFonts w:ascii="Times New Roman" w:hAnsi="Times New Roman" w:cs="Times New Roman"/>
          <w:sz w:val="24"/>
          <w:szCs w:val="24"/>
        </w:rPr>
        <w:t>was caused by the deficiencies related</w:t>
      </w:r>
      <w:r w:rsidR="00FF42CF" w:rsidRPr="00186396">
        <w:rPr>
          <w:rFonts w:ascii="Times New Roman" w:hAnsi="Times New Roman" w:cs="Times New Roman"/>
          <w:sz w:val="24"/>
          <w:szCs w:val="24"/>
        </w:rPr>
        <w:t xml:space="preserve"> to technical </w:t>
      </w:r>
      <w:r w:rsidR="00512B6D" w:rsidRPr="00186396">
        <w:rPr>
          <w:rFonts w:ascii="Times New Roman" w:hAnsi="Times New Roman" w:cs="Times New Roman"/>
          <w:sz w:val="24"/>
          <w:szCs w:val="24"/>
        </w:rPr>
        <w:t xml:space="preserve">none cash items. </w:t>
      </w:r>
      <w:r w:rsidR="00FF42CF" w:rsidRPr="00186396">
        <w:rPr>
          <w:rFonts w:ascii="Times New Roman" w:hAnsi="Times New Roman" w:cs="Times New Roman"/>
          <w:sz w:val="24"/>
          <w:szCs w:val="24"/>
        </w:rPr>
        <w:t xml:space="preserve"> </w:t>
      </w:r>
    </w:p>
    <w:p w14:paraId="3F1566A4" w14:textId="77777777" w:rsidR="00186396" w:rsidRDefault="00186396" w:rsidP="0003779A">
      <w:pPr>
        <w:spacing w:after="0" w:line="280" w:lineRule="exact"/>
        <w:jc w:val="both"/>
        <w:rPr>
          <w:rFonts w:ascii="Times New Roman" w:hAnsi="Times New Roman" w:cs="Times New Roman"/>
          <w:b/>
          <w:sz w:val="24"/>
          <w:szCs w:val="24"/>
        </w:rPr>
      </w:pPr>
    </w:p>
    <w:p w14:paraId="74336B70" w14:textId="709C4787" w:rsidR="00A73A69" w:rsidRDefault="003868F9"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 xml:space="preserve">Revenue collection: </w:t>
      </w:r>
      <w:r w:rsidR="00EC0892">
        <w:rPr>
          <w:rFonts w:ascii="Times New Roman" w:hAnsi="Times New Roman" w:cs="Times New Roman"/>
          <w:sz w:val="24"/>
          <w:szCs w:val="24"/>
        </w:rPr>
        <w:t xml:space="preserve">The Committee requested the Authority to explain what steps have been implemented to address the </w:t>
      </w:r>
      <w:r w:rsidR="001825E7">
        <w:rPr>
          <w:rFonts w:ascii="Times New Roman" w:hAnsi="Times New Roman" w:cs="Times New Roman"/>
          <w:sz w:val="24"/>
          <w:szCs w:val="24"/>
        </w:rPr>
        <w:t xml:space="preserve">underperformance on the performance indicator and target to achieve the collection of 72% </w:t>
      </w:r>
      <w:r w:rsidR="00EC0892">
        <w:rPr>
          <w:rFonts w:ascii="Times New Roman" w:hAnsi="Times New Roman" w:cs="Times New Roman"/>
          <w:sz w:val="24"/>
          <w:szCs w:val="24"/>
        </w:rPr>
        <w:t xml:space="preserve">revenue. The Authority explained that the industry is currently segmented into small, medium and large companies and </w:t>
      </w:r>
      <w:proofErr w:type="gramStart"/>
      <w:r w:rsidR="00EC0892">
        <w:rPr>
          <w:rFonts w:ascii="Times New Roman" w:hAnsi="Times New Roman" w:cs="Times New Roman"/>
          <w:sz w:val="24"/>
          <w:szCs w:val="24"/>
        </w:rPr>
        <w:t>that companies</w:t>
      </w:r>
      <w:proofErr w:type="gramEnd"/>
      <w:r w:rsidR="00EC0892">
        <w:rPr>
          <w:rFonts w:ascii="Times New Roman" w:hAnsi="Times New Roman" w:cs="Times New Roman"/>
          <w:sz w:val="24"/>
          <w:szCs w:val="24"/>
        </w:rPr>
        <w:t xml:space="preserve"> pay annual fees </w:t>
      </w:r>
      <w:r w:rsidR="00834D70">
        <w:rPr>
          <w:rFonts w:ascii="Times New Roman" w:hAnsi="Times New Roman" w:cs="Times New Roman"/>
          <w:sz w:val="24"/>
          <w:szCs w:val="24"/>
        </w:rPr>
        <w:t xml:space="preserve">based </w:t>
      </w:r>
      <w:r w:rsidR="00EC0892">
        <w:rPr>
          <w:rFonts w:ascii="Times New Roman" w:hAnsi="Times New Roman" w:cs="Times New Roman"/>
          <w:sz w:val="24"/>
          <w:szCs w:val="24"/>
        </w:rPr>
        <w:t xml:space="preserve">on the number of </w:t>
      </w:r>
      <w:r w:rsidR="0092723C">
        <w:rPr>
          <w:rFonts w:ascii="Times New Roman" w:hAnsi="Times New Roman" w:cs="Times New Roman"/>
          <w:sz w:val="24"/>
          <w:szCs w:val="24"/>
        </w:rPr>
        <w:t xml:space="preserve">its </w:t>
      </w:r>
      <w:r w:rsidR="00EC0892">
        <w:rPr>
          <w:rFonts w:ascii="Times New Roman" w:hAnsi="Times New Roman" w:cs="Times New Roman"/>
          <w:sz w:val="24"/>
          <w:szCs w:val="24"/>
        </w:rPr>
        <w:t xml:space="preserve">employees. As such, companies must disclose the number of employees, but is often fraudulently disclosed to decrease the sum of annual fees paid. </w:t>
      </w:r>
      <w:r w:rsidR="00A73A69">
        <w:rPr>
          <w:rFonts w:ascii="Times New Roman" w:hAnsi="Times New Roman" w:cs="Times New Roman"/>
          <w:sz w:val="24"/>
          <w:szCs w:val="24"/>
        </w:rPr>
        <w:t xml:space="preserve">The Authority further indicated that the current funding model can no longer be sustained. As </w:t>
      </w:r>
      <w:r w:rsidR="00A73A69">
        <w:rPr>
          <w:rFonts w:ascii="Times New Roman" w:hAnsi="Times New Roman" w:cs="Times New Roman"/>
          <w:sz w:val="24"/>
          <w:szCs w:val="24"/>
        </w:rPr>
        <w:lastRenderedPageBreak/>
        <w:t xml:space="preserve">such, consultations have started with National Treasury and the Minister of Police to implement the </w:t>
      </w:r>
      <w:r w:rsidR="00A73A69" w:rsidRPr="00186396">
        <w:rPr>
          <w:rFonts w:ascii="Times New Roman" w:hAnsi="Times New Roman" w:cs="Times New Roman"/>
          <w:sz w:val="24"/>
          <w:szCs w:val="24"/>
        </w:rPr>
        <w:t>Private Security Industry Levies Act, 2002</w:t>
      </w:r>
      <w:r w:rsidR="00A73A69">
        <w:rPr>
          <w:rFonts w:ascii="Times New Roman" w:hAnsi="Times New Roman" w:cs="Times New Roman"/>
          <w:sz w:val="24"/>
          <w:szCs w:val="24"/>
        </w:rPr>
        <w:t xml:space="preserve">. The Minister of Police has written to the President to proclaim the implementation of the Act. The Civilian Secretariat for Police Service (CSPS) is also involved in the process, as the Act is a Money Act in terms of section 77 of the Constitution. </w:t>
      </w:r>
      <w:r w:rsidR="00802C3B">
        <w:rPr>
          <w:rFonts w:ascii="Times New Roman" w:hAnsi="Times New Roman" w:cs="Times New Roman"/>
          <w:sz w:val="24"/>
          <w:szCs w:val="24"/>
        </w:rPr>
        <w:t xml:space="preserve">The Act allows the Authority to bill companies on its revenue </w:t>
      </w:r>
      <w:r w:rsidR="00A45C86">
        <w:rPr>
          <w:rFonts w:ascii="Times New Roman" w:hAnsi="Times New Roman" w:cs="Times New Roman"/>
          <w:sz w:val="24"/>
          <w:szCs w:val="24"/>
        </w:rPr>
        <w:t xml:space="preserve">and no longer on the number of employees. The Authority stated that there </w:t>
      </w:r>
      <w:r w:rsidR="00F77B1F">
        <w:rPr>
          <w:rFonts w:ascii="Times New Roman" w:hAnsi="Times New Roman" w:cs="Times New Roman"/>
          <w:sz w:val="24"/>
          <w:szCs w:val="24"/>
        </w:rPr>
        <w:t>are</w:t>
      </w:r>
      <w:r w:rsidR="00A45C86">
        <w:rPr>
          <w:rFonts w:ascii="Times New Roman" w:hAnsi="Times New Roman" w:cs="Times New Roman"/>
          <w:sz w:val="24"/>
          <w:szCs w:val="24"/>
        </w:rPr>
        <w:t xml:space="preserve"> more small</w:t>
      </w:r>
      <w:r w:rsidR="0092723C">
        <w:rPr>
          <w:rFonts w:ascii="Times New Roman" w:hAnsi="Times New Roman" w:cs="Times New Roman"/>
          <w:sz w:val="24"/>
          <w:szCs w:val="24"/>
        </w:rPr>
        <w:t xml:space="preserve"> companies</w:t>
      </w:r>
      <w:r w:rsidR="00A45C86">
        <w:rPr>
          <w:rFonts w:ascii="Times New Roman" w:hAnsi="Times New Roman" w:cs="Times New Roman"/>
          <w:sz w:val="24"/>
          <w:szCs w:val="24"/>
        </w:rPr>
        <w:t xml:space="preserve"> than large companies and that the small companies are currently funding the regulation of the private security industry.</w:t>
      </w:r>
      <w:r w:rsidR="00A73A69">
        <w:rPr>
          <w:rFonts w:ascii="Times New Roman" w:hAnsi="Times New Roman" w:cs="Times New Roman"/>
          <w:sz w:val="24"/>
          <w:szCs w:val="24"/>
        </w:rPr>
        <w:t xml:space="preserve"> </w:t>
      </w:r>
      <w:r w:rsidR="0033021E">
        <w:rPr>
          <w:rFonts w:ascii="Times New Roman" w:hAnsi="Times New Roman" w:cs="Times New Roman"/>
          <w:sz w:val="24"/>
          <w:szCs w:val="24"/>
        </w:rPr>
        <w:t xml:space="preserve">This approach will also assist in the transformation of the industry to allow new entries in the market to compete fairly with large companies.  </w:t>
      </w:r>
    </w:p>
    <w:p w14:paraId="1B8D122B" w14:textId="5C803822" w:rsidR="00994E5B" w:rsidRDefault="00A73A69"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EC0892">
        <w:rPr>
          <w:rFonts w:ascii="Times New Roman" w:hAnsi="Times New Roman" w:cs="Times New Roman"/>
          <w:sz w:val="24"/>
          <w:szCs w:val="24"/>
        </w:rPr>
        <w:t xml:space="preserve">  </w:t>
      </w:r>
      <w:r w:rsidR="006666FF">
        <w:rPr>
          <w:rFonts w:ascii="Times New Roman" w:hAnsi="Times New Roman" w:cs="Times New Roman"/>
          <w:sz w:val="24"/>
          <w:szCs w:val="24"/>
        </w:rPr>
        <w:t xml:space="preserve"> </w:t>
      </w:r>
      <w:r w:rsidR="00994E5B">
        <w:rPr>
          <w:rFonts w:ascii="Times New Roman" w:hAnsi="Times New Roman" w:cs="Times New Roman"/>
          <w:sz w:val="24"/>
          <w:szCs w:val="24"/>
        </w:rPr>
        <w:t xml:space="preserve"> </w:t>
      </w:r>
    </w:p>
    <w:p w14:paraId="583FED68" w14:textId="1061EC7C" w:rsidR="00BB0B49" w:rsidRPr="00BB0B49" w:rsidRDefault="000D103A"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 xml:space="preserve">Debt </w:t>
      </w:r>
      <w:r w:rsidR="00BE6E62">
        <w:rPr>
          <w:rFonts w:ascii="Times New Roman" w:hAnsi="Times New Roman" w:cs="Times New Roman"/>
          <w:b/>
          <w:sz w:val="24"/>
          <w:szCs w:val="24"/>
        </w:rPr>
        <w:t>c</w:t>
      </w:r>
      <w:r w:rsidRPr="00186396">
        <w:rPr>
          <w:rFonts w:ascii="Times New Roman" w:hAnsi="Times New Roman" w:cs="Times New Roman"/>
          <w:b/>
          <w:sz w:val="24"/>
          <w:szCs w:val="24"/>
        </w:rPr>
        <w:t xml:space="preserve">ollection: </w:t>
      </w:r>
      <w:r w:rsidRPr="00186396">
        <w:rPr>
          <w:rFonts w:ascii="Times New Roman" w:hAnsi="Times New Roman" w:cs="Times New Roman"/>
          <w:sz w:val="24"/>
          <w:szCs w:val="24"/>
        </w:rPr>
        <w:t xml:space="preserve">The Committee </w:t>
      </w:r>
      <w:r w:rsidR="00CA55E9">
        <w:rPr>
          <w:rFonts w:ascii="Times New Roman" w:hAnsi="Times New Roman" w:cs="Times New Roman"/>
          <w:sz w:val="24"/>
          <w:szCs w:val="24"/>
        </w:rPr>
        <w:t xml:space="preserve">raised concern about the ongoing challenge </w:t>
      </w:r>
      <w:r w:rsidR="00E8419A">
        <w:rPr>
          <w:rFonts w:ascii="Times New Roman" w:hAnsi="Times New Roman" w:cs="Times New Roman"/>
          <w:sz w:val="24"/>
          <w:szCs w:val="24"/>
        </w:rPr>
        <w:t>experienced in the collection of debt</w:t>
      </w:r>
      <w:r w:rsidR="00BE6E62">
        <w:rPr>
          <w:rFonts w:ascii="Times New Roman" w:hAnsi="Times New Roman" w:cs="Times New Roman"/>
          <w:sz w:val="24"/>
          <w:szCs w:val="24"/>
        </w:rPr>
        <w:t xml:space="preserve">, which led to an increase in the </w:t>
      </w:r>
      <w:r w:rsidR="00FA5F4A">
        <w:rPr>
          <w:rFonts w:ascii="Times New Roman" w:hAnsi="Times New Roman" w:cs="Times New Roman"/>
          <w:sz w:val="24"/>
          <w:szCs w:val="24"/>
        </w:rPr>
        <w:t xml:space="preserve">debt </w:t>
      </w:r>
      <w:r w:rsidR="00BE6E62">
        <w:rPr>
          <w:rFonts w:ascii="Times New Roman" w:hAnsi="Times New Roman" w:cs="Times New Roman"/>
          <w:sz w:val="24"/>
          <w:szCs w:val="24"/>
        </w:rPr>
        <w:t>impairment of the Authority from R44.3 million in 2016/17 to R55.7 million in 2017/18. This has been a matter of emphasis since 2015.</w:t>
      </w:r>
      <w:r w:rsidR="0092723C">
        <w:rPr>
          <w:rFonts w:ascii="Times New Roman" w:hAnsi="Times New Roman" w:cs="Times New Roman"/>
          <w:sz w:val="24"/>
          <w:szCs w:val="24"/>
        </w:rPr>
        <w:t xml:space="preserve"> </w:t>
      </w:r>
      <w:r w:rsidR="0031373A" w:rsidRPr="00186396">
        <w:rPr>
          <w:rFonts w:ascii="Times New Roman" w:hAnsi="Times New Roman" w:cs="Times New Roman"/>
          <w:sz w:val="24"/>
          <w:szCs w:val="24"/>
        </w:rPr>
        <w:t>T</w:t>
      </w:r>
      <w:r w:rsidR="00617DF4" w:rsidRPr="00186396">
        <w:rPr>
          <w:rFonts w:ascii="Times New Roman" w:hAnsi="Times New Roman" w:cs="Times New Roman"/>
          <w:sz w:val="24"/>
          <w:szCs w:val="24"/>
        </w:rPr>
        <w:t>he Authority</w:t>
      </w:r>
      <w:r w:rsidR="0015627A" w:rsidRPr="00186396">
        <w:rPr>
          <w:rFonts w:ascii="Times New Roman" w:hAnsi="Times New Roman" w:cs="Times New Roman"/>
          <w:sz w:val="24"/>
          <w:szCs w:val="24"/>
        </w:rPr>
        <w:t xml:space="preserve"> </w:t>
      </w:r>
      <w:r w:rsidR="00B500D7">
        <w:rPr>
          <w:rFonts w:ascii="Times New Roman" w:hAnsi="Times New Roman" w:cs="Times New Roman"/>
          <w:sz w:val="24"/>
          <w:szCs w:val="24"/>
        </w:rPr>
        <w:t xml:space="preserve">was requested to </w:t>
      </w:r>
      <w:r w:rsidR="0015627A" w:rsidRPr="00186396">
        <w:rPr>
          <w:rFonts w:ascii="Times New Roman" w:hAnsi="Times New Roman" w:cs="Times New Roman"/>
          <w:sz w:val="24"/>
          <w:szCs w:val="24"/>
        </w:rPr>
        <w:t xml:space="preserve">explain why it was </w:t>
      </w:r>
      <w:r w:rsidR="00617DF4" w:rsidRPr="00186396">
        <w:rPr>
          <w:rFonts w:ascii="Times New Roman" w:hAnsi="Times New Roman" w:cs="Times New Roman"/>
          <w:sz w:val="24"/>
          <w:szCs w:val="24"/>
        </w:rPr>
        <w:t>experiencing</w:t>
      </w:r>
      <w:r w:rsidR="00B500D7">
        <w:rPr>
          <w:rFonts w:ascii="Times New Roman" w:hAnsi="Times New Roman" w:cs="Times New Roman"/>
          <w:sz w:val="24"/>
          <w:szCs w:val="24"/>
        </w:rPr>
        <w:t xml:space="preserve"> continuous</w:t>
      </w:r>
      <w:r w:rsidR="00617DF4" w:rsidRPr="00186396">
        <w:rPr>
          <w:rFonts w:ascii="Times New Roman" w:hAnsi="Times New Roman" w:cs="Times New Roman"/>
          <w:sz w:val="24"/>
          <w:szCs w:val="24"/>
        </w:rPr>
        <w:t xml:space="preserve"> challenges in collecting money from</w:t>
      </w:r>
      <w:r w:rsidR="0015627A" w:rsidRPr="00186396">
        <w:rPr>
          <w:rFonts w:ascii="Times New Roman" w:hAnsi="Times New Roman" w:cs="Times New Roman"/>
          <w:sz w:val="24"/>
          <w:szCs w:val="24"/>
        </w:rPr>
        <w:t xml:space="preserve"> the debtors</w:t>
      </w:r>
      <w:r w:rsidR="00617DF4" w:rsidRPr="00186396">
        <w:rPr>
          <w:rFonts w:ascii="Times New Roman" w:hAnsi="Times New Roman" w:cs="Times New Roman"/>
          <w:sz w:val="24"/>
          <w:szCs w:val="24"/>
        </w:rPr>
        <w:t xml:space="preserve">. </w:t>
      </w:r>
      <w:r w:rsidR="0092723C">
        <w:rPr>
          <w:rFonts w:ascii="Times New Roman" w:hAnsi="Times New Roman" w:cs="Times New Roman"/>
          <w:sz w:val="24"/>
          <w:szCs w:val="24"/>
        </w:rPr>
        <w:t>The Authority</w:t>
      </w:r>
      <w:r w:rsidR="00617DF4" w:rsidRPr="00186396">
        <w:rPr>
          <w:rFonts w:ascii="Times New Roman" w:hAnsi="Times New Roman" w:cs="Times New Roman"/>
          <w:sz w:val="24"/>
          <w:szCs w:val="24"/>
        </w:rPr>
        <w:t xml:space="preserve"> noted that </w:t>
      </w:r>
      <w:r w:rsidR="00B500D7">
        <w:rPr>
          <w:rFonts w:ascii="Times New Roman" w:hAnsi="Times New Roman" w:cs="Times New Roman"/>
          <w:sz w:val="24"/>
          <w:szCs w:val="24"/>
        </w:rPr>
        <w:t xml:space="preserve">most of the debt is from small businesses that find it hard to pay the annual fees and that this will be addressed through the implementation of the Levies Act, as </w:t>
      </w:r>
      <w:r w:rsidR="00A31597">
        <w:rPr>
          <w:rFonts w:ascii="Times New Roman" w:hAnsi="Times New Roman" w:cs="Times New Roman"/>
          <w:sz w:val="24"/>
          <w:szCs w:val="24"/>
        </w:rPr>
        <w:t xml:space="preserve">the Act </w:t>
      </w:r>
      <w:r w:rsidR="00B500D7">
        <w:rPr>
          <w:rFonts w:ascii="Times New Roman" w:hAnsi="Times New Roman" w:cs="Times New Roman"/>
          <w:sz w:val="24"/>
          <w:szCs w:val="24"/>
        </w:rPr>
        <w:t>allow</w:t>
      </w:r>
      <w:r w:rsidR="00A31597">
        <w:rPr>
          <w:rFonts w:ascii="Times New Roman" w:hAnsi="Times New Roman" w:cs="Times New Roman"/>
          <w:sz w:val="24"/>
          <w:szCs w:val="24"/>
        </w:rPr>
        <w:t>s</w:t>
      </w:r>
      <w:r w:rsidR="00B500D7">
        <w:rPr>
          <w:rFonts w:ascii="Times New Roman" w:hAnsi="Times New Roman" w:cs="Times New Roman"/>
          <w:sz w:val="24"/>
          <w:szCs w:val="24"/>
        </w:rPr>
        <w:t xml:space="preserve"> for the collection of fees based on income and not the number of employees. </w:t>
      </w:r>
      <w:r w:rsidR="00BB0B49" w:rsidRPr="00186396">
        <w:rPr>
          <w:rFonts w:ascii="Times New Roman" w:hAnsi="Times New Roman" w:cs="Times New Roman"/>
          <w:sz w:val="24"/>
          <w:szCs w:val="24"/>
        </w:rPr>
        <w:t xml:space="preserve">The </w:t>
      </w:r>
      <w:r w:rsidR="00BB0B49">
        <w:rPr>
          <w:rFonts w:ascii="Times New Roman" w:hAnsi="Times New Roman" w:cs="Times New Roman"/>
          <w:sz w:val="24"/>
          <w:szCs w:val="24"/>
        </w:rPr>
        <w:t>C</w:t>
      </w:r>
      <w:r w:rsidR="00BB0B49" w:rsidRPr="00186396">
        <w:rPr>
          <w:rFonts w:ascii="Times New Roman" w:hAnsi="Times New Roman" w:cs="Times New Roman"/>
          <w:sz w:val="24"/>
          <w:szCs w:val="24"/>
        </w:rPr>
        <w:t xml:space="preserve">ommittee </w:t>
      </w:r>
      <w:r w:rsidR="00BB0B49">
        <w:rPr>
          <w:rFonts w:ascii="Times New Roman" w:hAnsi="Times New Roman" w:cs="Times New Roman"/>
          <w:sz w:val="24"/>
          <w:szCs w:val="24"/>
        </w:rPr>
        <w:t xml:space="preserve">asked what more can be done under the current legislation to enforce greater compliance to the payment of registration fees. The Authority indicated that the </w:t>
      </w:r>
      <w:proofErr w:type="gramStart"/>
      <w:r w:rsidR="00BB0B49">
        <w:rPr>
          <w:rFonts w:ascii="Times New Roman" w:hAnsi="Times New Roman" w:cs="Times New Roman"/>
          <w:sz w:val="24"/>
          <w:szCs w:val="24"/>
        </w:rPr>
        <w:t xml:space="preserve">suspension of companies </w:t>
      </w:r>
      <w:r w:rsidR="00EB23D6">
        <w:rPr>
          <w:rFonts w:ascii="Times New Roman" w:hAnsi="Times New Roman" w:cs="Times New Roman"/>
          <w:sz w:val="24"/>
          <w:szCs w:val="24"/>
        </w:rPr>
        <w:t>are</w:t>
      </w:r>
      <w:proofErr w:type="gramEnd"/>
      <w:r w:rsidR="00BB0B49">
        <w:rPr>
          <w:rFonts w:ascii="Times New Roman" w:hAnsi="Times New Roman" w:cs="Times New Roman"/>
          <w:sz w:val="24"/>
          <w:szCs w:val="24"/>
        </w:rPr>
        <w:t xml:space="preserve"> not a sufficient deterrent. The </w:t>
      </w:r>
      <w:r w:rsidR="00D25E57">
        <w:rPr>
          <w:rFonts w:ascii="Times New Roman" w:hAnsi="Times New Roman" w:cs="Times New Roman"/>
          <w:sz w:val="24"/>
          <w:szCs w:val="24"/>
        </w:rPr>
        <w:t>Committee requested th</w:t>
      </w:r>
      <w:r w:rsidR="00BB0B49">
        <w:rPr>
          <w:rFonts w:ascii="Times New Roman" w:hAnsi="Times New Roman" w:cs="Times New Roman"/>
          <w:sz w:val="24"/>
          <w:szCs w:val="24"/>
        </w:rPr>
        <w:t xml:space="preserve">e Authority to indicate whether suspended companies are monitored to ensure that it was no longer operating. </w:t>
      </w:r>
      <w:r w:rsidR="00BB0B49" w:rsidRPr="00186396">
        <w:rPr>
          <w:rFonts w:ascii="Times New Roman" w:hAnsi="Times New Roman" w:cs="Times New Roman"/>
          <w:sz w:val="24"/>
          <w:szCs w:val="24"/>
        </w:rPr>
        <w:t xml:space="preserve">The Authority </w:t>
      </w:r>
      <w:r w:rsidR="00BB0B49">
        <w:rPr>
          <w:rFonts w:ascii="Times New Roman" w:hAnsi="Times New Roman" w:cs="Times New Roman"/>
          <w:sz w:val="24"/>
          <w:szCs w:val="24"/>
        </w:rPr>
        <w:t xml:space="preserve">indicated that certain companies do operate illegally after suspension, but when it is identified, a criminal investigation </w:t>
      </w:r>
      <w:r w:rsidR="00D25E57">
        <w:rPr>
          <w:rFonts w:ascii="Times New Roman" w:hAnsi="Times New Roman" w:cs="Times New Roman"/>
          <w:sz w:val="24"/>
          <w:szCs w:val="24"/>
        </w:rPr>
        <w:t xml:space="preserve">is launched. </w:t>
      </w:r>
      <w:r w:rsidR="00BB0B49" w:rsidRPr="00186396">
        <w:rPr>
          <w:rFonts w:ascii="Times New Roman" w:hAnsi="Times New Roman" w:cs="Times New Roman"/>
          <w:sz w:val="24"/>
          <w:szCs w:val="24"/>
        </w:rPr>
        <w:t xml:space="preserve">  </w:t>
      </w:r>
    </w:p>
    <w:p w14:paraId="3945D812" w14:textId="77777777" w:rsidR="00BB0B49" w:rsidRDefault="00BB0B49" w:rsidP="0003779A">
      <w:pPr>
        <w:spacing w:after="0" w:line="280" w:lineRule="exact"/>
        <w:jc w:val="both"/>
        <w:rPr>
          <w:rFonts w:ascii="Times New Roman" w:hAnsi="Times New Roman" w:cs="Times New Roman"/>
          <w:b/>
          <w:sz w:val="24"/>
          <w:szCs w:val="24"/>
        </w:rPr>
      </w:pPr>
    </w:p>
    <w:p w14:paraId="37EC49EF" w14:textId="0D943F1E" w:rsidR="00D55C09" w:rsidRPr="00186396" w:rsidRDefault="00F73F0C"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Industry training</w:t>
      </w:r>
      <w:r w:rsidRPr="00186396">
        <w:rPr>
          <w:rFonts w:ascii="Times New Roman" w:hAnsi="Times New Roman" w:cs="Times New Roman"/>
          <w:sz w:val="24"/>
          <w:szCs w:val="24"/>
        </w:rPr>
        <w:t xml:space="preserve">: </w:t>
      </w:r>
      <w:r w:rsidR="00A75C71" w:rsidRPr="00186396">
        <w:rPr>
          <w:rFonts w:ascii="Times New Roman" w:hAnsi="Times New Roman" w:cs="Times New Roman"/>
          <w:sz w:val="24"/>
          <w:szCs w:val="24"/>
        </w:rPr>
        <w:t xml:space="preserve">The </w:t>
      </w:r>
      <w:r w:rsidRPr="00186396">
        <w:rPr>
          <w:rFonts w:ascii="Times New Roman" w:hAnsi="Times New Roman" w:cs="Times New Roman"/>
          <w:sz w:val="24"/>
          <w:szCs w:val="24"/>
        </w:rPr>
        <w:t>Authority was questioned</w:t>
      </w:r>
      <w:r w:rsidR="00055FBD" w:rsidRPr="00186396">
        <w:rPr>
          <w:rFonts w:ascii="Times New Roman" w:hAnsi="Times New Roman" w:cs="Times New Roman"/>
          <w:sz w:val="24"/>
          <w:szCs w:val="24"/>
        </w:rPr>
        <w:t xml:space="preserve"> </w:t>
      </w:r>
      <w:r w:rsidR="000D103A" w:rsidRPr="00186396">
        <w:rPr>
          <w:rFonts w:ascii="Times New Roman" w:hAnsi="Times New Roman" w:cs="Times New Roman"/>
          <w:sz w:val="24"/>
          <w:szCs w:val="24"/>
        </w:rPr>
        <w:t>about the</w:t>
      </w:r>
      <w:r w:rsidR="00055FBD" w:rsidRPr="00186396">
        <w:rPr>
          <w:rFonts w:ascii="Times New Roman" w:hAnsi="Times New Roman" w:cs="Times New Roman"/>
          <w:sz w:val="24"/>
          <w:szCs w:val="24"/>
        </w:rPr>
        <w:t xml:space="preserve"> progress</w:t>
      </w:r>
      <w:r w:rsidRPr="00186396">
        <w:rPr>
          <w:rFonts w:ascii="Times New Roman" w:hAnsi="Times New Roman" w:cs="Times New Roman"/>
          <w:sz w:val="24"/>
          <w:szCs w:val="24"/>
        </w:rPr>
        <w:t xml:space="preserve"> </w:t>
      </w:r>
      <w:r w:rsidR="009A4AC9">
        <w:rPr>
          <w:rFonts w:ascii="Times New Roman" w:hAnsi="Times New Roman" w:cs="Times New Roman"/>
          <w:sz w:val="24"/>
          <w:szCs w:val="24"/>
        </w:rPr>
        <w:t xml:space="preserve">made in the </w:t>
      </w:r>
      <w:r w:rsidRPr="00186396">
        <w:rPr>
          <w:rFonts w:ascii="Times New Roman" w:hAnsi="Times New Roman" w:cs="Times New Roman"/>
          <w:sz w:val="24"/>
          <w:szCs w:val="24"/>
        </w:rPr>
        <w:t>accreditation process for service</w:t>
      </w:r>
      <w:r w:rsidR="009A4AC9">
        <w:rPr>
          <w:rFonts w:ascii="Times New Roman" w:hAnsi="Times New Roman" w:cs="Times New Roman"/>
          <w:sz w:val="24"/>
          <w:szCs w:val="24"/>
        </w:rPr>
        <w:t xml:space="preserve"> providers</w:t>
      </w:r>
      <w:r w:rsidR="00B57582">
        <w:rPr>
          <w:rFonts w:ascii="Times New Roman" w:hAnsi="Times New Roman" w:cs="Times New Roman"/>
          <w:sz w:val="24"/>
          <w:szCs w:val="24"/>
        </w:rPr>
        <w:t xml:space="preserve"> offering training to security guards</w:t>
      </w:r>
      <w:r w:rsidR="009A4AC9">
        <w:rPr>
          <w:rFonts w:ascii="Times New Roman" w:hAnsi="Times New Roman" w:cs="Times New Roman"/>
          <w:sz w:val="24"/>
          <w:szCs w:val="24"/>
        </w:rPr>
        <w:t>.</w:t>
      </w:r>
      <w:r w:rsidR="00055FBD" w:rsidRPr="00186396">
        <w:rPr>
          <w:rFonts w:ascii="Times New Roman" w:hAnsi="Times New Roman" w:cs="Times New Roman"/>
          <w:sz w:val="24"/>
          <w:szCs w:val="24"/>
        </w:rPr>
        <w:t xml:space="preserve"> The </w:t>
      </w:r>
      <w:r w:rsidR="00D00C19">
        <w:rPr>
          <w:rFonts w:ascii="Times New Roman" w:hAnsi="Times New Roman" w:cs="Times New Roman"/>
          <w:sz w:val="24"/>
          <w:szCs w:val="24"/>
        </w:rPr>
        <w:t xml:space="preserve">Committee requested the </w:t>
      </w:r>
      <w:r w:rsidR="00055FBD" w:rsidRPr="00186396">
        <w:rPr>
          <w:rFonts w:ascii="Times New Roman" w:hAnsi="Times New Roman" w:cs="Times New Roman"/>
          <w:sz w:val="24"/>
          <w:szCs w:val="24"/>
        </w:rPr>
        <w:t xml:space="preserve">Authority </w:t>
      </w:r>
      <w:r w:rsidR="00D00C19">
        <w:rPr>
          <w:rFonts w:ascii="Times New Roman" w:hAnsi="Times New Roman" w:cs="Times New Roman"/>
          <w:sz w:val="24"/>
          <w:szCs w:val="24"/>
        </w:rPr>
        <w:t xml:space="preserve">to </w:t>
      </w:r>
      <w:r w:rsidR="00055FBD" w:rsidRPr="00186396">
        <w:rPr>
          <w:rFonts w:ascii="Times New Roman" w:hAnsi="Times New Roman" w:cs="Times New Roman"/>
          <w:sz w:val="24"/>
          <w:szCs w:val="24"/>
        </w:rPr>
        <w:t>explain why it impose</w:t>
      </w:r>
      <w:r w:rsidR="0015627A" w:rsidRPr="00186396">
        <w:rPr>
          <w:rFonts w:ascii="Times New Roman" w:hAnsi="Times New Roman" w:cs="Times New Roman"/>
          <w:sz w:val="24"/>
          <w:szCs w:val="24"/>
        </w:rPr>
        <w:t>d a moratorium on</w:t>
      </w:r>
      <w:r w:rsidR="00D00C19">
        <w:rPr>
          <w:rFonts w:ascii="Times New Roman" w:hAnsi="Times New Roman" w:cs="Times New Roman"/>
          <w:sz w:val="24"/>
          <w:szCs w:val="24"/>
        </w:rPr>
        <w:t xml:space="preserve"> the</w:t>
      </w:r>
      <w:r w:rsidR="0015627A" w:rsidRPr="00186396">
        <w:rPr>
          <w:rFonts w:ascii="Times New Roman" w:hAnsi="Times New Roman" w:cs="Times New Roman"/>
          <w:sz w:val="24"/>
          <w:szCs w:val="24"/>
        </w:rPr>
        <w:t xml:space="preserve"> </w:t>
      </w:r>
      <w:r w:rsidR="00A66831" w:rsidRPr="00186396">
        <w:rPr>
          <w:rFonts w:ascii="Times New Roman" w:hAnsi="Times New Roman" w:cs="Times New Roman"/>
          <w:sz w:val="24"/>
          <w:szCs w:val="24"/>
        </w:rPr>
        <w:t>grades and training</w:t>
      </w:r>
      <w:r w:rsidR="009A4AC9">
        <w:rPr>
          <w:rFonts w:ascii="Times New Roman" w:hAnsi="Times New Roman" w:cs="Times New Roman"/>
          <w:sz w:val="24"/>
          <w:szCs w:val="24"/>
        </w:rPr>
        <w:t xml:space="preserve"> of security officers</w:t>
      </w:r>
      <w:r w:rsidR="00A66831" w:rsidRPr="00186396">
        <w:rPr>
          <w:rFonts w:ascii="Times New Roman" w:hAnsi="Times New Roman" w:cs="Times New Roman"/>
          <w:sz w:val="24"/>
          <w:szCs w:val="24"/>
        </w:rPr>
        <w:t>. The Committee questioned whether challenges regarding the accreditation of training service providers with SASSETA have been addressed.</w:t>
      </w:r>
      <w:r w:rsidR="00512B6D" w:rsidRPr="00186396">
        <w:rPr>
          <w:rFonts w:ascii="Times New Roman" w:hAnsi="Times New Roman" w:cs="Times New Roman"/>
          <w:sz w:val="24"/>
          <w:szCs w:val="24"/>
        </w:rPr>
        <w:t xml:space="preserve">   The Authority indicated </w:t>
      </w:r>
      <w:r w:rsidR="00D00C19">
        <w:rPr>
          <w:rFonts w:ascii="Times New Roman" w:hAnsi="Times New Roman" w:cs="Times New Roman"/>
          <w:sz w:val="24"/>
          <w:szCs w:val="24"/>
        </w:rPr>
        <w:t xml:space="preserve">that the moratorium was put in place </w:t>
      </w:r>
      <w:r w:rsidR="00512B6D" w:rsidRPr="00186396">
        <w:rPr>
          <w:rFonts w:ascii="Times New Roman" w:hAnsi="Times New Roman" w:cs="Times New Roman"/>
          <w:sz w:val="24"/>
          <w:szCs w:val="24"/>
        </w:rPr>
        <w:t xml:space="preserve">when the Author </w:t>
      </w:r>
      <w:r w:rsidR="0015627A" w:rsidRPr="00186396">
        <w:rPr>
          <w:rFonts w:ascii="Times New Roman" w:hAnsi="Times New Roman" w:cs="Times New Roman"/>
          <w:sz w:val="24"/>
          <w:szCs w:val="24"/>
        </w:rPr>
        <w:t>started w</w:t>
      </w:r>
      <w:r w:rsidR="006E2905" w:rsidRPr="00186396">
        <w:rPr>
          <w:rFonts w:ascii="Times New Roman" w:hAnsi="Times New Roman" w:cs="Times New Roman"/>
          <w:sz w:val="24"/>
          <w:szCs w:val="24"/>
        </w:rPr>
        <w:t>orking with SASSETA</w:t>
      </w:r>
      <w:r w:rsidR="00503CA1">
        <w:rPr>
          <w:rFonts w:ascii="Times New Roman" w:hAnsi="Times New Roman" w:cs="Times New Roman"/>
          <w:sz w:val="24"/>
          <w:szCs w:val="24"/>
        </w:rPr>
        <w:t xml:space="preserve">. This </w:t>
      </w:r>
      <w:r w:rsidR="006E2905" w:rsidRPr="00186396">
        <w:rPr>
          <w:rFonts w:ascii="Times New Roman" w:hAnsi="Times New Roman" w:cs="Times New Roman"/>
          <w:sz w:val="24"/>
          <w:szCs w:val="24"/>
        </w:rPr>
        <w:t>brought the</w:t>
      </w:r>
      <w:r w:rsidR="00512B6D" w:rsidRPr="00186396">
        <w:rPr>
          <w:rFonts w:ascii="Times New Roman" w:hAnsi="Times New Roman" w:cs="Times New Roman"/>
          <w:sz w:val="24"/>
          <w:szCs w:val="24"/>
        </w:rPr>
        <w:t xml:space="preserve"> standard of training </w:t>
      </w:r>
      <w:r w:rsidR="00503CA1">
        <w:rPr>
          <w:rFonts w:ascii="Times New Roman" w:hAnsi="Times New Roman" w:cs="Times New Roman"/>
          <w:sz w:val="24"/>
          <w:szCs w:val="24"/>
        </w:rPr>
        <w:t>in line with the</w:t>
      </w:r>
      <w:r w:rsidR="002E7E39">
        <w:rPr>
          <w:rFonts w:ascii="Times New Roman" w:hAnsi="Times New Roman" w:cs="Times New Roman"/>
          <w:sz w:val="24"/>
          <w:szCs w:val="24"/>
        </w:rPr>
        <w:t xml:space="preserve"> </w:t>
      </w:r>
      <w:r w:rsidR="00512B6D" w:rsidRPr="00186396">
        <w:rPr>
          <w:rFonts w:ascii="Times New Roman" w:hAnsi="Times New Roman" w:cs="Times New Roman"/>
          <w:sz w:val="24"/>
          <w:szCs w:val="24"/>
        </w:rPr>
        <w:t xml:space="preserve">National </w:t>
      </w:r>
      <w:r w:rsidR="00503CA1">
        <w:rPr>
          <w:rFonts w:ascii="Times New Roman" w:hAnsi="Times New Roman" w:cs="Times New Roman"/>
          <w:sz w:val="24"/>
          <w:szCs w:val="24"/>
        </w:rPr>
        <w:t>Q</w:t>
      </w:r>
      <w:r w:rsidR="00503CA1" w:rsidRPr="00186396">
        <w:rPr>
          <w:rFonts w:ascii="Times New Roman" w:hAnsi="Times New Roman" w:cs="Times New Roman"/>
          <w:sz w:val="24"/>
          <w:szCs w:val="24"/>
        </w:rPr>
        <w:t>ualification</w:t>
      </w:r>
      <w:r w:rsidR="00503CA1">
        <w:rPr>
          <w:rFonts w:ascii="Times New Roman" w:hAnsi="Times New Roman" w:cs="Times New Roman"/>
          <w:sz w:val="24"/>
          <w:szCs w:val="24"/>
        </w:rPr>
        <w:t xml:space="preserve"> Framework (NQF). </w:t>
      </w:r>
      <w:r w:rsidR="00512B6D" w:rsidRPr="00186396">
        <w:rPr>
          <w:rFonts w:ascii="Times New Roman" w:hAnsi="Times New Roman" w:cs="Times New Roman"/>
          <w:sz w:val="24"/>
          <w:szCs w:val="24"/>
        </w:rPr>
        <w:t>There were lot of developments that took place</w:t>
      </w:r>
      <w:r w:rsidR="006E2905" w:rsidRPr="00186396">
        <w:rPr>
          <w:rFonts w:ascii="Times New Roman" w:hAnsi="Times New Roman" w:cs="Times New Roman"/>
          <w:sz w:val="24"/>
          <w:szCs w:val="24"/>
        </w:rPr>
        <w:t xml:space="preserve"> in</w:t>
      </w:r>
      <w:r w:rsidR="00512B6D" w:rsidRPr="00186396">
        <w:rPr>
          <w:rFonts w:ascii="Times New Roman" w:hAnsi="Times New Roman" w:cs="Times New Roman"/>
          <w:sz w:val="24"/>
          <w:szCs w:val="24"/>
        </w:rPr>
        <w:t xml:space="preserve"> </w:t>
      </w:r>
      <w:r w:rsidR="00503CA1">
        <w:rPr>
          <w:rFonts w:ascii="Times New Roman" w:hAnsi="Times New Roman" w:cs="Times New Roman"/>
          <w:sz w:val="24"/>
          <w:szCs w:val="24"/>
        </w:rPr>
        <w:t xml:space="preserve">the </w:t>
      </w:r>
      <w:r w:rsidR="00512B6D" w:rsidRPr="00186396">
        <w:rPr>
          <w:rFonts w:ascii="Times New Roman" w:hAnsi="Times New Roman" w:cs="Times New Roman"/>
          <w:sz w:val="24"/>
          <w:szCs w:val="24"/>
        </w:rPr>
        <w:t>upskilling of course</w:t>
      </w:r>
      <w:r w:rsidR="00503CA1">
        <w:rPr>
          <w:rFonts w:ascii="Times New Roman" w:hAnsi="Times New Roman" w:cs="Times New Roman"/>
          <w:sz w:val="24"/>
          <w:szCs w:val="24"/>
        </w:rPr>
        <w:t>s</w:t>
      </w:r>
      <w:r w:rsidR="006A700B">
        <w:rPr>
          <w:rFonts w:ascii="Times New Roman" w:hAnsi="Times New Roman" w:cs="Times New Roman"/>
          <w:sz w:val="24"/>
          <w:szCs w:val="24"/>
        </w:rPr>
        <w:t>.</w:t>
      </w:r>
      <w:r w:rsidR="00512B6D" w:rsidRPr="00186396">
        <w:rPr>
          <w:rFonts w:ascii="Times New Roman" w:hAnsi="Times New Roman" w:cs="Times New Roman"/>
          <w:sz w:val="24"/>
          <w:szCs w:val="24"/>
        </w:rPr>
        <w:t xml:space="preserve"> The Authority explained that </w:t>
      </w:r>
      <w:r w:rsidR="006A700B">
        <w:rPr>
          <w:rFonts w:ascii="Times New Roman" w:hAnsi="Times New Roman" w:cs="Times New Roman"/>
          <w:sz w:val="24"/>
          <w:szCs w:val="24"/>
        </w:rPr>
        <w:t xml:space="preserve">many service </w:t>
      </w:r>
      <w:r w:rsidR="00512B6D" w:rsidRPr="00186396">
        <w:rPr>
          <w:rFonts w:ascii="Times New Roman" w:hAnsi="Times New Roman" w:cs="Times New Roman"/>
          <w:sz w:val="24"/>
          <w:szCs w:val="24"/>
        </w:rPr>
        <w:t xml:space="preserve">providers were </w:t>
      </w:r>
      <w:r w:rsidR="00503CA1">
        <w:rPr>
          <w:rFonts w:ascii="Times New Roman" w:hAnsi="Times New Roman" w:cs="Times New Roman"/>
          <w:sz w:val="24"/>
          <w:szCs w:val="24"/>
        </w:rPr>
        <w:t xml:space="preserve">not </w:t>
      </w:r>
      <w:r w:rsidR="00512B6D" w:rsidRPr="00186396">
        <w:rPr>
          <w:rFonts w:ascii="Times New Roman" w:hAnsi="Times New Roman" w:cs="Times New Roman"/>
          <w:sz w:val="24"/>
          <w:szCs w:val="24"/>
        </w:rPr>
        <w:t xml:space="preserve">accredited to </w:t>
      </w:r>
      <w:r w:rsidR="00503CA1">
        <w:rPr>
          <w:rFonts w:ascii="Times New Roman" w:hAnsi="Times New Roman" w:cs="Times New Roman"/>
          <w:sz w:val="24"/>
          <w:szCs w:val="24"/>
        </w:rPr>
        <w:t xml:space="preserve">provide </w:t>
      </w:r>
      <w:r w:rsidR="00512B6D" w:rsidRPr="00186396">
        <w:rPr>
          <w:rFonts w:ascii="Times New Roman" w:hAnsi="Times New Roman" w:cs="Times New Roman"/>
          <w:sz w:val="24"/>
          <w:szCs w:val="24"/>
        </w:rPr>
        <w:t>the type of training</w:t>
      </w:r>
      <w:r w:rsidR="00D419BB" w:rsidRPr="00186396">
        <w:rPr>
          <w:rFonts w:ascii="Times New Roman" w:hAnsi="Times New Roman" w:cs="Times New Roman"/>
          <w:sz w:val="24"/>
          <w:szCs w:val="24"/>
        </w:rPr>
        <w:t xml:space="preserve"> </w:t>
      </w:r>
      <w:r w:rsidR="00503CA1">
        <w:rPr>
          <w:rFonts w:ascii="Times New Roman" w:hAnsi="Times New Roman" w:cs="Times New Roman"/>
          <w:sz w:val="24"/>
          <w:szCs w:val="24"/>
        </w:rPr>
        <w:t xml:space="preserve">that conforms </w:t>
      </w:r>
      <w:r w:rsidR="006A700B">
        <w:rPr>
          <w:rFonts w:ascii="Times New Roman" w:hAnsi="Times New Roman" w:cs="Times New Roman"/>
          <w:sz w:val="24"/>
          <w:szCs w:val="24"/>
        </w:rPr>
        <w:t>to</w:t>
      </w:r>
      <w:r w:rsidR="00503CA1">
        <w:rPr>
          <w:rFonts w:ascii="Times New Roman" w:hAnsi="Times New Roman" w:cs="Times New Roman"/>
          <w:sz w:val="24"/>
          <w:szCs w:val="24"/>
        </w:rPr>
        <w:t xml:space="preserve"> the standard imposed by </w:t>
      </w:r>
      <w:r w:rsidR="006A700B">
        <w:rPr>
          <w:rFonts w:ascii="Times New Roman" w:hAnsi="Times New Roman" w:cs="Times New Roman"/>
          <w:sz w:val="24"/>
          <w:szCs w:val="24"/>
        </w:rPr>
        <w:t>SASSETA. This</w:t>
      </w:r>
      <w:r w:rsidR="00D419BB" w:rsidRPr="00186396">
        <w:rPr>
          <w:rFonts w:ascii="Times New Roman" w:hAnsi="Times New Roman" w:cs="Times New Roman"/>
          <w:sz w:val="24"/>
          <w:szCs w:val="24"/>
        </w:rPr>
        <w:t xml:space="preserve"> </w:t>
      </w:r>
      <w:r w:rsidR="00503CA1">
        <w:rPr>
          <w:rFonts w:ascii="Times New Roman" w:hAnsi="Times New Roman" w:cs="Times New Roman"/>
          <w:sz w:val="24"/>
          <w:szCs w:val="24"/>
        </w:rPr>
        <w:t>meant that the</w:t>
      </w:r>
      <w:r w:rsidR="006A700B">
        <w:rPr>
          <w:rFonts w:ascii="Times New Roman" w:hAnsi="Times New Roman" w:cs="Times New Roman"/>
          <w:sz w:val="24"/>
          <w:szCs w:val="24"/>
        </w:rPr>
        <w:t>r</w:t>
      </w:r>
      <w:r w:rsidR="00503CA1">
        <w:rPr>
          <w:rFonts w:ascii="Times New Roman" w:hAnsi="Times New Roman" w:cs="Times New Roman"/>
          <w:sz w:val="24"/>
          <w:szCs w:val="24"/>
        </w:rPr>
        <w:t xml:space="preserve">e was little </w:t>
      </w:r>
      <w:r w:rsidR="00512B6D" w:rsidRPr="00186396">
        <w:rPr>
          <w:rFonts w:ascii="Times New Roman" w:hAnsi="Times New Roman" w:cs="Times New Roman"/>
          <w:sz w:val="24"/>
          <w:szCs w:val="24"/>
        </w:rPr>
        <w:t xml:space="preserve">growth in terms of training </w:t>
      </w:r>
      <w:r w:rsidR="006A700B">
        <w:rPr>
          <w:rFonts w:ascii="Times New Roman" w:hAnsi="Times New Roman" w:cs="Times New Roman"/>
          <w:sz w:val="24"/>
          <w:szCs w:val="24"/>
        </w:rPr>
        <w:t>provided to security officers.</w:t>
      </w:r>
      <w:r w:rsidR="00D419BB" w:rsidRPr="00186396">
        <w:rPr>
          <w:rFonts w:ascii="Times New Roman" w:hAnsi="Times New Roman" w:cs="Times New Roman"/>
          <w:sz w:val="24"/>
          <w:szCs w:val="24"/>
        </w:rPr>
        <w:t xml:space="preserve"> The</w:t>
      </w:r>
      <w:r w:rsidR="006A700B">
        <w:rPr>
          <w:rFonts w:ascii="Times New Roman" w:hAnsi="Times New Roman" w:cs="Times New Roman"/>
          <w:sz w:val="24"/>
          <w:szCs w:val="24"/>
        </w:rPr>
        <w:t xml:space="preserve"> Authority stated that the</w:t>
      </w:r>
      <w:r w:rsidR="00D419BB" w:rsidRPr="00186396">
        <w:rPr>
          <w:rFonts w:ascii="Times New Roman" w:hAnsi="Times New Roman" w:cs="Times New Roman"/>
          <w:sz w:val="24"/>
          <w:szCs w:val="24"/>
        </w:rPr>
        <w:t xml:space="preserve"> </w:t>
      </w:r>
      <w:r w:rsidR="00503CA1">
        <w:rPr>
          <w:rFonts w:ascii="Times New Roman" w:hAnsi="Times New Roman" w:cs="Times New Roman"/>
          <w:sz w:val="24"/>
          <w:szCs w:val="24"/>
        </w:rPr>
        <w:t xml:space="preserve">lifting of the moratorium </w:t>
      </w:r>
      <w:r w:rsidR="006A700B">
        <w:rPr>
          <w:rFonts w:ascii="Times New Roman" w:hAnsi="Times New Roman" w:cs="Times New Roman"/>
          <w:sz w:val="24"/>
          <w:szCs w:val="24"/>
        </w:rPr>
        <w:t>would</w:t>
      </w:r>
      <w:r w:rsidR="00503CA1">
        <w:rPr>
          <w:rFonts w:ascii="Times New Roman" w:hAnsi="Times New Roman" w:cs="Times New Roman"/>
          <w:sz w:val="24"/>
          <w:szCs w:val="24"/>
        </w:rPr>
        <w:t xml:space="preserve"> lead to an increase in accredited training service providers</w:t>
      </w:r>
      <w:r w:rsidR="00D419BB" w:rsidRPr="00186396">
        <w:rPr>
          <w:rFonts w:ascii="Times New Roman" w:hAnsi="Times New Roman" w:cs="Times New Roman"/>
          <w:sz w:val="24"/>
          <w:szCs w:val="24"/>
        </w:rPr>
        <w:t xml:space="preserve">. </w:t>
      </w:r>
      <w:r w:rsidR="00635EAF">
        <w:rPr>
          <w:rFonts w:ascii="Times New Roman" w:hAnsi="Times New Roman" w:cs="Times New Roman"/>
          <w:sz w:val="24"/>
          <w:szCs w:val="24"/>
        </w:rPr>
        <w:t xml:space="preserve">It was noted that the </w:t>
      </w:r>
      <w:r w:rsidR="00D55C09" w:rsidRPr="00186396">
        <w:rPr>
          <w:rFonts w:ascii="Times New Roman" w:hAnsi="Times New Roman" w:cs="Times New Roman"/>
          <w:sz w:val="24"/>
          <w:szCs w:val="24"/>
        </w:rPr>
        <w:t>SASSETA needs to take a lead in terms of tr</w:t>
      </w:r>
      <w:r w:rsidR="006E2905" w:rsidRPr="00186396">
        <w:rPr>
          <w:rFonts w:ascii="Times New Roman" w:hAnsi="Times New Roman" w:cs="Times New Roman"/>
          <w:sz w:val="24"/>
          <w:szCs w:val="24"/>
        </w:rPr>
        <w:t>aining programme that are offered.  The Authority</w:t>
      </w:r>
      <w:r w:rsidR="006A700B">
        <w:rPr>
          <w:rFonts w:ascii="Times New Roman" w:hAnsi="Times New Roman" w:cs="Times New Roman"/>
          <w:sz w:val="24"/>
          <w:szCs w:val="24"/>
        </w:rPr>
        <w:t>’s</w:t>
      </w:r>
      <w:r w:rsidR="006E2905" w:rsidRPr="00186396">
        <w:rPr>
          <w:rFonts w:ascii="Times New Roman" w:hAnsi="Times New Roman" w:cs="Times New Roman"/>
          <w:sz w:val="24"/>
          <w:szCs w:val="24"/>
        </w:rPr>
        <w:t xml:space="preserve"> role was</w:t>
      </w:r>
      <w:r w:rsidR="00D55C09" w:rsidRPr="00186396">
        <w:rPr>
          <w:rFonts w:ascii="Times New Roman" w:hAnsi="Times New Roman" w:cs="Times New Roman"/>
          <w:sz w:val="24"/>
          <w:szCs w:val="24"/>
        </w:rPr>
        <w:t xml:space="preserve"> to ensure that the courses are </w:t>
      </w:r>
      <w:r w:rsidR="00B57582">
        <w:rPr>
          <w:rFonts w:ascii="Times New Roman" w:hAnsi="Times New Roman" w:cs="Times New Roman"/>
          <w:sz w:val="24"/>
          <w:szCs w:val="24"/>
        </w:rPr>
        <w:t>in-line with</w:t>
      </w:r>
      <w:r w:rsidR="00D55C09" w:rsidRPr="00186396">
        <w:rPr>
          <w:rFonts w:ascii="Times New Roman" w:hAnsi="Times New Roman" w:cs="Times New Roman"/>
          <w:sz w:val="24"/>
          <w:szCs w:val="24"/>
        </w:rPr>
        <w:t xml:space="preserve"> training programmes that are required for the industry. </w:t>
      </w:r>
    </w:p>
    <w:p w14:paraId="7EDD265E" w14:textId="77777777" w:rsidR="00186396" w:rsidRDefault="00186396" w:rsidP="0003779A">
      <w:pPr>
        <w:spacing w:after="0" w:line="280" w:lineRule="exact"/>
        <w:jc w:val="both"/>
        <w:rPr>
          <w:rFonts w:ascii="Times New Roman" w:hAnsi="Times New Roman" w:cs="Times New Roman"/>
          <w:b/>
          <w:sz w:val="24"/>
          <w:szCs w:val="24"/>
        </w:rPr>
      </w:pPr>
    </w:p>
    <w:p w14:paraId="0515EE78" w14:textId="2CCDA23E" w:rsidR="00486206" w:rsidRPr="00186396" w:rsidRDefault="00112369"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Female security officers:</w:t>
      </w:r>
      <w:r w:rsidR="007A0005" w:rsidRPr="00186396">
        <w:rPr>
          <w:rFonts w:ascii="Times New Roman" w:hAnsi="Times New Roman" w:cs="Times New Roman"/>
          <w:sz w:val="24"/>
          <w:szCs w:val="24"/>
        </w:rPr>
        <w:t xml:space="preserve"> The </w:t>
      </w:r>
      <w:r>
        <w:rPr>
          <w:rFonts w:ascii="Times New Roman" w:hAnsi="Times New Roman" w:cs="Times New Roman"/>
          <w:sz w:val="24"/>
          <w:szCs w:val="24"/>
        </w:rPr>
        <w:t xml:space="preserve">Committee welcomed the increase in the registration of female security officers and requested the </w:t>
      </w:r>
      <w:r w:rsidR="007A0005" w:rsidRPr="00186396">
        <w:rPr>
          <w:rFonts w:ascii="Times New Roman" w:hAnsi="Times New Roman" w:cs="Times New Roman"/>
          <w:sz w:val="24"/>
          <w:szCs w:val="24"/>
        </w:rPr>
        <w:t>Au</w:t>
      </w:r>
      <w:r w:rsidR="00081508" w:rsidRPr="00186396">
        <w:rPr>
          <w:rFonts w:ascii="Times New Roman" w:hAnsi="Times New Roman" w:cs="Times New Roman"/>
          <w:sz w:val="24"/>
          <w:szCs w:val="24"/>
        </w:rPr>
        <w:t xml:space="preserve">thority </w:t>
      </w:r>
      <w:r>
        <w:rPr>
          <w:rFonts w:ascii="Times New Roman" w:hAnsi="Times New Roman" w:cs="Times New Roman"/>
          <w:sz w:val="24"/>
          <w:szCs w:val="24"/>
        </w:rPr>
        <w:t>to indicate in what sectors of the private security</w:t>
      </w:r>
      <w:r w:rsidR="00FE3493">
        <w:rPr>
          <w:rFonts w:ascii="Times New Roman" w:hAnsi="Times New Roman" w:cs="Times New Roman"/>
          <w:sz w:val="24"/>
          <w:szCs w:val="24"/>
        </w:rPr>
        <w:t xml:space="preserve"> industry</w:t>
      </w:r>
      <w:r>
        <w:rPr>
          <w:rFonts w:ascii="Times New Roman" w:hAnsi="Times New Roman" w:cs="Times New Roman"/>
          <w:sz w:val="24"/>
          <w:szCs w:val="24"/>
        </w:rPr>
        <w:t xml:space="preserve"> females are employed. </w:t>
      </w:r>
      <w:r w:rsidR="00055FBD" w:rsidRPr="00186396">
        <w:rPr>
          <w:rFonts w:ascii="Times New Roman" w:hAnsi="Times New Roman" w:cs="Times New Roman"/>
          <w:sz w:val="24"/>
          <w:szCs w:val="24"/>
        </w:rPr>
        <w:t xml:space="preserve">The Committee wanted to establish whether the female and male security officers were performing the same functions. </w:t>
      </w:r>
      <w:r w:rsidR="00D419BB" w:rsidRPr="00186396">
        <w:rPr>
          <w:rFonts w:ascii="Times New Roman" w:hAnsi="Times New Roman" w:cs="Times New Roman"/>
          <w:sz w:val="24"/>
          <w:szCs w:val="24"/>
        </w:rPr>
        <w:t>The Authority stated that the female sec</w:t>
      </w:r>
      <w:r w:rsidR="00081508" w:rsidRPr="00186396">
        <w:rPr>
          <w:rFonts w:ascii="Times New Roman" w:hAnsi="Times New Roman" w:cs="Times New Roman"/>
          <w:sz w:val="24"/>
          <w:szCs w:val="24"/>
        </w:rPr>
        <w:t>urit</w:t>
      </w:r>
      <w:r w:rsidR="00FE3493">
        <w:rPr>
          <w:rFonts w:ascii="Times New Roman" w:hAnsi="Times New Roman" w:cs="Times New Roman"/>
          <w:sz w:val="24"/>
          <w:szCs w:val="24"/>
        </w:rPr>
        <w:t xml:space="preserve">y officers </w:t>
      </w:r>
      <w:r w:rsidR="00081508" w:rsidRPr="00186396">
        <w:rPr>
          <w:rFonts w:ascii="Times New Roman" w:hAnsi="Times New Roman" w:cs="Times New Roman"/>
          <w:sz w:val="24"/>
          <w:szCs w:val="24"/>
        </w:rPr>
        <w:t xml:space="preserve">are executing the same </w:t>
      </w:r>
      <w:r w:rsidR="00D419BB" w:rsidRPr="00186396">
        <w:rPr>
          <w:rFonts w:ascii="Times New Roman" w:hAnsi="Times New Roman" w:cs="Times New Roman"/>
          <w:sz w:val="24"/>
          <w:szCs w:val="24"/>
        </w:rPr>
        <w:t xml:space="preserve">functions </w:t>
      </w:r>
      <w:r w:rsidR="00FE3493">
        <w:rPr>
          <w:rFonts w:ascii="Times New Roman" w:hAnsi="Times New Roman" w:cs="Times New Roman"/>
          <w:sz w:val="24"/>
          <w:szCs w:val="24"/>
        </w:rPr>
        <w:t xml:space="preserve">that </w:t>
      </w:r>
      <w:r w:rsidR="00D419BB" w:rsidRPr="00186396">
        <w:rPr>
          <w:rFonts w:ascii="Times New Roman" w:hAnsi="Times New Roman" w:cs="Times New Roman"/>
          <w:sz w:val="24"/>
          <w:szCs w:val="24"/>
        </w:rPr>
        <w:t xml:space="preserve">are performed by male counterparts such as guarding, patrolling and dog handling. </w:t>
      </w:r>
      <w:r>
        <w:rPr>
          <w:rFonts w:ascii="Times New Roman" w:hAnsi="Times New Roman" w:cs="Times New Roman"/>
          <w:sz w:val="24"/>
          <w:szCs w:val="24"/>
        </w:rPr>
        <w:t xml:space="preserve">The Authority further indicated that female security officers are employed largely in the electronics sector, like the monitoring of control rooms. </w:t>
      </w:r>
    </w:p>
    <w:p w14:paraId="11FA2084" w14:textId="378302D8" w:rsidR="00186396" w:rsidRDefault="00186396" w:rsidP="0003779A">
      <w:pPr>
        <w:spacing w:after="0" w:line="280" w:lineRule="exact"/>
        <w:jc w:val="both"/>
        <w:rPr>
          <w:rFonts w:ascii="Times New Roman" w:hAnsi="Times New Roman" w:cs="Times New Roman"/>
          <w:b/>
          <w:sz w:val="24"/>
          <w:szCs w:val="24"/>
        </w:rPr>
      </w:pPr>
    </w:p>
    <w:p w14:paraId="43BE2565" w14:textId="21F79DEB" w:rsidR="001E28BB" w:rsidRPr="00186396" w:rsidRDefault="008E301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Arcadia building</w:t>
      </w:r>
      <w:r w:rsidR="007A0005" w:rsidRPr="00186396">
        <w:rPr>
          <w:rFonts w:ascii="Times New Roman" w:hAnsi="Times New Roman" w:cs="Times New Roman"/>
          <w:b/>
          <w:sz w:val="24"/>
          <w:szCs w:val="24"/>
        </w:rPr>
        <w:t xml:space="preserve">: </w:t>
      </w:r>
      <w:r w:rsidR="007A0005" w:rsidRPr="00186396">
        <w:rPr>
          <w:rFonts w:ascii="Times New Roman" w:hAnsi="Times New Roman" w:cs="Times New Roman"/>
          <w:sz w:val="24"/>
          <w:szCs w:val="24"/>
        </w:rPr>
        <w:t>The Committee</w:t>
      </w:r>
      <w:r w:rsidR="007A0005" w:rsidRPr="00186396">
        <w:rPr>
          <w:rFonts w:ascii="Times New Roman" w:hAnsi="Times New Roman" w:cs="Times New Roman"/>
          <w:b/>
          <w:sz w:val="24"/>
          <w:szCs w:val="24"/>
        </w:rPr>
        <w:t xml:space="preserve"> </w:t>
      </w:r>
      <w:r w:rsidR="008B77A8">
        <w:rPr>
          <w:rFonts w:ascii="Times New Roman" w:hAnsi="Times New Roman" w:cs="Times New Roman"/>
          <w:sz w:val="24"/>
          <w:szCs w:val="24"/>
        </w:rPr>
        <w:t xml:space="preserve">requested the Authority to indicate the current status of the </w:t>
      </w:r>
      <w:r w:rsidR="00FE3493">
        <w:rPr>
          <w:rFonts w:ascii="Times New Roman" w:hAnsi="Times New Roman" w:cs="Times New Roman"/>
          <w:sz w:val="24"/>
          <w:szCs w:val="24"/>
        </w:rPr>
        <w:t xml:space="preserve">Arcadia </w:t>
      </w:r>
      <w:r w:rsidR="008B77A8">
        <w:rPr>
          <w:rFonts w:ascii="Times New Roman" w:hAnsi="Times New Roman" w:cs="Times New Roman"/>
          <w:sz w:val="24"/>
          <w:szCs w:val="24"/>
        </w:rPr>
        <w:t>building</w:t>
      </w:r>
      <w:r w:rsidR="007A0005" w:rsidRPr="00186396">
        <w:rPr>
          <w:rFonts w:ascii="Times New Roman" w:hAnsi="Times New Roman" w:cs="Times New Roman"/>
          <w:sz w:val="24"/>
          <w:szCs w:val="24"/>
        </w:rPr>
        <w:t>.</w:t>
      </w:r>
      <w:r w:rsidR="00081508" w:rsidRPr="00186396">
        <w:rPr>
          <w:rFonts w:ascii="Times New Roman" w:hAnsi="Times New Roman" w:cs="Times New Roman"/>
          <w:sz w:val="24"/>
          <w:szCs w:val="24"/>
        </w:rPr>
        <w:t xml:space="preserve"> The Authority </w:t>
      </w:r>
      <w:r w:rsidR="008B77A8">
        <w:rPr>
          <w:rFonts w:ascii="Times New Roman" w:hAnsi="Times New Roman" w:cs="Times New Roman"/>
          <w:sz w:val="24"/>
          <w:szCs w:val="24"/>
        </w:rPr>
        <w:t xml:space="preserve">indicated that an action plan has been implemented and further indicated that the </w:t>
      </w:r>
      <w:r w:rsidR="002E7E39">
        <w:rPr>
          <w:rFonts w:ascii="Times New Roman" w:hAnsi="Times New Roman" w:cs="Times New Roman"/>
          <w:sz w:val="24"/>
          <w:szCs w:val="24"/>
        </w:rPr>
        <w:t>satellite</w:t>
      </w:r>
      <w:r w:rsidR="008B77A8">
        <w:rPr>
          <w:rFonts w:ascii="Times New Roman" w:hAnsi="Times New Roman" w:cs="Times New Roman"/>
          <w:sz w:val="24"/>
          <w:szCs w:val="24"/>
        </w:rPr>
        <w:t xml:space="preserve"> office that was built on the Arcadia site has been moved to the Central Business District (</w:t>
      </w:r>
      <w:r w:rsidR="00081508" w:rsidRPr="00186396">
        <w:rPr>
          <w:rFonts w:ascii="Times New Roman" w:hAnsi="Times New Roman" w:cs="Times New Roman"/>
          <w:sz w:val="24"/>
          <w:szCs w:val="24"/>
        </w:rPr>
        <w:t>CBD</w:t>
      </w:r>
      <w:r w:rsidR="008B77A8">
        <w:rPr>
          <w:rFonts w:ascii="Times New Roman" w:hAnsi="Times New Roman" w:cs="Times New Roman"/>
          <w:sz w:val="24"/>
          <w:szCs w:val="24"/>
        </w:rPr>
        <w:t>)</w:t>
      </w:r>
      <w:r w:rsidR="00081508" w:rsidRPr="00186396">
        <w:rPr>
          <w:rFonts w:ascii="Times New Roman" w:hAnsi="Times New Roman" w:cs="Times New Roman"/>
          <w:sz w:val="24"/>
          <w:szCs w:val="24"/>
        </w:rPr>
        <w:t xml:space="preserve">. </w:t>
      </w:r>
    </w:p>
    <w:p w14:paraId="70AD6B6E" w14:textId="77777777" w:rsidR="00186396" w:rsidRDefault="00186396" w:rsidP="0003779A">
      <w:pPr>
        <w:spacing w:after="0" w:line="280" w:lineRule="exact"/>
        <w:jc w:val="both"/>
        <w:rPr>
          <w:rFonts w:ascii="Times New Roman" w:hAnsi="Times New Roman" w:cs="Times New Roman"/>
          <w:b/>
          <w:sz w:val="24"/>
          <w:szCs w:val="24"/>
        </w:rPr>
      </w:pPr>
    </w:p>
    <w:p w14:paraId="47FF4FB3" w14:textId="744E0BAC" w:rsidR="000D103A" w:rsidRPr="00186396" w:rsidRDefault="00055FBD"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Firearms application:</w:t>
      </w:r>
      <w:r w:rsidRPr="00186396">
        <w:rPr>
          <w:rFonts w:ascii="Times New Roman" w:hAnsi="Times New Roman" w:cs="Times New Roman"/>
          <w:sz w:val="24"/>
          <w:szCs w:val="24"/>
        </w:rPr>
        <w:t xml:space="preserve"> The </w:t>
      </w:r>
      <w:r w:rsidR="008B77A8">
        <w:rPr>
          <w:rFonts w:ascii="Times New Roman" w:hAnsi="Times New Roman" w:cs="Times New Roman"/>
          <w:sz w:val="24"/>
          <w:szCs w:val="24"/>
        </w:rPr>
        <w:t xml:space="preserve">Committee requested the </w:t>
      </w:r>
      <w:r w:rsidRPr="00186396">
        <w:rPr>
          <w:rFonts w:ascii="Times New Roman" w:hAnsi="Times New Roman" w:cs="Times New Roman"/>
          <w:sz w:val="24"/>
          <w:szCs w:val="24"/>
        </w:rPr>
        <w:t xml:space="preserve">Authority </w:t>
      </w:r>
      <w:r w:rsidR="008B77A8">
        <w:rPr>
          <w:rFonts w:ascii="Times New Roman" w:hAnsi="Times New Roman" w:cs="Times New Roman"/>
          <w:sz w:val="24"/>
          <w:szCs w:val="24"/>
        </w:rPr>
        <w:t xml:space="preserve">to indicate on what basis firearms applications are </w:t>
      </w:r>
      <w:r w:rsidR="000D103A" w:rsidRPr="00186396">
        <w:rPr>
          <w:rFonts w:ascii="Times New Roman" w:hAnsi="Times New Roman" w:cs="Times New Roman"/>
          <w:sz w:val="24"/>
          <w:szCs w:val="24"/>
        </w:rPr>
        <w:t>rejected</w:t>
      </w:r>
      <w:r w:rsidR="008B77A8">
        <w:rPr>
          <w:rFonts w:ascii="Times New Roman" w:hAnsi="Times New Roman" w:cs="Times New Roman"/>
          <w:sz w:val="24"/>
          <w:szCs w:val="24"/>
        </w:rPr>
        <w:t>.</w:t>
      </w:r>
      <w:r w:rsidR="000D103A" w:rsidRPr="00186396">
        <w:rPr>
          <w:rFonts w:ascii="Times New Roman" w:hAnsi="Times New Roman" w:cs="Times New Roman"/>
          <w:sz w:val="24"/>
          <w:szCs w:val="24"/>
        </w:rPr>
        <w:t xml:space="preserve"> </w:t>
      </w:r>
      <w:r w:rsidR="008B77A8">
        <w:rPr>
          <w:rFonts w:ascii="Times New Roman" w:hAnsi="Times New Roman" w:cs="Times New Roman"/>
          <w:sz w:val="24"/>
          <w:szCs w:val="24"/>
        </w:rPr>
        <w:t xml:space="preserve">The Authority indicated that the information provided to the CFR by private security companies must be verified by PSIRA and in various cases, discrepancies are identified and based thereon, the application is denied. </w:t>
      </w:r>
    </w:p>
    <w:p w14:paraId="28A15FDE" w14:textId="654ED5AF" w:rsidR="00186396" w:rsidRDefault="00186396" w:rsidP="0003779A">
      <w:pPr>
        <w:spacing w:after="0" w:line="280" w:lineRule="exact"/>
        <w:jc w:val="both"/>
        <w:rPr>
          <w:rFonts w:ascii="Times New Roman" w:hAnsi="Times New Roman" w:cs="Times New Roman"/>
          <w:b/>
          <w:sz w:val="24"/>
          <w:szCs w:val="24"/>
        </w:rPr>
      </w:pPr>
    </w:p>
    <w:p w14:paraId="3E5CFC11" w14:textId="6AB1C5F6" w:rsidR="000C332C" w:rsidRDefault="000C332C"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 xml:space="preserve">Complaints mechanism: </w:t>
      </w:r>
      <w:r>
        <w:rPr>
          <w:rFonts w:ascii="Times New Roman" w:hAnsi="Times New Roman" w:cs="Times New Roman"/>
          <w:sz w:val="24"/>
          <w:szCs w:val="24"/>
        </w:rPr>
        <w:t xml:space="preserve">The Committee noted the lack of feedback when a complaint is lodged with the Authority’s complaints nodal point (email). The Authority indicated that the complaints mechanism is not properly functioning and is under review. The Authority further indicated that an increase in the number of complaints was registered, which is largely due to the increased number of awareness campaigns of the Authority. </w:t>
      </w:r>
    </w:p>
    <w:p w14:paraId="1C68983B" w14:textId="25B57BD9" w:rsidR="000C332C" w:rsidRPr="000C332C" w:rsidRDefault="000C332C"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14:paraId="040CBD88" w14:textId="13342C2C" w:rsidR="008F4095" w:rsidRPr="00186396" w:rsidRDefault="00A47DF9"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Record m</w:t>
      </w:r>
      <w:r w:rsidR="008E301B" w:rsidRPr="00186396">
        <w:rPr>
          <w:rFonts w:ascii="Times New Roman" w:hAnsi="Times New Roman" w:cs="Times New Roman"/>
          <w:b/>
          <w:sz w:val="24"/>
          <w:szCs w:val="24"/>
        </w:rPr>
        <w:t xml:space="preserve">anagement </w:t>
      </w:r>
      <w:r>
        <w:rPr>
          <w:rFonts w:ascii="Times New Roman" w:hAnsi="Times New Roman" w:cs="Times New Roman"/>
          <w:b/>
          <w:sz w:val="24"/>
          <w:szCs w:val="24"/>
        </w:rPr>
        <w:t>s</w:t>
      </w:r>
      <w:r w:rsidR="00486206" w:rsidRPr="00186396">
        <w:rPr>
          <w:rFonts w:ascii="Times New Roman" w:hAnsi="Times New Roman" w:cs="Times New Roman"/>
          <w:b/>
          <w:sz w:val="24"/>
          <w:szCs w:val="24"/>
        </w:rPr>
        <w:t>ystem:</w:t>
      </w:r>
      <w:r w:rsidR="00FE3493">
        <w:rPr>
          <w:rFonts w:ascii="Times New Roman" w:hAnsi="Times New Roman" w:cs="Times New Roman"/>
          <w:b/>
          <w:sz w:val="24"/>
          <w:szCs w:val="24"/>
        </w:rPr>
        <w:t xml:space="preserve"> </w:t>
      </w:r>
      <w:r w:rsidR="00145DBF" w:rsidRPr="00186396">
        <w:rPr>
          <w:rFonts w:ascii="Times New Roman" w:hAnsi="Times New Roman" w:cs="Times New Roman"/>
          <w:sz w:val="24"/>
          <w:szCs w:val="24"/>
        </w:rPr>
        <w:t xml:space="preserve">The Committee </w:t>
      </w:r>
      <w:r>
        <w:rPr>
          <w:rFonts w:ascii="Times New Roman" w:hAnsi="Times New Roman" w:cs="Times New Roman"/>
          <w:sz w:val="24"/>
          <w:szCs w:val="24"/>
        </w:rPr>
        <w:t xml:space="preserve">requested the Authority to explain the </w:t>
      </w:r>
      <w:r w:rsidR="00145DBF" w:rsidRPr="00186396">
        <w:rPr>
          <w:rFonts w:ascii="Times New Roman" w:hAnsi="Times New Roman" w:cs="Times New Roman"/>
          <w:sz w:val="24"/>
          <w:szCs w:val="24"/>
        </w:rPr>
        <w:t>documentation system</w:t>
      </w:r>
      <w:r w:rsidR="00FB1FCB" w:rsidRPr="00186396">
        <w:rPr>
          <w:rFonts w:ascii="Times New Roman" w:hAnsi="Times New Roman" w:cs="Times New Roman"/>
          <w:sz w:val="24"/>
          <w:szCs w:val="24"/>
        </w:rPr>
        <w:t xml:space="preserve"> </w:t>
      </w:r>
      <w:r w:rsidR="00FE3493">
        <w:rPr>
          <w:rFonts w:ascii="Times New Roman" w:hAnsi="Times New Roman" w:cs="Times New Roman"/>
          <w:sz w:val="24"/>
          <w:szCs w:val="24"/>
        </w:rPr>
        <w:t xml:space="preserve">that is </w:t>
      </w:r>
      <w:r w:rsidR="00B3413D" w:rsidRPr="00186396">
        <w:rPr>
          <w:rFonts w:ascii="Times New Roman" w:hAnsi="Times New Roman" w:cs="Times New Roman"/>
          <w:sz w:val="24"/>
          <w:szCs w:val="24"/>
        </w:rPr>
        <w:t xml:space="preserve">currently in </w:t>
      </w:r>
      <w:r w:rsidR="00145DBF" w:rsidRPr="00186396">
        <w:rPr>
          <w:rFonts w:ascii="Times New Roman" w:hAnsi="Times New Roman" w:cs="Times New Roman"/>
          <w:sz w:val="24"/>
          <w:szCs w:val="24"/>
        </w:rPr>
        <w:t xml:space="preserve">place, </w:t>
      </w:r>
      <w:r w:rsidR="000B5AFB" w:rsidRPr="00186396">
        <w:rPr>
          <w:rFonts w:ascii="Times New Roman" w:hAnsi="Times New Roman" w:cs="Times New Roman"/>
          <w:sz w:val="24"/>
          <w:szCs w:val="24"/>
        </w:rPr>
        <w:t>considering the</w:t>
      </w:r>
      <w:r>
        <w:rPr>
          <w:rFonts w:ascii="Times New Roman" w:hAnsi="Times New Roman" w:cs="Times New Roman"/>
          <w:sz w:val="24"/>
          <w:szCs w:val="24"/>
        </w:rPr>
        <w:t xml:space="preserve"> findings by the AGSA regarding inadequate record keeping. </w:t>
      </w:r>
      <w:r w:rsidR="00FB1FCB" w:rsidRPr="00186396">
        <w:rPr>
          <w:rFonts w:ascii="Times New Roman" w:hAnsi="Times New Roman" w:cs="Times New Roman"/>
          <w:sz w:val="24"/>
          <w:szCs w:val="24"/>
        </w:rPr>
        <w:t>The Committee expressed concerns regarding the issues</w:t>
      </w:r>
      <w:r w:rsidR="00645CF7" w:rsidRPr="00186396">
        <w:rPr>
          <w:rFonts w:ascii="Times New Roman" w:hAnsi="Times New Roman" w:cs="Times New Roman"/>
          <w:sz w:val="24"/>
          <w:szCs w:val="24"/>
        </w:rPr>
        <w:t xml:space="preserve"> which were pointed out</w:t>
      </w:r>
      <w:r w:rsidR="0088645B" w:rsidRPr="00186396">
        <w:rPr>
          <w:rFonts w:ascii="Times New Roman" w:hAnsi="Times New Roman" w:cs="Times New Roman"/>
          <w:sz w:val="24"/>
          <w:szCs w:val="24"/>
        </w:rPr>
        <w:t xml:space="preserve"> and further asked whether the problems</w:t>
      </w:r>
      <w:r w:rsidR="00645CF7" w:rsidRPr="00186396">
        <w:rPr>
          <w:rFonts w:ascii="Times New Roman" w:hAnsi="Times New Roman" w:cs="Times New Roman"/>
          <w:sz w:val="24"/>
          <w:szCs w:val="24"/>
        </w:rPr>
        <w:t xml:space="preserve"> were </w:t>
      </w:r>
      <w:r w:rsidR="00FE3493">
        <w:rPr>
          <w:rFonts w:ascii="Times New Roman" w:hAnsi="Times New Roman" w:cs="Times New Roman"/>
          <w:sz w:val="24"/>
          <w:szCs w:val="24"/>
        </w:rPr>
        <w:t>as a result of lacking ICT infrastructure.</w:t>
      </w:r>
      <w:r w:rsidR="0056535E" w:rsidRPr="00186396">
        <w:rPr>
          <w:rFonts w:ascii="Times New Roman" w:hAnsi="Times New Roman" w:cs="Times New Roman"/>
          <w:sz w:val="24"/>
          <w:szCs w:val="24"/>
        </w:rPr>
        <w:t xml:space="preserve"> </w:t>
      </w:r>
      <w:r w:rsidR="00966FF8" w:rsidRPr="00186396">
        <w:rPr>
          <w:rFonts w:ascii="Times New Roman" w:hAnsi="Times New Roman" w:cs="Times New Roman"/>
          <w:sz w:val="24"/>
          <w:szCs w:val="24"/>
        </w:rPr>
        <w:t xml:space="preserve"> </w:t>
      </w:r>
      <w:r w:rsidR="0052198E" w:rsidRPr="00186396">
        <w:rPr>
          <w:rFonts w:ascii="Times New Roman" w:hAnsi="Times New Roman" w:cs="Times New Roman"/>
          <w:sz w:val="24"/>
          <w:szCs w:val="24"/>
        </w:rPr>
        <w:t xml:space="preserve">The Authority indicated that the </w:t>
      </w:r>
      <w:r w:rsidR="00874065">
        <w:rPr>
          <w:rFonts w:ascii="Times New Roman" w:hAnsi="Times New Roman" w:cs="Times New Roman"/>
          <w:sz w:val="24"/>
          <w:szCs w:val="24"/>
        </w:rPr>
        <w:t>challenges will be addressed.</w:t>
      </w:r>
      <w:r w:rsidR="0052198E" w:rsidRPr="00186396">
        <w:rPr>
          <w:rFonts w:ascii="Times New Roman" w:hAnsi="Times New Roman" w:cs="Times New Roman"/>
          <w:sz w:val="24"/>
          <w:szCs w:val="24"/>
        </w:rPr>
        <w:t xml:space="preserve"> </w:t>
      </w:r>
    </w:p>
    <w:p w14:paraId="77CFC512" w14:textId="77777777" w:rsidR="009A1944" w:rsidRDefault="009A1944" w:rsidP="0003779A">
      <w:pPr>
        <w:spacing w:after="0" w:line="280" w:lineRule="exact"/>
        <w:jc w:val="both"/>
        <w:rPr>
          <w:rFonts w:ascii="Times New Roman" w:hAnsi="Times New Roman" w:cs="Times New Roman"/>
          <w:b/>
          <w:sz w:val="24"/>
          <w:szCs w:val="24"/>
        </w:rPr>
      </w:pPr>
    </w:p>
    <w:p w14:paraId="78C84C5B" w14:textId="30E38708" w:rsidR="008F4095" w:rsidRPr="00186396" w:rsidRDefault="00A47DF9"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Litigation</w:t>
      </w:r>
      <w:r w:rsidR="008F4095" w:rsidRPr="00186396">
        <w:rPr>
          <w:rFonts w:ascii="Times New Roman" w:hAnsi="Times New Roman" w:cs="Times New Roman"/>
          <w:b/>
          <w:sz w:val="24"/>
          <w:szCs w:val="24"/>
        </w:rPr>
        <w:t>:</w:t>
      </w:r>
      <w:r w:rsidR="008F4095" w:rsidRPr="00186396">
        <w:rPr>
          <w:rFonts w:ascii="Times New Roman" w:hAnsi="Times New Roman" w:cs="Times New Roman"/>
          <w:sz w:val="24"/>
          <w:szCs w:val="24"/>
        </w:rPr>
        <w:t xml:space="preserve"> The Co</w:t>
      </w:r>
      <w:r w:rsidR="00917109" w:rsidRPr="00186396">
        <w:rPr>
          <w:rFonts w:ascii="Times New Roman" w:hAnsi="Times New Roman" w:cs="Times New Roman"/>
          <w:sz w:val="24"/>
          <w:szCs w:val="24"/>
        </w:rPr>
        <w:t xml:space="preserve">mmittee noted that the Authority </w:t>
      </w:r>
      <w:r w:rsidR="006666FF">
        <w:rPr>
          <w:rFonts w:ascii="Times New Roman" w:hAnsi="Times New Roman" w:cs="Times New Roman"/>
          <w:sz w:val="24"/>
          <w:szCs w:val="24"/>
        </w:rPr>
        <w:t>is the defendant in a number of legal actions and further that no provision for any liability that m</w:t>
      </w:r>
      <w:r w:rsidR="00D14900">
        <w:rPr>
          <w:rFonts w:ascii="Times New Roman" w:hAnsi="Times New Roman" w:cs="Times New Roman"/>
          <w:sz w:val="24"/>
          <w:szCs w:val="24"/>
        </w:rPr>
        <w:t>a</w:t>
      </w:r>
      <w:r w:rsidR="006666FF">
        <w:rPr>
          <w:rFonts w:ascii="Times New Roman" w:hAnsi="Times New Roman" w:cs="Times New Roman"/>
          <w:sz w:val="24"/>
          <w:szCs w:val="24"/>
        </w:rPr>
        <w:t xml:space="preserve">y result was made in the financial statements. </w:t>
      </w:r>
      <w:r w:rsidR="00F7709B" w:rsidRPr="00186396">
        <w:rPr>
          <w:rFonts w:ascii="Times New Roman" w:hAnsi="Times New Roman" w:cs="Times New Roman"/>
          <w:sz w:val="24"/>
          <w:szCs w:val="24"/>
        </w:rPr>
        <w:t xml:space="preserve">The </w:t>
      </w:r>
      <w:r w:rsidR="001A0D19">
        <w:rPr>
          <w:rFonts w:ascii="Times New Roman" w:hAnsi="Times New Roman" w:cs="Times New Roman"/>
          <w:sz w:val="24"/>
          <w:szCs w:val="24"/>
        </w:rPr>
        <w:t xml:space="preserve">Committee requested the </w:t>
      </w:r>
      <w:r w:rsidR="00F7709B" w:rsidRPr="00186396">
        <w:rPr>
          <w:rFonts w:ascii="Times New Roman" w:hAnsi="Times New Roman" w:cs="Times New Roman"/>
          <w:sz w:val="24"/>
          <w:szCs w:val="24"/>
        </w:rPr>
        <w:t xml:space="preserve">Authority </w:t>
      </w:r>
      <w:r w:rsidR="001A0D19">
        <w:rPr>
          <w:rFonts w:ascii="Times New Roman" w:hAnsi="Times New Roman" w:cs="Times New Roman"/>
          <w:sz w:val="24"/>
          <w:szCs w:val="24"/>
        </w:rPr>
        <w:t xml:space="preserve">to </w:t>
      </w:r>
      <w:r w:rsidR="00F7709B" w:rsidRPr="00186396">
        <w:rPr>
          <w:rFonts w:ascii="Times New Roman" w:hAnsi="Times New Roman" w:cs="Times New Roman"/>
          <w:sz w:val="24"/>
          <w:szCs w:val="24"/>
        </w:rPr>
        <w:t xml:space="preserve">explain </w:t>
      </w:r>
      <w:r w:rsidR="001A0D19">
        <w:rPr>
          <w:rFonts w:ascii="Times New Roman" w:hAnsi="Times New Roman" w:cs="Times New Roman"/>
          <w:sz w:val="24"/>
          <w:szCs w:val="24"/>
        </w:rPr>
        <w:t xml:space="preserve">the manner in which these cases will be finalised. </w:t>
      </w:r>
      <w:r w:rsidR="00BE3ADC" w:rsidRPr="00186396">
        <w:rPr>
          <w:rFonts w:ascii="Times New Roman" w:hAnsi="Times New Roman" w:cs="Times New Roman"/>
          <w:sz w:val="24"/>
          <w:szCs w:val="24"/>
        </w:rPr>
        <w:t>The Authority admitted that it was facing a large number of cases</w:t>
      </w:r>
      <w:r w:rsidR="001A0D19">
        <w:rPr>
          <w:rFonts w:ascii="Times New Roman" w:hAnsi="Times New Roman" w:cs="Times New Roman"/>
          <w:sz w:val="24"/>
          <w:szCs w:val="24"/>
        </w:rPr>
        <w:t>, but indicated that most of the cases are dormant</w:t>
      </w:r>
      <w:r w:rsidR="00D50929">
        <w:rPr>
          <w:rFonts w:ascii="Times New Roman" w:hAnsi="Times New Roman" w:cs="Times New Roman"/>
          <w:sz w:val="24"/>
          <w:szCs w:val="24"/>
        </w:rPr>
        <w:t>.</w:t>
      </w:r>
      <w:r w:rsidR="001A0D19">
        <w:rPr>
          <w:rFonts w:ascii="Times New Roman" w:hAnsi="Times New Roman" w:cs="Times New Roman"/>
          <w:sz w:val="24"/>
          <w:szCs w:val="24"/>
        </w:rPr>
        <w:t xml:space="preserve"> The Authority indicated that plans are being developed to address the dormant cases. </w:t>
      </w:r>
    </w:p>
    <w:p w14:paraId="372632F9" w14:textId="77777777" w:rsidR="009A1944" w:rsidRDefault="009A1944" w:rsidP="0003779A">
      <w:pPr>
        <w:spacing w:after="0" w:line="280" w:lineRule="exact"/>
        <w:jc w:val="both"/>
        <w:rPr>
          <w:rFonts w:ascii="Times New Roman" w:hAnsi="Times New Roman" w:cs="Times New Roman"/>
          <w:b/>
          <w:sz w:val="24"/>
          <w:szCs w:val="24"/>
        </w:rPr>
      </w:pPr>
    </w:p>
    <w:p w14:paraId="4F7E544C" w14:textId="77D71AA2" w:rsidR="008E301B" w:rsidRPr="00186396" w:rsidRDefault="00966FF8"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 xml:space="preserve">The Private Security Industry </w:t>
      </w:r>
      <w:r w:rsidR="0063169F">
        <w:rPr>
          <w:rFonts w:ascii="Times New Roman" w:hAnsi="Times New Roman" w:cs="Times New Roman"/>
          <w:b/>
          <w:sz w:val="24"/>
          <w:szCs w:val="24"/>
        </w:rPr>
        <w:t xml:space="preserve">Regulation </w:t>
      </w:r>
      <w:r w:rsidRPr="00186396">
        <w:rPr>
          <w:rFonts w:ascii="Times New Roman" w:hAnsi="Times New Roman" w:cs="Times New Roman"/>
          <w:b/>
          <w:sz w:val="24"/>
          <w:szCs w:val="24"/>
        </w:rPr>
        <w:t>Amendment Bill</w:t>
      </w:r>
      <w:r w:rsidR="00F7709B" w:rsidRPr="00186396">
        <w:rPr>
          <w:rFonts w:ascii="Times New Roman" w:hAnsi="Times New Roman" w:cs="Times New Roman"/>
          <w:b/>
          <w:sz w:val="24"/>
          <w:szCs w:val="24"/>
        </w:rPr>
        <w:t xml:space="preserve">: </w:t>
      </w:r>
      <w:r w:rsidR="009C1C66" w:rsidRPr="00186396">
        <w:rPr>
          <w:rFonts w:ascii="Times New Roman" w:hAnsi="Times New Roman" w:cs="Times New Roman"/>
          <w:sz w:val="24"/>
          <w:szCs w:val="24"/>
        </w:rPr>
        <w:t>The Committee requested the Authority to indicate whet</w:t>
      </w:r>
      <w:r w:rsidR="00D50929">
        <w:rPr>
          <w:rFonts w:ascii="Times New Roman" w:hAnsi="Times New Roman" w:cs="Times New Roman"/>
          <w:sz w:val="24"/>
          <w:szCs w:val="24"/>
        </w:rPr>
        <w:t>her any progress has been made o</w:t>
      </w:r>
      <w:r w:rsidR="009C1C66" w:rsidRPr="00186396">
        <w:rPr>
          <w:rFonts w:ascii="Times New Roman" w:hAnsi="Times New Roman" w:cs="Times New Roman"/>
          <w:sz w:val="24"/>
          <w:szCs w:val="24"/>
        </w:rPr>
        <w:t xml:space="preserve">n the </w:t>
      </w:r>
      <w:r w:rsidR="00F7709B" w:rsidRPr="00186396">
        <w:rPr>
          <w:rFonts w:ascii="Times New Roman" w:hAnsi="Times New Roman" w:cs="Times New Roman"/>
          <w:sz w:val="24"/>
          <w:szCs w:val="24"/>
        </w:rPr>
        <w:t xml:space="preserve">PSIRA Amendment Bill. </w:t>
      </w:r>
      <w:r w:rsidR="00D43B63" w:rsidRPr="00186396">
        <w:rPr>
          <w:rFonts w:ascii="Times New Roman" w:hAnsi="Times New Roman" w:cs="Times New Roman"/>
          <w:sz w:val="24"/>
          <w:szCs w:val="24"/>
        </w:rPr>
        <w:t xml:space="preserve"> The Authority responded that there have been continuously engagements w</w:t>
      </w:r>
      <w:r w:rsidR="00D50929">
        <w:rPr>
          <w:rFonts w:ascii="Times New Roman" w:hAnsi="Times New Roman" w:cs="Times New Roman"/>
          <w:sz w:val="24"/>
          <w:szCs w:val="24"/>
        </w:rPr>
        <w:t>ith the Office of the President</w:t>
      </w:r>
      <w:r w:rsidR="00D43B63" w:rsidRPr="00186396">
        <w:rPr>
          <w:rFonts w:ascii="Times New Roman" w:hAnsi="Times New Roman" w:cs="Times New Roman"/>
          <w:sz w:val="24"/>
          <w:szCs w:val="24"/>
        </w:rPr>
        <w:t xml:space="preserve"> and the Civilian Secretariat for Police Service </w:t>
      </w:r>
      <w:r w:rsidR="00D50929">
        <w:rPr>
          <w:rFonts w:ascii="Times New Roman" w:hAnsi="Times New Roman" w:cs="Times New Roman"/>
          <w:sz w:val="24"/>
          <w:szCs w:val="24"/>
        </w:rPr>
        <w:t>(CSPS).</w:t>
      </w:r>
      <w:r w:rsidR="00802271">
        <w:rPr>
          <w:rFonts w:ascii="Times New Roman" w:hAnsi="Times New Roman" w:cs="Times New Roman"/>
          <w:sz w:val="24"/>
          <w:szCs w:val="24"/>
        </w:rPr>
        <w:t xml:space="preserve"> The Authority further indicated that consultations are ongoing to decide whether the President will ascent to the </w:t>
      </w:r>
      <w:r w:rsidR="008E5D28">
        <w:rPr>
          <w:rFonts w:ascii="Times New Roman" w:hAnsi="Times New Roman" w:cs="Times New Roman"/>
          <w:sz w:val="24"/>
          <w:szCs w:val="24"/>
        </w:rPr>
        <w:t>A</w:t>
      </w:r>
      <w:r w:rsidR="00802271">
        <w:rPr>
          <w:rFonts w:ascii="Times New Roman" w:hAnsi="Times New Roman" w:cs="Times New Roman"/>
          <w:sz w:val="24"/>
          <w:szCs w:val="24"/>
        </w:rPr>
        <w:t xml:space="preserve">mendment </w:t>
      </w:r>
      <w:r w:rsidR="008E5D28">
        <w:rPr>
          <w:rFonts w:ascii="Times New Roman" w:hAnsi="Times New Roman" w:cs="Times New Roman"/>
          <w:sz w:val="24"/>
          <w:szCs w:val="24"/>
        </w:rPr>
        <w:t>B</w:t>
      </w:r>
      <w:r w:rsidR="00802271">
        <w:rPr>
          <w:rFonts w:ascii="Times New Roman" w:hAnsi="Times New Roman" w:cs="Times New Roman"/>
          <w:sz w:val="24"/>
          <w:szCs w:val="24"/>
        </w:rPr>
        <w:t>ill in its current form or whether it will be reintroduced in Parliament.</w:t>
      </w:r>
      <w:r w:rsidR="00D43B63" w:rsidRPr="00186396">
        <w:rPr>
          <w:rFonts w:ascii="Times New Roman" w:hAnsi="Times New Roman" w:cs="Times New Roman"/>
          <w:sz w:val="24"/>
          <w:szCs w:val="24"/>
        </w:rPr>
        <w:t xml:space="preserve"> </w:t>
      </w:r>
    </w:p>
    <w:p w14:paraId="64F4D88B" w14:textId="32DE2260" w:rsidR="00FE6704" w:rsidRPr="00186396" w:rsidRDefault="00FE6704" w:rsidP="0003779A">
      <w:pPr>
        <w:spacing w:after="0" w:line="280" w:lineRule="exact"/>
        <w:jc w:val="both"/>
        <w:rPr>
          <w:rFonts w:ascii="Times New Roman" w:hAnsi="Times New Roman" w:cs="Times New Roman"/>
          <w:sz w:val="24"/>
          <w:szCs w:val="24"/>
        </w:rPr>
      </w:pPr>
    </w:p>
    <w:p w14:paraId="29E1B4BF" w14:textId="66C57971" w:rsidR="00292435" w:rsidRPr="00186396" w:rsidRDefault="00CE1A15"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Stakeholder</w:t>
      </w:r>
      <w:r w:rsidR="00486206" w:rsidRPr="00186396">
        <w:rPr>
          <w:rFonts w:ascii="Times New Roman" w:hAnsi="Times New Roman" w:cs="Times New Roman"/>
          <w:sz w:val="24"/>
          <w:szCs w:val="24"/>
        </w:rPr>
        <w:t xml:space="preserve"> </w:t>
      </w:r>
      <w:r w:rsidR="00DB69A5">
        <w:rPr>
          <w:rFonts w:ascii="Times New Roman" w:hAnsi="Times New Roman" w:cs="Times New Roman"/>
          <w:b/>
          <w:sz w:val="24"/>
          <w:szCs w:val="24"/>
        </w:rPr>
        <w:t>p</w:t>
      </w:r>
      <w:r w:rsidR="00486206" w:rsidRPr="00186396">
        <w:rPr>
          <w:rFonts w:ascii="Times New Roman" w:hAnsi="Times New Roman" w:cs="Times New Roman"/>
          <w:b/>
          <w:sz w:val="24"/>
          <w:szCs w:val="24"/>
        </w:rPr>
        <w:t>articipation:</w:t>
      </w:r>
      <w:r w:rsidR="00A80199" w:rsidRPr="00186396">
        <w:rPr>
          <w:rFonts w:ascii="Times New Roman" w:hAnsi="Times New Roman" w:cs="Times New Roman"/>
          <w:b/>
          <w:sz w:val="24"/>
          <w:szCs w:val="24"/>
        </w:rPr>
        <w:t xml:space="preserve"> </w:t>
      </w:r>
      <w:r w:rsidR="00A80199" w:rsidRPr="00186396">
        <w:rPr>
          <w:rFonts w:ascii="Times New Roman" w:hAnsi="Times New Roman" w:cs="Times New Roman"/>
          <w:sz w:val="24"/>
          <w:szCs w:val="24"/>
        </w:rPr>
        <w:t>T</w:t>
      </w:r>
      <w:r w:rsidR="00745C33" w:rsidRPr="00186396">
        <w:rPr>
          <w:rFonts w:ascii="Times New Roman" w:hAnsi="Times New Roman" w:cs="Times New Roman"/>
          <w:sz w:val="24"/>
          <w:szCs w:val="24"/>
        </w:rPr>
        <w:t xml:space="preserve">he Committee </w:t>
      </w:r>
      <w:r w:rsidR="00F43A7D">
        <w:rPr>
          <w:rFonts w:ascii="Times New Roman" w:hAnsi="Times New Roman" w:cs="Times New Roman"/>
          <w:sz w:val="24"/>
          <w:szCs w:val="24"/>
        </w:rPr>
        <w:t xml:space="preserve">requested the Authority to indicate what percentage of active security businesses attend stakeholder engagement sessions. </w:t>
      </w:r>
      <w:r w:rsidR="00C436C9" w:rsidRPr="00186396">
        <w:rPr>
          <w:rFonts w:ascii="Times New Roman" w:hAnsi="Times New Roman" w:cs="Times New Roman"/>
          <w:sz w:val="24"/>
          <w:szCs w:val="24"/>
        </w:rPr>
        <w:t xml:space="preserve">The Authority explained that it has </w:t>
      </w:r>
      <w:r w:rsidR="00A80199" w:rsidRPr="00186396">
        <w:rPr>
          <w:rFonts w:ascii="Times New Roman" w:hAnsi="Times New Roman" w:cs="Times New Roman"/>
          <w:sz w:val="24"/>
          <w:szCs w:val="24"/>
        </w:rPr>
        <w:t xml:space="preserve">different </w:t>
      </w:r>
      <w:r w:rsidR="00C436C9" w:rsidRPr="00186396">
        <w:rPr>
          <w:rFonts w:ascii="Times New Roman" w:hAnsi="Times New Roman" w:cs="Times New Roman"/>
          <w:sz w:val="24"/>
          <w:szCs w:val="24"/>
        </w:rPr>
        <w:t>forums</w:t>
      </w:r>
      <w:r w:rsidR="00F43A7D">
        <w:rPr>
          <w:rFonts w:ascii="Times New Roman" w:hAnsi="Times New Roman" w:cs="Times New Roman"/>
          <w:sz w:val="24"/>
          <w:szCs w:val="24"/>
        </w:rPr>
        <w:t xml:space="preserve"> </w:t>
      </w:r>
      <w:r w:rsidR="00DB2DF9">
        <w:rPr>
          <w:rFonts w:ascii="Times New Roman" w:hAnsi="Times New Roman" w:cs="Times New Roman"/>
          <w:sz w:val="24"/>
          <w:szCs w:val="24"/>
        </w:rPr>
        <w:t xml:space="preserve">for </w:t>
      </w:r>
      <w:r w:rsidR="00F43A7D">
        <w:rPr>
          <w:rFonts w:ascii="Times New Roman" w:hAnsi="Times New Roman" w:cs="Times New Roman"/>
          <w:sz w:val="24"/>
          <w:szCs w:val="24"/>
        </w:rPr>
        <w:t xml:space="preserve">newly established businesses. The Authority indicated that engagements are well attended by newcomers to the industry. </w:t>
      </w:r>
    </w:p>
    <w:p w14:paraId="52DFCF5D" w14:textId="77777777" w:rsidR="009A1944" w:rsidRDefault="009A1944" w:rsidP="0003779A">
      <w:pPr>
        <w:spacing w:after="0" w:line="280" w:lineRule="exact"/>
        <w:jc w:val="both"/>
        <w:rPr>
          <w:rFonts w:ascii="Times New Roman" w:hAnsi="Times New Roman" w:cs="Times New Roman"/>
          <w:b/>
          <w:sz w:val="24"/>
          <w:szCs w:val="24"/>
        </w:rPr>
      </w:pPr>
    </w:p>
    <w:p w14:paraId="6F2303AA" w14:textId="2BD67F4D" w:rsidR="00D43B63" w:rsidRPr="00186396" w:rsidRDefault="00D43B63"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Partnership</w:t>
      </w:r>
      <w:r w:rsidR="009D7123">
        <w:rPr>
          <w:rFonts w:ascii="Times New Roman" w:hAnsi="Times New Roman" w:cs="Times New Roman"/>
          <w:b/>
          <w:sz w:val="24"/>
          <w:szCs w:val="24"/>
        </w:rPr>
        <w:t>s</w:t>
      </w:r>
      <w:r w:rsidRPr="00186396">
        <w:rPr>
          <w:rFonts w:ascii="Times New Roman" w:hAnsi="Times New Roman" w:cs="Times New Roman"/>
          <w:b/>
          <w:sz w:val="24"/>
          <w:szCs w:val="24"/>
        </w:rPr>
        <w:t xml:space="preserve">:  </w:t>
      </w:r>
      <w:r w:rsidR="00C70A93" w:rsidRPr="00186396">
        <w:rPr>
          <w:rFonts w:ascii="Times New Roman" w:hAnsi="Times New Roman" w:cs="Times New Roman"/>
          <w:sz w:val="24"/>
          <w:szCs w:val="24"/>
        </w:rPr>
        <w:t>The Committee requested the Authority to indicate whether it has partnerships with other institution</w:t>
      </w:r>
      <w:r w:rsidR="00D14900">
        <w:rPr>
          <w:rFonts w:ascii="Times New Roman" w:hAnsi="Times New Roman" w:cs="Times New Roman"/>
          <w:sz w:val="24"/>
          <w:szCs w:val="24"/>
        </w:rPr>
        <w:t>s</w:t>
      </w:r>
      <w:r w:rsidR="009D7123">
        <w:rPr>
          <w:rFonts w:ascii="Times New Roman" w:hAnsi="Times New Roman" w:cs="Times New Roman"/>
          <w:sz w:val="24"/>
          <w:szCs w:val="24"/>
        </w:rPr>
        <w:t>, especially the SAPS</w:t>
      </w:r>
      <w:r w:rsidR="00C70A93" w:rsidRPr="00186396">
        <w:rPr>
          <w:rFonts w:ascii="Times New Roman" w:hAnsi="Times New Roman" w:cs="Times New Roman"/>
          <w:sz w:val="24"/>
          <w:szCs w:val="24"/>
        </w:rPr>
        <w:t xml:space="preserve">.  The Authority indicated that </w:t>
      </w:r>
      <w:r w:rsidR="009D7123">
        <w:rPr>
          <w:rFonts w:ascii="Times New Roman" w:hAnsi="Times New Roman" w:cs="Times New Roman"/>
          <w:sz w:val="24"/>
          <w:szCs w:val="24"/>
        </w:rPr>
        <w:t xml:space="preserve">it has published a research monograph on the importance of partnerships. In the South African context, the SAPS must take the lead in partnering with institutions within the safety and security sector. The research done by the Authority showed that partnerships play a critical role to address crime. </w:t>
      </w:r>
      <w:r w:rsidR="00C436C9" w:rsidRPr="00186396">
        <w:rPr>
          <w:rFonts w:ascii="Times New Roman" w:hAnsi="Times New Roman" w:cs="Times New Roman"/>
          <w:sz w:val="24"/>
          <w:szCs w:val="24"/>
        </w:rPr>
        <w:t xml:space="preserve">The document was </w:t>
      </w:r>
      <w:r w:rsidR="00C70A93" w:rsidRPr="00186396">
        <w:rPr>
          <w:rFonts w:ascii="Times New Roman" w:hAnsi="Times New Roman" w:cs="Times New Roman"/>
          <w:sz w:val="24"/>
          <w:szCs w:val="24"/>
        </w:rPr>
        <w:t xml:space="preserve">made available to the Civilian Secretary for Police Service to outline what needed to be done. </w:t>
      </w:r>
    </w:p>
    <w:p w14:paraId="2D508BA4" w14:textId="5A0B505A" w:rsidR="009A1944" w:rsidRDefault="009A1944" w:rsidP="0003779A">
      <w:pPr>
        <w:spacing w:after="0" w:line="280" w:lineRule="exact"/>
        <w:jc w:val="both"/>
        <w:rPr>
          <w:rFonts w:ascii="Times New Roman" w:hAnsi="Times New Roman" w:cs="Times New Roman"/>
          <w:b/>
          <w:sz w:val="24"/>
          <w:szCs w:val="24"/>
        </w:rPr>
      </w:pPr>
    </w:p>
    <w:p w14:paraId="7F166CAD" w14:textId="5C252612" w:rsidR="000C332C" w:rsidRDefault="000C332C" w:rsidP="0003779A">
      <w:pPr>
        <w:spacing w:after="0" w:line="280" w:lineRule="exact"/>
        <w:jc w:val="both"/>
        <w:rPr>
          <w:rFonts w:ascii="Times New Roman" w:hAnsi="Times New Roman" w:cs="Times New Roman"/>
          <w:b/>
          <w:sz w:val="24"/>
          <w:szCs w:val="24"/>
        </w:rPr>
      </w:pPr>
      <w:r>
        <w:rPr>
          <w:rFonts w:ascii="Times New Roman" w:hAnsi="Times New Roman" w:cs="Times New Roman"/>
          <w:b/>
          <w:sz w:val="24"/>
          <w:szCs w:val="24"/>
        </w:rPr>
        <w:t xml:space="preserve">Grievances regarding uncompetitive practices: </w:t>
      </w:r>
      <w:r>
        <w:rPr>
          <w:rFonts w:ascii="Times New Roman" w:hAnsi="Times New Roman" w:cs="Times New Roman"/>
          <w:sz w:val="24"/>
          <w:szCs w:val="24"/>
        </w:rPr>
        <w:t>The Committee requested th</w:t>
      </w:r>
      <w:r w:rsidR="00DB2DF9">
        <w:rPr>
          <w:rFonts w:ascii="Times New Roman" w:hAnsi="Times New Roman" w:cs="Times New Roman"/>
          <w:sz w:val="24"/>
          <w:szCs w:val="24"/>
        </w:rPr>
        <w:t>e</w:t>
      </w:r>
      <w:r>
        <w:rPr>
          <w:rFonts w:ascii="Times New Roman" w:hAnsi="Times New Roman" w:cs="Times New Roman"/>
          <w:sz w:val="24"/>
          <w:szCs w:val="24"/>
        </w:rPr>
        <w:t xml:space="preserve"> Authority </w:t>
      </w:r>
      <w:r w:rsidR="00DB2DF9">
        <w:rPr>
          <w:rFonts w:ascii="Times New Roman" w:hAnsi="Times New Roman" w:cs="Times New Roman"/>
          <w:sz w:val="24"/>
          <w:szCs w:val="24"/>
        </w:rPr>
        <w:t xml:space="preserve">to indicate </w:t>
      </w:r>
      <w:r>
        <w:rPr>
          <w:rFonts w:ascii="Times New Roman" w:hAnsi="Times New Roman" w:cs="Times New Roman"/>
          <w:sz w:val="24"/>
          <w:szCs w:val="24"/>
        </w:rPr>
        <w:t xml:space="preserve">whether any grievances regarding uncompetitive practices have been lodged and investigated by the Authority. The Authority indicated that the private security industry is a highly competitive sector and that uncompetitive practices are often noted, especially in term of undercutting to secure tenders/contracts.   </w:t>
      </w:r>
      <w:r>
        <w:rPr>
          <w:rFonts w:ascii="Times New Roman" w:hAnsi="Times New Roman" w:cs="Times New Roman"/>
          <w:b/>
          <w:sz w:val="24"/>
          <w:szCs w:val="24"/>
        </w:rPr>
        <w:t xml:space="preserve">   </w:t>
      </w:r>
    </w:p>
    <w:p w14:paraId="6125C9D3" w14:textId="77777777" w:rsidR="000C332C" w:rsidRDefault="000C332C" w:rsidP="0003779A">
      <w:pPr>
        <w:spacing w:after="0" w:line="280" w:lineRule="exact"/>
        <w:jc w:val="both"/>
        <w:rPr>
          <w:rFonts w:ascii="Times New Roman" w:hAnsi="Times New Roman" w:cs="Times New Roman"/>
          <w:b/>
          <w:sz w:val="24"/>
          <w:szCs w:val="24"/>
        </w:rPr>
      </w:pPr>
    </w:p>
    <w:p w14:paraId="0609E83A" w14:textId="1A75B3C3" w:rsidR="00292435" w:rsidRPr="00186396" w:rsidRDefault="00DB69A5"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Lifestyle a</w:t>
      </w:r>
      <w:r w:rsidR="00292435" w:rsidRPr="00186396">
        <w:rPr>
          <w:rFonts w:ascii="Times New Roman" w:hAnsi="Times New Roman" w:cs="Times New Roman"/>
          <w:b/>
          <w:sz w:val="24"/>
          <w:szCs w:val="24"/>
        </w:rPr>
        <w:t>udit</w:t>
      </w:r>
      <w:r w:rsidR="00486206" w:rsidRPr="00186396">
        <w:rPr>
          <w:rFonts w:ascii="Times New Roman" w:hAnsi="Times New Roman" w:cs="Times New Roman"/>
          <w:b/>
          <w:sz w:val="24"/>
          <w:szCs w:val="24"/>
        </w:rPr>
        <w:t>:</w:t>
      </w:r>
      <w:r w:rsidR="00745C33" w:rsidRPr="00186396">
        <w:rPr>
          <w:rFonts w:ascii="Times New Roman" w:hAnsi="Times New Roman" w:cs="Times New Roman"/>
          <w:b/>
          <w:sz w:val="24"/>
          <w:szCs w:val="24"/>
        </w:rPr>
        <w:t xml:space="preserve"> </w:t>
      </w:r>
      <w:r w:rsidR="00745C33" w:rsidRPr="00186396">
        <w:rPr>
          <w:rFonts w:ascii="Times New Roman" w:hAnsi="Times New Roman" w:cs="Times New Roman"/>
          <w:sz w:val="24"/>
          <w:szCs w:val="24"/>
        </w:rPr>
        <w:t xml:space="preserve">The Committee </w:t>
      </w:r>
      <w:r w:rsidR="000B4E63">
        <w:rPr>
          <w:rFonts w:ascii="Times New Roman" w:hAnsi="Times New Roman" w:cs="Times New Roman"/>
          <w:sz w:val="24"/>
          <w:szCs w:val="24"/>
        </w:rPr>
        <w:t xml:space="preserve">questioned </w:t>
      </w:r>
      <w:r w:rsidR="00745C33" w:rsidRPr="00186396">
        <w:rPr>
          <w:rFonts w:ascii="Times New Roman" w:hAnsi="Times New Roman" w:cs="Times New Roman"/>
          <w:sz w:val="24"/>
          <w:szCs w:val="24"/>
        </w:rPr>
        <w:t>whether the Authority</w:t>
      </w:r>
      <w:r w:rsidR="00745C33" w:rsidRPr="00186396">
        <w:rPr>
          <w:rFonts w:ascii="Times New Roman" w:hAnsi="Times New Roman" w:cs="Times New Roman"/>
          <w:b/>
          <w:sz w:val="24"/>
          <w:szCs w:val="24"/>
        </w:rPr>
        <w:t xml:space="preserve"> </w:t>
      </w:r>
      <w:r w:rsidR="00745C33" w:rsidRPr="00186396">
        <w:rPr>
          <w:rFonts w:ascii="Times New Roman" w:hAnsi="Times New Roman" w:cs="Times New Roman"/>
          <w:sz w:val="24"/>
          <w:szCs w:val="24"/>
        </w:rPr>
        <w:t xml:space="preserve">was conducting lifestyle </w:t>
      </w:r>
      <w:r w:rsidR="000B4E63">
        <w:rPr>
          <w:rFonts w:ascii="Times New Roman" w:hAnsi="Times New Roman" w:cs="Times New Roman"/>
          <w:sz w:val="24"/>
          <w:szCs w:val="24"/>
        </w:rPr>
        <w:t>a</w:t>
      </w:r>
      <w:r w:rsidR="000B4E63" w:rsidRPr="00186396">
        <w:rPr>
          <w:rFonts w:ascii="Times New Roman" w:hAnsi="Times New Roman" w:cs="Times New Roman"/>
          <w:sz w:val="24"/>
          <w:szCs w:val="24"/>
        </w:rPr>
        <w:t>udit</w:t>
      </w:r>
      <w:r w:rsidR="000B4E63">
        <w:rPr>
          <w:rFonts w:ascii="Times New Roman" w:hAnsi="Times New Roman" w:cs="Times New Roman"/>
          <w:sz w:val="24"/>
          <w:szCs w:val="24"/>
        </w:rPr>
        <w:t>s</w:t>
      </w:r>
      <w:r w:rsidR="000B4E63" w:rsidRPr="00186396">
        <w:rPr>
          <w:rFonts w:ascii="Times New Roman" w:hAnsi="Times New Roman" w:cs="Times New Roman"/>
          <w:sz w:val="24"/>
          <w:szCs w:val="24"/>
        </w:rPr>
        <w:t xml:space="preserve"> </w:t>
      </w:r>
      <w:r w:rsidR="000B4E63">
        <w:rPr>
          <w:rFonts w:ascii="Times New Roman" w:hAnsi="Times New Roman" w:cs="Times New Roman"/>
          <w:sz w:val="24"/>
          <w:szCs w:val="24"/>
        </w:rPr>
        <w:t>on employees to prevent corruption.</w:t>
      </w:r>
      <w:r w:rsidR="00745C33" w:rsidRPr="00186396">
        <w:rPr>
          <w:rFonts w:ascii="Times New Roman" w:hAnsi="Times New Roman" w:cs="Times New Roman"/>
          <w:sz w:val="24"/>
          <w:szCs w:val="24"/>
        </w:rPr>
        <w:t xml:space="preserve"> </w:t>
      </w:r>
      <w:r w:rsidR="00C436C9" w:rsidRPr="00186396">
        <w:rPr>
          <w:rFonts w:ascii="Times New Roman" w:hAnsi="Times New Roman" w:cs="Times New Roman"/>
          <w:sz w:val="24"/>
          <w:szCs w:val="24"/>
        </w:rPr>
        <w:t>The</w:t>
      </w:r>
      <w:r w:rsidR="000B4E63">
        <w:rPr>
          <w:rFonts w:ascii="Times New Roman" w:hAnsi="Times New Roman" w:cs="Times New Roman"/>
          <w:sz w:val="24"/>
          <w:szCs w:val="24"/>
        </w:rPr>
        <w:t xml:space="preserve"> Authority indicated that members of the Senior Management Structure (SMS) and </w:t>
      </w:r>
      <w:r w:rsidR="00EB64E7">
        <w:rPr>
          <w:rFonts w:ascii="Times New Roman" w:hAnsi="Times New Roman" w:cs="Times New Roman"/>
          <w:sz w:val="24"/>
          <w:szCs w:val="24"/>
        </w:rPr>
        <w:t xml:space="preserve">Council </w:t>
      </w:r>
      <w:r w:rsidR="000B4E63">
        <w:rPr>
          <w:rFonts w:ascii="Times New Roman" w:hAnsi="Times New Roman" w:cs="Times New Roman"/>
          <w:sz w:val="24"/>
          <w:szCs w:val="24"/>
        </w:rPr>
        <w:t xml:space="preserve">have submitted </w:t>
      </w:r>
      <w:r w:rsidR="00DB2DF9">
        <w:rPr>
          <w:rFonts w:ascii="Times New Roman" w:hAnsi="Times New Roman" w:cs="Times New Roman"/>
          <w:sz w:val="24"/>
          <w:szCs w:val="24"/>
        </w:rPr>
        <w:t xml:space="preserve">individual </w:t>
      </w:r>
      <w:r w:rsidR="000B4E63">
        <w:rPr>
          <w:rFonts w:ascii="Times New Roman" w:hAnsi="Times New Roman" w:cs="Times New Roman"/>
          <w:sz w:val="24"/>
          <w:szCs w:val="24"/>
        </w:rPr>
        <w:t>declarations of interests and that the process will also be applied to the rest of the staff. Going forward</w:t>
      </w:r>
      <w:r w:rsidR="001E2209">
        <w:rPr>
          <w:rFonts w:ascii="Times New Roman" w:hAnsi="Times New Roman" w:cs="Times New Roman"/>
          <w:sz w:val="24"/>
          <w:szCs w:val="24"/>
        </w:rPr>
        <w:t>,</w:t>
      </w:r>
      <w:r w:rsidR="000B4E63">
        <w:rPr>
          <w:rFonts w:ascii="Times New Roman" w:hAnsi="Times New Roman" w:cs="Times New Roman"/>
          <w:sz w:val="24"/>
          <w:szCs w:val="24"/>
        </w:rPr>
        <w:t xml:space="preserve"> the Authority will consider implementing stricter measures like lifestyle audits.</w:t>
      </w:r>
    </w:p>
    <w:p w14:paraId="451E9DC9" w14:textId="77777777" w:rsidR="00745C33" w:rsidRPr="00186396" w:rsidRDefault="00745C33" w:rsidP="0003779A">
      <w:pPr>
        <w:spacing w:after="0" w:line="280" w:lineRule="exact"/>
        <w:jc w:val="both"/>
        <w:rPr>
          <w:rFonts w:ascii="Times New Roman" w:hAnsi="Times New Roman" w:cs="Times New Roman"/>
          <w:b/>
          <w:sz w:val="24"/>
          <w:szCs w:val="24"/>
        </w:rPr>
      </w:pPr>
    </w:p>
    <w:p w14:paraId="42980202" w14:textId="5C985FB5" w:rsidR="00292435" w:rsidRPr="00186396" w:rsidRDefault="00292435"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b/>
          <w:sz w:val="24"/>
          <w:szCs w:val="24"/>
        </w:rPr>
        <w:t xml:space="preserve">Community Policing Forum </w:t>
      </w:r>
      <w:r w:rsidR="001A0D19">
        <w:rPr>
          <w:rFonts w:ascii="Times New Roman" w:hAnsi="Times New Roman" w:cs="Times New Roman"/>
          <w:b/>
          <w:sz w:val="24"/>
          <w:szCs w:val="24"/>
        </w:rPr>
        <w:t xml:space="preserve">(CPF) </w:t>
      </w:r>
      <w:r w:rsidR="00DF054C">
        <w:rPr>
          <w:rFonts w:ascii="Times New Roman" w:hAnsi="Times New Roman" w:cs="Times New Roman"/>
          <w:b/>
          <w:sz w:val="24"/>
          <w:szCs w:val="24"/>
        </w:rPr>
        <w:t>Policy</w:t>
      </w:r>
      <w:r w:rsidR="00486206" w:rsidRPr="00186396">
        <w:rPr>
          <w:rFonts w:ascii="Times New Roman" w:hAnsi="Times New Roman" w:cs="Times New Roman"/>
          <w:b/>
          <w:sz w:val="24"/>
          <w:szCs w:val="24"/>
        </w:rPr>
        <w:t>:</w:t>
      </w:r>
      <w:r w:rsidR="00C70A93" w:rsidRPr="00186396">
        <w:rPr>
          <w:rFonts w:ascii="Times New Roman" w:hAnsi="Times New Roman" w:cs="Times New Roman"/>
          <w:b/>
          <w:sz w:val="24"/>
          <w:szCs w:val="24"/>
        </w:rPr>
        <w:t xml:space="preserve"> </w:t>
      </w:r>
      <w:r w:rsidR="00F67FEB" w:rsidRPr="00186396">
        <w:rPr>
          <w:rFonts w:ascii="Times New Roman" w:hAnsi="Times New Roman" w:cs="Times New Roman"/>
          <w:sz w:val="24"/>
          <w:szCs w:val="24"/>
        </w:rPr>
        <w:t>The Committee asked</w:t>
      </w:r>
      <w:r w:rsidR="00C70A93" w:rsidRPr="00186396">
        <w:rPr>
          <w:rFonts w:ascii="Times New Roman" w:hAnsi="Times New Roman" w:cs="Times New Roman"/>
          <w:sz w:val="24"/>
          <w:szCs w:val="24"/>
        </w:rPr>
        <w:t xml:space="preserve"> whether the </w:t>
      </w:r>
      <w:r w:rsidR="001A0D19">
        <w:rPr>
          <w:rFonts w:ascii="Times New Roman" w:hAnsi="Times New Roman" w:cs="Times New Roman"/>
          <w:sz w:val="24"/>
          <w:szCs w:val="24"/>
        </w:rPr>
        <w:t xml:space="preserve">Authority was consulted during the drafting of the CPF </w:t>
      </w:r>
      <w:r w:rsidR="00DF054C">
        <w:rPr>
          <w:rFonts w:ascii="Times New Roman" w:hAnsi="Times New Roman" w:cs="Times New Roman"/>
          <w:sz w:val="24"/>
          <w:szCs w:val="24"/>
        </w:rPr>
        <w:t>Policy</w:t>
      </w:r>
      <w:r w:rsidR="001A0D19">
        <w:rPr>
          <w:rFonts w:ascii="Times New Roman" w:hAnsi="Times New Roman" w:cs="Times New Roman"/>
          <w:sz w:val="24"/>
          <w:szCs w:val="24"/>
        </w:rPr>
        <w:t xml:space="preserve">. </w:t>
      </w:r>
      <w:r w:rsidR="00F67FEB" w:rsidRPr="00186396">
        <w:rPr>
          <w:rFonts w:ascii="Times New Roman" w:hAnsi="Times New Roman" w:cs="Times New Roman"/>
          <w:sz w:val="24"/>
          <w:szCs w:val="24"/>
        </w:rPr>
        <w:t>The Authori</w:t>
      </w:r>
      <w:r w:rsidR="00793A9D" w:rsidRPr="00186396">
        <w:rPr>
          <w:rFonts w:ascii="Times New Roman" w:hAnsi="Times New Roman" w:cs="Times New Roman"/>
          <w:sz w:val="24"/>
          <w:szCs w:val="24"/>
        </w:rPr>
        <w:t xml:space="preserve">ty </w:t>
      </w:r>
      <w:r w:rsidR="001A0D19">
        <w:rPr>
          <w:rFonts w:ascii="Times New Roman" w:hAnsi="Times New Roman" w:cs="Times New Roman"/>
          <w:sz w:val="24"/>
          <w:szCs w:val="24"/>
        </w:rPr>
        <w:t xml:space="preserve">indicated that it </w:t>
      </w:r>
      <w:r w:rsidR="00793A9D" w:rsidRPr="00186396">
        <w:rPr>
          <w:rFonts w:ascii="Times New Roman" w:hAnsi="Times New Roman" w:cs="Times New Roman"/>
          <w:sz w:val="24"/>
          <w:szCs w:val="24"/>
        </w:rPr>
        <w:t>was afforded the oppor</w:t>
      </w:r>
      <w:r w:rsidR="001E2209">
        <w:rPr>
          <w:rFonts w:ascii="Times New Roman" w:hAnsi="Times New Roman" w:cs="Times New Roman"/>
          <w:sz w:val="24"/>
          <w:szCs w:val="24"/>
        </w:rPr>
        <w:t>tunity to make a contribution to</w:t>
      </w:r>
      <w:r w:rsidR="00793A9D" w:rsidRPr="00186396">
        <w:rPr>
          <w:rFonts w:ascii="Times New Roman" w:hAnsi="Times New Roman" w:cs="Times New Roman"/>
          <w:sz w:val="24"/>
          <w:szCs w:val="24"/>
        </w:rPr>
        <w:t xml:space="preserve"> the</w:t>
      </w:r>
      <w:r w:rsidR="00390F7F" w:rsidRPr="00186396">
        <w:rPr>
          <w:rFonts w:ascii="Times New Roman" w:hAnsi="Times New Roman" w:cs="Times New Roman"/>
          <w:sz w:val="24"/>
          <w:szCs w:val="24"/>
        </w:rPr>
        <w:t xml:space="preserve"> </w:t>
      </w:r>
      <w:r w:rsidR="00DF054C">
        <w:rPr>
          <w:rFonts w:ascii="Times New Roman" w:hAnsi="Times New Roman" w:cs="Times New Roman"/>
          <w:sz w:val="24"/>
          <w:szCs w:val="24"/>
        </w:rPr>
        <w:t>policy.</w:t>
      </w:r>
      <w:r w:rsidR="00390F7F" w:rsidRPr="00186396">
        <w:rPr>
          <w:rFonts w:ascii="Times New Roman" w:hAnsi="Times New Roman" w:cs="Times New Roman"/>
          <w:sz w:val="24"/>
          <w:szCs w:val="24"/>
        </w:rPr>
        <w:t xml:space="preserve"> </w:t>
      </w:r>
    </w:p>
    <w:p w14:paraId="5C91E655" w14:textId="0D8F488D" w:rsidR="00870EB4" w:rsidRDefault="00870EB4" w:rsidP="0003779A">
      <w:pPr>
        <w:spacing w:after="0" w:line="280" w:lineRule="exact"/>
        <w:jc w:val="both"/>
        <w:rPr>
          <w:rFonts w:ascii="Times New Roman" w:hAnsi="Times New Roman" w:cs="Times New Roman"/>
          <w:b/>
          <w:sz w:val="24"/>
          <w:szCs w:val="24"/>
        </w:rPr>
      </w:pPr>
    </w:p>
    <w:p w14:paraId="4CDEF8A7" w14:textId="3386409B" w:rsidR="001168BD" w:rsidRPr="001168BD" w:rsidRDefault="001168BD" w:rsidP="0003779A">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 xml:space="preserve">Railway safety: </w:t>
      </w:r>
      <w:r>
        <w:rPr>
          <w:rFonts w:ascii="Times New Roman" w:hAnsi="Times New Roman" w:cs="Times New Roman"/>
          <w:sz w:val="24"/>
          <w:szCs w:val="24"/>
        </w:rPr>
        <w:t xml:space="preserve">The Committee </w:t>
      </w:r>
      <w:r w:rsidR="00A83E44">
        <w:rPr>
          <w:rFonts w:ascii="Times New Roman" w:hAnsi="Times New Roman" w:cs="Times New Roman"/>
          <w:sz w:val="24"/>
          <w:szCs w:val="24"/>
        </w:rPr>
        <w:t xml:space="preserve">noted that the Passenger Rail Agency of South Africa (PRASA) contracts private security </w:t>
      </w:r>
      <w:r w:rsidR="0016602E">
        <w:rPr>
          <w:rFonts w:ascii="Times New Roman" w:hAnsi="Times New Roman" w:cs="Times New Roman"/>
          <w:sz w:val="24"/>
          <w:szCs w:val="24"/>
        </w:rPr>
        <w:t xml:space="preserve">officers </w:t>
      </w:r>
      <w:r w:rsidR="00A83E44">
        <w:rPr>
          <w:rFonts w:ascii="Times New Roman" w:hAnsi="Times New Roman" w:cs="Times New Roman"/>
          <w:sz w:val="24"/>
          <w:szCs w:val="24"/>
        </w:rPr>
        <w:t xml:space="preserve">to secure the railway environment. The Committee questioned whether the Authority has investigated the accreditation of these security service providers. The Authority indicated that it is aware of the role played by private security in this environment and that the Authority has been contacted by PRASA to discuss the current security measures in place and the functions performed by private security providers.  </w:t>
      </w:r>
      <w:r>
        <w:rPr>
          <w:rFonts w:ascii="Times New Roman" w:hAnsi="Times New Roman" w:cs="Times New Roman"/>
          <w:sz w:val="24"/>
          <w:szCs w:val="24"/>
        </w:rPr>
        <w:t xml:space="preserve"> </w:t>
      </w:r>
    </w:p>
    <w:p w14:paraId="568384E6" w14:textId="77777777" w:rsidR="001168BD" w:rsidRPr="00186396" w:rsidRDefault="001168BD" w:rsidP="0003779A">
      <w:pPr>
        <w:spacing w:after="0" w:line="280" w:lineRule="exact"/>
        <w:jc w:val="both"/>
        <w:rPr>
          <w:rFonts w:ascii="Times New Roman" w:hAnsi="Times New Roman" w:cs="Times New Roman"/>
          <w:b/>
          <w:sz w:val="24"/>
          <w:szCs w:val="24"/>
        </w:rPr>
      </w:pPr>
    </w:p>
    <w:p w14:paraId="643E4263" w14:textId="103CC9EB" w:rsidR="001E28BB" w:rsidRPr="009A1944" w:rsidRDefault="001E28BB"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COMMITTEE RECOMMENDATIONS</w:t>
      </w:r>
      <w:r w:rsidR="00CE1A15">
        <w:rPr>
          <w:rFonts w:ascii="Times New Roman" w:hAnsi="Times New Roman" w:cs="Times New Roman"/>
          <w:b/>
          <w:sz w:val="24"/>
          <w:szCs w:val="24"/>
        </w:rPr>
        <w:t xml:space="preserve"> AND REPORTING REQUIREMENTS </w:t>
      </w:r>
    </w:p>
    <w:p w14:paraId="2BADC224" w14:textId="77777777" w:rsidR="00CE1A15" w:rsidRDefault="00CE1A15" w:rsidP="0003779A">
      <w:pPr>
        <w:spacing w:after="0" w:line="280" w:lineRule="exact"/>
        <w:jc w:val="both"/>
        <w:rPr>
          <w:rFonts w:ascii="Times New Roman" w:hAnsi="Times New Roman" w:cs="Times New Roman"/>
          <w:sz w:val="24"/>
          <w:szCs w:val="24"/>
        </w:rPr>
      </w:pPr>
    </w:p>
    <w:p w14:paraId="774080CF" w14:textId="27BD7E94" w:rsidR="00CE1A15" w:rsidRPr="00CE1A15" w:rsidRDefault="00CE1A15" w:rsidP="0003779A">
      <w:pPr>
        <w:pStyle w:val="ListParagraph"/>
        <w:numPr>
          <w:ilvl w:val="1"/>
          <w:numId w:val="18"/>
        </w:numPr>
        <w:spacing w:after="0" w:line="280" w:lineRule="exact"/>
        <w:jc w:val="both"/>
        <w:rPr>
          <w:rFonts w:ascii="Times New Roman" w:hAnsi="Times New Roman" w:cs="Times New Roman"/>
          <w:b/>
          <w:sz w:val="24"/>
          <w:szCs w:val="24"/>
        </w:rPr>
      </w:pPr>
      <w:r w:rsidRPr="00CE1A15">
        <w:rPr>
          <w:rFonts w:ascii="Times New Roman" w:hAnsi="Times New Roman" w:cs="Times New Roman"/>
          <w:b/>
          <w:sz w:val="24"/>
          <w:szCs w:val="24"/>
        </w:rPr>
        <w:t xml:space="preserve">Recommendations </w:t>
      </w:r>
    </w:p>
    <w:p w14:paraId="2E139A6C" w14:textId="77777777" w:rsidR="00CE1A15" w:rsidRDefault="00CE1A15" w:rsidP="0003779A">
      <w:pPr>
        <w:spacing w:after="0" w:line="280" w:lineRule="exact"/>
        <w:jc w:val="both"/>
        <w:rPr>
          <w:rFonts w:ascii="Times New Roman" w:hAnsi="Times New Roman" w:cs="Times New Roman"/>
          <w:sz w:val="24"/>
          <w:szCs w:val="24"/>
        </w:rPr>
      </w:pPr>
    </w:p>
    <w:p w14:paraId="7DEF060B" w14:textId="77777777" w:rsidR="001E28BB" w:rsidRPr="00186396" w:rsidRDefault="001E28BB"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Portfolio Committee on Police recommends the following:</w:t>
      </w:r>
    </w:p>
    <w:p w14:paraId="6BA37709" w14:textId="5029EB59" w:rsidR="009C1C66" w:rsidRDefault="00E05E74" w:rsidP="0003779A">
      <w:pPr>
        <w:pStyle w:val="ListParagraph"/>
        <w:numPr>
          <w:ilvl w:val="0"/>
          <w:numId w:val="2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w:t>
      </w:r>
      <w:r w:rsidR="0032222B">
        <w:rPr>
          <w:rFonts w:ascii="Times New Roman" w:hAnsi="Times New Roman" w:cs="Times New Roman"/>
          <w:sz w:val="24"/>
          <w:szCs w:val="24"/>
        </w:rPr>
        <w:t>Council</w:t>
      </w:r>
      <w:r w:rsidRPr="00186396">
        <w:rPr>
          <w:rFonts w:ascii="Times New Roman" w:hAnsi="Times New Roman" w:cs="Times New Roman"/>
          <w:sz w:val="24"/>
          <w:szCs w:val="24"/>
        </w:rPr>
        <w:t xml:space="preserve"> should put mechanisms in place to strengthen a</w:t>
      </w:r>
      <w:r w:rsidR="0032222B">
        <w:rPr>
          <w:rFonts w:ascii="Times New Roman" w:hAnsi="Times New Roman" w:cs="Times New Roman"/>
          <w:sz w:val="24"/>
          <w:szCs w:val="24"/>
        </w:rPr>
        <w:t xml:space="preserve">ll aspects of internal control and governance. </w:t>
      </w:r>
    </w:p>
    <w:p w14:paraId="7336A1C0" w14:textId="6727D9AD" w:rsidR="00337E2B" w:rsidRDefault="00337E2B"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implement all aspects of the Audit Action Plan to ensure that </w:t>
      </w:r>
      <w:r w:rsidR="002F142B">
        <w:rPr>
          <w:rFonts w:ascii="Times New Roman" w:hAnsi="Times New Roman" w:cs="Times New Roman"/>
          <w:sz w:val="24"/>
          <w:szCs w:val="24"/>
        </w:rPr>
        <w:t xml:space="preserve">the </w:t>
      </w:r>
      <w:r>
        <w:rPr>
          <w:rFonts w:ascii="Times New Roman" w:hAnsi="Times New Roman" w:cs="Times New Roman"/>
          <w:sz w:val="24"/>
          <w:szCs w:val="24"/>
        </w:rPr>
        <w:t>2018/19 audit outcomes</w:t>
      </w:r>
      <w:r w:rsidR="002F142B">
        <w:rPr>
          <w:rFonts w:ascii="Times New Roman" w:hAnsi="Times New Roman" w:cs="Times New Roman"/>
          <w:sz w:val="24"/>
          <w:szCs w:val="24"/>
        </w:rPr>
        <w:t xml:space="preserve"> are improved</w:t>
      </w:r>
      <w:r>
        <w:rPr>
          <w:rFonts w:ascii="Times New Roman" w:hAnsi="Times New Roman" w:cs="Times New Roman"/>
          <w:sz w:val="24"/>
          <w:szCs w:val="24"/>
        </w:rPr>
        <w:t xml:space="preserve">. </w:t>
      </w:r>
    </w:p>
    <w:p w14:paraId="3B8CEB49" w14:textId="7A668F82" w:rsidR="00337E2B" w:rsidRDefault="00337E2B"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address matters relating to its financial health, especially regarding the material uncertainty and address concerns about its ability to continue as a going concern. </w:t>
      </w:r>
    </w:p>
    <w:p w14:paraId="4B9C7120" w14:textId="09094222" w:rsidR="00337E2B" w:rsidRDefault="00337E2B"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prioritise the review of its Funding Model through the implementation of the Private Security Industry Levies Act, 2002. </w:t>
      </w:r>
    </w:p>
    <w:p w14:paraId="433ACD8C" w14:textId="22DFE45B" w:rsidR="00337E2B" w:rsidRDefault="00337E2B"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ensure that money owed </w:t>
      </w:r>
      <w:r w:rsidR="002F142B">
        <w:rPr>
          <w:rFonts w:ascii="Times New Roman" w:hAnsi="Times New Roman" w:cs="Times New Roman"/>
          <w:sz w:val="24"/>
          <w:szCs w:val="24"/>
        </w:rPr>
        <w:t xml:space="preserve">to it </w:t>
      </w:r>
      <w:r>
        <w:rPr>
          <w:rFonts w:ascii="Times New Roman" w:hAnsi="Times New Roman" w:cs="Times New Roman"/>
          <w:sz w:val="24"/>
          <w:szCs w:val="24"/>
        </w:rPr>
        <w:t>is collected in terms of section 51(1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of the PFMA. </w:t>
      </w:r>
    </w:p>
    <w:p w14:paraId="4B3573FD" w14:textId="41A02B18" w:rsidR="00B03DF9" w:rsidRPr="0032222B" w:rsidRDefault="00B03DF9"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focus on the accreditation of training service providers. It is of critical importance that security officers are well trained and able to receive course certificated on the NQF.   </w:t>
      </w:r>
    </w:p>
    <w:p w14:paraId="791A924C" w14:textId="2F2F0996" w:rsidR="00390F7F" w:rsidRPr="00186396" w:rsidRDefault="00390F7F" w:rsidP="0003779A">
      <w:pPr>
        <w:pStyle w:val="ListParagraph"/>
        <w:numPr>
          <w:ilvl w:val="0"/>
          <w:numId w:val="2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Authority should </w:t>
      </w:r>
      <w:r w:rsidR="00865AAF">
        <w:rPr>
          <w:rFonts w:ascii="Times New Roman" w:hAnsi="Times New Roman" w:cs="Times New Roman"/>
          <w:sz w:val="24"/>
          <w:szCs w:val="24"/>
        </w:rPr>
        <w:t xml:space="preserve">further encourage the entrance of female security officers to the private security industry. </w:t>
      </w:r>
    </w:p>
    <w:p w14:paraId="30A335DE" w14:textId="7AD8D7A6" w:rsidR="00E05E74" w:rsidRDefault="00E05E74" w:rsidP="0003779A">
      <w:pPr>
        <w:pStyle w:val="ListParagraph"/>
        <w:numPr>
          <w:ilvl w:val="0"/>
          <w:numId w:val="21"/>
        </w:num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 xml:space="preserve">The </w:t>
      </w:r>
      <w:r w:rsidR="00A47DF9">
        <w:rPr>
          <w:rFonts w:ascii="Times New Roman" w:hAnsi="Times New Roman" w:cs="Times New Roman"/>
          <w:sz w:val="24"/>
          <w:szCs w:val="24"/>
        </w:rPr>
        <w:t xml:space="preserve">Authority should </w:t>
      </w:r>
      <w:r w:rsidR="0063169F">
        <w:rPr>
          <w:rFonts w:ascii="Times New Roman" w:hAnsi="Times New Roman" w:cs="Times New Roman"/>
          <w:sz w:val="24"/>
          <w:szCs w:val="24"/>
        </w:rPr>
        <w:t xml:space="preserve">prioritise the review of its complaints mechanism. </w:t>
      </w:r>
    </w:p>
    <w:p w14:paraId="13745F12" w14:textId="77777777" w:rsidR="00F24E28" w:rsidRDefault="0063169F"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ensure continuous consultation on the Private Security Industry Regulation Amendment Bill, as </w:t>
      </w:r>
      <w:r w:rsidR="00F24E28">
        <w:rPr>
          <w:rFonts w:ascii="Times New Roman" w:hAnsi="Times New Roman" w:cs="Times New Roman"/>
          <w:sz w:val="24"/>
          <w:szCs w:val="24"/>
        </w:rPr>
        <w:t xml:space="preserve">it </w:t>
      </w:r>
      <w:r>
        <w:rPr>
          <w:rFonts w:ascii="Times New Roman" w:hAnsi="Times New Roman" w:cs="Times New Roman"/>
          <w:sz w:val="24"/>
          <w:szCs w:val="24"/>
        </w:rPr>
        <w:t xml:space="preserve">enhances the regulatory mandate of the Authority. </w:t>
      </w:r>
    </w:p>
    <w:p w14:paraId="7938362F" w14:textId="67F610A1" w:rsidR="0063169F" w:rsidRPr="00186396" w:rsidRDefault="00F24E28" w:rsidP="0003779A">
      <w:pPr>
        <w:pStyle w:val="ListParagraph"/>
        <w:numPr>
          <w:ilvl w:val="0"/>
          <w:numId w:val="2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The Authority should prioritise engagements with PRASA on the contracting of private security in the railway environment. Train sabotage and general crime in this environment is escalating. A partnership with the SAPS must be established to provide a holistic approach to safety in the railway environment. </w:t>
      </w:r>
      <w:r w:rsidR="0063169F">
        <w:rPr>
          <w:rFonts w:ascii="Times New Roman" w:hAnsi="Times New Roman" w:cs="Times New Roman"/>
          <w:sz w:val="24"/>
          <w:szCs w:val="24"/>
        </w:rPr>
        <w:t xml:space="preserve">  </w:t>
      </w:r>
    </w:p>
    <w:p w14:paraId="0036AFAF" w14:textId="71904CF2" w:rsidR="00E05E74" w:rsidRDefault="00E05E74" w:rsidP="0003779A">
      <w:pPr>
        <w:spacing w:after="0" w:line="280" w:lineRule="exact"/>
        <w:jc w:val="both"/>
        <w:rPr>
          <w:rFonts w:ascii="Times New Roman" w:hAnsi="Times New Roman" w:cs="Times New Roman"/>
          <w:sz w:val="24"/>
          <w:szCs w:val="24"/>
        </w:rPr>
      </w:pPr>
    </w:p>
    <w:p w14:paraId="329DB278" w14:textId="60F4A991" w:rsidR="00CE1A15" w:rsidRPr="00CE1A15" w:rsidRDefault="00CE1A15" w:rsidP="0003779A">
      <w:pPr>
        <w:pStyle w:val="ListParagraph"/>
        <w:numPr>
          <w:ilvl w:val="1"/>
          <w:numId w:val="18"/>
        </w:numPr>
        <w:spacing w:after="0" w:line="280" w:lineRule="exact"/>
        <w:jc w:val="both"/>
        <w:rPr>
          <w:rFonts w:ascii="Times New Roman" w:hAnsi="Times New Roman" w:cs="Times New Roman"/>
          <w:b/>
          <w:sz w:val="24"/>
          <w:szCs w:val="24"/>
        </w:rPr>
      </w:pPr>
      <w:r w:rsidRPr="00CE1A15">
        <w:rPr>
          <w:rFonts w:ascii="Times New Roman" w:hAnsi="Times New Roman" w:cs="Times New Roman"/>
          <w:b/>
          <w:sz w:val="24"/>
          <w:szCs w:val="24"/>
        </w:rPr>
        <w:t xml:space="preserve">Reporting requirements </w:t>
      </w:r>
    </w:p>
    <w:p w14:paraId="298ABE7F" w14:textId="7F42CC4B" w:rsidR="00CE1A15" w:rsidRDefault="00CE1A15" w:rsidP="0003779A">
      <w:pPr>
        <w:spacing w:after="0" w:line="280" w:lineRule="exact"/>
        <w:jc w:val="both"/>
        <w:rPr>
          <w:rFonts w:ascii="Times New Roman" w:hAnsi="Times New Roman" w:cs="Times New Roman"/>
          <w:sz w:val="24"/>
          <w:szCs w:val="24"/>
        </w:rPr>
      </w:pPr>
    </w:p>
    <w:p w14:paraId="40A44525" w14:textId="6832E2AC" w:rsidR="0032222B" w:rsidRDefault="0032222B" w:rsidP="0003779A">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The Authority should submit the following reports to the Committee: </w:t>
      </w:r>
    </w:p>
    <w:p w14:paraId="27066B96" w14:textId="77777777" w:rsidR="0032222B" w:rsidRDefault="0032222B" w:rsidP="0003779A">
      <w:pPr>
        <w:spacing w:after="0" w:line="280" w:lineRule="exact"/>
        <w:jc w:val="both"/>
        <w:rPr>
          <w:rFonts w:ascii="Times New Roman" w:hAnsi="Times New Roman" w:cs="Times New Roman"/>
          <w:sz w:val="24"/>
          <w:szCs w:val="24"/>
        </w:rPr>
      </w:pPr>
    </w:p>
    <w:p w14:paraId="331314C6" w14:textId="30DF08CD" w:rsidR="0032222B" w:rsidRDefault="00B94703" w:rsidP="0003779A">
      <w:pPr>
        <w:pStyle w:val="ListParagraph"/>
        <w:numPr>
          <w:ilvl w:val="0"/>
          <w:numId w:val="25"/>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Quarterly report</w:t>
      </w:r>
      <w:r w:rsidR="005D144C">
        <w:rPr>
          <w:rFonts w:ascii="Times New Roman" w:hAnsi="Times New Roman" w:cs="Times New Roman"/>
          <w:sz w:val="24"/>
          <w:szCs w:val="24"/>
        </w:rPr>
        <w:t>s</w:t>
      </w:r>
      <w:r>
        <w:rPr>
          <w:rFonts w:ascii="Times New Roman" w:hAnsi="Times New Roman" w:cs="Times New Roman"/>
          <w:sz w:val="24"/>
          <w:szCs w:val="24"/>
        </w:rPr>
        <w:t xml:space="preserve"> on the progress made regarding the implementation of the </w:t>
      </w:r>
      <w:r w:rsidR="001B7F00" w:rsidRPr="0032222B">
        <w:rPr>
          <w:rFonts w:ascii="Times New Roman" w:hAnsi="Times New Roman" w:cs="Times New Roman"/>
          <w:sz w:val="24"/>
          <w:szCs w:val="24"/>
        </w:rPr>
        <w:t>Private Security Industry Levies Act, 2002</w:t>
      </w:r>
      <w:r>
        <w:rPr>
          <w:rFonts w:ascii="Times New Roman" w:hAnsi="Times New Roman" w:cs="Times New Roman"/>
          <w:sz w:val="24"/>
          <w:szCs w:val="24"/>
        </w:rPr>
        <w:t>.</w:t>
      </w:r>
    </w:p>
    <w:p w14:paraId="47E4E2BD" w14:textId="1254CC77" w:rsidR="00A032F5" w:rsidRDefault="005D144C" w:rsidP="0003779A">
      <w:pPr>
        <w:pStyle w:val="ListParagraph"/>
        <w:numPr>
          <w:ilvl w:val="0"/>
          <w:numId w:val="25"/>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Quarterly r</w:t>
      </w:r>
      <w:r w:rsidR="00A032F5" w:rsidRPr="0032222B">
        <w:rPr>
          <w:rFonts w:ascii="Times New Roman" w:hAnsi="Times New Roman" w:cs="Times New Roman"/>
          <w:sz w:val="24"/>
          <w:szCs w:val="24"/>
        </w:rPr>
        <w:t>eport</w:t>
      </w:r>
      <w:r>
        <w:rPr>
          <w:rFonts w:ascii="Times New Roman" w:hAnsi="Times New Roman" w:cs="Times New Roman"/>
          <w:sz w:val="24"/>
          <w:szCs w:val="24"/>
        </w:rPr>
        <w:t>s</w:t>
      </w:r>
      <w:r w:rsidR="00A032F5" w:rsidRPr="0032222B">
        <w:rPr>
          <w:rFonts w:ascii="Times New Roman" w:hAnsi="Times New Roman" w:cs="Times New Roman"/>
          <w:sz w:val="24"/>
          <w:szCs w:val="24"/>
        </w:rPr>
        <w:t xml:space="preserve"> on the action plans to address deficiencies in the </w:t>
      </w:r>
      <w:r w:rsidR="00EB64E7" w:rsidRPr="0032222B">
        <w:rPr>
          <w:rFonts w:ascii="Times New Roman" w:hAnsi="Times New Roman" w:cs="Times New Roman"/>
          <w:sz w:val="24"/>
          <w:szCs w:val="24"/>
        </w:rPr>
        <w:t>Council</w:t>
      </w:r>
      <w:r>
        <w:rPr>
          <w:rFonts w:ascii="Times New Roman" w:hAnsi="Times New Roman" w:cs="Times New Roman"/>
          <w:sz w:val="24"/>
          <w:szCs w:val="24"/>
        </w:rPr>
        <w:t xml:space="preserve"> and the implementation of the Audit Action Plan</w:t>
      </w:r>
      <w:r w:rsidR="00A032F5" w:rsidRPr="0032222B">
        <w:rPr>
          <w:rFonts w:ascii="Times New Roman" w:hAnsi="Times New Roman" w:cs="Times New Roman"/>
          <w:sz w:val="24"/>
          <w:szCs w:val="24"/>
        </w:rPr>
        <w:t xml:space="preserve">.  </w:t>
      </w:r>
    </w:p>
    <w:p w14:paraId="6BAEDEF3" w14:textId="4DD821DA" w:rsidR="00B94703" w:rsidRDefault="00B94703" w:rsidP="0003779A">
      <w:pPr>
        <w:pStyle w:val="ListParagraph"/>
        <w:numPr>
          <w:ilvl w:val="0"/>
          <w:numId w:val="25"/>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Status report on the Arcadia building. </w:t>
      </w:r>
    </w:p>
    <w:p w14:paraId="77978507" w14:textId="5ACFB1F3" w:rsidR="00FA5276" w:rsidRPr="0032222B" w:rsidRDefault="00FA5276" w:rsidP="0003779A">
      <w:pPr>
        <w:pStyle w:val="ListParagraph"/>
        <w:numPr>
          <w:ilvl w:val="0"/>
          <w:numId w:val="25"/>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Report on engagements with PRASA and SAPS to address </w:t>
      </w:r>
      <w:r w:rsidR="003114C1">
        <w:rPr>
          <w:rFonts w:ascii="Times New Roman" w:hAnsi="Times New Roman" w:cs="Times New Roman"/>
          <w:sz w:val="24"/>
          <w:szCs w:val="24"/>
        </w:rPr>
        <w:t xml:space="preserve">passenger safety in the </w:t>
      </w:r>
      <w:r>
        <w:rPr>
          <w:rFonts w:ascii="Times New Roman" w:hAnsi="Times New Roman" w:cs="Times New Roman"/>
          <w:sz w:val="24"/>
          <w:szCs w:val="24"/>
        </w:rPr>
        <w:t xml:space="preserve">railway </w:t>
      </w:r>
      <w:r w:rsidR="003114C1">
        <w:rPr>
          <w:rFonts w:ascii="Times New Roman" w:hAnsi="Times New Roman" w:cs="Times New Roman"/>
          <w:sz w:val="24"/>
          <w:szCs w:val="24"/>
        </w:rPr>
        <w:t>environment</w:t>
      </w:r>
      <w:r>
        <w:rPr>
          <w:rFonts w:ascii="Times New Roman" w:hAnsi="Times New Roman" w:cs="Times New Roman"/>
          <w:sz w:val="24"/>
          <w:szCs w:val="24"/>
        </w:rPr>
        <w:t xml:space="preserve">. </w:t>
      </w:r>
    </w:p>
    <w:p w14:paraId="41CC754F" w14:textId="77777777" w:rsidR="00A032F5" w:rsidRPr="00186396" w:rsidRDefault="00A032F5" w:rsidP="0003779A">
      <w:pPr>
        <w:spacing w:after="0" w:line="280" w:lineRule="exact"/>
        <w:jc w:val="both"/>
        <w:rPr>
          <w:rFonts w:ascii="Times New Roman" w:hAnsi="Times New Roman" w:cs="Times New Roman"/>
          <w:sz w:val="24"/>
          <w:szCs w:val="24"/>
        </w:rPr>
      </w:pPr>
    </w:p>
    <w:p w14:paraId="4CFE7F24" w14:textId="77777777" w:rsidR="001E28BB" w:rsidRPr="009A1944" w:rsidRDefault="001E28BB" w:rsidP="0003779A">
      <w:pPr>
        <w:pStyle w:val="ListParagraph"/>
        <w:numPr>
          <w:ilvl w:val="0"/>
          <w:numId w:val="18"/>
        </w:num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CONCLUSION</w:t>
      </w:r>
    </w:p>
    <w:p w14:paraId="5A6069F6" w14:textId="77777777" w:rsidR="009A1944" w:rsidRDefault="009A1944" w:rsidP="0003779A">
      <w:pPr>
        <w:spacing w:after="0" w:line="280" w:lineRule="exact"/>
        <w:jc w:val="both"/>
        <w:rPr>
          <w:rFonts w:ascii="Times New Roman" w:hAnsi="Times New Roman" w:cs="Times New Roman"/>
          <w:sz w:val="24"/>
          <w:szCs w:val="24"/>
        </w:rPr>
      </w:pPr>
    </w:p>
    <w:p w14:paraId="3FCDFA8D" w14:textId="585D333A" w:rsidR="00E05E74" w:rsidRDefault="00E05E74" w:rsidP="0003779A">
      <w:pPr>
        <w:spacing w:after="0" w:line="280" w:lineRule="exact"/>
        <w:jc w:val="both"/>
        <w:rPr>
          <w:rFonts w:ascii="Times New Roman" w:hAnsi="Times New Roman" w:cs="Times New Roman"/>
          <w:sz w:val="24"/>
          <w:szCs w:val="24"/>
        </w:rPr>
      </w:pPr>
      <w:r w:rsidRPr="00186396">
        <w:rPr>
          <w:rFonts w:ascii="Times New Roman" w:hAnsi="Times New Roman" w:cs="Times New Roman"/>
          <w:sz w:val="24"/>
          <w:szCs w:val="24"/>
        </w:rPr>
        <w:t>The Committee believes that there is a positive improvement in the service delivery and</w:t>
      </w:r>
      <w:r w:rsidR="00921680" w:rsidRPr="00186396">
        <w:rPr>
          <w:rFonts w:ascii="Times New Roman" w:hAnsi="Times New Roman" w:cs="Times New Roman"/>
          <w:sz w:val="24"/>
          <w:szCs w:val="24"/>
        </w:rPr>
        <w:t xml:space="preserve"> </w:t>
      </w:r>
      <w:r w:rsidRPr="00186396">
        <w:rPr>
          <w:rFonts w:ascii="Times New Roman" w:hAnsi="Times New Roman" w:cs="Times New Roman"/>
          <w:sz w:val="24"/>
          <w:szCs w:val="24"/>
        </w:rPr>
        <w:t xml:space="preserve">financial performance of </w:t>
      </w:r>
      <w:r w:rsidR="002E7E39">
        <w:rPr>
          <w:rFonts w:ascii="Times New Roman" w:hAnsi="Times New Roman" w:cs="Times New Roman"/>
          <w:sz w:val="24"/>
          <w:szCs w:val="24"/>
        </w:rPr>
        <w:t>the Authority and indicated that t</w:t>
      </w:r>
      <w:r w:rsidRPr="00186396">
        <w:rPr>
          <w:rFonts w:ascii="Times New Roman" w:hAnsi="Times New Roman" w:cs="Times New Roman"/>
          <w:sz w:val="24"/>
          <w:szCs w:val="24"/>
        </w:rPr>
        <w:t>he Authority should continue to make</w:t>
      </w:r>
      <w:r w:rsidR="00793A9D" w:rsidRPr="00186396">
        <w:rPr>
          <w:rFonts w:ascii="Times New Roman" w:hAnsi="Times New Roman" w:cs="Times New Roman"/>
          <w:sz w:val="24"/>
          <w:szCs w:val="24"/>
        </w:rPr>
        <w:t xml:space="preserve"> progress in the areas that requires</w:t>
      </w:r>
      <w:r w:rsidR="00C61B75" w:rsidRPr="00186396">
        <w:rPr>
          <w:rFonts w:ascii="Times New Roman" w:hAnsi="Times New Roman" w:cs="Times New Roman"/>
          <w:sz w:val="24"/>
          <w:szCs w:val="24"/>
        </w:rPr>
        <w:t xml:space="preserve"> </w:t>
      </w:r>
      <w:r w:rsidR="002E7E39">
        <w:rPr>
          <w:rFonts w:ascii="Times New Roman" w:hAnsi="Times New Roman" w:cs="Times New Roman"/>
          <w:sz w:val="24"/>
          <w:szCs w:val="24"/>
        </w:rPr>
        <w:t xml:space="preserve">attention. </w:t>
      </w:r>
      <w:r w:rsidRPr="00186396">
        <w:rPr>
          <w:rFonts w:ascii="Times New Roman" w:hAnsi="Times New Roman" w:cs="Times New Roman"/>
          <w:sz w:val="24"/>
          <w:szCs w:val="24"/>
        </w:rPr>
        <w:t>The Committee supports the efforts of the Authority to obtain a clean audit outcome from the AGSA in 2019/20.</w:t>
      </w:r>
      <w:r w:rsidR="00DB69A5">
        <w:rPr>
          <w:rFonts w:ascii="Times New Roman" w:hAnsi="Times New Roman" w:cs="Times New Roman"/>
          <w:sz w:val="24"/>
          <w:szCs w:val="24"/>
        </w:rPr>
        <w:t xml:space="preserve"> The Committee further highlighted the importance of the PSIRA Council as the Accounting Authority and that the </w:t>
      </w:r>
      <w:r w:rsidR="00D14900">
        <w:rPr>
          <w:rFonts w:ascii="Times New Roman" w:hAnsi="Times New Roman" w:cs="Times New Roman"/>
          <w:sz w:val="24"/>
          <w:szCs w:val="24"/>
        </w:rPr>
        <w:t xml:space="preserve">review of the </w:t>
      </w:r>
      <w:r w:rsidR="00DB69A5">
        <w:rPr>
          <w:rFonts w:ascii="Times New Roman" w:hAnsi="Times New Roman" w:cs="Times New Roman"/>
          <w:sz w:val="24"/>
          <w:szCs w:val="24"/>
        </w:rPr>
        <w:t>funding model</w:t>
      </w:r>
      <w:r w:rsidR="00D14900">
        <w:rPr>
          <w:rFonts w:ascii="Times New Roman" w:hAnsi="Times New Roman" w:cs="Times New Roman"/>
          <w:sz w:val="24"/>
          <w:szCs w:val="24"/>
        </w:rPr>
        <w:t xml:space="preserve"> should be prioritised.  </w:t>
      </w:r>
      <w:r w:rsidR="00DB69A5">
        <w:rPr>
          <w:rFonts w:ascii="Times New Roman" w:hAnsi="Times New Roman" w:cs="Times New Roman"/>
          <w:sz w:val="24"/>
          <w:szCs w:val="24"/>
        </w:rPr>
        <w:t xml:space="preserve">  </w:t>
      </w:r>
    </w:p>
    <w:p w14:paraId="5C11DA8C" w14:textId="77777777" w:rsidR="009A1944" w:rsidRDefault="009A1944" w:rsidP="0003779A">
      <w:pPr>
        <w:spacing w:after="0" w:line="280" w:lineRule="exact"/>
        <w:jc w:val="both"/>
        <w:rPr>
          <w:rFonts w:ascii="Times New Roman" w:hAnsi="Times New Roman" w:cs="Times New Roman"/>
          <w:sz w:val="24"/>
          <w:szCs w:val="24"/>
        </w:rPr>
      </w:pPr>
    </w:p>
    <w:p w14:paraId="33FA1935" w14:textId="77777777" w:rsidR="009A1944" w:rsidRPr="009A1944" w:rsidRDefault="009A1944" w:rsidP="0003779A">
      <w:pPr>
        <w:spacing w:after="0" w:line="280" w:lineRule="exact"/>
        <w:jc w:val="both"/>
        <w:rPr>
          <w:rFonts w:ascii="Times New Roman" w:hAnsi="Times New Roman" w:cs="Times New Roman"/>
          <w:b/>
          <w:sz w:val="24"/>
          <w:szCs w:val="24"/>
        </w:rPr>
      </w:pPr>
      <w:r w:rsidRPr="009A1944">
        <w:rPr>
          <w:rFonts w:ascii="Times New Roman" w:hAnsi="Times New Roman" w:cs="Times New Roman"/>
          <w:b/>
          <w:sz w:val="24"/>
          <w:szCs w:val="24"/>
        </w:rPr>
        <w:t xml:space="preserve">Report to be considered. </w:t>
      </w:r>
    </w:p>
    <w:sectPr w:rsidR="009A1944" w:rsidRPr="009A19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2F15" w14:textId="77777777" w:rsidR="001E6836" w:rsidRDefault="001E6836" w:rsidP="00600B49">
      <w:pPr>
        <w:spacing w:after="0" w:line="240" w:lineRule="auto"/>
      </w:pPr>
      <w:r>
        <w:separator/>
      </w:r>
    </w:p>
  </w:endnote>
  <w:endnote w:type="continuationSeparator" w:id="0">
    <w:p w14:paraId="0DDAC50D" w14:textId="77777777" w:rsidR="001E6836" w:rsidRDefault="001E6836" w:rsidP="0060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6197436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6F0213C" w14:textId="50A145C4" w:rsidR="00E4069C" w:rsidRPr="00186396" w:rsidRDefault="00E4069C">
            <w:pPr>
              <w:pStyle w:val="Footer"/>
              <w:jc w:val="right"/>
              <w:rPr>
                <w:rFonts w:ascii="Times New Roman" w:hAnsi="Times New Roman" w:cs="Times New Roman"/>
                <w:sz w:val="20"/>
                <w:szCs w:val="20"/>
              </w:rPr>
            </w:pPr>
            <w:r w:rsidRPr="00186396">
              <w:rPr>
                <w:rFonts w:ascii="Times New Roman" w:hAnsi="Times New Roman" w:cs="Times New Roman"/>
                <w:sz w:val="20"/>
                <w:szCs w:val="20"/>
              </w:rPr>
              <w:t xml:space="preserve">Page </w:t>
            </w:r>
            <w:r w:rsidRPr="00186396">
              <w:rPr>
                <w:rFonts w:ascii="Times New Roman" w:hAnsi="Times New Roman" w:cs="Times New Roman"/>
                <w:bCs/>
                <w:sz w:val="20"/>
                <w:szCs w:val="20"/>
              </w:rPr>
              <w:fldChar w:fldCharType="begin"/>
            </w:r>
            <w:r w:rsidRPr="00186396">
              <w:rPr>
                <w:rFonts w:ascii="Times New Roman" w:hAnsi="Times New Roman" w:cs="Times New Roman"/>
                <w:bCs/>
                <w:sz w:val="20"/>
                <w:szCs w:val="20"/>
              </w:rPr>
              <w:instrText xml:space="preserve"> PAGE </w:instrText>
            </w:r>
            <w:r w:rsidRPr="00186396">
              <w:rPr>
                <w:rFonts w:ascii="Times New Roman" w:hAnsi="Times New Roman" w:cs="Times New Roman"/>
                <w:bCs/>
                <w:sz w:val="20"/>
                <w:szCs w:val="20"/>
              </w:rPr>
              <w:fldChar w:fldCharType="separate"/>
            </w:r>
            <w:r w:rsidR="00694F24">
              <w:rPr>
                <w:rFonts w:ascii="Times New Roman" w:hAnsi="Times New Roman" w:cs="Times New Roman"/>
                <w:bCs/>
                <w:noProof/>
                <w:sz w:val="20"/>
                <w:szCs w:val="20"/>
              </w:rPr>
              <w:t>1</w:t>
            </w:r>
            <w:r w:rsidRPr="00186396">
              <w:rPr>
                <w:rFonts w:ascii="Times New Roman" w:hAnsi="Times New Roman" w:cs="Times New Roman"/>
                <w:bCs/>
                <w:sz w:val="20"/>
                <w:szCs w:val="20"/>
              </w:rPr>
              <w:fldChar w:fldCharType="end"/>
            </w:r>
            <w:r w:rsidRPr="00186396">
              <w:rPr>
                <w:rFonts w:ascii="Times New Roman" w:hAnsi="Times New Roman" w:cs="Times New Roman"/>
                <w:sz w:val="20"/>
                <w:szCs w:val="20"/>
              </w:rPr>
              <w:t xml:space="preserve"> of </w:t>
            </w:r>
            <w:r w:rsidRPr="00186396">
              <w:rPr>
                <w:rFonts w:ascii="Times New Roman" w:hAnsi="Times New Roman" w:cs="Times New Roman"/>
                <w:bCs/>
                <w:sz w:val="20"/>
                <w:szCs w:val="20"/>
              </w:rPr>
              <w:fldChar w:fldCharType="begin"/>
            </w:r>
            <w:r w:rsidRPr="00186396">
              <w:rPr>
                <w:rFonts w:ascii="Times New Roman" w:hAnsi="Times New Roman" w:cs="Times New Roman"/>
                <w:bCs/>
                <w:sz w:val="20"/>
                <w:szCs w:val="20"/>
              </w:rPr>
              <w:instrText xml:space="preserve"> NUMPAGES  </w:instrText>
            </w:r>
            <w:r w:rsidRPr="00186396">
              <w:rPr>
                <w:rFonts w:ascii="Times New Roman" w:hAnsi="Times New Roman" w:cs="Times New Roman"/>
                <w:bCs/>
                <w:sz w:val="20"/>
                <w:szCs w:val="20"/>
              </w:rPr>
              <w:fldChar w:fldCharType="separate"/>
            </w:r>
            <w:r w:rsidR="00694F24">
              <w:rPr>
                <w:rFonts w:ascii="Times New Roman" w:hAnsi="Times New Roman" w:cs="Times New Roman"/>
                <w:bCs/>
                <w:noProof/>
                <w:sz w:val="20"/>
                <w:szCs w:val="20"/>
              </w:rPr>
              <w:t>14</w:t>
            </w:r>
            <w:r w:rsidRPr="00186396">
              <w:rPr>
                <w:rFonts w:ascii="Times New Roman" w:hAnsi="Times New Roman" w:cs="Times New Roman"/>
                <w:bCs/>
                <w:sz w:val="20"/>
                <w:szCs w:val="20"/>
              </w:rPr>
              <w:fldChar w:fldCharType="end"/>
            </w:r>
          </w:p>
        </w:sdtContent>
      </w:sdt>
    </w:sdtContent>
  </w:sdt>
  <w:p w14:paraId="6537C486" w14:textId="77777777" w:rsidR="00E4069C" w:rsidRDefault="00E4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CEFF" w14:textId="77777777" w:rsidR="001E6836" w:rsidRDefault="001E6836" w:rsidP="00600B49">
      <w:pPr>
        <w:spacing w:after="0" w:line="240" w:lineRule="auto"/>
      </w:pPr>
      <w:r>
        <w:separator/>
      </w:r>
    </w:p>
  </w:footnote>
  <w:footnote w:type="continuationSeparator" w:id="0">
    <w:p w14:paraId="0B1B9025" w14:textId="77777777" w:rsidR="001E6836" w:rsidRDefault="001E6836" w:rsidP="0060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125"/>
    <w:multiLevelType w:val="hybridMultilevel"/>
    <w:tmpl w:val="6848E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AE0121"/>
    <w:multiLevelType w:val="hybridMultilevel"/>
    <w:tmpl w:val="C360E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8745C1"/>
    <w:multiLevelType w:val="hybridMultilevel"/>
    <w:tmpl w:val="C430E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95183B"/>
    <w:multiLevelType w:val="hybridMultilevel"/>
    <w:tmpl w:val="906C0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865914"/>
    <w:multiLevelType w:val="hybridMultilevel"/>
    <w:tmpl w:val="2C8AF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1471DE"/>
    <w:multiLevelType w:val="hybridMultilevel"/>
    <w:tmpl w:val="25662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AC18D0"/>
    <w:multiLevelType w:val="hybridMultilevel"/>
    <w:tmpl w:val="23783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BB2B92"/>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5D7D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8C61E7"/>
    <w:multiLevelType w:val="hybridMultilevel"/>
    <w:tmpl w:val="35A46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1D00DA"/>
    <w:multiLevelType w:val="hybridMultilevel"/>
    <w:tmpl w:val="C310D34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D8312F"/>
    <w:multiLevelType w:val="hybridMultilevel"/>
    <w:tmpl w:val="18F868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9D5FC5"/>
    <w:multiLevelType w:val="hybridMultilevel"/>
    <w:tmpl w:val="EE26B8E2"/>
    <w:lvl w:ilvl="0" w:tplc="5096FB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576B3A"/>
    <w:multiLevelType w:val="hybridMultilevel"/>
    <w:tmpl w:val="B472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2C223C"/>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0F790F"/>
    <w:multiLevelType w:val="hybridMultilevel"/>
    <w:tmpl w:val="30DA9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1E33C99"/>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794A5F"/>
    <w:multiLevelType w:val="hybridMultilevel"/>
    <w:tmpl w:val="BBA416D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7112F7"/>
    <w:multiLevelType w:val="hybridMultilevel"/>
    <w:tmpl w:val="94DAEFAE"/>
    <w:lvl w:ilvl="0" w:tplc="1534BF72">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DD57BAD"/>
    <w:multiLevelType w:val="hybridMultilevel"/>
    <w:tmpl w:val="DFC41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5B0742"/>
    <w:multiLevelType w:val="hybridMultilevel"/>
    <w:tmpl w:val="49C21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3C848D8"/>
    <w:multiLevelType w:val="hybridMultilevel"/>
    <w:tmpl w:val="ED84A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C6338E"/>
    <w:multiLevelType w:val="hybridMultilevel"/>
    <w:tmpl w:val="6A1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B203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9C20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2"/>
  </w:num>
  <w:num w:numId="4">
    <w:abstractNumId w:val="20"/>
  </w:num>
  <w:num w:numId="5">
    <w:abstractNumId w:val="5"/>
  </w:num>
  <w:num w:numId="6">
    <w:abstractNumId w:val="4"/>
  </w:num>
  <w:num w:numId="7">
    <w:abstractNumId w:val="15"/>
  </w:num>
  <w:num w:numId="8">
    <w:abstractNumId w:val="12"/>
  </w:num>
  <w:num w:numId="9">
    <w:abstractNumId w:val="6"/>
  </w:num>
  <w:num w:numId="10">
    <w:abstractNumId w:val="11"/>
  </w:num>
  <w:num w:numId="11">
    <w:abstractNumId w:val="19"/>
  </w:num>
  <w:num w:numId="12">
    <w:abstractNumId w:val="18"/>
  </w:num>
  <w:num w:numId="13">
    <w:abstractNumId w:val="3"/>
  </w:num>
  <w:num w:numId="14">
    <w:abstractNumId w:val="0"/>
  </w:num>
  <w:num w:numId="15">
    <w:abstractNumId w:val="1"/>
  </w:num>
  <w:num w:numId="16">
    <w:abstractNumId w:val="13"/>
  </w:num>
  <w:num w:numId="17">
    <w:abstractNumId w:val="21"/>
  </w:num>
  <w:num w:numId="18">
    <w:abstractNumId w:val="16"/>
  </w:num>
  <w:num w:numId="19">
    <w:abstractNumId w:val="24"/>
  </w:num>
  <w:num w:numId="20">
    <w:abstractNumId w:val="14"/>
  </w:num>
  <w:num w:numId="21">
    <w:abstractNumId w:val="17"/>
  </w:num>
  <w:num w:numId="22">
    <w:abstractNumId w:val="25"/>
  </w:num>
  <w:num w:numId="23">
    <w:abstractNumId w:val="8"/>
  </w:num>
  <w:num w:numId="24">
    <w:abstractNumId w:val="7"/>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F"/>
    <w:rsid w:val="00004B00"/>
    <w:rsid w:val="0001187C"/>
    <w:rsid w:val="0003779A"/>
    <w:rsid w:val="00055FBD"/>
    <w:rsid w:val="00067126"/>
    <w:rsid w:val="000741E2"/>
    <w:rsid w:val="00081508"/>
    <w:rsid w:val="000B22B0"/>
    <w:rsid w:val="000B4E63"/>
    <w:rsid w:val="000B5AFB"/>
    <w:rsid w:val="000B7112"/>
    <w:rsid w:val="000C332C"/>
    <w:rsid w:val="000C688C"/>
    <w:rsid w:val="000D103A"/>
    <w:rsid w:val="000E0383"/>
    <w:rsid w:val="000E2CFD"/>
    <w:rsid w:val="000F2A00"/>
    <w:rsid w:val="000F31B9"/>
    <w:rsid w:val="001102E2"/>
    <w:rsid w:val="00112369"/>
    <w:rsid w:val="001168BD"/>
    <w:rsid w:val="001226FC"/>
    <w:rsid w:val="00135201"/>
    <w:rsid w:val="00142837"/>
    <w:rsid w:val="00145DBF"/>
    <w:rsid w:val="0015627A"/>
    <w:rsid w:val="001639FF"/>
    <w:rsid w:val="0016602E"/>
    <w:rsid w:val="00170CDA"/>
    <w:rsid w:val="001825E7"/>
    <w:rsid w:val="00186396"/>
    <w:rsid w:val="001A0D19"/>
    <w:rsid w:val="001B2194"/>
    <w:rsid w:val="001B7F00"/>
    <w:rsid w:val="001E026A"/>
    <w:rsid w:val="001E2209"/>
    <w:rsid w:val="001E28BB"/>
    <w:rsid w:val="001E6836"/>
    <w:rsid w:val="001E7425"/>
    <w:rsid w:val="00223B5F"/>
    <w:rsid w:val="00280FCB"/>
    <w:rsid w:val="00292435"/>
    <w:rsid w:val="002E7E39"/>
    <w:rsid w:val="002F142B"/>
    <w:rsid w:val="002F2667"/>
    <w:rsid w:val="002F7C87"/>
    <w:rsid w:val="00301BD2"/>
    <w:rsid w:val="003114C1"/>
    <w:rsid w:val="0031373A"/>
    <w:rsid w:val="003159D0"/>
    <w:rsid w:val="0032222B"/>
    <w:rsid w:val="0033021E"/>
    <w:rsid w:val="003307FD"/>
    <w:rsid w:val="00337E2B"/>
    <w:rsid w:val="00372BBE"/>
    <w:rsid w:val="003735A1"/>
    <w:rsid w:val="003868F9"/>
    <w:rsid w:val="00390F7F"/>
    <w:rsid w:val="00440BB5"/>
    <w:rsid w:val="00486206"/>
    <w:rsid w:val="004C27D6"/>
    <w:rsid w:val="004D2F41"/>
    <w:rsid w:val="00503CA1"/>
    <w:rsid w:val="00512B6D"/>
    <w:rsid w:val="0052198E"/>
    <w:rsid w:val="0052411F"/>
    <w:rsid w:val="005625BB"/>
    <w:rsid w:val="0056535E"/>
    <w:rsid w:val="00591BC0"/>
    <w:rsid w:val="005A2DFE"/>
    <w:rsid w:val="005A43C4"/>
    <w:rsid w:val="005D144C"/>
    <w:rsid w:val="00600B49"/>
    <w:rsid w:val="00601AB9"/>
    <w:rsid w:val="00601D47"/>
    <w:rsid w:val="00604450"/>
    <w:rsid w:val="00617DF4"/>
    <w:rsid w:val="0063169F"/>
    <w:rsid w:val="006344CD"/>
    <w:rsid w:val="00635EAF"/>
    <w:rsid w:val="00645CF7"/>
    <w:rsid w:val="006666FF"/>
    <w:rsid w:val="0066703A"/>
    <w:rsid w:val="00694F24"/>
    <w:rsid w:val="006A700B"/>
    <w:rsid w:val="006B1075"/>
    <w:rsid w:val="006B5C77"/>
    <w:rsid w:val="006E2905"/>
    <w:rsid w:val="00740A4A"/>
    <w:rsid w:val="00745C33"/>
    <w:rsid w:val="0075149D"/>
    <w:rsid w:val="00793A9D"/>
    <w:rsid w:val="007A0005"/>
    <w:rsid w:val="007A6CB1"/>
    <w:rsid w:val="007B2FBC"/>
    <w:rsid w:val="007C0A57"/>
    <w:rsid w:val="007C3926"/>
    <w:rsid w:val="007C4219"/>
    <w:rsid w:val="00802271"/>
    <w:rsid w:val="00802C3B"/>
    <w:rsid w:val="008214ED"/>
    <w:rsid w:val="00834D70"/>
    <w:rsid w:val="00837CAE"/>
    <w:rsid w:val="00845A52"/>
    <w:rsid w:val="00856A10"/>
    <w:rsid w:val="00865AAF"/>
    <w:rsid w:val="00870EB4"/>
    <w:rsid w:val="00874065"/>
    <w:rsid w:val="008742D7"/>
    <w:rsid w:val="0088645B"/>
    <w:rsid w:val="008B4230"/>
    <w:rsid w:val="008B77A8"/>
    <w:rsid w:val="008E301B"/>
    <w:rsid w:val="008E5D28"/>
    <w:rsid w:val="008F1532"/>
    <w:rsid w:val="008F387A"/>
    <w:rsid w:val="008F4095"/>
    <w:rsid w:val="00903F38"/>
    <w:rsid w:val="00917109"/>
    <w:rsid w:val="00921680"/>
    <w:rsid w:val="0092723C"/>
    <w:rsid w:val="00966FF8"/>
    <w:rsid w:val="00990170"/>
    <w:rsid w:val="00994E5B"/>
    <w:rsid w:val="009A1944"/>
    <w:rsid w:val="009A4AC9"/>
    <w:rsid w:val="009A763C"/>
    <w:rsid w:val="009B1FAB"/>
    <w:rsid w:val="009C1C66"/>
    <w:rsid w:val="009C787C"/>
    <w:rsid w:val="009D244C"/>
    <w:rsid w:val="009D7123"/>
    <w:rsid w:val="009E5EA8"/>
    <w:rsid w:val="009F6FD3"/>
    <w:rsid w:val="00A032F5"/>
    <w:rsid w:val="00A11D5B"/>
    <w:rsid w:val="00A31597"/>
    <w:rsid w:val="00A45C86"/>
    <w:rsid w:val="00A47DF9"/>
    <w:rsid w:val="00A66831"/>
    <w:rsid w:val="00A73A69"/>
    <w:rsid w:val="00A75C71"/>
    <w:rsid w:val="00A80199"/>
    <w:rsid w:val="00A83E44"/>
    <w:rsid w:val="00AA5888"/>
    <w:rsid w:val="00AC212D"/>
    <w:rsid w:val="00AE179E"/>
    <w:rsid w:val="00B03DF9"/>
    <w:rsid w:val="00B3413D"/>
    <w:rsid w:val="00B34E83"/>
    <w:rsid w:val="00B500D7"/>
    <w:rsid w:val="00B57582"/>
    <w:rsid w:val="00B75BD5"/>
    <w:rsid w:val="00B94703"/>
    <w:rsid w:val="00BB0B49"/>
    <w:rsid w:val="00BC78D7"/>
    <w:rsid w:val="00BE3ADC"/>
    <w:rsid w:val="00BE6E62"/>
    <w:rsid w:val="00BF152E"/>
    <w:rsid w:val="00C436C9"/>
    <w:rsid w:val="00C61B75"/>
    <w:rsid w:val="00C70A93"/>
    <w:rsid w:val="00C80C87"/>
    <w:rsid w:val="00C864C3"/>
    <w:rsid w:val="00C957AD"/>
    <w:rsid w:val="00CA2106"/>
    <w:rsid w:val="00CA2509"/>
    <w:rsid w:val="00CA55E9"/>
    <w:rsid w:val="00CC68B5"/>
    <w:rsid w:val="00CE1A15"/>
    <w:rsid w:val="00CF0E1D"/>
    <w:rsid w:val="00D00C19"/>
    <w:rsid w:val="00D14900"/>
    <w:rsid w:val="00D252F7"/>
    <w:rsid w:val="00D25E57"/>
    <w:rsid w:val="00D419BB"/>
    <w:rsid w:val="00D43B63"/>
    <w:rsid w:val="00D50929"/>
    <w:rsid w:val="00D55C09"/>
    <w:rsid w:val="00D63530"/>
    <w:rsid w:val="00D933F3"/>
    <w:rsid w:val="00DB2DF9"/>
    <w:rsid w:val="00DB69A5"/>
    <w:rsid w:val="00DF054C"/>
    <w:rsid w:val="00DF270F"/>
    <w:rsid w:val="00E05E74"/>
    <w:rsid w:val="00E35F20"/>
    <w:rsid w:val="00E4069C"/>
    <w:rsid w:val="00E45B97"/>
    <w:rsid w:val="00E5391B"/>
    <w:rsid w:val="00E70198"/>
    <w:rsid w:val="00E8419A"/>
    <w:rsid w:val="00E923D0"/>
    <w:rsid w:val="00EB1581"/>
    <w:rsid w:val="00EB23D6"/>
    <w:rsid w:val="00EB64E7"/>
    <w:rsid w:val="00EC0892"/>
    <w:rsid w:val="00EC1017"/>
    <w:rsid w:val="00F063A1"/>
    <w:rsid w:val="00F07527"/>
    <w:rsid w:val="00F24E28"/>
    <w:rsid w:val="00F43A7D"/>
    <w:rsid w:val="00F57D5E"/>
    <w:rsid w:val="00F645BA"/>
    <w:rsid w:val="00F67E80"/>
    <w:rsid w:val="00F67FEB"/>
    <w:rsid w:val="00F73F0C"/>
    <w:rsid w:val="00F7709B"/>
    <w:rsid w:val="00F77B1F"/>
    <w:rsid w:val="00FA5276"/>
    <w:rsid w:val="00FA5F4A"/>
    <w:rsid w:val="00FB1FCB"/>
    <w:rsid w:val="00FE3493"/>
    <w:rsid w:val="00FE6704"/>
    <w:rsid w:val="00FF257F"/>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7E80"/>
    <w:pPr>
      <w:keepNext/>
      <w:keepLines/>
      <w:spacing w:before="40" w:after="0" w:line="280" w:lineRule="exact"/>
      <w:outlineLvl w:val="1"/>
    </w:pPr>
    <w:rPr>
      <w:rFonts w:ascii="Arial" w:eastAsiaTheme="majorEastAsia" w:hAnsi="Arial" w:cstheme="majorBidi"/>
      <w:b/>
      <w:color w:val="262626" w:themeColor="text1" w:themeTint="D9"/>
      <w:szCs w:val="26"/>
    </w:rPr>
  </w:style>
  <w:style w:type="paragraph" w:styleId="Heading3">
    <w:name w:val="heading 3"/>
    <w:basedOn w:val="Normal"/>
    <w:next w:val="Normal"/>
    <w:link w:val="Heading3Char"/>
    <w:uiPriority w:val="9"/>
    <w:unhideWhenUsed/>
    <w:qFormat/>
    <w:rsid w:val="00F67E80"/>
    <w:pPr>
      <w:keepNext/>
      <w:keepLines/>
      <w:spacing w:after="0" w:line="280" w:lineRule="exact"/>
      <w:jc w:val="both"/>
      <w:outlineLvl w:val="2"/>
    </w:pPr>
    <w:rPr>
      <w:rFonts w:ascii="Arial" w:eastAsiaTheme="majorEastAsia" w:hAnsi="Arial" w:cstheme="majorBidi"/>
      <w:b/>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FF"/>
    <w:pPr>
      <w:ind w:left="720"/>
      <w:contextualSpacing/>
    </w:pPr>
  </w:style>
  <w:style w:type="paragraph" w:styleId="Header">
    <w:name w:val="header"/>
    <w:basedOn w:val="Normal"/>
    <w:link w:val="HeaderChar"/>
    <w:uiPriority w:val="99"/>
    <w:unhideWhenUsed/>
    <w:rsid w:val="0060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49"/>
  </w:style>
  <w:style w:type="paragraph" w:styleId="Footer">
    <w:name w:val="footer"/>
    <w:basedOn w:val="Normal"/>
    <w:link w:val="FooterChar"/>
    <w:uiPriority w:val="99"/>
    <w:unhideWhenUsed/>
    <w:rsid w:val="0060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49"/>
  </w:style>
  <w:style w:type="character" w:customStyle="1" w:styleId="Heading2Char">
    <w:name w:val="Heading 2 Char"/>
    <w:basedOn w:val="DefaultParagraphFont"/>
    <w:link w:val="Heading2"/>
    <w:uiPriority w:val="9"/>
    <w:rsid w:val="00F67E80"/>
    <w:rPr>
      <w:rFonts w:ascii="Arial" w:eastAsiaTheme="majorEastAsia" w:hAnsi="Arial" w:cstheme="majorBidi"/>
      <w:b/>
      <w:color w:val="262626" w:themeColor="text1" w:themeTint="D9"/>
      <w:szCs w:val="26"/>
    </w:rPr>
  </w:style>
  <w:style w:type="character" w:customStyle="1" w:styleId="Heading3Char">
    <w:name w:val="Heading 3 Char"/>
    <w:basedOn w:val="DefaultParagraphFont"/>
    <w:link w:val="Heading3"/>
    <w:uiPriority w:val="9"/>
    <w:rsid w:val="00F67E80"/>
    <w:rPr>
      <w:rFonts w:ascii="Arial" w:eastAsiaTheme="majorEastAsia" w:hAnsi="Arial" w:cstheme="majorBidi"/>
      <w:b/>
      <w:i/>
      <w:color w:val="404040" w:themeColor="text1" w:themeTint="BF"/>
      <w:szCs w:val="24"/>
    </w:rPr>
  </w:style>
  <w:style w:type="paragraph" w:styleId="FootnoteText">
    <w:name w:val="footnote text"/>
    <w:aliases w:val="Footnote Text Char1,Footnote Text Char Char,fn Char"/>
    <w:basedOn w:val="Normal"/>
    <w:link w:val="FootnoteTextChar"/>
    <w:unhideWhenUsed/>
    <w:rsid w:val="00186396"/>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rsid w:val="00186396"/>
    <w:rPr>
      <w:rFonts w:ascii="Arial" w:hAnsi="Arial"/>
      <w:sz w:val="20"/>
      <w:szCs w:val="20"/>
    </w:rPr>
  </w:style>
  <w:style w:type="character" w:styleId="FootnoteReference">
    <w:name w:val="footnote reference"/>
    <w:basedOn w:val="DefaultParagraphFont"/>
    <w:unhideWhenUsed/>
    <w:rsid w:val="00186396"/>
    <w:rPr>
      <w:vertAlign w:val="superscript"/>
    </w:rPr>
  </w:style>
  <w:style w:type="character" w:styleId="CommentReference">
    <w:name w:val="annotation reference"/>
    <w:basedOn w:val="DefaultParagraphFont"/>
    <w:uiPriority w:val="99"/>
    <w:semiHidden/>
    <w:unhideWhenUsed/>
    <w:rsid w:val="00740A4A"/>
    <w:rPr>
      <w:sz w:val="16"/>
      <w:szCs w:val="16"/>
    </w:rPr>
  </w:style>
  <w:style w:type="paragraph" w:styleId="CommentText">
    <w:name w:val="annotation text"/>
    <w:basedOn w:val="Normal"/>
    <w:link w:val="CommentTextChar"/>
    <w:uiPriority w:val="99"/>
    <w:semiHidden/>
    <w:unhideWhenUsed/>
    <w:rsid w:val="00740A4A"/>
    <w:pPr>
      <w:spacing w:line="240" w:lineRule="auto"/>
    </w:pPr>
    <w:rPr>
      <w:sz w:val="20"/>
      <w:szCs w:val="20"/>
    </w:rPr>
  </w:style>
  <w:style w:type="character" w:customStyle="1" w:styleId="CommentTextChar">
    <w:name w:val="Comment Text Char"/>
    <w:basedOn w:val="DefaultParagraphFont"/>
    <w:link w:val="CommentText"/>
    <w:uiPriority w:val="99"/>
    <w:semiHidden/>
    <w:rsid w:val="00740A4A"/>
    <w:rPr>
      <w:sz w:val="20"/>
      <w:szCs w:val="20"/>
    </w:rPr>
  </w:style>
  <w:style w:type="paragraph" w:styleId="CommentSubject">
    <w:name w:val="annotation subject"/>
    <w:basedOn w:val="CommentText"/>
    <w:next w:val="CommentText"/>
    <w:link w:val="CommentSubjectChar"/>
    <w:uiPriority w:val="99"/>
    <w:semiHidden/>
    <w:unhideWhenUsed/>
    <w:rsid w:val="00740A4A"/>
    <w:rPr>
      <w:b/>
      <w:bCs/>
    </w:rPr>
  </w:style>
  <w:style w:type="character" w:customStyle="1" w:styleId="CommentSubjectChar">
    <w:name w:val="Comment Subject Char"/>
    <w:basedOn w:val="CommentTextChar"/>
    <w:link w:val="CommentSubject"/>
    <w:uiPriority w:val="99"/>
    <w:semiHidden/>
    <w:rsid w:val="00740A4A"/>
    <w:rPr>
      <w:b/>
      <w:bCs/>
      <w:sz w:val="20"/>
      <w:szCs w:val="20"/>
    </w:rPr>
  </w:style>
  <w:style w:type="paragraph" w:styleId="BalloonText">
    <w:name w:val="Balloon Text"/>
    <w:basedOn w:val="Normal"/>
    <w:link w:val="BalloonTextChar"/>
    <w:uiPriority w:val="99"/>
    <w:semiHidden/>
    <w:unhideWhenUsed/>
    <w:rsid w:val="0074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7E80"/>
    <w:pPr>
      <w:keepNext/>
      <w:keepLines/>
      <w:spacing w:before="40" w:after="0" w:line="280" w:lineRule="exact"/>
      <w:outlineLvl w:val="1"/>
    </w:pPr>
    <w:rPr>
      <w:rFonts w:ascii="Arial" w:eastAsiaTheme="majorEastAsia" w:hAnsi="Arial" w:cstheme="majorBidi"/>
      <w:b/>
      <w:color w:val="262626" w:themeColor="text1" w:themeTint="D9"/>
      <w:szCs w:val="26"/>
    </w:rPr>
  </w:style>
  <w:style w:type="paragraph" w:styleId="Heading3">
    <w:name w:val="heading 3"/>
    <w:basedOn w:val="Normal"/>
    <w:next w:val="Normal"/>
    <w:link w:val="Heading3Char"/>
    <w:uiPriority w:val="9"/>
    <w:unhideWhenUsed/>
    <w:qFormat/>
    <w:rsid w:val="00F67E80"/>
    <w:pPr>
      <w:keepNext/>
      <w:keepLines/>
      <w:spacing w:after="0" w:line="280" w:lineRule="exact"/>
      <w:jc w:val="both"/>
      <w:outlineLvl w:val="2"/>
    </w:pPr>
    <w:rPr>
      <w:rFonts w:ascii="Arial" w:eastAsiaTheme="majorEastAsia" w:hAnsi="Arial" w:cstheme="majorBidi"/>
      <w:b/>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FF"/>
    <w:pPr>
      <w:ind w:left="720"/>
      <w:contextualSpacing/>
    </w:pPr>
  </w:style>
  <w:style w:type="paragraph" w:styleId="Header">
    <w:name w:val="header"/>
    <w:basedOn w:val="Normal"/>
    <w:link w:val="HeaderChar"/>
    <w:uiPriority w:val="99"/>
    <w:unhideWhenUsed/>
    <w:rsid w:val="0060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49"/>
  </w:style>
  <w:style w:type="paragraph" w:styleId="Footer">
    <w:name w:val="footer"/>
    <w:basedOn w:val="Normal"/>
    <w:link w:val="FooterChar"/>
    <w:uiPriority w:val="99"/>
    <w:unhideWhenUsed/>
    <w:rsid w:val="0060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49"/>
  </w:style>
  <w:style w:type="character" w:customStyle="1" w:styleId="Heading2Char">
    <w:name w:val="Heading 2 Char"/>
    <w:basedOn w:val="DefaultParagraphFont"/>
    <w:link w:val="Heading2"/>
    <w:uiPriority w:val="9"/>
    <w:rsid w:val="00F67E80"/>
    <w:rPr>
      <w:rFonts w:ascii="Arial" w:eastAsiaTheme="majorEastAsia" w:hAnsi="Arial" w:cstheme="majorBidi"/>
      <w:b/>
      <w:color w:val="262626" w:themeColor="text1" w:themeTint="D9"/>
      <w:szCs w:val="26"/>
    </w:rPr>
  </w:style>
  <w:style w:type="character" w:customStyle="1" w:styleId="Heading3Char">
    <w:name w:val="Heading 3 Char"/>
    <w:basedOn w:val="DefaultParagraphFont"/>
    <w:link w:val="Heading3"/>
    <w:uiPriority w:val="9"/>
    <w:rsid w:val="00F67E80"/>
    <w:rPr>
      <w:rFonts w:ascii="Arial" w:eastAsiaTheme="majorEastAsia" w:hAnsi="Arial" w:cstheme="majorBidi"/>
      <w:b/>
      <w:i/>
      <w:color w:val="404040" w:themeColor="text1" w:themeTint="BF"/>
      <w:szCs w:val="24"/>
    </w:rPr>
  </w:style>
  <w:style w:type="paragraph" w:styleId="FootnoteText">
    <w:name w:val="footnote text"/>
    <w:aliases w:val="Footnote Text Char1,Footnote Text Char Char,fn Char"/>
    <w:basedOn w:val="Normal"/>
    <w:link w:val="FootnoteTextChar"/>
    <w:unhideWhenUsed/>
    <w:rsid w:val="00186396"/>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rsid w:val="00186396"/>
    <w:rPr>
      <w:rFonts w:ascii="Arial" w:hAnsi="Arial"/>
      <w:sz w:val="20"/>
      <w:szCs w:val="20"/>
    </w:rPr>
  </w:style>
  <w:style w:type="character" w:styleId="FootnoteReference">
    <w:name w:val="footnote reference"/>
    <w:basedOn w:val="DefaultParagraphFont"/>
    <w:unhideWhenUsed/>
    <w:rsid w:val="00186396"/>
    <w:rPr>
      <w:vertAlign w:val="superscript"/>
    </w:rPr>
  </w:style>
  <w:style w:type="character" w:styleId="CommentReference">
    <w:name w:val="annotation reference"/>
    <w:basedOn w:val="DefaultParagraphFont"/>
    <w:uiPriority w:val="99"/>
    <w:semiHidden/>
    <w:unhideWhenUsed/>
    <w:rsid w:val="00740A4A"/>
    <w:rPr>
      <w:sz w:val="16"/>
      <w:szCs w:val="16"/>
    </w:rPr>
  </w:style>
  <w:style w:type="paragraph" w:styleId="CommentText">
    <w:name w:val="annotation text"/>
    <w:basedOn w:val="Normal"/>
    <w:link w:val="CommentTextChar"/>
    <w:uiPriority w:val="99"/>
    <w:semiHidden/>
    <w:unhideWhenUsed/>
    <w:rsid w:val="00740A4A"/>
    <w:pPr>
      <w:spacing w:line="240" w:lineRule="auto"/>
    </w:pPr>
    <w:rPr>
      <w:sz w:val="20"/>
      <w:szCs w:val="20"/>
    </w:rPr>
  </w:style>
  <w:style w:type="character" w:customStyle="1" w:styleId="CommentTextChar">
    <w:name w:val="Comment Text Char"/>
    <w:basedOn w:val="DefaultParagraphFont"/>
    <w:link w:val="CommentText"/>
    <w:uiPriority w:val="99"/>
    <w:semiHidden/>
    <w:rsid w:val="00740A4A"/>
    <w:rPr>
      <w:sz w:val="20"/>
      <w:szCs w:val="20"/>
    </w:rPr>
  </w:style>
  <w:style w:type="paragraph" w:styleId="CommentSubject">
    <w:name w:val="annotation subject"/>
    <w:basedOn w:val="CommentText"/>
    <w:next w:val="CommentText"/>
    <w:link w:val="CommentSubjectChar"/>
    <w:uiPriority w:val="99"/>
    <w:semiHidden/>
    <w:unhideWhenUsed/>
    <w:rsid w:val="00740A4A"/>
    <w:rPr>
      <w:b/>
      <w:bCs/>
    </w:rPr>
  </w:style>
  <w:style w:type="character" w:customStyle="1" w:styleId="CommentSubjectChar">
    <w:name w:val="Comment Subject Char"/>
    <w:basedOn w:val="CommentTextChar"/>
    <w:link w:val="CommentSubject"/>
    <w:uiPriority w:val="99"/>
    <w:semiHidden/>
    <w:rsid w:val="00740A4A"/>
    <w:rPr>
      <w:b/>
      <w:bCs/>
      <w:sz w:val="20"/>
      <w:szCs w:val="20"/>
    </w:rPr>
  </w:style>
  <w:style w:type="paragraph" w:styleId="BalloonText">
    <w:name w:val="Balloon Text"/>
    <w:basedOn w:val="Normal"/>
    <w:link w:val="BalloonTextChar"/>
    <w:uiPriority w:val="99"/>
    <w:semiHidden/>
    <w:unhideWhenUsed/>
    <w:rsid w:val="0074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661598816105431E-2"/>
          <c:y val="0.15614538498326161"/>
          <c:w val="0.9873384011838946"/>
          <c:h val="0.5348170072715086"/>
        </c:manualLayout>
      </c:layout>
      <c:barChart>
        <c:barDir val="col"/>
        <c:grouping val="clustered"/>
        <c:varyColors val="0"/>
        <c:ser>
          <c:idx val="0"/>
          <c:order val="0"/>
          <c:tx>
            <c:strRef>
              <c:f>'CSP Total'!$B$11</c:f>
              <c:strCache>
                <c:ptCount val="1"/>
                <c:pt idx="0">
                  <c:v>2015/16 </c:v>
                </c:pt>
              </c:strCache>
            </c:strRef>
          </c:tx>
          <c:spPr>
            <a:solidFill>
              <a:schemeClr val="tx2">
                <a:lumMod val="50000"/>
              </a:schemeClr>
            </a:solidFill>
            <a:ln>
              <a:noFill/>
            </a:ln>
            <a:effectLst/>
          </c:spPr>
          <c:invertIfNegative val="0"/>
          <c:dLbls>
            <c:dLbl>
              <c:idx val="2"/>
              <c:layout>
                <c:manualLayout>
                  <c:x val="-1.1081560283688025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4CF-470A-A680-8194D96A7D8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'CSP Total'!$A$12:$A$15</c:f>
              <c:strCache>
                <c:ptCount val="4"/>
                <c:pt idx="0">
                  <c:v>Programme 1: Administration </c:v>
                </c:pt>
                <c:pt idx="1">
                  <c:v>Programme 2: Law Enforcement</c:v>
                </c:pt>
                <c:pt idx="2">
                  <c:v>Programme 3: Communication, Training and CRM  </c:v>
                </c:pt>
                <c:pt idx="3">
                  <c:v>Total </c:v>
                </c:pt>
              </c:strCache>
            </c:strRef>
          </c:cat>
          <c:val>
            <c:numRef>
              <c:f>'CSP Total'!$B$12:$B$15</c:f>
              <c:numCache>
                <c:formatCode>0.0%</c:formatCode>
                <c:ptCount val="4"/>
                <c:pt idx="0">
                  <c:v>0.9</c:v>
                </c:pt>
                <c:pt idx="1">
                  <c:v>1</c:v>
                </c:pt>
                <c:pt idx="2">
                  <c:v>0.93100000000000005</c:v>
                </c:pt>
                <c:pt idx="3">
                  <c:v>0.94299999999999995</c:v>
                </c:pt>
              </c:numCache>
            </c:numRef>
          </c:val>
          <c:extLst xmlns:c16r2="http://schemas.microsoft.com/office/drawing/2015/06/chart">
            <c:ext xmlns:c16="http://schemas.microsoft.com/office/drawing/2014/chart" uri="{C3380CC4-5D6E-409C-BE32-E72D297353CC}">
              <c16:uniqueId val="{00000001-E4CF-470A-A680-8194D96A7D80}"/>
            </c:ext>
          </c:extLst>
        </c:ser>
        <c:ser>
          <c:idx val="1"/>
          <c:order val="1"/>
          <c:tx>
            <c:strRef>
              <c:f>'CSP Total'!$C$11</c:f>
              <c:strCache>
                <c:ptCount val="1"/>
                <c:pt idx="0">
                  <c:v>2016/17 </c:v>
                </c:pt>
              </c:strCache>
            </c:strRef>
          </c:tx>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path path="circle">
                <a:fillToRect l="100000" t="100000"/>
              </a:path>
              <a:tileRect r="-100000" b="-10000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'CSP Total'!$A$12:$A$15</c:f>
              <c:strCache>
                <c:ptCount val="4"/>
                <c:pt idx="0">
                  <c:v>Programme 1: Administration </c:v>
                </c:pt>
                <c:pt idx="1">
                  <c:v>Programme 2: Law Enforcement</c:v>
                </c:pt>
                <c:pt idx="2">
                  <c:v>Programme 3: Communication, Training and CRM  </c:v>
                </c:pt>
                <c:pt idx="3">
                  <c:v>Total </c:v>
                </c:pt>
              </c:strCache>
            </c:strRef>
          </c:cat>
          <c:val>
            <c:numRef>
              <c:f>'CSP Total'!$C$12:$C$15</c:f>
              <c:numCache>
                <c:formatCode>0.0%</c:formatCode>
                <c:ptCount val="4"/>
                <c:pt idx="0">
                  <c:v>0.8</c:v>
                </c:pt>
                <c:pt idx="1">
                  <c:v>0.83299999999999996</c:v>
                </c:pt>
                <c:pt idx="2">
                  <c:v>0.9</c:v>
                </c:pt>
                <c:pt idx="3">
                  <c:v>0.85699999999999998</c:v>
                </c:pt>
              </c:numCache>
            </c:numRef>
          </c:val>
          <c:extLst xmlns:c16r2="http://schemas.microsoft.com/office/drawing/2015/06/chart">
            <c:ext xmlns:c16="http://schemas.microsoft.com/office/drawing/2014/chart" uri="{C3380CC4-5D6E-409C-BE32-E72D297353CC}">
              <c16:uniqueId val="{00000002-E4CF-470A-A680-8194D96A7D80}"/>
            </c:ext>
          </c:extLst>
        </c:ser>
        <c:ser>
          <c:idx val="2"/>
          <c:order val="2"/>
          <c:tx>
            <c:strRef>
              <c:f>'CSP Total'!$D$11</c:f>
              <c:strCache>
                <c:ptCount val="1"/>
                <c:pt idx="0">
                  <c:v>2017/18</c:v>
                </c:pt>
              </c:strCache>
            </c:strRef>
          </c:tx>
          <c:spPr>
            <a:gradFill flip="none" rotWithShape="1">
              <a:gsLst>
                <a:gs pos="0">
                  <a:schemeClr val="tx2">
                    <a:lumMod val="40000"/>
                    <a:lumOff val="60000"/>
                    <a:shade val="30000"/>
                    <a:satMod val="115000"/>
                  </a:schemeClr>
                </a:gs>
                <a:gs pos="50000">
                  <a:schemeClr val="tx2">
                    <a:lumMod val="40000"/>
                    <a:lumOff val="60000"/>
                    <a:shade val="67500"/>
                    <a:satMod val="115000"/>
                  </a:schemeClr>
                </a:gs>
                <a:gs pos="100000">
                  <a:schemeClr val="tx2">
                    <a:lumMod val="40000"/>
                    <a:lumOff val="60000"/>
                    <a:shade val="100000"/>
                    <a:satMod val="115000"/>
                  </a:schemeClr>
                </a:gs>
              </a:gsLst>
              <a:lin ang="5400000" scaled="1"/>
              <a:tileRect/>
            </a:gradFill>
            <a:ln>
              <a:noFill/>
            </a:ln>
            <a:effectLst/>
          </c:spPr>
          <c:invertIfNegative val="0"/>
          <c:dLbls>
            <c:dLbl>
              <c:idx val="2"/>
              <c:layout>
                <c:manualLayout>
                  <c:x val="1.1081560283687862E-2"/>
                  <c:y val="4.782400765184122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4CF-470A-A680-8194D96A7D80}"/>
                </c:ext>
              </c:extLst>
            </c:dLbl>
            <c:dLbl>
              <c:idx val="3"/>
              <c:layout>
                <c:manualLayout>
                  <c:x val="8.8652482269503553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4CF-470A-A680-8194D96A7D8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'CSP Total'!$A$12:$A$15</c:f>
              <c:strCache>
                <c:ptCount val="4"/>
                <c:pt idx="0">
                  <c:v>Programme 1: Administration </c:v>
                </c:pt>
                <c:pt idx="1">
                  <c:v>Programme 2: Law Enforcement</c:v>
                </c:pt>
                <c:pt idx="2">
                  <c:v>Programme 3: Communication, Training and CRM  </c:v>
                </c:pt>
                <c:pt idx="3">
                  <c:v>Total </c:v>
                </c:pt>
              </c:strCache>
            </c:strRef>
          </c:cat>
          <c:val>
            <c:numRef>
              <c:f>'CSP Total'!$D$12:$D$15</c:f>
              <c:numCache>
                <c:formatCode>0%</c:formatCode>
                <c:ptCount val="4"/>
                <c:pt idx="0">
                  <c:v>0.75</c:v>
                </c:pt>
                <c:pt idx="1">
                  <c:v>1</c:v>
                </c:pt>
                <c:pt idx="2" formatCode="0.00%">
                  <c:v>0.72699999999999998</c:v>
                </c:pt>
                <c:pt idx="3" formatCode="0.00%">
                  <c:v>0.81799999999999995</c:v>
                </c:pt>
              </c:numCache>
            </c:numRef>
          </c:val>
          <c:extLst xmlns:c16r2="http://schemas.microsoft.com/office/drawing/2015/06/chart">
            <c:ext xmlns:c16="http://schemas.microsoft.com/office/drawing/2014/chart" uri="{C3380CC4-5D6E-409C-BE32-E72D297353CC}">
              <c16:uniqueId val="{00000005-E4CF-470A-A680-8194D96A7D80}"/>
            </c:ext>
          </c:extLst>
        </c:ser>
        <c:dLbls>
          <c:showLegendKey val="0"/>
          <c:showVal val="0"/>
          <c:showCatName val="0"/>
          <c:showSerName val="0"/>
          <c:showPercent val="0"/>
          <c:showBubbleSize val="0"/>
        </c:dLbls>
        <c:gapWidth val="100"/>
        <c:overlap val="-24"/>
        <c:axId val="75132928"/>
        <c:axId val="75134464"/>
      </c:barChart>
      <c:catAx>
        <c:axId val="75132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75134464"/>
        <c:crosses val="autoZero"/>
        <c:auto val="1"/>
        <c:lblAlgn val="ctr"/>
        <c:lblOffset val="100"/>
        <c:noMultiLvlLbl val="0"/>
      </c:catAx>
      <c:valAx>
        <c:axId val="7513446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132928"/>
        <c:crosses val="autoZero"/>
        <c:crossBetween val="between"/>
      </c:valAx>
      <c:spPr>
        <a:noFill/>
        <a:ln>
          <a:noFill/>
        </a:ln>
        <a:effectLst/>
      </c:spPr>
    </c:plotArea>
    <c:legend>
      <c:legendPos val="b"/>
      <c:layout>
        <c:manualLayout>
          <c:xMode val="edge"/>
          <c:yMode val="edge"/>
          <c:x val="0.33283201111051008"/>
          <c:y val="0.90801599361483343"/>
          <c:w val="0.33876744522822083"/>
          <c:h val="8.2237417691209652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1D97-7219-4832-8CA4-7B66C4E6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5953</Words>
  <Characters>33934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Babalwa Mbengo</dc:creator>
  <cp:lastModifiedBy>Asanda</cp:lastModifiedBy>
  <cp:revision>2</cp:revision>
  <cp:lastPrinted>2018-10-16T05:05:00Z</cp:lastPrinted>
  <dcterms:created xsi:type="dcterms:W3CDTF">2018-11-30T09:06:00Z</dcterms:created>
  <dcterms:modified xsi:type="dcterms:W3CDTF">2018-11-30T09:06:00Z</dcterms:modified>
</cp:coreProperties>
</file>