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95" w:rsidRDefault="00CE11FE" w:rsidP="00CE11FE">
      <w:pPr>
        <w:spacing w:line="240" w:lineRule="auto"/>
        <w:jc w:val="center"/>
        <w:rPr>
          <w:rFonts w:ascii="Arial" w:hAnsi="Arial" w:cs="Arial"/>
          <w:b/>
          <w:sz w:val="28"/>
          <w:szCs w:val="28"/>
        </w:rPr>
      </w:pPr>
      <w:bookmarkStart w:id="0" w:name="_GoBack"/>
      <w:bookmarkEnd w:id="0"/>
      <w:r w:rsidRPr="000B2BF2">
        <w:rPr>
          <w:rFonts w:ascii="Arial" w:hAnsi="Arial" w:cs="Arial"/>
          <w:b/>
          <w:sz w:val="28"/>
          <w:szCs w:val="28"/>
        </w:rPr>
        <w:t xml:space="preserve">SUMMARY OF </w:t>
      </w:r>
      <w:r w:rsidR="001D1704" w:rsidRPr="000B2BF2">
        <w:rPr>
          <w:rFonts w:ascii="Arial" w:hAnsi="Arial" w:cs="Arial"/>
          <w:b/>
          <w:sz w:val="28"/>
          <w:szCs w:val="28"/>
        </w:rPr>
        <w:t xml:space="preserve">PUBLIC </w:t>
      </w:r>
      <w:r w:rsidRPr="000B2BF2">
        <w:rPr>
          <w:rFonts w:ascii="Arial" w:hAnsi="Arial" w:cs="Arial"/>
          <w:b/>
          <w:sz w:val="28"/>
          <w:szCs w:val="28"/>
        </w:rPr>
        <w:t xml:space="preserve">SUBMISSIONS  </w:t>
      </w:r>
    </w:p>
    <w:p w:rsidR="00395F95" w:rsidRPr="000B2BF2" w:rsidRDefault="000B2BF2" w:rsidP="00CE11FE">
      <w:pPr>
        <w:spacing w:line="240" w:lineRule="auto"/>
        <w:jc w:val="center"/>
        <w:rPr>
          <w:rFonts w:ascii="Arial" w:hAnsi="Arial" w:cs="Arial"/>
          <w:b/>
          <w:sz w:val="28"/>
          <w:szCs w:val="28"/>
        </w:rPr>
      </w:pPr>
      <w:r w:rsidRPr="000B2BF2">
        <w:rPr>
          <w:rFonts w:ascii="Arial" w:hAnsi="Arial" w:cs="Arial"/>
          <w:b/>
          <w:sz w:val="28"/>
          <w:szCs w:val="28"/>
        </w:rPr>
        <w:t>CHILD JUSTICE AMENDMENT</w:t>
      </w:r>
      <w:r w:rsidR="007229BB" w:rsidRPr="000B2BF2">
        <w:rPr>
          <w:rFonts w:ascii="Arial" w:hAnsi="Arial" w:cs="Arial"/>
          <w:b/>
          <w:sz w:val="28"/>
          <w:szCs w:val="28"/>
        </w:rPr>
        <w:t xml:space="preserve"> BILL</w:t>
      </w:r>
      <w:r w:rsidR="00CE11FE" w:rsidRPr="000B2BF2">
        <w:rPr>
          <w:rFonts w:ascii="Arial" w:hAnsi="Arial" w:cs="Arial"/>
          <w:b/>
          <w:sz w:val="28"/>
          <w:szCs w:val="28"/>
        </w:rPr>
        <w:t>, 201</w:t>
      </w:r>
      <w:r w:rsidRPr="000B2BF2">
        <w:rPr>
          <w:rFonts w:ascii="Arial" w:hAnsi="Arial" w:cs="Arial"/>
          <w:b/>
          <w:sz w:val="28"/>
          <w:szCs w:val="28"/>
        </w:rPr>
        <w:t>8</w:t>
      </w:r>
      <w:r w:rsidR="007B7BCF" w:rsidRPr="000B2BF2">
        <w:rPr>
          <w:rFonts w:ascii="Arial" w:hAnsi="Arial" w:cs="Arial"/>
          <w:b/>
          <w:sz w:val="28"/>
          <w:szCs w:val="28"/>
        </w:rPr>
        <w:t xml:space="preserve"> [B</w:t>
      </w:r>
      <w:r>
        <w:rPr>
          <w:rFonts w:ascii="Arial" w:hAnsi="Arial" w:cs="Arial"/>
          <w:b/>
          <w:sz w:val="28"/>
          <w:szCs w:val="28"/>
        </w:rPr>
        <w:t>32</w:t>
      </w:r>
      <w:r w:rsidR="007B7BCF" w:rsidRPr="000B2BF2">
        <w:rPr>
          <w:rFonts w:ascii="Arial" w:hAnsi="Arial" w:cs="Arial"/>
          <w:b/>
          <w:sz w:val="28"/>
          <w:szCs w:val="28"/>
        </w:rPr>
        <w:t>-201</w:t>
      </w:r>
      <w:r w:rsidRPr="000B2BF2">
        <w:rPr>
          <w:rFonts w:ascii="Arial" w:hAnsi="Arial" w:cs="Arial"/>
          <w:b/>
          <w:sz w:val="28"/>
          <w:szCs w:val="28"/>
        </w:rPr>
        <w:t>8</w:t>
      </w:r>
      <w:r w:rsidR="007B7BCF" w:rsidRPr="000B2BF2">
        <w:rPr>
          <w:rFonts w:ascii="Arial" w:hAnsi="Arial" w:cs="Arial"/>
          <w:b/>
          <w:sz w:val="28"/>
          <w:szCs w:val="28"/>
        </w:rPr>
        <w:t>]</w:t>
      </w:r>
    </w:p>
    <w:tbl>
      <w:tblPr>
        <w:tblW w:w="136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4"/>
        <w:gridCol w:w="2880"/>
        <w:gridCol w:w="5220"/>
        <w:gridCol w:w="3420"/>
      </w:tblGrid>
      <w:tr w:rsidR="00032D18" w:rsidRPr="000B2BF2" w:rsidTr="00C44CB1">
        <w:trPr>
          <w:trHeight w:val="104"/>
          <w:tblHeader/>
        </w:trPr>
        <w:tc>
          <w:tcPr>
            <w:tcW w:w="2084" w:type="dxa"/>
          </w:tcPr>
          <w:p w:rsidR="00CE11FE" w:rsidRPr="000B2BF2" w:rsidRDefault="00004B5D" w:rsidP="002A6E11">
            <w:pPr>
              <w:spacing w:after="0" w:line="240" w:lineRule="auto"/>
              <w:jc w:val="center"/>
              <w:rPr>
                <w:rFonts w:ascii="Arial" w:hAnsi="Arial" w:cs="Arial"/>
                <w:b/>
              </w:rPr>
            </w:pPr>
            <w:r w:rsidRPr="000B2BF2">
              <w:rPr>
                <w:rFonts w:ascii="Arial" w:hAnsi="Arial" w:cs="Arial"/>
                <w:b/>
              </w:rPr>
              <w:t>PROVISION IN QUESTION</w:t>
            </w:r>
          </w:p>
        </w:tc>
        <w:tc>
          <w:tcPr>
            <w:tcW w:w="2880" w:type="dxa"/>
          </w:tcPr>
          <w:p w:rsidR="00CE11FE" w:rsidRPr="000B2BF2" w:rsidRDefault="00CE11FE" w:rsidP="002A6E11">
            <w:pPr>
              <w:spacing w:after="0" w:line="240" w:lineRule="auto"/>
              <w:jc w:val="center"/>
              <w:rPr>
                <w:rFonts w:ascii="Arial" w:hAnsi="Arial" w:cs="Arial"/>
                <w:b/>
              </w:rPr>
            </w:pPr>
            <w:r w:rsidRPr="000B2BF2">
              <w:rPr>
                <w:rFonts w:ascii="Arial" w:hAnsi="Arial" w:cs="Arial"/>
                <w:b/>
              </w:rPr>
              <w:t>NAME OF COMMENTATOR</w:t>
            </w:r>
          </w:p>
        </w:tc>
        <w:tc>
          <w:tcPr>
            <w:tcW w:w="5220" w:type="dxa"/>
          </w:tcPr>
          <w:p w:rsidR="00CE11FE" w:rsidRPr="000B2BF2" w:rsidRDefault="00CE11FE" w:rsidP="002A6E11">
            <w:pPr>
              <w:spacing w:after="0" w:line="240" w:lineRule="auto"/>
              <w:jc w:val="center"/>
              <w:rPr>
                <w:rFonts w:ascii="Arial" w:hAnsi="Arial" w:cs="Arial"/>
                <w:b/>
              </w:rPr>
            </w:pPr>
            <w:r w:rsidRPr="000B2BF2">
              <w:rPr>
                <w:rFonts w:ascii="Arial" w:hAnsi="Arial" w:cs="Arial"/>
                <w:b/>
              </w:rPr>
              <w:t>SUBMISSION/RECOMMENDATION</w:t>
            </w:r>
          </w:p>
        </w:tc>
        <w:tc>
          <w:tcPr>
            <w:tcW w:w="3420" w:type="dxa"/>
          </w:tcPr>
          <w:p w:rsidR="00CE11FE" w:rsidRPr="000B2BF2" w:rsidRDefault="00CE11FE" w:rsidP="002A6E11">
            <w:pPr>
              <w:spacing w:after="0" w:line="240" w:lineRule="auto"/>
              <w:jc w:val="center"/>
              <w:rPr>
                <w:rFonts w:ascii="Arial" w:hAnsi="Arial" w:cs="Arial"/>
                <w:b/>
              </w:rPr>
            </w:pPr>
            <w:r w:rsidRPr="000B2BF2">
              <w:rPr>
                <w:rFonts w:ascii="Arial" w:hAnsi="Arial" w:cs="Arial"/>
                <w:b/>
              </w:rPr>
              <w:t>RESPONSE</w:t>
            </w:r>
          </w:p>
        </w:tc>
      </w:tr>
      <w:tr w:rsidR="003337B1" w:rsidRPr="000B2BF2" w:rsidTr="00C44CB1">
        <w:tc>
          <w:tcPr>
            <w:tcW w:w="2084" w:type="dxa"/>
          </w:tcPr>
          <w:p w:rsidR="003337B1" w:rsidRPr="003337B1" w:rsidRDefault="003337B1" w:rsidP="00390829">
            <w:pPr>
              <w:spacing w:after="0" w:line="240" w:lineRule="auto"/>
              <w:rPr>
                <w:rFonts w:ascii="Arial" w:hAnsi="Arial" w:cs="Arial"/>
                <w:b/>
              </w:rPr>
            </w:pPr>
            <w:r w:rsidRPr="003337B1">
              <w:rPr>
                <w:rFonts w:ascii="Arial" w:hAnsi="Arial" w:cs="Arial"/>
                <w:b/>
              </w:rPr>
              <w:t>Clause 1</w:t>
            </w:r>
          </w:p>
        </w:tc>
        <w:tc>
          <w:tcPr>
            <w:tcW w:w="2880" w:type="dxa"/>
          </w:tcPr>
          <w:p w:rsidR="003337B1" w:rsidRDefault="003337B1" w:rsidP="00390829">
            <w:pPr>
              <w:spacing w:after="0" w:line="240" w:lineRule="auto"/>
              <w:rPr>
                <w:rFonts w:ascii="Arial" w:hAnsi="Arial" w:cs="Arial"/>
                <w:b/>
              </w:rPr>
            </w:pPr>
            <w:r>
              <w:rPr>
                <w:rFonts w:ascii="Arial" w:hAnsi="Arial" w:cs="Arial"/>
                <w:b/>
              </w:rPr>
              <w:t xml:space="preserve">Centre </w:t>
            </w:r>
            <w:r w:rsidR="00112574">
              <w:rPr>
                <w:rFonts w:ascii="Arial" w:hAnsi="Arial" w:cs="Arial"/>
                <w:b/>
              </w:rPr>
              <w:t>f</w:t>
            </w:r>
            <w:r>
              <w:rPr>
                <w:rFonts w:ascii="Arial" w:hAnsi="Arial" w:cs="Arial"/>
                <w:b/>
              </w:rPr>
              <w:t>or Child Law</w:t>
            </w:r>
          </w:p>
          <w:p w:rsidR="003337B1" w:rsidRDefault="003337B1" w:rsidP="00390829">
            <w:pPr>
              <w:spacing w:after="0" w:line="240" w:lineRule="auto"/>
              <w:rPr>
                <w:rFonts w:ascii="Arial" w:hAnsi="Arial" w:cs="Arial"/>
                <w:b/>
              </w:rPr>
            </w:pPr>
          </w:p>
          <w:p w:rsidR="003337B1" w:rsidRDefault="003337B1" w:rsidP="00390829">
            <w:pPr>
              <w:spacing w:after="0" w:line="240" w:lineRule="auto"/>
              <w:rPr>
                <w:rFonts w:ascii="Arial" w:hAnsi="Arial" w:cs="Arial"/>
                <w:b/>
              </w:rPr>
            </w:pPr>
          </w:p>
          <w:p w:rsidR="003337B1" w:rsidRDefault="003337B1" w:rsidP="00390829">
            <w:pPr>
              <w:spacing w:after="0" w:line="240" w:lineRule="auto"/>
              <w:rPr>
                <w:rFonts w:ascii="Arial" w:hAnsi="Arial" w:cs="Arial"/>
                <w:b/>
              </w:rPr>
            </w:pPr>
          </w:p>
          <w:p w:rsidR="003337B1" w:rsidRDefault="003337B1" w:rsidP="00390829">
            <w:pPr>
              <w:spacing w:after="0" w:line="240" w:lineRule="auto"/>
              <w:rPr>
                <w:rFonts w:ascii="Arial" w:hAnsi="Arial" w:cs="Arial"/>
                <w:b/>
              </w:rPr>
            </w:pPr>
            <w:r>
              <w:rPr>
                <w:rFonts w:ascii="Arial" w:hAnsi="Arial" w:cs="Arial"/>
                <w:b/>
              </w:rPr>
              <w:t>NICRO</w:t>
            </w:r>
          </w:p>
          <w:p w:rsidR="003337B1" w:rsidRDefault="003337B1" w:rsidP="00390829">
            <w:pPr>
              <w:spacing w:after="0" w:line="240" w:lineRule="auto"/>
              <w:rPr>
                <w:rFonts w:ascii="Arial" w:hAnsi="Arial" w:cs="Arial"/>
                <w:b/>
              </w:rPr>
            </w:pPr>
          </w:p>
          <w:p w:rsidR="003337B1" w:rsidRDefault="003337B1" w:rsidP="00390829">
            <w:pPr>
              <w:spacing w:after="0" w:line="240" w:lineRule="auto"/>
              <w:rPr>
                <w:rFonts w:ascii="Arial" w:hAnsi="Arial" w:cs="Arial"/>
                <w:b/>
              </w:rPr>
            </w:pPr>
          </w:p>
          <w:p w:rsidR="003337B1" w:rsidRDefault="003337B1" w:rsidP="00390829">
            <w:pPr>
              <w:spacing w:after="0" w:line="240" w:lineRule="auto"/>
              <w:rPr>
                <w:rFonts w:ascii="Arial" w:hAnsi="Arial" w:cs="Arial"/>
                <w:b/>
              </w:rPr>
            </w:pPr>
          </w:p>
          <w:p w:rsidR="003337B1" w:rsidRDefault="003337B1" w:rsidP="00390829">
            <w:pPr>
              <w:spacing w:after="0" w:line="240" w:lineRule="auto"/>
              <w:rPr>
                <w:rFonts w:ascii="Arial" w:hAnsi="Arial" w:cs="Arial"/>
                <w:b/>
              </w:rPr>
            </w:pPr>
          </w:p>
          <w:p w:rsidR="003337B1" w:rsidRDefault="003337B1" w:rsidP="00390829">
            <w:pPr>
              <w:spacing w:after="0" w:line="240" w:lineRule="auto"/>
              <w:rPr>
                <w:rFonts w:ascii="Arial" w:hAnsi="Arial" w:cs="Arial"/>
                <w:b/>
              </w:rPr>
            </w:pPr>
          </w:p>
          <w:p w:rsidR="003337B1" w:rsidRDefault="003337B1" w:rsidP="00390829">
            <w:pPr>
              <w:spacing w:after="0" w:line="240" w:lineRule="auto"/>
              <w:rPr>
                <w:rFonts w:ascii="Arial" w:hAnsi="Arial" w:cs="Arial"/>
                <w:b/>
              </w:rPr>
            </w:pPr>
          </w:p>
          <w:p w:rsidR="003337B1" w:rsidRDefault="003337B1" w:rsidP="00390829">
            <w:pPr>
              <w:spacing w:after="0" w:line="240" w:lineRule="auto"/>
              <w:rPr>
                <w:rFonts w:ascii="Arial" w:hAnsi="Arial" w:cs="Arial"/>
                <w:b/>
              </w:rPr>
            </w:pPr>
          </w:p>
          <w:p w:rsidR="003337B1" w:rsidRDefault="003337B1" w:rsidP="00390829">
            <w:pPr>
              <w:spacing w:after="0" w:line="240" w:lineRule="auto"/>
              <w:rPr>
                <w:rFonts w:ascii="Arial" w:hAnsi="Arial" w:cs="Arial"/>
                <w:b/>
              </w:rPr>
            </w:pPr>
          </w:p>
          <w:p w:rsidR="003337B1" w:rsidRDefault="003337B1" w:rsidP="00390829">
            <w:pPr>
              <w:spacing w:after="0" w:line="240" w:lineRule="auto"/>
              <w:rPr>
                <w:rFonts w:ascii="Arial" w:hAnsi="Arial" w:cs="Arial"/>
                <w:b/>
              </w:rPr>
            </w:pPr>
          </w:p>
        </w:tc>
        <w:tc>
          <w:tcPr>
            <w:tcW w:w="5220" w:type="dxa"/>
          </w:tcPr>
          <w:p w:rsidR="003337B1" w:rsidRDefault="003337B1" w:rsidP="00390829">
            <w:pPr>
              <w:spacing w:after="0" w:line="240" w:lineRule="auto"/>
              <w:rPr>
                <w:rFonts w:ascii="Arial" w:hAnsi="Arial" w:cs="Arial"/>
              </w:rPr>
            </w:pPr>
            <w:r>
              <w:rPr>
                <w:rFonts w:ascii="Arial" w:hAnsi="Arial" w:cs="Arial"/>
              </w:rPr>
              <w:t>The Centre supports clause 1 as it caters for children taken care by or living with other children.</w:t>
            </w:r>
          </w:p>
          <w:p w:rsidR="00101DD4" w:rsidRDefault="00101DD4" w:rsidP="00390829">
            <w:pPr>
              <w:spacing w:after="0" w:line="240" w:lineRule="auto"/>
              <w:rPr>
                <w:rFonts w:ascii="Arial" w:hAnsi="Arial" w:cs="Arial"/>
              </w:rPr>
            </w:pPr>
          </w:p>
          <w:p w:rsidR="00101DD4" w:rsidRDefault="00101DD4" w:rsidP="00390829">
            <w:pPr>
              <w:spacing w:after="0" w:line="240" w:lineRule="auto"/>
              <w:rPr>
                <w:rFonts w:ascii="Arial" w:hAnsi="Arial" w:cs="Arial"/>
              </w:rPr>
            </w:pPr>
          </w:p>
          <w:p w:rsidR="00101DD4" w:rsidRDefault="00885CAE" w:rsidP="00390829">
            <w:pPr>
              <w:spacing w:after="0" w:line="240" w:lineRule="auto"/>
              <w:rPr>
                <w:rFonts w:ascii="Arial" w:hAnsi="Arial" w:cs="Arial"/>
              </w:rPr>
            </w:pPr>
            <w:r>
              <w:rPr>
                <w:rFonts w:ascii="Arial" w:hAnsi="Arial" w:cs="Arial"/>
              </w:rPr>
              <w:t>NICRO acknowledges the reality that there are many children living on their own and in child headed household</w:t>
            </w:r>
            <w:r w:rsidR="003D6B67">
              <w:rPr>
                <w:rFonts w:ascii="Arial" w:hAnsi="Arial" w:cs="Arial"/>
              </w:rPr>
              <w:t>s</w:t>
            </w:r>
            <w:r>
              <w:rPr>
                <w:rFonts w:ascii="Arial" w:hAnsi="Arial" w:cs="Arial"/>
              </w:rPr>
              <w:t xml:space="preserve">, but does not support the principle that children should be taking responsibility for other children </w:t>
            </w:r>
            <w:r w:rsidR="003D6B67">
              <w:rPr>
                <w:rFonts w:ascii="Arial" w:hAnsi="Arial" w:cs="Arial"/>
              </w:rPr>
              <w:t>at</w:t>
            </w:r>
            <w:r>
              <w:rPr>
                <w:rFonts w:ascii="Arial" w:hAnsi="Arial" w:cs="Arial"/>
              </w:rPr>
              <w:t xml:space="preserve"> the level that is required </w:t>
            </w:r>
            <w:r w:rsidR="006D329B">
              <w:rPr>
                <w:rFonts w:ascii="Arial" w:hAnsi="Arial" w:cs="Arial"/>
              </w:rPr>
              <w:t>of</w:t>
            </w:r>
            <w:r>
              <w:rPr>
                <w:rFonts w:ascii="Arial" w:hAnsi="Arial" w:cs="Arial"/>
              </w:rPr>
              <w:t xml:space="preserve"> adults.</w:t>
            </w:r>
          </w:p>
        </w:tc>
        <w:tc>
          <w:tcPr>
            <w:tcW w:w="3420" w:type="dxa"/>
          </w:tcPr>
          <w:p w:rsidR="00666394" w:rsidRPr="00666394" w:rsidRDefault="00666394" w:rsidP="00390829">
            <w:pPr>
              <w:spacing w:after="0" w:line="240" w:lineRule="auto"/>
              <w:rPr>
                <w:rFonts w:ascii="Arial" w:hAnsi="Arial" w:cs="Arial"/>
              </w:rPr>
            </w:pPr>
            <w:r w:rsidRPr="00666394">
              <w:rPr>
                <w:rFonts w:ascii="Arial" w:hAnsi="Arial" w:cs="Arial"/>
              </w:rPr>
              <w:t xml:space="preserve">The Act has always provided for “any member of a child’s family, including a sibling who is 16 years or older, or care-giver”. </w:t>
            </w:r>
          </w:p>
          <w:p w:rsidR="00172CB2" w:rsidRPr="00666394" w:rsidRDefault="00666394" w:rsidP="00390829">
            <w:pPr>
              <w:spacing w:after="0" w:line="240" w:lineRule="auto"/>
              <w:rPr>
                <w:rFonts w:ascii="Arial" w:hAnsi="Arial" w:cs="Arial"/>
              </w:rPr>
            </w:pPr>
            <w:r w:rsidRPr="00666394">
              <w:rPr>
                <w:rFonts w:ascii="Arial" w:hAnsi="Arial" w:cs="Arial"/>
              </w:rPr>
              <w:t xml:space="preserve">The amendment only relates to correcting the </w:t>
            </w:r>
            <w:r>
              <w:rPr>
                <w:rFonts w:ascii="Arial" w:hAnsi="Arial" w:cs="Arial"/>
              </w:rPr>
              <w:t xml:space="preserve">phrase </w:t>
            </w:r>
            <w:r w:rsidRPr="00666394">
              <w:rPr>
                <w:rFonts w:ascii="Arial" w:hAnsi="Arial" w:cs="Arial"/>
              </w:rPr>
              <w:t>used in the definition since “adult” is a person over 18 years and not “16 years old” person.</w:t>
            </w:r>
          </w:p>
          <w:p w:rsidR="00172CB2" w:rsidRPr="000B2BF2" w:rsidRDefault="00D24175" w:rsidP="00390829">
            <w:pPr>
              <w:spacing w:after="0" w:line="240" w:lineRule="auto"/>
              <w:rPr>
                <w:rFonts w:ascii="Arial" w:hAnsi="Arial" w:cs="Arial"/>
              </w:rPr>
            </w:pPr>
            <w:r>
              <w:rPr>
                <w:rFonts w:ascii="Arial" w:hAnsi="Arial" w:cs="Arial"/>
              </w:rPr>
              <w:t>Th</w:t>
            </w:r>
            <w:r w:rsidR="000E2515">
              <w:rPr>
                <w:rFonts w:ascii="Arial" w:hAnsi="Arial" w:cs="Arial"/>
              </w:rPr>
              <w:t>e</w:t>
            </w:r>
            <w:r>
              <w:rPr>
                <w:rFonts w:ascii="Arial" w:hAnsi="Arial" w:cs="Arial"/>
              </w:rPr>
              <w:t xml:space="preserve"> role of an appropriate person in the Act is to provide support to the child </w:t>
            </w:r>
            <w:r w:rsidR="006D329B">
              <w:rPr>
                <w:rFonts w:ascii="Arial" w:hAnsi="Arial" w:cs="Arial"/>
              </w:rPr>
              <w:t>who</w:t>
            </w:r>
            <w:r>
              <w:rPr>
                <w:rFonts w:ascii="Arial" w:hAnsi="Arial" w:cs="Arial"/>
              </w:rPr>
              <w:t xml:space="preserve"> is alleged to have committed an offence and </w:t>
            </w:r>
            <w:r w:rsidR="00656CFB">
              <w:rPr>
                <w:rFonts w:ascii="Arial" w:hAnsi="Arial" w:cs="Arial"/>
              </w:rPr>
              <w:t xml:space="preserve">it is </w:t>
            </w:r>
            <w:r>
              <w:rPr>
                <w:rFonts w:ascii="Arial" w:hAnsi="Arial" w:cs="Arial"/>
              </w:rPr>
              <w:t>in</w:t>
            </w:r>
            <w:r w:rsidR="00656CFB">
              <w:rPr>
                <w:rFonts w:ascii="Arial" w:hAnsi="Arial" w:cs="Arial"/>
              </w:rPr>
              <w:t xml:space="preserve"> the interest of the child </w:t>
            </w:r>
            <w:r w:rsidR="006D329B">
              <w:rPr>
                <w:rFonts w:ascii="Arial" w:hAnsi="Arial" w:cs="Arial"/>
              </w:rPr>
              <w:t xml:space="preserve">that he or she </w:t>
            </w:r>
            <w:r>
              <w:rPr>
                <w:rFonts w:ascii="Arial" w:hAnsi="Arial" w:cs="Arial"/>
              </w:rPr>
              <w:t>receives this kind of support</w:t>
            </w:r>
            <w:r w:rsidR="000E2515">
              <w:rPr>
                <w:rFonts w:ascii="Arial" w:hAnsi="Arial" w:cs="Arial"/>
              </w:rPr>
              <w:t xml:space="preserve">.  </w:t>
            </w:r>
          </w:p>
        </w:tc>
      </w:tr>
      <w:tr w:rsidR="00774D39" w:rsidRPr="000B2BF2" w:rsidTr="00C44CB1">
        <w:tc>
          <w:tcPr>
            <w:tcW w:w="2084" w:type="dxa"/>
          </w:tcPr>
          <w:p w:rsidR="00774D39" w:rsidRPr="000B2BF2" w:rsidRDefault="00AD7D40" w:rsidP="004410C7">
            <w:pPr>
              <w:spacing w:after="0" w:line="240" w:lineRule="auto"/>
              <w:rPr>
                <w:rFonts w:ascii="Arial" w:hAnsi="Arial" w:cs="Arial"/>
              </w:rPr>
            </w:pPr>
            <w:r>
              <w:rPr>
                <w:rFonts w:ascii="Arial" w:hAnsi="Arial" w:cs="Arial"/>
              </w:rPr>
              <w:t xml:space="preserve"> </w:t>
            </w:r>
            <w:r w:rsidRPr="0064266F">
              <w:rPr>
                <w:rFonts w:ascii="Arial" w:hAnsi="Arial" w:cs="Arial"/>
                <w:b/>
              </w:rPr>
              <w:t>Clause 7</w:t>
            </w:r>
          </w:p>
        </w:tc>
        <w:tc>
          <w:tcPr>
            <w:tcW w:w="2880" w:type="dxa"/>
          </w:tcPr>
          <w:p w:rsidR="00774D39" w:rsidRDefault="00AD7D40" w:rsidP="004410C7">
            <w:pPr>
              <w:spacing w:after="0" w:line="240" w:lineRule="auto"/>
              <w:rPr>
                <w:rFonts w:ascii="Arial" w:hAnsi="Arial" w:cs="Arial"/>
                <w:b/>
              </w:rPr>
            </w:pPr>
            <w:r>
              <w:rPr>
                <w:rFonts w:ascii="Arial" w:hAnsi="Arial" w:cs="Arial"/>
                <w:b/>
              </w:rPr>
              <w:t xml:space="preserve">Centre </w:t>
            </w:r>
            <w:r w:rsidR="00112574">
              <w:rPr>
                <w:rFonts w:ascii="Arial" w:hAnsi="Arial" w:cs="Arial"/>
                <w:b/>
              </w:rPr>
              <w:t>f</w:t>
            </w:r>
            <w:r>
              <w:rPr>
                <w:rFonts w:ascii="Arial" w:hAnsi="Arial" w:cs="Arial"/>
                <w:b/>
              </w:rPr>
              <w:t>or Child Law</w:t>
            </w: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885CAE" w:rsidRDefault="00885CAE" w:rsidP="004410C7">
            <w:pPr>
              <w:spacing w:after="0" w:line="240" w:lineRule="auto"/>
              <w:rPr>
                <w:rFonts w:ascii="Arial" w:hAnsi="Arial" w:cs="Arial"/>
                <w:b/>
              </w:rPr>
            </w:pPr>
          </w:p>
          <w:p w:rsidR="00761DEA" w:rsidRDefault="00761DEA" w:rsidP="004410C7">
            <w:pPr>
              <w:spacing w:after="0" w:line="240" w:lineRule="auto"/>
              <w:rPr>
                <w:rFonts w:ascii="Arial" w:hAnsi="Arial" w:cs="Arial"/>
                <w:b/>
              </w:rPr>
            </w:pPr>
          </w:p>
          <w:p w:rsidR="00885CAE" w:rsidRPr="000B2BF2" w:rsidRDefault="00885CAE" w:rsidP="004410C7">
            <w:pPr>
              <w:spacing w:after="0" w:line="240" w:lineRule="auto"/>
              <w:rPr>
                <w:rFonts w:ascii="Arial" w:hAnsi="Arial" w:cs="Arial"/>
                <w:b/>
              </w:rPr>
            </w:pPr>
            <w:r>
              <w:rPr>
                <w:rFonts w:ascii="Arial" w:hAnsi="Arial" w:cs="Arial"/>
                <w:b/>
              </w:rPr>
              <w:t>NICRO</w:t>
            </w:r>
          </w:p>
        </w:tc>
        <w:tc>
          <w:tcPr>
            <w:tcW w:w="5220" w:type="dxa"/>
          </w:tcPr>
          <w:p w:rsidR="00AD7D40" w:rsidRDefault="00AD7D40" w:rsidP="004410C7">
            <w:pPr>
              <w:spacing w:after="0" w:line="240" w:lineRule="auto"/>
              <w:rPr>
                <w:rFonts w:ascii="Arial" w:hAnsi="Arial" w:cs="Arial"/>
              </w:rPr>
            </w:pPr>
            <w:r>
              <w:rPr>
                <w:rFonts w:ascii="Arial" w:hAnsi="Arial" w:cs="Arial"/>
              </w:rPr>
              <w:lastRenderedPageBreak/>
              <w:t>While the Centre appreciates the efforts made to raise the minimum age of criminal capacity from the current level of 10 years, the Centre is of the view that the minimum age of criminal capacity should be raised to 14 years</w:t>
            </w:r>
            <w:r w:rsidR="0064266F">
              <w:rPr>
                <w:rFonts w:ascii="Arial" w:hAnsi="Arial" w:cs="Arial"/>
              </w:rPr>
              <w:t>.</w:t>
            </w:r>
          </w:p>
          <w:p w:rsidR="0064266F" w:rsidRDefault="0064266F" w:rsidP="004410C7">
            <w:pPr>
              <w:spacing w:after="0" w:line="240" w:lineRule="auto"/>
              <w:rPr>
                <w:rFonts w:ascii="Arial" w:hAnsi="Arial" w:cs="Arial"/>
              </w:rPr>
            </w:pPr>
            <w:r>
              <w:rPr>
                <w:rFonts w:ascii="Arial" w:hAnsi="Arial" w:cs="Arial"/>
              </w:rPr>
              <w:t>The United Nations Committee on the Rights of a Child notes that the minimum age of 14 years will contribute “to a system which deals with children in conflict with the law without resorting to judicial proceedings, providing that the child’s human rights and legal safeguards are fully respected.</w:t>
            </w:r>
          </w:p>
          <w:p w:rsidR="003337B1" w:rsidRDefault="0064266F" w:rsidP="004410C7">
            <w:pPr>
              <w:spacing w:after="0" w:line="240" w:lineRule="auto"/>
              <w:rPr>
                <w:rFonts w:ascii="Arial" w:hAnsi="Arial" w:cs="Arial"/>
              </w:rPr>
            </w:pPr>
            <w:r>
              <w:rPr>
                <w:rFonts w:ascii="Arial" w:hAnsi="Arial" w:cs="Arial"/>
              </w:rPr>
              <w:t xml:space="preserve">The Centre submits further that setting the minimum age of criminal capacity </w:t>
            </w:r>
            <w:r w:rsidR="00A849C0">
              <w:rPr>
                <w:rFonts w:ascii="Arial" w:hAnsi="Arial" w:cs="Arial"/>
              </w:rPr>
              <w:t xml:space="preserve">at 14 years would make the use of the </w:t>
            </w:r>
            <w:r w:rsidR="009175E6">
              <w:rPr>
                <w:rFonts w:ascii="Arial" w:hAnsi="Arial" w:cs="Arial"/>
              </w:rPr>
              <w:t xml:space="preserve">rebuttable </w:t>
            </w:r>
            <w:r w:rsidR="00A849C0">
              <w:rPr>
                <w:rFonts w:ascii="Arial" w:hAnsi="Arial" w:cs="Arial"/>
              </w:rPr>
              <w:t xml:space="preserve">presumption </w:t>
            </w:r>
            <w:r w:rsidR="00A849C0">
              <w:rPr>
                <w:rFonts w:ascii="Arial" w:hAnsi="Arial" w:cs="Arial"/>
              </w:rPr>
              <w:lastRenderedPageBreak/>
              <w:t>that the child lacks criminal capacity</w:t>
            </w:r>
            <w:r w:rsidR="009175E6">
              <w:rPr>
                <w:rFonts w:ascii="Arial" w:hAnsi="Arial" w:cs="Arial"/>
              </w:rPr>
              <w:t>,</w:t>
            </w:r>
            <w:r w:rsidR="00A849C0">
              <w:rPr>
                <w:rFonts w:ascii="Arial" w:hAnsi="Arial" w:cs="Arial"/>
              </w:rPr>
              <w:t xml:space="preserve"> unnecessary.    The United Nations Committee on the Rights of the Child is of the view that the use of two ages is confusing, and leaves much to the discretion of the court </w:t>
            </w:r>
            <w:r w:rsidR="003337B1">
              <w:rPr>
                <w:rFonts w:ascii="Arial" w:hAnsi="Arial" w:cs="Arial"/>
              </w:rPr>
              <w:t xml:space="preserve">and could cause discriminatory practices. </w:t>
            </w:r>
          </w:p>
          <w:p w:rsidR="00885CAE" w:rsidRDefault="003337B1" w:rsidP="004410C7">
            <w:pPr>
              <w:spacing w:after="0" w:line="240" w:lineRule="auto"/>
              <w:rPr>
                <w:rFonts w:ascii="Arial" w:hAnsi="Arial" w:cs="Arial"/>
              </w:rPr>
            </w:pPr>
            <w:r>
              <w:rPr>
                <w:rFonts w:ascii="Arial" w:hAnsi="Arial" w:cs="Arial"/>
              </w:rPr>
              <w:t>The retention of the presumption means that the evaluation of criminal capacity would still have to be done, and this is an expensive and time consuming process, and use of scarce skills for purposes of “checking” if a child is of normal development.</w:t>
            </w:r>
          </w:p>
          <w:p w:rsidR="00761DEA" w:rsidRDefault="00761DEA" w:rsidP="004410C7">
            <w:pPr>
              <w:spacing w:after="0" w:line="240" w:lineRule="auto"/>
              <w:rPr>
                <w:rFonts w:ascii="Arial" w:hAnsi="Arial" w:cs="Arial"/>
              </w:rPr>
            </w:pPr>
          </w:p>
          <w:p w:rsidR="00885CAE" w:rsidRDefault="00885CAE" w:rsidP="004410C7">
            <w:pPr>
              <w:spacing w:after="0" w:line="240" w:lineRule="auto"/>
              <w:rPr>
                <w:rFonts w:ascii="Arial" w:hAnsi="Arial" w:cs="Arial"/>
              </w:rPr>
            </w:pPr>
            <w:r>
              <w:rPr>
                <w:rFonts w:ascii="Arial" w:hAnsi="Arial" w:cs="Arial"/>
              </w:rPr>
              <w:t xml:space="preserve">NICRO notes that the African Commission on Human </w:t>
            </w:r>
            <w:r w:rsidR="00E8175C">
              <w:rPr>
                <w:rFonts w:ascii="Arial" w:hAnsi="Arial" w:cs="Arial"/>
              </w:rPr>
              <w:t>and</w:t>
            </w:r>
            <w:r>
              <w:rPr>
                <w:rFonts w:ascii="Arial" w:hAnsi="Arial" w:cs="Arial"/>
              </w:rPr>
              <w:t xml:space="preserve"> People’s Rights and Guidelines on the Rights to a Fair Trial and Legal Assistance in Africa, states that the age of criminal responsibility should not be fixed below 15 years of age.    </w:t>
            </w:r>
          </w:p>
          <w:p w:rsidR="00885CAE" w:rsidRPr="000B2BF2" w:rsidRDefault="00885CAE" w:rsidP="004410C7">
            <w:pPr>
              <w:spacing w:after="0" w:line="240" w:lineRule="auto"/>
              <w:rPr>
                <w:rFonts w:ascii="Arial" w:hAnsi="Arial" w:cs="Arial"/>
              </w:rPr>
            </w:pPr>
            <w:r>
              <w:rPr>
                <w:rFonts w:ascii="Arial" w:hAnsi="Arial" w:cs="Arial"/>
              </w:rPr>
              <w:t xml:space="preserve">NICRO supports the provision for another review in 5 years as provided clause 5 of the Bill. </w:t>
            </w:r>
          </w:p>
        </w:tc>
        <w:tc>
          <w:tcPr>
            <w:tcW w:w="3420" w:type="dxa"/>
          </w:tcPr>
          <w:p w:rsidR="00885FA1" w:rsidRDefault="00885FA1" w:rsidP="004410C7">
            <w:pPr>
              <w:spacing w:after="0" w:line="240" w:lineRule="auto"/>
              <w:rPr>
                <w:rFonts w:ascii="Arial" w:hAnsi="Arial" w:cs="Arial"/>
              </w:rPr>
            </w:pPr>
            <w:r>
              <w:rPr>
                <w:rFonts w:ascii="Arial" w:hAnsi="Arial" w:cs="Arial"/>
              </w:rPr>
              <w:lastRenderedPageBreak/>
              <w:t xml:space="preserve">As indicated in the Report the Department is </w:t>
            </w:r>
            <w:r w:rsidR="000E2515">
              <w:rPr>
                <w:rFonts w:ascii="Arial" w:hAnsi="Arial" w:cs="Arial"/>
              </w:rPr>
              <w:t xml:space="preserve">fully </w:t>
            </w:r>
            <w:r>
              <w:rPr>
                <w:rFonts w:ascii="Arial" w:hAnsi="Arial" w:cs="Arial"/>
              </w:rPr>
              <w:t>aware of the United Nations Committee on the Rights of a Child and African Commission on Human and People’s Rights and Guidelines on the Rights to a Fair Trial and Legal Assistance in Africa, but d</w:t>
            </w:r>
            <w:r w:rsidRPr="00885FA1">
              <w:rPr>
                <w:rFonts w:ascii="Arial" w:hAnsi="Arial" w:cs="Arial"/>
                <w:lang w:val="it-IT"/>
              </w:rPr>
              <w:t>espite th</w:t>
            </w:r>
            <w:r>
              <w:rPr>
                <w:rFonts w:ascii="Arial" w:hAnsi="Arial" w:cs="Arial"/>
                <w:lang w:val="it-IT"/>
              </w:rPr>
              <w:t xml:space="preserve">is </w:t>
            </w:r>
            <w:r w:rsidRPr="00885FA1">
              <w:rPr>
                <w:rFonts w:ascii="Arial" w:hAnsi="Arial" w:cs="Arial"/>
                <w:lang w:val="it-IT"/>
              </w:rPr>
              <w:t xml:space="preserve">the Report recommended that </w:t>
            </w:r>
            <w:r w:rsidRPr="00885FA1">
              <w:rPr>
                <w:rFonts w:ascii="Arial" w:hAnsi="Arial" w:cs="Arial"/>
              </w:rPr>
              <w:t xml:space="preserve"> the age be capped, at this stage, at 12 years and not higher because it may be too big a leap to raise the minimum age from 10 to 14 </w:t>
            </w:r>
            <w:r w:rsidR="00122BCD">
              <w:rPr>
                <w:rFonts w:ascii="Arial" w:hAnsi="Arial" w:cs="Arial"/>
              </w:rPr>
              <w:lastRenderedPageBreak/>
              <w:t xml:space="preserve">years </w:t>
            </w:r>
            <w:r w:rsidRPr="00885FA1">
              <w:rPr>
                <w:rFonts w:ascii="Arial" w:hAnsi="Arial" w:cs="Arial"/>
              </w:rPr>
              <w:t>without tangible evidence of the effectiveness, availability and adequacy of the support and programmes offered currently to the under 10 year olds in conflict with the law in terms of section 9 of the Act.</w:t>
            </w:r>
          </w:p>
          <w:p w:rsidR="00885FA1" w:rsidRPr="000B2BF2" w:rsidRDefault="00885FA1" w:rsidP="004410C7">
            <w:pPr>
              <w:spacing w:after="0" w:line="240" w:lineRule="auto"/>
              <w:rPr>
                <w:rFonts w:ascii="Arial" w:hAnsi="Arial" w:cs="Arial"/>
              </w:rPr>
            </w:pPr>
            <w:r>
              <w:rPr>
                <w:rFonts w:ascii="Arial" w:hAnsi="Arial" w:cs="Arial"/>
              </w:rPr>
              <w:t xml:space="preserve">In addition, </w:t>
            </w:r>
            <w:r w:rsidRPr="00885FA1">
              <w:rPr>
                <w:rFonts w:ascii="Arial" w:hAnsi="Arial" w:cs="Arial"/>
              </w:rPr>
              <w:t xml:space="preserve">the </w:t>
            </w:r>
            <w:r>
              <w:rPr>
                <w:rFonts w:ascii="Arial" w:hAnsi="Arial" w:cs="Arial"/>
              </w:rPr>
              <w:t xml:space="preserve">Bill provides for </w:t>
            </w:r>
            <w:r w:rsidRPr="00885FA1">
              <w:rPr>
                <w:rFonts w:ascii="Arial" w:hAnsi="Arial" w:cs="Arial"/>
              </w:rPr>
              <w:t>a further review of the minimum age of criminal capacity after 5 years</w:t>
            </w:r>
            <w:r>
              <w:rPr>
                <w:rFonts w:ascii="Arial" w:hAnsi="Arial" w:cs="Arial"/>
              </w:rPr>
              <w:t xml:space="preserve"> </w:t>
            </w:r>
            <w:r w:rsidR="00122BCD">
              <w:rPr>
                <w:rFonts w:ascii="Arial" w:hAnsi="Arial" w:cs="Arial"/>
              </w:rPr>
              <w:t xml:space="preserve">in order </w:t>
            </w:r>
            <w:r>
              <w:rPr>
                <w:rFonts w:ascii="Arial" w:hAnsi="Arial" w:cs="Arial"/>
              </w:rPr>
              <w:t>to ensure that criminal capacity is raised progressively</w:t>
            </w:r>
            <w:r w:rsidR="00761DEA">
              <w:rPr>
                <w:rFonts w:ascii="Arial" w:hAnsi="Arial" w:cs="Arial"/>
              </w:rPr>
              <w:t xml:space="preserve"> to cater for the development of the relevant programmes</w:t>
            </w:r>
            <w:r w:rsidRPr="00885FA1">
              <w:rPr>
                <w:rFonts w:ascii="Arial" w:hAnsi="Arial" w:cs="Arial"/>
              </w:rPr>
              <w:t>.</w:t>
            </w:r>
          </w:p>
        </w:tc>
      </w:tr>
      <w:tr w:rsidR="00032D18" w:rsidRPr="000B2BF2" w:rsidTr="00C44CB1">
        <w:tc>
          <w:tcPr>
            <w:tcW w:w="2084" w:type="dxa"/>
          </w:tcPr>
          <w:p w:rsidR="00E8175C" w:rsidRPr="00E8175C" w:rsidRDefault="00E8175C" w:rsidP="004410C7">
            <w:pPr>
              <w:spacing w:after="0" w:line="240" w:lineRule="auto"/>
              <w:rPr>
                <w:rFonts w:ascii="Arial" w:hAnsi="Arial" w:cs="Arial"/>
                <w:b/>
              </w:rPr>
            </w:pPr>
            <w:r w:rsidRPr="00E8175C">
              <w:rPr>
                <w:rFonts w:ascii="Arial" w:hAnsi="Arial" w:cs="Arial"/>
                <w:b/>
              </w:rPr>
              <w:lastRenderedPageBreak/>
              <w:t>Clause 15</w:t>
            </w:r>
          </w:p>
        </w:tc>
        <w:tc>
          <w:tcPr>
            <w:tcW w:w="2880" w:type="dxa"/>
          </w:tcPr>
          <w:p w:rsidR="00E8175C" w:rsidRDefault="00E8175C" w:rsidP="004410C7">
            <w:pPr>
              <w:spacing w:after="0" w:line="240" w:lineRule="auto"/>
              <w:rPr>
                <w:rFonts w:ascii="Arial" w:hAnsi="Arial" w:cs="Arial"/>
                <w:b/>
              </w:rPr>
            </w:pPr>
            <w:r>
              <w:rPr>
                <w:rFonts w:ascii="Arial" w:hAnsi="Arial" w:cs="Arial"/>
                <w:b/>
              </w:rPr>
              <w:t xml:space="preserve">Centre </w:t>
            </w:r>
            <w:r w:rsidR="00112574">
              <w:rPr>
                <w:rFonts w:ascii="Arial" w:hAnsi="Arial" w:cs="Arial"/>
                <w:b/>
              </w:rPr>
              <w:t>f</w:t>
            </w:r>
            <w:r>
              <w:rPr>
                <w:rFonts w:ascii="Arial" w:hAnsi="Arial" w:cs="Arial"/>
                <w:b/>
              </w:rPr>
              <w:t>or Child Law</w:t>
            </w:r>
          </w:p>
          <w:p w:rsidR="00E8175C" w:rsidRPr="000B2BF2" w:rsidRDefault="00E8175C" w:rsidP="004410C7">
            <w:pPr>
              <w:spacing w:after="0" w:line="240" w:lineRule="auto"/>
              <w:rPr>
                <w:rFonts w:ascii="Arial" w:hAnsi="Arial" w:cs="Arial"/>
                <w:b/>
              </w:rPr>
            </w:pPr>
          </w:p>
        </w:tc>
        <w:tc>
          <w:tcPr>
            <w:tcW w:w="5220" w:type="dxa"/>
          </w:tcPr>
          <w:p w:rsidR="00982330" w:rsidRDefault="00E8175C" w:rsidP="004410C7">
            <w:pPr>
              <w:spacing w:after="0" w:line="240" w:lineRule="auto"/>
              <w:rPr>
                <w:rFonts w:ascii="Arial" w:hAnsi="Arial" w:cs="Arial"/>
              </w:rPr>
            </w:pPr>
            <w:r>
              <w:rPr>
                <w:rFonts w:ascii="Arial" w:hAnsi="Arial" w:cs="Arial"/>
              </w:rPr>
              <w:t xml:space="preserve">The Centre supports clause 15 of the Bill as it removes the requirement to prove criminal capacity and states that the prosecutor must consider whether the child will benefit from diversion.  The Centre proposes an additional provision here to allow more protection for the child, along the following </w:t>
            </w:r>
            <w:r w:rsidR="00122BCD">
              <w:rPr>
                <w:rFonts w:ascii="Arial" w:hAnsi="Arial" w:cs="Arial"/>
              </w:rPr>
              <w:t>lines:</w:t>
            </w:r>
            <w:r>
              <w:rPr>
                <w:rFonts w:ascii="Arial" w:hAnsi="Arial" w:cs="Arial"/>
              </w:rPr>
              <w:t xml:space="preserve"> </w:t>
            </w:r>
          </w:p>
          <w:p w:rsidR="00E8175C" w:rsidRPr="000B2BF2" w:rsidRDefault="00E8175C" w:rsidP="004410C7">
            <w:pPr>
              <w:spacing w:after="0" w:line="240" w:lineRule="auto"/>
              <w:rPr>
                <w:rFonts w:ascii="Arial" w:hAnsi="Arial" w:cs="Arial"/>
              </w:rPr>
            </w:pPr>
            <w:r>
              <w:rPr>
                <w:rFonts w:ascii="Arial" w:hAnsi="Arial" w:cs="Arial"/>
              </w:rPr>
              <w:t>“</w:t>
            </w:r>
            <w:r w:rsidRPr="00982330">
              <w:rPr>
                <w:rFonts w:ascii="Arial" w:hAnsi="Arial" w:cs="Arial"/>
                <w:u w:val="single"/>
              </w:rPr>
              <w:t>Where the prosecutor is of the view that the child is unlikely to benefit from diversion, or is diversion is for any other reason not appropriate, he or she may refer to the child to a probation officer to be dealt with as a child who lack</w:t>
            </w:r>
            <w:r w:rsidR="00122BCD">
              <w:rPr>
                <w:rFonts w:ascii="Arial" w:hAnsi="Arial" w:cs="Arial"/>
                <w:u w:val="single"/>
              </w:rPr>
              <w:t>s</w:t>
            </w:r>
            <w:r w:rsidRPr="00982330">
              <w:rPr>
                <w:rFonts w:ascii="Arial" w:hAnsi="Arial" w:cs="Arial"/>
                <w:u w:val="single"/>
              </w:rPr>
              <w:t xml:space="preserve"> criminal capacity, in terms of section 9 of the Act</w:t>
            </w:r>
            <w:r>
              <w:rPr>
                <w:rFonts w:ascii="Arial" w:hAnsi="Arial" w:cs="Arial"/>
              </w:rPr>
              <w:t>.”</w:t>
            </w:r>
            <w:r w:rsidR="00122BCD">
              <w:rPr>
                <w:rFonts w:ascii="Arial" w:hAnsi="Arial" w:cs="Arial"/>
              </w:rPr>
              <w:t>.</w:t>
            </w:r>
          </w:p>
        </w:tc>
        <w:tc>
          <w:tcPr>
            <w:tcW w:w="3420" w:type="dxa"/>
          </w:tcPr>
          <w:p w:rsidR="00885FA1" w:rsidRPr="000B2BF2" w:rsidRDefault="00122BCD" w:rsidP="004410C7">
            <w:pPr>
              <w:spacing w:after="0" w:line="240" w:lineRule="auto"/>
              <w:rPr>
                <w:rFonts w:ascii="Arial" w:hAnsi="Arial" w:cs="Arial"/>
              </w:rPr>
            </w:pPr>
            <w:r>
              <w:rPr>
                <w:rFonts w:ascii="Arial" w:hAnsi="Arial" w:cs="Arial"/>
              </w:rPr>
              <w:t>The Department has no objection</w:t>
            </w:r>
            <w:r w:rsidR="004410C7">
              <w:rPr>
                <w:rFonts w:ascii="Arial" w:hAnsi="Arial" w:cs="Arial"/>
              </w:rPr>
              <w:t xml:space="preserve"> but suggests that a similar provision should be inserted in clause 17.</w:t>
            </w:r>
          </w:p>
        </w:tc>
      </w:tr>
      <w:tr w:rsidR="00032D18" w:rsidRPr="000B2BF2" w:rsidTr="00C44CB1">
        <w:tc>
          <w:tcPr>
            <w:tcW w:w="2084" w:type="dxa"/>
          </w:tcPr>
          <w:p w:rsidR="006C4836" w:rsidRPr="000B2BF2" w:rsidRDefault="00982330" w:rsidP="004410C7">
            <w:pPr>
              <w:spacing w:after="0" w:line="240" w:lineRule="auto"/>
              <w:rPr>
                <w:rFonts w:ascii="Arial" w:hAnsi="Arial" w:cs="Arial"/>
              </w:rPr>
            </w:pPr>
            <w:r>
              <w:rPr>
                <w:rFonts w:ascii="Arial" w:hAnsi="Arial" w:cs="Arial"/>
              </w:rPr>
              <w:t>Clause 20</w:t>
            </w:r>
          </w:p>
        </w:tc>
        <w:tc>
          <w:tcPr>
            <w:tcW w:w="2880" w:type="dxa"/>
          </w:tcPr>
          <w:p w:rsidR="00982330" w:rsidRDefault="00982330" w:rsidP="004410C7">
            <w:pPr>
              <w:spacing w:after="0" w:line="240" w:lineRule="auto"/>
              <w:rPr>
                <w:rFonts w:ascii="Arial" w:hAnsi="Arial" w:cs="Arial"/>
                <w:b/>
              </w:rPr>
            </w:pPr>
            <w:r>
              <w:rPr>
                <w:rFonts w:ascii="Arial" w:hAnsi="Arial" w:cs="Arial"/>
                <w:b/>
              </w:rPr>
              <w:t xml:space="preserve">Centre </w:t>
            </w:r>
            <w:r w:rsidR="00112574">
              <w:rPr>
                <w:rFonts w:ascii="Arial" w:hAnsi="Arial" w:cs="Arial"/>
                <w:b/>
              </w:rPr>
              <w:t>f</w:t>
            </w:r>
            <w:r>
              <w:rPr>
                <w:rFonts w:ascii="Arial" w:hAnsi="Arial" w:cs="Arial"/>
                <w:b/>
              </w:rPr>
              <w:t>or Child Law</w:t>
            </w:r>
          </w:p>
          <w:p w:rsidR="004E07A6" w:rsidRPr="000B2BF2" w:rsidRDefault="004E07A6" w:rsidP="004410C7">
            <w:pPr>
              <w:spacing w:after="0" w:line="240" w:lineRule="auto"/>
              <w:rPr>
                <w:rFonts w:ascii="Arial" w:hAnsi="Arial" w:cs="Arial"/>
              </w:rPr>
            </w:pPr>
          </w:p>
        </w:tc>
        <w:tc>
          <w:tcPr>
            <w:tcW w:w="5220" w:type="dxa"/>
          </w:tcPr>
          <w:p w:rsidR="00982330" w:rsidRPr="000B2BF2" w:rsidRDefault="00982330" w:rsidP="004410C7">
            <w:pPr>
              <w:spacing w:after="0" w:line="240" w:lineRule="auto"/>
              <w:rPr>
                <w:rFonts w:ascii="Arial" w:hAnsi="Arial" w:cs="Arial"/>
              </w:rPr>
            </w:pPr>
            <w:r>
              <w:rPr>
                <w:rFonts w:ascii="Arial" w:hAnsi="Arial" w:cs="Arial"/>
              </w:rPr>
              <w:t xml:space="preserve">Same proposal as in clause 15 </w:t>
            </w:r>
          </w:p>
        </w:tc>
        <w:tc>
          <w:tcPr>
            <w:tcW w:w="3420" w:type="dxa"/>
          </w:tcPr>
          <w:p w:rsidR="004E07A6" w:rsidRPr="000B2BF2" w:rsidRDefault="00122BCD" w:rsidP="004410C7">
            <w:pPr>
              <w:spacing w:after="0" w:line="240" w:lineRule="auto"/>
              <w:rPr>
                <w:rFonts w:ascii="Arial" w:hAnsi="Arial" w:cs="Arial"/>
              </w:rPr>
            </w:pPr>
            <w:r>
              <w:rPr>
                <w:rFonts w:ascii="Arial" w:hAnsi="Arial" w:cs="Arial"/>
              </w:rPr>
              <w:t>The Department has no  objection.</w:t>
            </w:r>
          </w:p>
        </w:tc>
      </w:tr>
      <w:tr w:rsidR="00A31B3C" w:rsidRPr="000B2BF2" w:rsidTr="00C44CB1">
        <w:tc>
          <w:tcPr>
            <w:tcW w:w="2084" w:type="dxa"/>
          </w:tcPr>
          <w:p w:rsidR="00A31B3C" w:rsidRPr="003B7105" w:rsidRDefault="003B7105" w:rsidP="004410C7">
            <w:pPr>
              <w:spacing w:after="0" w:line="240" w:lineRule="auto"/>
              <w:rPr>
                <w:rFonts w:ascii="Arial" w:hAnsi="Arial" w:cs="Arial"/>
                <w:b/>
              </w:rPr>
            </w:pPr>
            <w:r w:rsidRPr="003B7105">
              <w:rPr>
                <w:rFonts w:ascii="Arial" w:hAnsi="Arial" w:cs="Arial"/>
                <w:b/>
              </w:rPr>
              <w:lastRenderedPageBreak/>
              <w:t xml:space="preserve">General </w:t>
            </w:r>
          </w:p>
          <w:p w:rsidR="003B7105" w:rsidRPr="000B2BF2" w:rsidRDefault="003B7105" w:rsidP="004410C7">
            <w:pPr>
              <w:spacing w:after="0" w:line="240" w:lineRule="auto"/>
              <w:rPr>
                <w:rFonts w:ascii="Arial" w:hAnsi="Arial" w:cs="Arial"/>
              </w:rPr>
            </w:pPr>
            <w:r>
              <w:rPr>
                <w:rFonts w:ascii="Arial" w:hAnsi="Arial" w:cs="Arial"/>
              </w:rPr>
              <w:t>(The Competency of trained clinical social workers in conduction criminal capacity assessments)</w:t>
            </w:r>
          </w:p>
        </w:tc>
        <w:tc>
          <w:tcPr>
            <w:tcW w:w="2880" w:type="dxa"/>
          </w:tcPr>
          <w:p w:rsidR="00A31B3C" w:rsidRPr="000B2BF2" w:rsidRDefault="003B7105" w:rsidP="004410C7">
            <w:pPr>
              <w:spacing w:after="0" w:line="240" w:lineRule="auto"/>
              <w:rPr>
                <w:rFonts w:ascii="Arial" w:hAnsi="Arial" w:cs="Arial"/>
                <w:b/>
                <w:sz w:val="24"/>
                <w:szCs w:val="24"/>
              </w:rPr>
            </w:pPr>
            <w:r>
              <w:rPr>
                <w:rFonts w:ascii="Arial" w:hAnsi="Arial" w:cs="Arial"/>
                <w:b/>
                <w:sz w:val="24"/>
                <w:szCs w:val="24"/>
              </w:rPr>
              <w:t>NICRO</w:t>
            </w:r>
          </w:p>
        </w:tc>
        <w:tc>
          <w:tcPr>
            <w:tcW w:w="5220" w:type="dxa"/>
          </w:tcPr>
          <w:p w:rsidR="003B7105" w:rsidRDefault="003B7105" w:rsidP="004410C7">
            <w:pPr>
              <w:spacing w:after="0" w:line="240" w:lineRule="auto"/>
              <w:rPr>
                <w:rFonts w:ascii="Arial" w:hAnsi="Arial" w:cs="Arial"/>
                <w:lang w:val="en-GB"/>
              </w:rPr>
            </w:pPr>
            <w:r>
              <w:rPr>
                <w:rFonts w:ascii="Arial" w:hAnsi="Arial" w:cs="Arial"/>
                <w:lang w:val="en-GB"/>
              </w:rPr>
              <w:t>NICRO is concerned that probation officers, who are actual</w:t>
            </w:r>
            <w:r w:rsidR="004410C7">
              <w:rPr>
                <w:rFonts w:ascii="Arial" w:hAnsi="Arial" w:cs="Arial"/>
                <w:lang w:val="en-GB"/>
              </w:rPr>
              <w:t>ly</w:t>
            </w:r>
            <w:r>
              <w:rPr>
                <w:rFonts w:ascii="Arial" w:hAnsi="Arial" w:cs="Arial"/>
                <w:lang w:val="en-GB"/>
              </w:rPr>
              <w:t xml:space="preserve"> qualified social workers</w:t>
            </w:r>
            <w:r w:rsidR="004410C7">
              <w:rPr>
                <w:rFonts w:ascii="Arial" w:hAnsi="Arial" w:cs="Arial"/>
                <w:lang w:val="en-GB"/>
              </w:rPr>
              <w:t>,</w:t>
            </w:r>
            <w:r>
              <w:rPr>
                <w:rFonts w:ascii="Arial" w:hAnsi="Arial" w:cs="Arial"/>
                <w:lang w:val="en-GB"/>
              </w:rPr>
              <w:t xml:space="preserve"> are not qualified to express a view on criminal capacity.    NICRO submits that it has clinical social workers who have been doing criminal capacity assessment for years, and that clinical social workers </w:t>
            </w:r>
            <w:r w:rsidR="001C6608">
              <w:rPr>
                <w:rFonts w:ascii="Arial" w:hAnsi="Arial" w:cs="Arial"/>
                <w:lang w:val="en-GB"/>
              </w:rPr>
              <w:t xml:space="preserve">with a Master’s degree in clinical social work </w:t>
            </w:r>
            <w:r>
              <w:rPr>
                <w:rFonts w:ascii="Arial" w:hAnsi="Arial" w:cs="Arial"/>
                <w:lang w:val="en-GB"/>
              </w:rPr>
              <w:t xml:space="preserve">should be added as a group of professionals suitable to </w:t>
            </w:r>
            <w:r w:rsidR="008D639F">
              <w:rPr>
                <w:rFonts w:ascii="Arial" w:hAnsi="Arial" w:cs="Arial"/>
                <w:lang w:val="en-GB"/>
              </w:rPr>
              <w:t xml:space="preserve">conduct </w:t>
            </w:r>
            <w:r>
              <w:rPr>
                <w:rFonts w:ascii="Arial" w:hAnsi="Arial" w:cs="Arial"/>
                <w:lang w:val="en-GB"/>
              </w:rPr>
              <w:t xml:space="preserve">  criminal capacity assessments.</w:t>
            </w:r>
          </w:p>
          <w:p w:rsidR="003B7105" w:rsidRDefault="003B7105" w:rsidP="004410C7">
            <w:pPr>
              <w:spacing w:after="0" w:line="240" w:lineRule="auto"/>
              <w:rPr>
                <w:rFonts w:ascii="Arial" w:hAnsi="Arial" w:cs="Arial"/>
                <w:lang w:val="en-GB"/>
              </w:rPr>
            </w:pPr>
            <w:r>
              <w:rPr>
                <w:rFonts w:ascii="Arial" w:hAnsi="Arial" w:cs="Arial"/>
                <w:lang w:val="en-GB"/>
              </w:rPr>
              <w:t xml:space="preserve">NICRO further submits that criminologists (MA degree) </w:t>
            </w:r>
            <w:r w:rsidR="008D639F">
              <w:rPr>
                <w:rFonts w:ascii="Arial" w:hAnsi="Arial" w:cs="Arial"/>
                <w:lang w:val="en-GB"/>
              </w:rPr>
              <w:t>with a social work or child psychology background and a minimum of 5 years’ experience in working with children must also be added.</w:t>
            </w:r>
          </w:p>
          <w:p w:rsidR="008D639F" w:rsidRPr="000B2BF2" w:rsidRDefault="008D639F" w:rsidP="004410C7">
            <w:pPr>
              <w:spacing w:after="0" w:line="240" w:lineRule="auto"/>
              <w:rPr>
                <w:rFonts w:ascii="Arial" w:hAnsi="Arial" w:cs="Arial"/>
                <w:lang w:val="en-GB"/>
              </w:rPr>
            </w:pPr>
            <w:r>
              <w:rPr>
                <w:rFonts w:ascii="Arial" w:hAnsi="Arial" w:cs="Arial"/>
                <w:lang w:val="en-GB"/>
              </w:rPr>
              <w:t xml:space="preserve">NICRO also submits that the evaluation of criminal capacity must be holistic and must be done by a multi – disciplinary team. </w:t>
            </w:r>
          </w:p>
        </w:tc>
        <w:tc>
          <w:tcPr>
            <w:tcW w:w="3420" w:type="dxa"/>
          </w:tcPr>
          <w:p w:rsidR="00DD61BC" w:rsidRDefault="00DD61BC" w:rsidP="004410C7">
            <w:pPr>
              <w:spacing w:after="0" w:line="240" w:lineRule="auto"/>
              <w:rPr>
                <w:rFonts w:ascii="Arial" w:hAnsi="Arial" w:cs="Arial"/>
              </w:rPr>
            </w:pPr>
            <w:r>
              <w:rPr>
                <w:rFonts w:ascii="Arial" w:hAnsi="Arial" w:cs="Arial"/>
              </w:rPr>
              <w:t xml:space="preserve">The Bill does not deal with   the categories competent to conduct the evaluation of criminal capacity of a child. </w:t>
            </w:r>
            <w:r w:rsidR="000E2515">
              <w:rPr>
                <w:rFonts w:ascii="Arial" w:hAnsi="Arial" w:cs="Arial"/>
              </w:rPr>
              <w:t xml:space="preserve">The comment is </w:t>
            </w:r>
            <w:r w:rsidR="00002E0D">
              <w:rPr>
                <w:rFonts w:ascii="Arial" w:hAnsi="Arial" w:cs="Arial"/>
              </w:rPr>
              <w:t xml:space="preserve">therefore </w:t>
            </w:r>
            <w:r w:rsidR="000E2515">
              <w:rPr>
                <w:rFonts w:ascii="Arial" w:hAnsi="Arial" w:cs="Arial"/>
              </w:rPr>
              <w:t>outside the ambit of the Bill.</w:t>
            </w:r>
          </w:p>
          <w:p w:rsidR="00DD61BC" w:rsidRDefault="00DD61BC" w:rsidP="004410C7">
            <w:pPr>
              <w:spacing w:after="0" w:line="240" w:lineRule="auto"/>
              <w:rPr>
                <w:rFonts w:ascii="Arial" w:hAnsi="Arial" w:cs="Arial"/>
              </w:rPr>
            </w:pPr>
          </w:p>
          <w:p w:rsidR="001C6608" w:rsidRDefault="00DD61BC" w:rsidP="004410C7">
            <w:pPr>
              <w:tabs>
                <w:tab w:val="left" w:pos="3276"/>
              </w:tabs>
              <w:spacing w:after="0" w:line="240" w:lineRule="auto"/>
              <w:ind w:right="297"/>
              <w:rPr>
                <w:rFonts w:ascii="Arial" w:hAnsi="Arial" w:cs="Arial"/>
              </w:rPr>
            </w:pPr>
            <w:r>
              <w:rPr>
                <w:rFonts w:ascii="Arial" w:hAnsi="Arial" w:cs="Arial"/>
              </w:rPr>
              <w:t>This is regulated by s</w:t>
            </w:r>
            <w:r w:rsidR="001C6608">
              <w:rPr>
                <w:rFonts w:ascii="Arial" w:hAnsi="Arial" w:cs="Arial"/>
              </w:rPr>
              <w:t>ection 97(3) of t</w:t>
            </w:r>
            <w:r>
              <w:rPr>
                <w:rFonts w:ascii="Arial" w:hAnsi="Arial" w:cs="Arial"/>
              </w:rPr>
              <w:t xml:space="preserve">he Act which empowers the Minister, by Notice in the </w:t>
            </w:r>
            <w:r w:rsidRPr="00885FA1">
              <w:rPr>
                <w:rFonts w:ascii="Arial" w:hAnsi="Arial" w:cs="Arial"/>
                <w:i/>
              </w:rPr>
              <w:t>Gazette</w:t>
            </w:r>
            <w:r>
              <w:rPr>
                <w:rFonts w:ascii="Arial" w:hAnsi="Arial" w:cs="Arial"/>
              </w:rPr>
              <w:t xml:space="preserve">, </w:t>
            </w:r>
            <w:r w:rsidR="004410C7">
              <w:rPr>
                <w:rFonts w:ascii="Arial" w:hAnsi="Arial" w:cs="Arial"/>
              </w:rPr>
              <w:t xml:space="preserve">to </w:t>
            </w:r>
            <w:r w:rsidR="001C6608">
              <w:rPr>
                <w:rFonts w:ascii="Arial" w:hAnsi="Arial" w:cs="Arial"/>
              </w:rPr>
              <w:t xml:space="preserve">determine </w:t>
            </w:r>
            <w:r>
              <w:rPr>
                <w:rFonts w:ascii="Arial" w:hAnsi="Arial" w:cs="Arial"/>
              </w:rPr>
              <w:t>persons or categor</w:t>
            </w:r>
            <w:r w:rsidR="004410C7">
              <w:rPr>
                <w:rFonts w:ascii="Arial" w:hAnsi="Arial" w:cs="Arial"/>
              </w:rPr>
              <w:t>ies</w:t>
            </w:r>
            <w:r>
              <w:rPr>
                <w:rFonts w:ascii="Arial" w:hAnsi="Arial" w:cs="Arial"/>
              </w:rPr>
              <w:t xml:space="preserve"> or class</w:t>
            </w:r>
            <w:r w:rsidR="004410C7">
              <w:rPr>
                <w:rFonts w:ascii="Arial" w:hAnsi="Arial" w:cs="Arial"/>
              </w:rPr>
              <w:t>es</w:t>
            </w:r>
            <w:r>
              <w:rPr>
                <w:rFonts w:ascii="Arial" w:hAnsi="Arial" w:cs="Arial"/>
              </w:rPr>
              <w:t xml:space="preserve"> of persons competent to conduct the evaluation of criminal capacity in terms of section 11 of the Act.</w:t>
            </w:r>
          </w:p>
          <w:p w:rsidR="00DD61BC" w:rsidRDefault="00DD61BC" w:rsidP="004410C7">
            <w:pPr>
              <w:spacing w:after="0" w:line="240" w:lineRule="auto"/>
              <w:rPr>
                <w:rFonts w:ascii="Arial" w:hAnsi="Arial" w:cs="Arial"/>
              </w:rPr>
            </w:pPr>
          </w:p>
          <w:p w:rsidR="00DD61BC" w:rsidRPr="000B2BF2" w:rsidRDefault="00DD61BC" w:rsidP="004410C7">
            <w:pPr>
              <w:spacing w:after="0" w:line="240" w:lineRule="auto"/>
              <w:rPr>
                <w:rFonts w:ascii="Arial" w:hAnsi="Arial" w:cs="Arial"/>
              </w:rPr>
            </w:pPr>
            <w:r>
              <w:rPr>
                <w:rFonts w:ascii="Arial" w:hAnsi="Arial" w:cs="Arial"/>
              </w:rPr>
              <w:t xml:space="preserve">The Minister </w:t>
            </w:r>
            <w:r w:rsidR="00761DEA">
              <w:rPr>
                <w:rFonts w:ascii="Arial" w:hAnsi="Arial" w:cs="Arial"/>
              </w:rPr>
              <w:t xml:space="preserve">has </w:t>
            </w:r>
            <w:r w:rsidR="004410C7">
              <w:rPr>
                <w:rFonts w:ascii="Arial" w:hAnsi="Arial" w:cs="Arial"/>
              </w:rPr>
              <w:t xml:space="preserve">recently </w:t>
            </w:r>
            <w:r w:rsidR="00761DEA">
              <w:rPr>
                <w:rFonts w:ascii="Arial" w:hAnsi="Arial" w:cs="Arial"/>
              </w:rPr>
              <w:t xml:space="preserve">determined these categories </w:t>
            </w:r>
            <w:r w:rsidR="00885FA1">
              <w:rPr>
                <w:rFonts w:ascii="Arial" w:hAnsi="Arial" w:cs="Arial"/>
              </w:rPr>
              <w:t xml:space="preserve">after extensive consultation with the public and the relevant </w:t>
            </w:r>
            <w:r w:rsidR="00761DEA">
              <w:rPr>
                <w:rFonts w:ascii="Arial" w:hAnsi="Arial" w:cs="Arial"/>
              </w:rPr>
              <w:t>stakeholders</w:t>
            </w:r>
            <w:r w:rsidR="00885FA1">
              <w:rPr>
                <w:rFonts w:ascii="Arial" w:hAnsi="Arial" w:cs="Arial"/>
              </w:rPr>
              <w:t>.</w:t>
            </w:r>
            <w:r>
              <w:rPr>
                <w:rFonts w:ascii="Arial" w:hAnsi="Arial" w:cs="Arial"/>
              </w:rPr>
              <w:t xml:space="preserve"> </w:t>
            </w:r>
            <w:r w:rsidR="00666394">
              <w:rPr>
                <w:rFonts w:ascii="Arial" w:hAnsi="Arial" w:cs="Arial"/>
              </w:rPr>
              <w:t xml:space="preserve">The </w:t>
            </w:r>
            <w:r w:rsidR="00002E0D">
              <w:rPr>
                <w:rFonts w:ascii="Arial" w:hAnsi="Arial" w:cs="Arial"/>
              </w:rPr>
              <w:t xml:space="preserve">Notice was revised in </w:t>
            </w:r>
            <w:r w:rsidR="00666394">
              <w:rPr>
                <w:rFonts w:ascii="Arial" w:hAnsi="Arial" w:cs="Arial"/>
              </w:rPr>
              <w:t>December 2017, and c</w:t>
            </w:r>
            <w:r w:rsidR="00666394" w:rsidRPr="00666394">
              <w:rPr>
                <w:rFonts w:ascii="Arial" w:hAnsi="Arial" w:cs="Arial"/>
              </w:rPr>
              <w:t xml:space="preserve">urrently </w:t>
            </w:r>
            <w:r w:rsidR="00666394">
              <w:rPr>
                <w:rFonts w:ascii="Arial" w:hAnsi="Arial" w:cs="Arial"/>
              </w:rPr>
              <w:t>include</w:t>
            </w:r>
            <w:r w:rsidR="00B55D03">
              <w:rPr>
                <w:rFonts w:ascii="Arial" w:hAnsi="Arial" w:cs="Arial"/>
              </w:rPr>
              <w:t>s</w:t>
            </w:r>
            <w:r w:rsidR="00666394">
              <w:rPr>
                <w:rFonts w:ascii="Arial" w:hAnsi="Arial" w:cs="Arial"/>
              </w:rPr>
              <w:t xml:space="preserve"> </w:t>
            </w:r>
            <w:r w:rsidR="00666394" w:rsidRPr="00666394">
              <w:rPr>
                <w:rFonts w:ascii="Arial" w:hAnsi="Arial" w:cs="Arial"/>
              </w:rPr>
              <w:t>psychiatrists, clinical, educational and counseling psychologists.</w:t>
            </w:r>
          </w:p>
        </w:tc>
      </w:tr>
    </w:tbl>
    <w:p w:rsidR="009C14E0" w:rsidRPr="000B2BF2" w:rsidRDefault="009C14E0" w:rsidP="00CE11FE">
      <w:pPr>
        <w:spacing w:after="0" w:line="240" w:lineRule="auto"/>
        <w:rPr>
          <w:rFonts w:ascii="Arial" w:hAnsi="Arial" w:cs="Arial"/>
        </w:rPr>
      </w:pPr>
    </w:p>
    <w:sectPr w:rsidR="009C14E0" w:rsidRPr="000B2BF2" w:rsidSect="00774D39">
      <w:headerReference w:type="default" r:id="rId8"/>
      <w:pgSz w:w="15840" w:h="12240"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C5D" w:rsidRDefault="00D76C5D" w:rsidP="00CE11FE">
      <w:pPr>
        <w:spacing w:after="0" w:line="240" w:lineRule="auto"/>
      </w:pPr>
      <w:r>
        <w:separator/>
      </w:r>
    </w:p>
  </w:endnote>
  <w:endnote w:type="continuationSeparator" w:id="0">
    <w:p w:rsidR="00D76C5D" w:rsidRDefault="00D76C5D" w:rsidP="00CE1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C5D" w:rsidRDefault="00D76C5D" w:rsidP="00CE11FE">
      <w:pPr>
        <w:spacing w:after="0" w:line="240" w:lineRule="auto"/>
      </w:pPr>
      <w:r>
        <w:separator/>
      </w:r>
    </w:p>
  </w:footnote>
  <w:footnote w:type="continuationSeparator" w:id="0">
    <w:p w:rsidR="00D76C5D" w:rsidRDefault="00D76C5D" w:rsidP="00CE1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30B" w:rsidRDefault="00B22D12">
    <w:pPr>
      <w:pStyle w:val="Header"/>
      <w:jc w:val="center"/>
    </w:pPr>
    <w:r>
      <w:fldChar w:fldCharType="begin"/>
    </w:r>
    <w:r w:rsidR="005F1A4D">
      <w:instrText xml:space="preserve"> PAGE   \* MERGEFORMAT </w:instrText>
    </w:r>
    <w:r>
      <w:fldChar w:fldCharType="separate"/>
    </w:r>
    <w:r w:rsidR="00130AEA">
      <w:rPr>
        <w:noProof/>
      </w:rPr>
      <w:t>2</w:t>
    </w:r>
    <w:r>
      <w:rPr>
        <w:noProof/>
      </w:rPr>
      <w:fldChar w:fldCharType="end"/>
    </w:r>
  </w:p>
  <w:p w:rsidR="00C5430B" w:rsidRDefault="00C543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F90"/>
    <w:multiLevelType w:val="hybridMultilevel"/>
    <w:tmpl w:val="164E2900"/>
    <w:lvl w:ilvl="0" w:tplc="BBA8A2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F2226"/>
    <w:multiLevelType w:val="multilevel"/>
    <w:tmpl w:val="649C52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E4335DE"/>
    <w:multiLevelType w:val="hybridMultilevel"/>
    <w:tmpl w:val="E57C5B26"/>
    <w:lvl w:ilvl="0" w:tplc="4F528AD6">
      <w:start w:val="3"/>
      <w:numFmt w:val="decimal"/>
      <w:lvlText w:val="(%1)"/>
      <w:lvlJc w:val="left"/>
      <w:pPr>
        <w:ind w:left="786" w:hanging="360"/>
      </w:pPr>
      <w:rPr>
        <w:rFonts w:cs="Times New Roman" w:hint="default"/>
        <w:b/>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3">
    <w:nsid w:val="2C5D2C85"/>
    <w:multiLevelType w:val="hybridMultilevel"/>
    <w:tmpl w:val="672A2EAC"/>
    <w:lvl w:ilvl="0" w:tplc="954298D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D8B1C58"/>
    <w:multiLevelType w:val="hybridMultilevel"/>
    <w:tmpl w:val="7D20CC34"/>
    <w:lvl w:ilvl="0" w:tplc="441A1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41A5F"/>
    <w:multiLevelType w:val="hybridMultilevel"/>
    <w:tmpl w:val="CB9C9484"/>
    <w:lvl w:ilvl="0" w:tplc="9B744B5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E5E77"/>
    <w:multiLevelType w:val="hybridMultilevel"/>
    <w:tmpl w:val="504E31F2"/>
    <w:lvl w:ilvl="0" w:tplc="CF4A0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7917D8"/>
    <w:multiLevelType w:val="hybridMultilevel"/>
    <w:tmpl w:val="2FCAD464"/>
    <w:lvl w:ilvl="0" w:tplc="7D349EE6">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6F362E66"/>
    <w:multiLevelType w:val="hybridMultilevel"/>
    <w:tmpl w:val="0C986128"/>
    <w:lvl w:ilvl="0" w:tplc="EE18BA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09B2CEC"/>
    <w:multiLevelType w:val="hybridMultilevel"/>
    <w:tmpl w:val="6E6E01D0"/>
    <w:lvl w:ilvl="0" w:tplc="901CF2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3F5C91"/>
    <w:multiLevelType w:val="multilevel"/>
    <w:tmpl w:val="F85226C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FC87BD3"/>
    <w:multiLevelType w:val="hybridMultilevel"/>
    <w:tmpl w:val="9A260E2E"/>
    <w:lvl w:ilvl="0" w:tplc="9EE64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9"/>
  </w:num>
  <w:num w:numId="5">
    <w:abstractNumId w:val="2"/>
  </w:num>
  <w:num w:numId="6">
    <w:abstractNumId w:val="10"/>
  </w:num>
  <w:num w:numId="7">
    <w:abstractNumId w:val="1"/>
  </w:num>
  <w:num w:numId="8">
    <w:abstractNumId w:val="8"/>
  </w:num>
  <w:num w:numId="9">
    <w:abstractNumId w:val="3"/>
  </w:num>
  <w:num w:numId="10">
    <w:abstractNumId w:val="4"/>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CE11FE"/>
    <w:rsid w:val="00002E0D"/>
    <w:rsid w:val="00004B5D"/>
    <w:rsid w:val="0001798B"/>
    <w:rsid w:val="00032D18"/>
    <w:rsid w:val="00034855"/>
    <w:rsid w:val="00052790"/>
    <w:rsid w:val="00070A3B"/>
    <w:rsid w:val="0009731D"/>
    <w:rsid w:val="000A3775"/>
    <w:rsid w:val="000B2BF2"/>
    <w:rsid w:val="000C372A"/>
    <w:rsid w:val="000C3FAD"/>
    <w:rsid w:val="000C49AB"/>
    <w:rsid w:val="000C49E1"/>
    <w:rsid w:val="000C6D0A"/>
    <w:rsid w:val="000D351A"/>
    <w:rsid w:val="000E2515"/>
    <w:rsid w:val="000F1A2A"/>
    <w:rsid w:val="000F5482"/>
    <w:rsid w:val="001016A3"/>
    <w:rsid w:val="00101DD4"/>
    <w:rsid w:val="00102256"/>
    <w:rsid w:val="001024F8"/>
    <w:rsid w:val="00112574"/>
    <w:rsid w:val="00115E9A"/>
    <w:rsid w:val="00122602"/>
    <w:rsid w:val="00122BCD"/>
    <w:rsid w:val="00130AEA"/>
    <w:rsid w:val="00153939"/>
    <w:rsid w:val="00171140"/>
    <w:rsid w:val="00172CB2"/>
    <w:rsid w:val="0017658C"/>
    <w:rsid w:val="001A79FA"/>
    <w:rsid w:val="001C6608"/>
    <w:rsid w:val="001D1704"/>
    <w:rsid w:val="001D47C6"/>
    <w:rsid w:val="001F236F"/>
    <w:rsid w:val="001F5560"/>
    <w:rsid w:val="002113E6"/>
    <w:rsid w:val="00224C72"/>
    <w:rsid w:val="00245B15"/>
    <w:rsid w:val="0027533A"/>
    <w:rsid w:val="0029668A"/>
    <w:rsid w:val="002A6E11"/>
    <w:rsid w:val="002B1F57"/>
    <w:rsid w:val="002D7749"/>
    <w:rsid w:val="002E73F6"/>
    <w:rsid w:val="002F07B4"/>
    <w:rsid w:val="0031030E"/>
    <w:rsid w:val="00311C4D"/>
    <w:rsid w:val="00323C3B"/>
    <w:rsid w:val="003337B1"/>
    <w:rsid w:val="003339F5"/>
    <w:rsid w:val="003626A1"/>
    <w:rsid w:val="00390829"/>
    <w:rsid w:val="00395F95"/>
    <w:rsid w:val="003A4DA2"/>
    <w:rsid w:val="003A5BE9"/>
    <w:rsid w:val="003B7105"/>
    <w:rsid w:val="003C6875"/>
    <w:rsid w:val="003D6B67"/>
    <w:rsid w:val="003F344A"/>
    <w:rsid w:val="003F7314"/>
    <w:rsid w:val="00421444"/>
    <w:rsid w:val="00424906"/>
    <w:rsid w:val="0043141D"/>
    <w:rsid w:val="0043593C"/>
    <w:rsid w:val="004410C7"/>
    <w:rsid w:val="0044257F"/>
    <w:rsid w:val="00463375"/>
    <w:rsid w:val="00465C2C"/>
    <w:rsid w:val="004A6C8F"/>
    <w:rsid w:val="004B2053"/>
    <w:rsid w:val="004C0134"/>
    <w:rsid w:val="004D7115"/>
    <w:rsid w:val="004E07A6"/>
    <w:rsid w:val="005135D7"/>
    <w:rsid w:val="00513F86"/>
    <w:rsid w:val="00527774"/>
    <w:rsid w:val="00530622"/>
    <w:rsid w:val="00536EAB"/>
    <w:rsid w:val="00556080"/>
    <w:rsid w:val="0056528B"/>
    <w:rsid w:val="00565F87"/>
    <w:rsid w:val="00587382"/>
    <w:rsid w:val="005B18A1"/>
    <w:rsid w:val="005D6C16"/>
    <w:rsid w:val="005F1A4D"/>
    <w:rsid w:val="00607E4C"/>
    <w:rsid w:val="006115EE"/>
    <w:rsid w:val="00625979"/>
    <w:rsid w:val="0064266F"/>
    <w:rsid w:val="00656CFB"/>
    <w:rsid w:val="006658D2"/>
    <w:rsid w:val="00666394"/>
    <w:rsid w:val="0067271F"/>
    <w:rsid w:val="00684515"/>
    <w:rsid w:val="006934E7"/>
    <w:rsid w:val="006B62BE"/>
    <w:rsid w:val="006C4836"/>
    <w:rsid w:val="006C7593"/>
    <w:rsid w:val="006D329B"/>
    <w:rsid w:val="006D381E"/>
    <w:rsid w:val="006D71F5"/>
    <w:rsid w:val="006E2101"/>
    <w:rsid w:val="006E7264"/>
    <w:rsid w:val="0071248D"/>
    <w:rsid w:val="007229BB"/>
    <w:rsid w:val="00753D78"/>
    <w:rsid w:val="0075623A"/>
    <w:rsid w:val="00761DEA"/>
    <w:rsid w:val="007640FD"/>
    <w:rsid w:val="00766709"/>
    <w:rsid w:val="00770128"/>
    <w:rsid w:val="00774D39"/>
    <w:rsid w:val="007755CB"/>
    <w:rsid w:val="007A44C3"/>
    <w:rsid w:val="007B7BCF"/>
    <w:rsid w:val="007C2F40"/>
    <w:rsid w:val="007C5369"/>
    <w:rsid w:val="007D233F"/>
    <w:rsid w:val="007E2CC8"/>
    <w:rsid w:val="007E31BA"/>
    <w:rsid w:val="007E6157"/>
    <w:rsid w:val="00801ADF"/>
    <w:rsid w:val="008023FA"/>
    <w:rsid w:val="00820068"/>
    <w:rsid w:val="008247F1"/>
    <w:rsid w:val="00826C35"/>
    <w:rsid w:val="0085318B"/>
    <w:rsid w:val="00885CAE"/>
    <w:rsid w:val="00885FA1"/>
    <w:rsid w:val="00893A40"/>
    <w:rsid w:val="00896A38"/>
    <w:rsid w:val="008A4CD9"/>
    <w:rsid w:val="008B416C"/>
    <w:rsid w:val="008D3573"/>
    <w:rsid w:val="008D5EC1"/>
    <w:rsid w:val="008D639F"/>
    <w:rsid w:val="008D6C14"/>
    <w:rsid w:val="008E544C"/>
    <w:rsid w:val="008F68DF"/>
    <w:rsid w:val="009175E6"/>
    <w:rsid w:val="009246C4"/>
    <w:rsid w:val="00930680"/>
    <w:rsid w:val="00940758"/>
    <w:rsid w:val="0095250C"/>
    <w:rsid w:val="009546E8"/>
    <w:rsid w:val="00966FD1"/>
    <w:rsid w:val="00973688"/>
    <w:rsid w:val="0097783E"/>
    <w:rsid w:val="00982330"/>
    <w:rsid w:val="009C09F5"/>
    <w:rsid w:val="009C14E0"/>
    <w:rsid w:val="009D030B"/>
    <w:rsid w:val="009D1AF8"/>
    <w:rsid w:val="009D4039"/>
    <w:rsid w:val="009F5C8C"/>
    <w:rsid w:val="00A024BC"/>
    <w:rsid w:val="00A267A6"/>
    <w:rsid w:val="00A31B3C"/>
    <w:rsid w:val="00A52946"/>
    <w:rsid w:val="00A55993"/>
    <w:rsid w:val="00A56778"/>
    <w:rsid w:val="00A662B2"/>
    <w:rsid w:val="00A67DCC"/>
    <w:rsid w:val="00A7344C"/>
    <w:rsid w:val="00A83306"/>
    <w:rsid w:val="00A849C0"/>
    <w:rsid w:val="00A9749C"/>
    <w:rsid w:val="00AB5F2D"/>
    <w:rsid w:val="00AC7F21"/>
    <w:rsid w:val="00AD5EF7"/>
    <w:rsid w:val="00AD5FE6"/>
    <w:rsid w:val="00AD7D40"/>
    <w:rsid w:val="00AF7CCA"/>
    <w:rsid w:val="00B1161C"/>
    <w:rsid w:val="00B17D1E"/>
    <w:rsid w:val="00B21DC5"/>
    <w:rsid w:val="00B22D12"/>
    <w:rsid w:val="00B442F8"/>
    <w:rsid w:val="00B47A94"/>
    <w:rsid w:val="00B55D03"/>
    <w:rsid w:val="00B55E8D"/>
    <w:rsid w:val="00B84A68"/>
    <w:rsid w:val="00BA0787"/>
    <w:rsid w:val="00BA3817"/>
    <w:rsid w:val="00BB5AF8"/>
    <w:rsid w:val="00BC34E0"/>
    <w:rsid w:val="00BD0160"/>
    <w:rsid w:val="00BD186F"/>
    <w:rsid w:val="00BF3A77"/>
    <w:rsid w:val="00C06508"/>
    <w:rsid w:val="00C157C4"/>
    <w:rsid w:val="00C2494E"/>
    <w:rsid w:val="00C26913"/>
    <w:rsid w:val="00C27A27"/>
    <w:rsid w:val="00C40C2D"/>
    <w:rsid w:val="00C41B7F"/>
    <w:rsid w:val="00C44CB1"/>
    <w:rsid w:val="00C5430B"/>
    <w:rsid w:val="00C77DB1"/>
    <w:rsid w:val="00C845CB"/>
    <w:rsid w:val="00C9698B"/>
    <w:rsid w:val="00CC07EF"/>
    <w:rsid w:val="00CC2F36"/>
    <w:rsid w:val="00CE0FD1"/>
    <w:rsid w:val="00CE11FE"/>
    <w:rsid w:val="00CF38AA"/>
    <w:rsid w:val="00D24175"/>
    <w:rsid w:val="00D533B8"/>
    <w:rsid w:val="00D56C32"/>
    <w:rsid w:val="00D627A2"/>
    <w:rsid w:val="00D67494"/>
    <w:rsid w:val="00D76C5D"/>
    <w:rsid w:val="00D86375"/>
    <w:rsid w:val="00DA7A65"/>
    <w:rsid w:val="00DC503A"/>
    <w:rsid w:val="00DD61BC"/>
    <w:rsid w:val="00DE66AC"/>
    <w:rsid w:val="00E17877"/>
    <w:rsid w:val="00E252F6"/>
    <w:rsid w:val="00E31EBF"/>
    <w:rsid w:val="00E422E5"/>
    <w:rsid w:val="00E46840"/>
    <w:rsid w:val="00E5443F"/>
    <w:rsid w:val="00E57314"/>
    <w:rsid w:val="00E717CD"/>
    <w:rsid w:val="00E8175C"/>
    <w:rsid w:val="00E954D7"/>
    <w:rsid w:val="00EB057C"/>
    <w:rsid w:val="00EB21DE"/>
    <w:rsid w:val="00EF64BB"/>
    <w:rsid w:val="00F14DB7"/>
    <w:rsid w:val="00F323F2"/>
    <w:rsid w:val="00F406EB"/>
    <w:rsid w:val="00F42A7D"/>
    <w:rsid w:val="00F7129E"/>
    <w:rsid w:val="00FB3B88"/>
    <w:rsid w:val="00FC243A"/>
    <w:rsid w:val="00FC6E0F"/>
    <w:rsid w:val="00FD7CA7"/>
    <w:rsid w:val="00FE536C"/>
    <w:rsid w:val="00FE7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1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E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FE"/>
  </w:style>
  <w:style w:type="paragraph" w:styleId="Footer">
    <w:name w:val="footer"/>
    <w:basedOn w:val="Normal"/>
    <w:link w:val="FooterChar"/>
    <w:uiPriority w:val="99"/>
    <w:semiHidden/>
    <w:unhideWhenUsed/>
    <w:rsid w:val="00CE11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1FE"/>
  </w:style>
  <w:style w:type="paragraph" w:styleId="ListParagraph">
    <w:name w:val="List Paragraph"/>
    <w:basedOn w:val="Normal"/>
    <w:uiPriority w:val="34"/>
    <w:qFormat/>
    <w:rsid w:val="004E07A6"/>
    <w:pPr>
      <w:ind w:left="720"/>
      <w:contextualSpacing/>
    </w:pPr>
  </w:style>
  <w:style w:type="character" w:styleId="Hyperlink">
    <w:name w:val="Hyperlink"/>
    <w:basedOn w:val="DefaultParagraphFont"/>
    <w:uiPriority w:val="99"/>
    <w:unhideWhenUsed/>
    <w:rsid w:val="0027533A"/>
    <w:rPr>
      <w:color w:val="0000FF"/>
      <w:u w:val="single"/>
    </w:rPr>
  </w:style>
  <w:style w:type="paragraph" w:styleId="FootnoteText">
    <w:name w:val="footnote text"/>
    <w:basedOn w:val="Normal"/>
    <w:link w:val="FootnoteTextChar"/>
    <w:uiPriority w:val="99"/>
    <w:semiHidden/>
    <w:unhideWhenUsed/>
    <w:rsid w:val="006658D2"/>
    <w:rPr>
      <w:sz w:val="20"/>
      <w:szCs w:val="20"/>
    </w:rPr>
  </w:style>
  <w:style w:type="character" w:customStyle="1" w:styleId="FootnoteTextChar">
    <w:name w:val="Footnote Text Char"/>
    <w:basedOn w:val="DefaultParagraphFont"/>
    <w:link w:val="FootnoteText"/>
    <w:uiPriority w:val="99"/>
    <w:semiHidden/>
    <w:rsid w:val="006658D2"/>
  </w:style>
  <w:style w:type="character" w:styleId="FootnoteReference">
    <w:name w:val="footnote reference"/>
    <w:basedOn w:val="DefaultParagraphFont"/>
    <w:uiPriority w:val="99"/>
    <w:semiHidden/>
    <w:unhideWhenUsed/>
    <w:rsid w:val="006658D2"/>
    <w:rPr>
      <w:vertAlign w:val="superscript"/>
    </w:rPr>
  </w:style>
  <w:style w:type="paragraph" w:styleId="BalloonText">
    <w:name w:val="Balloon Text"/>
    <w:basedOn w:val="Normal"/>
    <w:link w:val="BalloonTextChar"/>
    <w:uiPriority w:val="99"/>
    <w:semiHidden/>
    <w:unhideWhenUsed/>
    <w:rsid w:val="00112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97748">
      <w:bodyDiv w:val="1"/>
      <w:marLeft w:val="0"/>
      <w:marRight w:val="0"/>
      <w:marTop w:val="0"/>
      <w:marBottom w:val="0"/>
      <w:divBdr>
        <w:top w:val="none" w:sz="0" w:space="0" w:color="auto"/>
        <w:left w:val="none" w:sz="0" w:space="0" w:color="auto"/>
        <w:bottom w:val="none" w:sz="0" w:space="0" w:color="auto"/>
        <w:right w:val="none" w:sz="0" w:space="0" w:color="auto"/>
      </w:divBdr>
    </w:div>
    <w:div w:id="378893375">
      <w:bodyDiv w:val="1"/>
      <w:marLeft w:val="0"/>
      <w:marRight w:val="0"/>
      <w:marTop w:val="0"/>
      <w:marBottom w:val="0"/>
      <w:divBdr>
        <w:top w:val="none" w:sz="0" w:space="0" w:color="auto"/>
        <w:left w:val="none" w:sz="0" w:space="0" w:color="auto"/>
        <w:bottom w:val="none" w:sz="0" w:space="0" w:color="auto"/>
        <w:right w:val="none" w:sz="0" w:space="0" w:color="auto"/>
      </w:divBdr>
    </w:div>
    <w:div w:id="656223743">
      <w:bodyDiv w:val="1"/>
      <w:marLeft w:val="0"/>
      <w:marRight w:val="0"/>
      <w:marTop w:val="0"/>
      <w:marBottom w:val="0"/>
      <w:divBdr>
        <w:top w:val="none" w:sz="0" w:space="0" w:color="auto"/>
        <w:left w:val="none" w:sz="0" w:space="0" w:color="auto"/>
        <w:bottom w:val="none" w:sz="0" w:space="0" w:color="auto"/>
        <w:right w:val="none" w:sz="0" w:space="0" w:color="auto"/>
      </w:divBdr>
    </w:div>
    <w:div w:id="746614916">
      <w:bodyDiv w:val="1"/>
      <w:marLeft w:val="0"/>
      <w:marRight w:val="0"/>
      <w:marTop w:val="0"/>
      <w:marBottom w:val="0"/>
      <w:divBdr>
        <w:top w:val="none" w:sz="0" w:space="0" w:color="auto"/>
        <w:left w:val="none" w:sz="0" w:space="0" w:color="auto"/>
        <w:bottom w:val="none" w:sz="0" w:space="0" w:color="auto"/>
        <w:right w:val="none" w:sz="0" w:space="0" w:color="auto"/>
      </w:divBdr>
    </w:div>
    <w:div w:id="1092167784">
      <w:bodyDiv w:val="1"/>
      <w:marLeft w:val="0"/>
      <w:marRight w:val="0"/>
      <w:marTop w:val="0"/>
      <w:marBottom w:val="0"/>
      <w:divBdr>
        <w:top w:val="none" w:sz="0" w:space="0" w:color="auto"/>
        <w:left w:val="none" w:sz="0" w:space="0" w:color="auto"/>
        <w:bottom w:val="none" w:sz="0" w:space="0" w:color="auto"/>
        <w:right w:val="none" w:sz="0" w:space="0" w:color="auto"/>
      </w:divBdr>
    </w:div>
    <w:div w:id="1438788472">
      <w:bodyDiv w:val="1"/>
      <w:marLeft w:val="0"/>
      <w:marRight w:val="0"/>
      <w:marTop w:val="0"/>
      <w:marBottom w:val="0"/>
      <w:divBdr>
        <w:top w:val="none" w:sz="0" w:space="0" w:color="auto"/>
        <w:left w:val="none" w:sz="0" w:space="0" w:color="auto"/>
        <w:bottom w:val="none" w:sz="0" w:space="0" w:color="auto"/>
        <w:right w:val="none" w:sz="0" w:space="0" w:color="auto"/>
      </w:divBdr>
    </w:div>
    <w:div w:id="1519927309">
      <w:bodyDiv w:val="1"/>
      <w:marLeft w:val="0"/>
      <w:marRight w:val="0"/>
      <w:marTop w:val="0"/>
      <w:marBottom w:val="0"/>
      <w:divBdr>
        <w:top w:val="none" w:sz="0" w:space="0" w:color="auto"/>
        <w:left w:val="none" w:sz="0" w:space="0" w:color="auto"/>
        <w:bottom w:val="none" w:sz="0" w:space="0" w:color="auto"/>
        <w:right w:val="none" w:sz="0" w:space="0" w:color="auto"/>
      </w:divBdr>
    </w:div>
    <w:div w:id="1594581684">
      <w:bodyDiv w:val="1"/>
      <w:marLeft w:val="0"/>
      <w:marRight w:val="0"/>
      <w:marTop w:val="0"/>
      <w:marBottom w:val="0"/>
      <w:divBdr>
        <w:top w:val="none" w:sz="0" w:space="0" w:color="auto"/>
        <w:left w:val="none" w:sz="0" w:space="0" w:color="auto"/>
        <w:bottom w:val="none" w:sz="0" w:space="0" w:color="auto"/>
        <w:right w:val="none" w:sz="0" w:space="0" w:color="auto"/>
      </w:divBdr>
    </w:div>
    <w:div w:id="1672835486">
      <w:bodyDiv w:val="1"/>
      <w:marLeft w:val="0"/>
      <w:marRight w:val="0"/>
      <w:marTop w:val="0"/>
      <w:marBottom w:val="0"/>
      <w:divBdr>
        <w:top w:val="none" w:sz="0" w:space="0" w:color="auto"/>
        <w:left w:val="none" w:sz="0" w:space="0" w:color="auto"/>
        <w:bottom w:val="none" w:sz="0" w:space="0" w:color="auto"/>
        <w:right w:val="none" w:sz="0" w:space="0" w:color="auto"/>
      </w:divBdr>
    </w:div>
    <w:div w:id="21148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91B9-908A-4804-891F-3704F9A9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PUMZA</cp:lastModifiedBy>
  <cp:revision>2</cp:revision>
  <cp:lastPrinted>2018-11-12T14:19:00Z</cp:lastPrinted>
  <dcterms:created xsi:type="dcterms:W3CDTF">2018-11-14T10:15:00Z</dcterms:created>
  <dcterms:modified xsi:type="dcterms:W3CDTF">2018-11-14T10:15:00Z</dcterms:modified>
</cp:coreProperties>
</file>