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70" w:rsidRPr="00A71DC5" w:rsidRDefault="00BF7AE3">
      <w:pPr>
        <w:rPr>
          <w:b/>
          <w:u w:val="single"/>
        </w:rPr>
      </w:pPr>
      <w:r w:rsidRPr="00A71DC5">
        <w:rPr>
          <w:b/>
          <w:u w:val="single"/>
        </w:rPr>
        <w:t>Questions on SA Connect report:</w:t>
      </w:r>
    </w:p>
    <w:p w:rsidR="00BF7AE3" w:rsidRDefault="00BF7AE3">
      <w:pPr>
        <w:rPr>
          <w:u w:val="single"/>
        </w:rPr>
      </w:pPr>
    </w:p>
    <w:p w:rsidR="00BF7AE3" w:rsidRDefault="00C364EF">
      <w:pPr>
        <w:rPr>
          <w:u w:val="single"/>
        </w:rPr>
      </w:pPr>
      <w:r>
        <w:rPr>
          <w:u w:val="single"/>
        </w:rPr>
        <w:t>Honourable Shinn</w:t>
      </w:r>
    </w:p>
    <w:p w:rsidR="00A71DC5" w:rsidRDefault="00A71DC5"/>
    <w:p w:rsidR="00BF7AE3" w:rsidRDefault="00BF7AE3">
      <w:r>
        <w:t>1:</w:t>
      </w:r>
      <w:r>
        <w:tab/>
        <w:t>What is the budget for the last-mile connectivity that will be done by Access Network Providers?</w:t>
      </w:r>
    </w:p>
    <w:p w:rsidR="00BC47AB" w:rsidRDefault="00BC47AB" w:rsidP="00BC47AB"/>
    <w:p w:rsidR="00BF7AE3" w:rsidRDefault="00BF0F42" w:rsidP="00BC47AB">
      <w:pPr>
        <w:rPr>
          <w:color w:val="0070C0"/>
        </w:rPr>
      </w:pPr>
      <w:r>
        <w:rPr>
          <w:color w:val="0070C0"/>
        </w:rPr>
        <w:t xml:space="preserve">Response: </w:t>
      </w:r>
      <w:r w:rsidR="00D20A59" w:rsidRPr="00D50D3F">
        <w:rPr>
          <w:color w:val="0070C0"/>
        </w:rPr>
        <w:t>Access Network Providers (ANPs) connect government facilities to the nearest BBI Point of Presence (PoP)</w:t>
      </w:r>
      <w:r w:rsidR="000152B2">
        <w:rPr>
          <w:color w:val="0070C0"/>
        </w:rPr>
        <w:t xml:space="preserve">, refer to slides 11 &amp; 12 </w:t>
      </w:r>
      <w:r w:rsidR="00D20A59" w:rsidRPr="00D50D3F">
        <w:rPr>
          <w:color w:val="0070C0"/>
        </w:rPr>
        <w:t>.</w:t>
      </w:r>
      <w:r w:rsidR="001D1118" w:rsidRPr="00D50D3F">
        <w:rPr>
          <w:color w:val="0070C0"/>
        </w:rPr>
        <w:t xml:space="preserve"> Together with BBI’s core network, ANPs access networks </w:t>
      </w:r>
      <w:r w:rsidR="00BC47AB" w:rsidRPr="00D50D3F">
        <w:rPr>
          <w:color w:val="0070C0"/>
        </w:rPr>
        <w:t xml:space="preserve">(last-mile) </w:t>
      </w:r>
      <w:r w:rsidR="001D1118" w:rsidRPr="00D50D3F">
        <w:rPr>
          <w:color w:val="0070C0"/>
        </w:rPr>
        <w:t xml:space="preserve">create full network connectivity over which SITA’s internet services are provided. </w:t>
      </w:r>
      <w:r w:rsidR="0090509A" w:rsidRPr="00D50D3F">
        <w:rPr>
          <w:color w:val="0070C0"/>
        </w:rPr>
        <w:t xml:space="preserve">The Department procures full </w:t>
      </w:r>
      <w:r w:rsidR="001D1118" w:rsidRPr="00D50D3F">
        <w:rPr>
          <w:color w:val="0070C0"/>
        </w:rPr>
        <w:t>network connectivity services from BBI</w:t>
      </w:r>
      <w:r w:rsidR="00BC47AB" w:rsidRPr="00D50D3F">
        <w:rPr>
          <w:color w:val="0070C0"/>
        </w:rPr>
        <w:t xml:space="preserve"> who in turn procures last-mile connectivity from ANPs. The Department thus does not </w:t>
      </w:r>
      <w:r w:rsidR="00920797" w:rsidRPr="00D50D3F">
        <w:rPr>
          <w:color w:val="0070C0"/>
        </w:rPr>
        <w:t xml:space="preserve">directly </w:t>
      </w:r>
      <w:r w:rsidR="000152B2">
        <w:rPr>
          <w:color w:val="0070C0"/>
        </w:rPr>
        <w:t>deal</w:t>
      </w:r>
      <w:r w:rsidR="00BC47AB" w:rsidRPr="00D50D3F">
        <w:rPr>
          <w:color w:val="0070C0"/>
        </w:rPr>
        <w:t xml:space="preserve"> with ANPs</w:t>
      </w:r>
      <w:r w:rsidR="0090509A" w:rsidRPr="00D50D3F">
        <w:rPr>
          <w:color w:val="0070C0"/>
        </w:rPr>
        <w:t xml:space="preserve">. </w:t>
      </w:r>
    </w:p>
    <w:p w:rsidR="00B43CDB" w:rsidRDefault="00B43CDB" w:rsidP="00BC47AB">
      <w:pPr>
        <w:rPr>
          <w:color w:val="0070C0"/>
        </w:rPr>
      </w:pPr>
    </w:p>
    <w:p w:rsidR="00B43CDB" w:rsidRPr="00B43CDB" w:rsidRDefault="00B43CDB" w:rsidP="00B43CDB">
      <w:pPr>
        <w:pStyle w:val="ListParagraph"/>
        <w:numPr>
          <w:ilvl w:val="0"/>
          <w:numId w:val="3"/>
        </w:numPr>
        <w:rPr>
          <w:color w:val="0070C0"/>
        </w:rPr>
      </w:pPr>
      <w:r w:rsidRPr="00B43CDB">
        <w:rPr>
          <w:color w:val="0070C0"/>
        </w:rPr>
        <w:t>Over 3 years for 313 sites</w:t>
      </w:r>
      <w:r w:rsidR="005B339C">
        <w:rPr>
          <w:color w:val="0070C0"/>
        </w:rPr>
        <w:t>, BBI’s</w:t>
      </w:r>
      <w:r w:rsidRPr="00B43CDB">
        <w:rPr>
          <w:color w:val="0070C0"/>
        </w:rPr>
        <w:t xml:space="preserve"> budget is R90 million.</w:t>
      </w:r>
    </w:p>
    <w:p w:rsidR="00B43CDB" w:rsidRPr="00D50D3F" w:rsidRDefault="00B43CDB" w:rsidP="00BC47AB">
      <w:pPr>
        <w:rPr>
          <w:color w:val="0070C0"/>
        </w:rPr>
      </w:pPr>
    </w:p>
    <w:p w:rsidR="0090509A" w:rsidRDefault="0090509A"/>
    <w:p w:rsidR="00BF7AE3" w:rsidRDefault="00BF7AE3">
      <w:r>
        <w:t>2:</w:t>
      </w:r>
      <w:r>
        <w:tab/>
        <w:t>Who are these ANPs. How were they chosen? Who will manage them?</w:t>
      </w:r>
    </w:p>
    <w:p w:rsidR="00BF7AE3" w:rsidRDefault="00BF7AE3"/>
    <w:p w:rsidR="00920B67" w:rsidRPr="00920B67" w:rsidRDefault="00920B67" w:rsidP="00920B67">
      <w:pPr>
        <w:pStyle w:val="ListParagraph"/>
        <w:numPr>
          <w:ilvl w:val="0"/>
          <w:numId w:val="5"/>
        </w:numPr>
        <w:rPr>
          <w:color w:val="0070C0"/>
        </w:rPr>
      </w:pPr>
      <w:r w:rsidRPr="00920B67">
        <w:rPr>
          <w:color w:val="0070C0"/>
        </w:rPr>
        <w:t>The following is the list of successful ANPs:</w:t>
      </w:r>
    </w:p>
    <w:p w:rsidR="00920B67" w:rsidRPr="00920B67" w:rsidRDefault="00920B67" w:rsidP="00920B67">
      <w:pPr>
        <w:pStyle w:val="ListParagraph"/>
        <w:numPr>
          <w:ilvl w:val="1"/>
          <w:numId w:val="6"/>
        </w:numPr>
        <w:rPr>
          <w:color w:val="0070C0"/>
        </w:rPr>
      </w:pPr>
      <w:r w:rsidRPr="00920B67">
        <w:rPr>
          <w:color w:val="0070C0"/>
        </w:rPr>
        <w:t>3H Consulting Services (Pty) Ltd;</w:t>
      </w:r>
    </w:p>
    <w:p w:rsidR="00920B67" w:rsidRPr="00920B67" w:rsidRDefault="00920B67" w:rsidP="00920B67">
      <w:pPr>
        <w:pStyle w:val="ListParagraph"/>
        <w:numPr>
          <w:ilvl w:val="1"/>
          <w:numId w:val="6"/>
        </w:numPr>
        <w:rPr>
          <w:color w:val="0070C0"/>
        </w:rPr>
      </w:pPr>
      <w:r w:rsidRPr="00920B67">
        <w:rPr>
          <w:color w:val="0070C0"/>
        </w:rPr>
        <w:t>Altech Radio Holdings (Pty) Ltd;</w:t>
      </w:r>
    </w:p>
    <w:p w:rsidR="00920B67" w:rsidRPr="00920B67" w:rsidRDefault="00920B67" w:rsidP="00920B67">
      <w:pPr>
        <w:pStyle w:val="ListParagraph"/>
        <w:numPr>
          <w:ilvl w:val="1"/>
          <w:numId w:val="6"/>
        </w:numPr>
        <w:rPr>
          <w:color w:val="0070C0"/>
        </w:rPr>
      </w:pPr>
      <w:r w:rsidRPr="00920B67">
        <w:rPr>
          <w:color w:val="0070C0"/>
        </w:rPr>
        <w:t>Brightwave Technologies (Pty) Ltd;</w:t>
      </w:r>
    </w:p>
    <w:p w:rsidR="00920B67" w:rsidRPr="00920B67" w:rsidRDefault="00920B67" w:rsidP="00920B67">
      <w:pPr>
        <w:pStyle w:val="ListParagraph"/>
        <w:numPr>
          <w:ilvl w:val="1"/>
          <w:numId w:val="6"/>
        </w:numPr>
        <w:rPr>
          <w:color w:val="0070C0"/>
        </w:rPr>
      </w:pPr>
      <w:r w:rsidRPr="00920B67">
        <w:rPr>
          <w:color w:val="0070C0"/>
        </w:rPr>
        <w:t>Galela Telecommunication Holdings (Pty) Ltd;</w:t>
      </w:r>
    </w:p>
    <w:p w:rsidR="00920B67" w:rsidRPr="00920B67" w:rsidRDefault="00920B67" w:rsidP="00920B67">
      <w:pPr>
        <w:pStyle w:val="ListParagraph"/>
        <w:numPr>
          <w:ilvl w:val="1"/>
          <w:numId w:val="6"/>
        </w:numPr>
        <w:rPr>
          <w:color w:val="0070C0"/>
        </w:rPr>
      </w:pPr>
      <w:r w:rsidRPr="00920B67">
        <w:rPr>
          <w:color w:val="0070C0"/>
        </w:rPr>
        <w:t>Maredi Telecoms and Broadcasting (Pty) Ltd</w:t>
      </w:r>
    </w:p>
    <w:p w:rsidR="00920B67" w:rsidRPr="00920B67" w:rsidRDefault="00920B67" w:rsidP="00920B67">
      <w:pPr>
        <w:pStyle w:val="ListParagraph"/>
        <w:numPr>
          <w:ilvl w:val="1"/>
          <w:numId w:val="6"/>
        </w:numPr>
        <w:rPr>
          <w:color w:val="0070C0"/>
        </w:rPr>
      </w:pPr>
      <w:r w:rsidRPr="00920B67">
        <w:rPr>
          <w:color w:val="0070C0"/>
        </w:rPr>
        <w:t>Mavoni Consortium;</w:t>
      </w:r>
    </w:p>
    <w:p w:rsidR="00920B67" w:rsidRPr="00920B67" w:rsidRDefault="00920B67" w:rsidP="00920B67">
      <w:pPr>
        <w:pStyle w:val="ListParagraph"/>
        <w:numPr>
          <w:ilvl w:val="1"/>
          <w:numId w:val="6"/>
        </w:numPr>
        <w:rPr>
          <w:color w:val="0070C0"/>
        </w:rPr>
      </w:pPr>
      <w:r w:rsidRPr="00920B67">
        <w:rPr>
          <w:color w:val="0070C0"/>
        </w:rPr>
        <w:t>Mobile Telephone Network (Pty) Ltd;</w:t>
      </w:r>
    </w:p>
    <w:p w:rsidR="00920B67" w:rsidRPr="00920B67" w:rsidRDefault="00920B67" w:rsidP="00920B67">
      <w:pPr>
        <w:pStyle w:val="ListParagraph"/>
        <w:numPr>
          <w:ilvl w:val="1"/>
          <w:numId w:val="6"/>
        </w:numPr>
        <w:rPr>
          <w:color w:val="0070C0"/>
        </w:rPr>
      </w:pPr>
      <w:r w:rsidRPr="00920B67">
        <w:rPr>
          <w:color w:val="0070C0"/>
        </w:rPr>
        <w:t>Safricom North West (Pty) Ltd;</w:t>
      </w:r>
    </w:p>
    <w:p w:rsidR="00920B67" w:rsidRPr="00920B67" w:rsidRDefault="00920B67" w:rsidP="00920B67">
      <w:pPr>
        <w:pStyle w:val="ListParagraph"/>
        <w:numPr>
          <w:ilvl w:val="1"/>
          <w:numId w:val="6"/>
        </w:numPr>
        <w:rPr>
          <w:color w:val="0070C0"/>
        </w:rPr>
      </w:pPr>
      <w:r w:rsidRPr="00920B67">
        <w:rPr>
          <w:color w:val="0070C0"/>
        </w:rPr>
        <w:t>Sentech SOC Ltd;</w:t>
      </w:r>
    </w:p>
    <w:p w:rsidR="00920B67" w:rsidRPr="00920B67" w:rsidRDefault="00920B67" w:rsidP="00920B67">
      <w:pPr>
        <w:pStyle w:val="ListParagraph"/>
        <w:numPr>
          <w:ilvl w:val="1"/>
          <w:numId w:val="6"/>
        </w:numPr>
        <w:rPr>
          <w:color w:val="0070C0"/>
        </w:rPr>
      </w:pPr>
      <w:r w:rsidRPr="00920B67">
        <w:rPr>
          <w:color w:val="0070C0"/>
        </w:rPr>
        <w:t>Singa Tel (Pty) Ltd;</w:t>
      </w:r>
    </w:p>
    <w:p w:rsidR="00920B67" w:rsidRPr="00920B67" w:rsidRDefault="00920B67" w:rsidP="00920B67">
      <w:pPr>
        <w:pStyle w:val="ListParagraph"/>
        <w:numPr>
          <w:ilvl w:val="1"/>
          <w:numId w:val="6"/>
        </w:numPr>
        <w:rPr>
          <w:color w:val="0070C0"/>
        </w:rPr>
      </w:pPr>
      <w:r w:rsidRPr="00920B67">
        <w:rPr>
          <w:color w:val="0070C0"/>
        </w:rPr>
        <w:t xml:space="preserve">Telkom SA SOC Ltd; and </w:t>
      </w:r>
    </w:p>
    <w:p w:rsidR="00920B67" w:rsidRPr="00920B67" w:rsidRDefault="00920B67" w:rsidP="00920B67">
      <w:pPr>
        <w:pStyle w:val="ListParagraph"/>
        <w:numPr>
          <w:ilvl w:val="1"/>
          <w:numId w:val="6"/>
        </w:numPr>
        <w:rPr>
          <w:color w:val="0070C0"/>
        </w:rPr>
      </w:pPr>
      <w:r w:rsidRPr="00920B67">
        <w:rPr>
          <w:color w:val="0070C0"/>
        </w:rPr>
        <w:t xml:space="preserve">TWK Communications (Pty) Ltd. </w:t>
      </w:r>
    </w:p>
    <w:p w:rsidR="00920B67" w:rsidRPr="006911BB" w:rsidRDefault="00920B67" w:rsidP="00920B67">
      <w:pPr>
        <w:rPr>
          <w:rFonts w:ascii="Arial" w:hAnsi="Arial" w:cs="Arial"/>
          <w:color w:val="0000FF"/>
        </w:rPr>
      </w:pPr>
    </w:p>
    <w:p w:rsidR="00920B67" w:rsidRPr="00920B67" w:rsidRDefault="00920B67" w:rsidP="00920B67">
      <w:pPr>
        <w:pStyle w:val="ListParagraph"/>
        <w:numPr>
          <w:ilvl w:val="0"/>
          <w:numId w:val="5"/>
        </w:numPr>
        <w:rPr>
          <w:color w:val="0070C0"/>
        </w:rPr>
      </w:pPr>
      <w:r w:rsidRPr="00920B67">
        <w:rPr>
          <w:color w:val="0070C0"/>
        </w:rPr>
        <w:t>For Phase 1: The ANPs were appointed following a competitive tender process. Tender RFP INF/TEN/0219 was advertised on the National Treasury e-tender portal and on the Broadband Infraco website; and in the Sunday Times and City Press.</w:t>
      </w:r>
    </w:p>
    <w:p w:rsidR="00920B67" w:rsidRPr="006911BB" w:rsidRDefault="00920B67" w:rsidP="00920B67">
      <w:pPr>
        <w:pStyle w:val="ListParagraph"/>
        <w:rPr>
          <w:rFonts w:ascii="Arial" w:hAnsi="Arial" w:cs="Arial"/>
          <w:color w:val="0000FF"/>
        </w:rPr>
      </w:pPr>
    </w:p>
    <w:p w:rsidR="00920B67" w:rsidRDefault="00920B67" w:rsidP="00C30DE7">
      <w:pPr>
        <w:pStyle w:val="ListParagraph"/>
        <w:rPr>
          <w:color w:val="0070C0"/>
        </w:rPr>
      </w:pPr>
      <w:r w:rsidRPr="001D5051">
        <w:rPr>
          <w:color w:val="0070C0"/>
        </w:rPr>
        <w:t>Sekela Xabiso (Pty) Ltd was appointed to conduct an audit of the SA Connect Phase 1 tender and the evaluation process, to ensure that the evaluation process is compliant with the relevant policies and legislation/regulations prior to the awarding of the contract.</w:t>
      </w:r>
    </w:p>
    <w:p w:rsidR="00C30DE7" w:rsidRPr="00C30DE7" w:rsidRDefault="00C30DE7" w:rsidP="00C30DE7">
      <w:pPr>
        <w:pStyle w:val="ListParagraph"/>
        <w:rPr>
          <w:color w:val="0070C0"/>
        </w:rPr>
      </w:pPr>
    </w:p>
    <w:p w:rsidR="00C30DE7" w:rsidRPr="00C30DE7" w:rsidRDefault="00C30DE7" w:rsidP="00C30DE7">
      <w:pPr>
        <w:pStyle w:val="ListParagraph"/>
        <w:numPr>
          <w:ilvl w:val="0"/>
          <w:numId w:val="5"/>
        </w:numPr>
        <w:rPr>
          <w:color w:val="0070C0"/>
        </w:rPr>
      </w:pPr>
      <w:r w:rsidRPr="00C30DE7">
        <w:rPr>
          <w:color w:val="0070C0"/>
        </w:rPr>
        <w:t xml:space="preserve">During the implementation phase, the ANPs are managed by the Broadband Infraco PMO (Project Management Office). For the operations and maintenance (O&amp;M) phase of the network, the ANPs will be managed by the Broadband Infraco Network Operations Centre (NOC), as well as the O&amp;M Department. </w:t>
      </w:r>
    </w:p>
    <w:p w:rsidR="00C30DE7" w:rsidRPr="001D5051" w:rsidRDefault="00C30DE7" w:rsidP="00C30DE7">
      <w:pPr>
        <w:pStyle w:val="ListParagraph"/>
        <w:rPr>
          <w:color w:val="0070C0"/>
        </w:rPr>
      </w:pPr>
    </w:p>
    <w:p w:rsidR="00920B67" w:rsidRDefault="00920B67"/>
    <w:p w:rsidR="00B45321" w:rsidRPr="004950C2" w:rsidRDefault="00BF7AE3" w:rsidP="00B45321">
      <w:pPr>
        <w:rPr>
          <w:color w:val="000000" w:themeColor="text1"/>
        </w:rPr>
      </w:pPr>
      <w:r>
        <w:t xml:space="preserve">3: </w:t>
      </w:r>
      <w:r>
        <w:tab/>
      </w:r>
      <w:r w:rsidRPr="004950C2">
        <w:rPr>
          <w:color w:val="000000" w:themeColor="text1"/>
        </w:rPr>
        <w:t>a</w:t>
      </w:r>
      <w:r w:rsidR="004950C2" w:rsidRPr="004950C2">
        <w:rPr>
          <w:color w:val="000000" w:themeColor="text1"/>
        </w:rPr>
        <w:t>) Ha</w:t>
      </w:r>
      <w:r w:rsidRPr="004950C2">
        <w:rPr>
          <w:color w:val="000000" w:themeColor="text1"/>
        </w:rPr>
        <w:t xml:space="preserve">s the 3rd party router for the aggregation network been chosen? </w:t>
      </w:r>
    </w:p>
    <w:p w:rsidR="00BF7AE3" w:rsidRPr="004950C2" w:rsidRDefault="00BF7AE3" w:rsidP="004950C2">
      <w:pPr>
        <w:pStyle w:val="ListParagraph"/>
        <w:numPr>
          <w:ilvl w:val="0"/>
          <w:numId w:val="6"/>
        </w:numPr>
        <w:ind w:left="993" w:hanging="284"/>
        <w:rPr>
          <w:color w:val="000000" w:themeColor="text1"/>
        </w:rPr>
      </w:pPr>
      <w:r w:rsidRPr="004950C2">
        <w:rPr>
          <w:color w:val="000000" w:themeColor="text1"/>
        </w:rPr>
        <w:t>If so how and at what capital cost and operating cost for the MTEF?</w:t>
      </w:r>
    </w:p>
    <w:p w:rsidR="00BF7AE3" w:rsidRDefault="00BF7AE3"/>
    <w:p w:rsidR="00626AB1" w:rsidRPr="00BB1EE8" w:rsidRDefault="00626AB1" w:rsidP="004060EC">
      <w:pPr>
        <w:pStyle w:val="ListParagraph"/>
        <w:numPr>
          <w:ilvl w:val="0"/>
          <w:numId w:val="7"/>
        </w:numPr>
        <w:rPr>
          <w:color w:val="0070C0"/>
        </w:rPr>
      </w:pPr>
      <w:r w:rsidRPr="00BB1EE8">
        <w:rPr>
          <w:color w:val="0070C0"/>
        </w:rPr>
        <w:t xml:space="preserve">Currently </w:t>
      </w:r>
      <w:r w:rsidR="000B156F">
        <w:rPr>
          <w:color w:val="0070C0"/>
        </w:rPr>
        <w:t>BBI</w:t>
      </w:r>
      <w:r w:rsidRPr="00BB1EE8">
        <w:rPr>
          <w:color w:val="0070C0"/>
        </w:rPr>
        <w:t xml:space="preserve"> us</w:t>
      </w:r>
      <w:r w:rsidR="000B156F">
        <w:rPr>
          <w:color w:val="0070C0"/>
        </w:rPr>
        <w:t>e</w:t>
      </w:r>
      <w:r w:rsidRPr="00BB1EE8">
        <w:rPr>
          <w:color w:val="0070C0"/>
        </w:rPr>
        <w:t xml:space="preserve"> existing infrastructure for the aggregation sites. But for future expansion, </w:t>
      </w:r>
      <w:r w:rsidR="00FE05FA">
        <w:rPr>
          <w:color w:val="0070C0"/>
        </w:rPr>
        <w:t>BBI</w:t>
      </w:r>
      <w:r w:rsidRPr="00BB1EE8">
        <w:rPr>
          <w:color w:val="0070C0"/>
        </w:rPr>
        <w:t xml:space="preserve"> intend to use carrier class devices that can do VLAN translation (can merge all different sites into one service, thus saving on management resources). Such devices will also have high density ports (optical and electrical, 1G, 10G mixture), with dual power. The cost for these devices will only be confirmed once Broadband Infraco has issued an enquiry to the market, and received responses with prices.</w:t>
      </w:r>
      <w:r w:rsidR="00BB1EE8" w:rsidRPr="00BB1EE8">
        <w:rPr>
          <w:color w:val="0070C0"/>
        </w:rPr>
        <w:t xml:space="preserve"> </w:t>
      </w:r>
      <w:r w:rsidRPr="00BB1EE8">
        <w:rPr>
          <w:color w:val="0070C0"/>
        </w:rPr>
        <w:t>Normal procurement processes will be followed for the upgrade.</w:t>
      </w:r>
    </w:p>
    <w:p w:rsidR="00626AB1" w:rsidRPr="00626AB1" w:rsidRDefault="00626AB1" w:rsidP="00626AB1">
      <w:pPr>
        <w:pStyle w:val="ListParagraph"/>
        <w:rPr>
          <w:color w:val="0070C0"/>
        </w:rPr>
      </w:pPr>
    </w:p>
    <w:p w:rsidR="00626AB1" w:rsidRPr="00626AB1" w:rsidRDefault="00626AB1" w:rsidP="00626AB1">
      <w:pPr>
        <w:pStyle w:val="ListParagraph"/>
        <w:numPr>
          <w:ilvl w:val="0"/>
          <w:numId w:val="7"/>
        </w:numPr>
        <w:rPr>
          <w:color w:val="0070C0"/>
        </w:rPr>
      </w:pPr>
      <w:r w:rsidRPr="00626AB1">
        <w:rPr>
          <w:color w:val="0070C0"/>
        </w:rPr>
        <w:t>DTPS will pay for services.</w:t>
      </w:r>
    </w:p>
    <w:p w:rsidR="004950C2" w:rsidRDefault="004950C2"/>
    <w:p w:rsidR="00BF7AE3" w:rsidRDefault="00BF7AE3">
      <w:r>
        <w:t>4:</w:t>
      </w:r>
      <w:r>
        <w:tab/>
        <w:t>How are local communities “stakeholders” in these municipal networks?</w:t>
      </w:r>
    </w:p>
    <w:p w:rsidR="00A65B19" w:rsidRPr="009A12B0" w:rsidRDefault="00A65B19" w:rsidP="009A12B0">
      <w:pPr>
        <w:rPr>
          <w:rFonts w:asciiTheme="minorHAnsi" w:hAnsiTheme="minorHAnsi" w:cstheme="minorBidi"/>
          <w:color w:val="0070C0"/>
        </w:rPr>
      </w:pPr>
      <w:r w:rsidRPr="009A12B0">
        <w:rPr>
          <w:rFonts w:asciiTheme="minorHAnsi" w:hAnsiTheme="minorHAnsi" w:cstheme="minorBidi"/>
          <w:color w:val="0070C0"/>
        </w:rPr>
        <w:t xml:space="preserve">Local communities will have ready access to these networks since the services will have been extended to these sites. </w:t>
      </w:r>
    </w:p>
    <w:p w:rsidR="00A65B19" w:rsidRPr="009A12B0" w:rsidRDefault="00A65B19" w:rsidP="009A12B0">
      <w:pPr>
        <w:rPr>
          <w:rFonts w:asciiTheme="minorHAnsi" w:hAnsiTheme="minorHAnsi" w:cstheme="minorBidi"/>
          <w:color w:val="0070C0"/>
        </w:rPr>
      </w:pPr>
    </w:p>
    <w:p w:rsidR="00A65B19" w:rsidRPr="009A12B0" w:rsidRDefault="00A65B19" w:rsidP="009A12B0">
      <w:pPr>
        <w:rPr>
          <w:rFonts w:asciiTheme="minorHAnsi" w:hAnsiTheme="minorHAnsi" w:cstheme="minorBidi"/>
          <w:color w:val="0070C0"/>
        </w:rPr>
      </w:pPr>
      <w:r w:rsidRPr="009A12B0">
        <w:rPr>
          <w:rFonts w:asciiTheme="minorHAnsi" w:hAnsiTheme="minorHAnsi" w:cstheme="minorBidi"/>
          <w:color w:val="0070C0"/>
        </w:rPr>
        <w:t>ANPs have been contracted to use local community services by Broadband Infraco. An audit will be done to check to what extent this is happening.</w:t>
      </w:r>
    </w:p>
    <w:p w:rsidR="00BF7AE3" w:rsidRDefault="00BF7AE3"/>
    <w:p w:rsidR="00A65B19" w:rsidRDefault="00A65B19"/>
    <w:p w:rsidR="00BF7AE3" w:rsidRDefault="00BF7AE3">
      <w:r>
        <w:t>5:</w:t>
      </w:r>
      <w:r>
        <w:tab/>
        <w:t>Will outside parties (ie SMMEs in these communities”</w:t>
      </w:r>
      <w:r w:rsidR="002B5BD6">
        <w:t xml:space="preserve"> b</w:t>
      </w:r>
      <w:r>
        <w:t>e</w:t>
      </w:r>
      <w:r w:rsidR="002B5BD6">
        <w:t xml:space="preserve"> able to become customers of this</w:t>
      </w:r>
      <w:r>
        <w:t xml:space="preserve"> network? If so how and at what cost?</w:t>
      </w:r>
    </w:p>
    <w:p w:rsidR="00D50D3F" w:rsidRDefault="00D50D3F"/>
    <w:p w:rsidR="005B2E13" w:rsidRPr="000F0166" w:rsidRDefault="00BF0F42">
      <w:pPr>
        <w:rPr>
          <w:rFonts w:asciiTheme="minorHAnsi" w:hAnsiTheme="minorHAnsi" w:cstheme="minorBidi"/>
          <w:color w:val="0070C0"/>
        </w:rPr>
      </w:pPr>
      <w:r w:rsidRPr="00785040">
        <w:rPr>
          <w:rFonts w:asciiTheme="minorHAnsi" w:hAnsiTheme="minorHAnsi" w:cstheme="minorBidi"/>
          <w:color w:val="0070C0"/>
        </w:rPr>
        <w:t xml:space="preserve">Response: </w:t>
      </w:r>
      <w:r w:rsidR="00085C4B" w:rsidRPr="00785040">
        <w:rPr>
          <w:rFonts w:asciiTheme="minorHAnsi" w:hAnsiTheme="minorHAnsi" w:cstheme="minorBidi"/>
          <w:color w:val="0070C0"/>
        </w:rPr>
        <w:t>BBI’s network is operated on an open-access basis</w:t>
      </w:r>
      <w:r w:rsidR="000318BA" w:rsidRPr="00785040">
        <w:rPr>
          <w:rFonts w:asciiTheme="minorHAnsi" w:hAnsiTheme="minorHAnsi" w:cstheme="minorBidi"/>
          <w:color w:val="0070C0"/>
        </w:rPr>
        <w:t>, and</w:t>
      </w:r>
      <w:r w:rsidR="002650BA" w:rsidRPr="00785040">
        <w:rPr>
          <w:rFonts w:asciiTheme="minorHAnsi" w:hAnsiTheme="minorHAnsi" w:cstheme="minorBidi"/>
          <w:color w:val="0070C0"/>
        </w:rPr>
        <w:t xml:space="preserve"> so</w:t>
      </w:r>
      <w:r w:rsidR="000318BA" w:rsidRPr="00785040">
        <w:rPr>
          <w:rFonts w:asciiTheme="minorHAnsi" w:hAnsiTheme="minorHAnsi" w:cstheme="minorBidi"/>
          <w:color w:val="0070C0"/>
        </w:rPr>
        <w:t xml:space="preserve"> do ANPs</w:t>
      </w:r>
      <w:r w:rsidR="002650BA" w:rsidRPr="00785040">
        <w:rPr>
          <w:rFonts w:asciiTheme="minorHAnsi" w:hAnsiTheme="minorHAnsi" w:cstheme="minorBidi"/>
          <w:color w:val="0070C0"/>
        </w:rPr>
        <w:t>’</w:t>
      </w:r>
      <w:r w:rsidR="000318BA" w:rsidRPr="00785040">
        <w:rPr>
          <w:rFonts w:asciiTheme="minorHAnsi" w:hAnsiTheme="minorHAnsi" w:cstheme="minorBidi"/>
          <w:color w:val="0070C0"/>
        </w:rPr>
        <w:t>,</w:t>
      </w:r>
      <w:r w:rsidR="00376186" w:rsidRPr="00785040">
        <w:rPr>
          <w:rFonts w:asciiTheme="minorHAnsi" w:hAnsiTheme="minorHAnsi" w:cstheme="minorBidi"/>
          <w:color w:val="0070C0"/>
        </w:rPr>
        <w:t xml:space="preserve"> meaning that the networks are</w:t>
      </w:r>
      <w:r w:rsidR="00085C4B" w:rsidRPr="00785040">
        <w:rPr>
          <w:rFonts w:asciiTheme="minorHAnsi" w:hAnsiTheme="minorHAnsi" w:cstheme="minorBidi"/>
          <w:color w:val="0070C0"/>
        </w:rPr>
        <w:t xml:space="preserve"> open to all </w:t>
      </w:r>
      <w:r w:rsidR="00376186" w:rsidRPr="00785040">
        <w:rPr>
          <w:rFonts w:asciiTheme="minorHAnsi" w:hAnsiTheme="minorHAnsi" w:cstheme="minorBidi"/>
          <w:color w:val="0070C0"/>
        </w:rPr>
        <w:t xml:space="preserve">licensed </w:t>
      </w:r>
      <w:r w:rsidR="00085C4B" w:rsidRPr="00785040">
        <w:rPr>
          <w:rFonts w:asciiTheme="minorHAnsi" w:hAnsiTheme="minorHAnsi" w:cstheme="minorBidi"/>
          <w:color w:val="0070C0"/>
        </w:rPr>
        <w:t xml:space="preserve">service providers, including </w:t>
      </w:r>
      <w:r w:rsidR="002650BA" w:rsidRPr="00785040">
        <w:rPr>
          <w:rFonts w:asciiTheme="minorHAnsi" w:hAnsiTheme="minorHAnsi" w:cstheme="minorBidi"/>
          <w:color w:val="0070C0"/>
        </w:rPr>
        <w:t xml:space="preserve">local SMMEs. </w:t>
      </w:r>
      <w:r w:rsidR="000152B2" w:rsidRPr="00785040">
        <w:rPr>
          <w:rFonts w:asciiTheme="minorHAnsi" w:hAnsiTheme="minorHAnsi" w:cstheme="minorBidi"/>
          <w:color w:val="0070C0"/>
        </w:rPr>
        <w:t>The cost to use these networks will be market related.</w:t>
      </w:r>
    </w:p>
    <w:p w:rsidR="002B5BD6" w:rsidRDefault="002B5BD6"/>
    <w:p w:rsidR="002B5BD6" w:rsidRDefault="002B5BD6">
      <w:r>
        <w:t>6:</w:t>
      </w:r>
      <w:r>
        <w:tab/>
        <w:t>Will the national government network be open to ISPs/service providers outside government on which they can run their own businesses?</w:t>
      </w:r>
    </w:p>
    <w:p w:rsidR="002650BA" w:rsidRDefault="002650BA"/>
    <w:p w:rsidR="00027326" w:rsidRPr="00027326" w:rsidRDefault="00027326" w:rsidP="00027326">
      <w:pPr>
        <w:rPr>
          <w:rFonts w:asciiTheme="minorHAnsi" w:hAnsiTheme="minorHAnsi" w:cstheme="minorBidi"/>
          <w:color w:val="0070C0"/>
        </w:rPr>
      </w:pPr>
      <w:r w:rsidRPr="00027326">
        <w:rPr>
          <w:rFonts w:asciiTheme="minorHAnsi" w:hAnsiTheme="minorHAnsi" w:cstheme="minorBidi"/>
          <w:color w:val="0070C0"/>
        </w:rPr>
        <w:t>Yes</w:t>
      </w:r>
      <w:r w:rsidR="00B15C03">
        <w:rPr>
          <w:rFonts w:asciiTheme="minorHAnsi" w:hAnsiTheme="minorHAnsi" w:cstheme="minorBidi"/>
          <w:color w:val="0070C0"/>
        </w:rPr>
        <w:t>,</w:t>
      </w:r>
      <w:r w:rsidRPr="00027326">
        <w:rPr>
          <w:rFonts w:asciiTheme="minorHAnsi" w:hAnsiTheme="minorHAnsi" w:cstheme="minorBidi"/>
          <w:color w:val="0070C0"/>
        </w:rPr>
        <w:t xml:space="preserve"> it is possible, dependent on the case by case (terrain, distance, etc.). Some investment to extend the connection may be required.</w:t>
      </w:r>
    </w:p>
    <w:p w:rsidR="00027326" w:rsidRPr="00027326" w:rsidRDefault="00027326" w:rsidP="00027326">
      <w:pPr>
        <w:rPr>
          <w:rFonts w:asciiTheme="minorHAnsi" w:hAnsiTheme="minorHAnsi" w:cstheme="minorBidi"/>
          <w:color w:val="0070C0"/>
        </w:rPr>
      </w:pPr>
    </w:p>
    <w:p w:rsidR="00027326" w:rsidRPr="00027326" w:rsidRDefault="00027326" w:rsidP="00027326">
      <w:pPr>
        <w:rPr>
          <w:rFonts w:asciiTheme="minorHAnsi" w:hAnsiTheme="minorHAnsi" w:cstheme="minorBidi"/>
          <w:color w:val="0070C0"/>
        </w:rPr>
      </w:pPr>
      <w:r w:rsidRPr="00027326">
        <w:rPr>
          <w:rFonts w:asciiTheme="minorHAnsi" w:hAnsiTheme="minorHAnsi" w:cstheme="minorBidi"/>
          <w:color w:val="0070C0"/>
        </w:rPr>
        <w:t>ISPs that have been enabled can provide services to end customers.</w:t>
      </w:r>
    </w:p>
    <w:p w:rsidR="002650BA" w:rsidRDefault="002650BA"/>
    <w:p w:rsidR="00BF7AE3" w:rsidRDefault="00BF7AE3"/>
    <w:p w:rsidR="00BF7AE3" w:rsidRDefault="002B5BD6">
      <w:r>
        <w:t>7</w:t>
      </w:r>
      <w:r w:rsidR="00BF7AE3">
        <w:t>:</w:t>
      </w:r>
      <w:r w:rsidR="00BF7AE3">
        <w:tab/>
        <w:t xml:space="preserve">What is the total approved budget allocation from 2017 – until 2020/21? I add it up to be R750,9 million. Is this correct? How much of it has been approved by National Treasury. Has NT put conditions on the </w:t>
      </w:r>
      <w:r>
        <w:t xml:space="preserve">deliverables before the next </w:t>
      </w:r>
      <w:r w:rsidR="00BF7AE3">
        <w:t>year’s tranche of money is released?</w:t>
      </w:r>
      <w:r w:rsidR="007C79B0">
        <w:t xml:space="preserve"> Does any of this budget include the Western Cape/Gauteng rollouts? If so, How much per province?</w:t>
      </w:r>
    </w:p>
    <w:p w:rsidR="002650BA" w:rsidRDefault="002650BA"/>
    <w:p w:rsidR="002650BA" w:rsidRPr="00EC7552" w:rsidRDefault="00BF0F42">
      <w:pPr>
        <w:rPr>
          <w:rFonts w:asciiTheme="minorHAnsi" w:hAnsiTheme="minorHAnsi" w:cstheme="minorBidi"/>
          <w:color w:val="0070C0"/>
        </w:rPr>
      </w:pPr>
      <w:r w:rsidRPr="00EC7552">
        <w:rPr>
          <w:rFonts w:asciiTheme="minorHAnsi" w:hAnsiTheme="minorHAnsi" w:cstheme="minorBidi"/>
          <w:color w:val="0070C0"/>
        </w:rPr>
        <w:t xml:space="preserve">Response: </w:t>
      </w:r>
      <w:r w:rsidR="00A20696">
        <w:rPr>
          <w:rFonts w:asciiTheme="minorHAnsi" w:hAnsiTheme="minorHAnsi" w:cstheme="minorBidi"/>
          <w:color w:val="0070C0"/>
        </w:rPr>
        <w:t>Yes, it is correct</w:t>
      </w:r>
      <w:r w:rsidR="00A2541C">
        <w:rPr>
          <w:rFonts w:asciiTheme="minorHAnsi" w:hAnsiTheme="minorHAnsi" w:cstheme="minorBidi"/>
          <w:color w:val="0070C0"/>
        </w:rPr>
        <w:t xml:space="preserve"> (Slide 14)</w:t>
      </w:r>
      <w:bookmarkStart w:id="0" w:name="_GoBack"/>
      <w:bookmarkEnd w:id="0"/>
      <w:r w:rsidR="00A20696">
        <w:rPr>
          <w:rFonts w:asciiTheme="minorHAnsi" w:hAnsiTheme="minorHAnsi" w:cstheme="minorBidi"/>
          <w:color w:val="0070C0"/>
        </w:rPr>
        <w:t xml:space="preserve">. </w:t>
      </w:r>
      <w:r w:rsidR="00D20A59" w:rsidRPr="00EC7552">
        <w:rPr>
          <w:rFonts w:asciiTheme="minorHAnsi" w:hAnsiTheme="minorHAnsi" w:cstheme="minorBidi"/>
          <w:color w:val="0070C0"/>
        </w:rPr>
        <w:t xml:space="preserve">The </w:t>
      </w:r>
      <w:r w:rsidR="007A6F8E">
        <w:rPr>
          <w:rFonts w:asciiTheme="minorHAnsi" w:hAnsiTheme="minorHAnsi" w:cstheme="minorBidi"/>
          <w:color w:val="0070C0"/>
        </w:rPr>
        <w:t xml:space="preserve">approved </w:t>
      </w:r>
      <w:r w:rsidR="00D20A59" w:rsidRPr="00EC7552">
        <w:rPr>
          <w:rFonts w:asciiTheme="minorHAnsi" w:hAnsiTheme="minorHAnsi" w:cstheme="minorBidi"/>
          <w:color w:val="0070C0"/>
        </w:rPr>
        <w:t>base</w:t>
      </w:r>
      <w:r w:rsidR="005B557C" w:rsidRPr="00EC7552">
        <w:rPr>
          <w:rFonts w:asciiTheme="minorHAnsi" w:hAnsiTheme="minorHAnsi" w:cstheme="minorBidi"/>
          <w:color w:val="0070C0"/>
        </w:rPr>
        <w:t>line</w:t>
      </w:r>
      <w:r w:rsidR="00D20A59" w:rsidRPr="00EC7552">
        <w:rPr>
          <w:rFonts w:asciiTheme="minorHAnsi" w:hAnsiTheme="minorHAnsi" w:cstheme="minorBidi"/>
          <w:color w:val="0070C0"/>
        </w:rPr>
        <w:t xml:space="preserve"> allocations for 2017/18 – 2020/21 </w:t>
      </w:r>
      <w:r w:rsidR="007A6F8E">
        <w:rPr>
          <w:rFonts w:asciiTheme="minorHAnsi" w:hAnsiTheme="minorHAnsi" w:cstheme="minorBidi"/>
          <w:color w:val="0070C0"/>
        </w:rPr>
        <w:t>is</w:t>
      </w:r>
      <w:r w:rsidR="00D20A59" w:rsidRPr="00EC7552">
        <w:rPr>
          <w:rFonts w:asciiTheme="minorHAnsi" w:hAnsiTheme="minorHAnsi" w:cstheme="minorBidi"/>
          <w:color w:val="0070C0"/>
        </w:rPr>
        <w:t xml:space="preserve"> R</w:t>
      </w:r>
      <w:r w:rsidR="007A6F8E">
        <w:rPr>
          <w:rFonts w:asciiTheme="minorHAnsi" w:hAnsiTheme="minorHAnsi" w:cstheme="minorBidi"/>
          <w:color w:val="0070C0"/>
        </w:rPr>
        <w:t>750</w:t>
      </w:r>
      <w:r w:rsidR="00C60FC9">
        <w:rPr>
          <w:rFonts w:asciiTheme="minorHAnsi" w:hAnsiTheme="minorHAnsi" w:cstheme="minorBidi"/>
          <w:color w:val="0070C0"/>
        </w:rPr>
        <w:t>,9</w:t>
      </w:r>
      <w:r w:rsidR="00D20A59" w:rsidRPr="00EC7552">
        <w:rPr>
          <w:rFonts w:asciiTheme="minorHAnsi" w:hAnsiTheme="minorHAnsi" w:cstheme="minorBidi"/>
          <w:color w:val="0070C0"/>
        </w:rPr>
        <w:t xml:space="preserve"> million (inclusive </w:t>
      </w:r>
      <w:r w:rsidR="00AD41EC" w:rsidRPr="00EC7552">
        <w:rPr>
          <w:rFonts w:asciiTheme="minorHAnsi" w:hAnsiTheme="minorHAnsi" w:cstheme="minorBidi"/>
          <w:color w:val="0070C0"/>
        </w:rPr>
        <w:t>of R110 million rollover approved</w:t>
      </w:r>
      <w:r w:rsidR="00D20A59" w:rsidRPr="00EC7552">
        <w:rPr>
          <w:rFonts w:asciiTheme="minorHAnsi" w:hAnsiTheme="minorHAnsi" w:cstheme="minorBidi"/>
          <w:color w:val="0070C0"/>
        </w:rPr>
        <w:t xml:space="preserve">). </w:t>
      </w:r>
      <w:r w:rsidR="00D50D3F" w:rsidRPr="00EC7552">
        <w:rPr>
          <w:rFonts w:asciiTheme="minorHAnsi" w:hAnsiTheme="minorHAnsi" w:cstheme="minorBidi"/>
          <w:color w:val="0070C0"/>
        </w:rPr>
        <w:t>Submission of quarterly progress reports</w:t>
      </w:r>
      <w:r w:rsidR="00023EAF" w:rsidRPr="00EC7552">
        <w:rPr>
          <w:rFonts w:asciiTheme="minorHAnsi" w:hAnsiTheme="minorHAnsi" w:cstheme="minorBidi"/>
          <w:color w:val="0070C0"/>
        </w:rPr>
        <w:t xml:space="preserve"> (planned vs achieved connectivity and amount spent)</w:t>
      </w:r>
      <w:r w:rsidR="00D50D3F" w:rsidRPr="00EC7552">
        <w:rPr>
          <w:rFonts w:asciiTheme="minorHAnsi" w:hAnsiTheme="minorHAnsi" w:cstheme="minorBidi"/>
          <w:color w:val="0070C0"/>
        </w:rPr>
        <w:t xml:space="preserve"> is a requirement of NT</w:t>
      </w:r>
      <w:r w:rsidR="00023EAF" w:rsidRPr="00EC7552">
        <w:rPr>
          <w:rFonts w:asciiTheme="minorHAnsi" w:hAnsiTheme="minorHAnsi" w:cstheme="minorBidi"/>
          <w:color w:val="0070C0"/>
        </w:rPr>
        <w:t xml:space="preserve"> to ensure continued base</w:t>
      </w:r>
      <w:r w:rsidR="004372C7" w:rsidRPr="00EC7552">
        <w:rPr>
          <w:rFonts w:asciiTheme="minorHAnsi" w:hAnsiTheme="minorHAnsi" w:cstheme="minorBidi"/>
          <w:color w:val="0070C0"/>
        </w:rPr>
        <w:t>line</w:t>
      </w:r>
      <w:r w:rsidR="00023EAF" w:rsidRPr="00EC7552">
        <w:rPr>
          <w:rFonts w:asciiTheme="minorHAnsi" w:hAnsiTheme="minorHAnsi" w:cstheme="minorBidi"/>
          <w:color w:val="0070C0"/>
        </w:rPr>
        <w:t xml:space="preserve"> allocation for Phase 1.</w:t>
      </w:r>
    </w:p>
    <w:p w:rsidR="00BF7AE3" w:rsidRPr="00EC7552" w:rsidRDefault="00BF7AE3">
      <w:pPr>
        <w:rPr>
          <w:rFonts w:asciiTheme="minorHAnsi" w:hAnsiTheme="minorHAnsi" w:cstheme="minorBidi"/>
          <w:color w:val="0070C0"/>
        </w:rPr>
      </w:pPr>
    </w:p>
    <w:p w:rsidR="007B0940" w:rsidRPr="00EC7552" w:rsidRDefault="007B0940" w:rsidP="007B0940">
      <w:pPr>
        <w:rPr>
          <w:rFonts w:asciiTheme="minorHAnsi" w:hAnsiTheme="minorHAnsi" w:cstheme="minorBidi"/>
          <w:color w:val="0070C0"/>
        </w:rPr>
      </w:pPr>
      <w:r w:rsidRPr="00EC7552">
        <w:rPr>
          <w:rFonts w:asciiTheme="minorHAnsi" w:hAnsiTheme="minorHAnsi" w:cstheme="minorBidi"/>
          <w:color w:val="0070C0"/>
        </w:rPr>
        <w:t>Phase 1 rollout excludes Gauteng and Western Cape provinces. The two provinces will be included in the Phase 2 rollout</w:t>
      </w:r>
      <w:r w:rsidR="000A4CF8" w:rsidRPr="00EC7552">
        <w:rPr>
          <w:rFonts w:asciiTheme="minorHAnsi" w:hAnsiTheme="minorHAnsi" w:cstheme="minorBidi"/>
          <w:color w:val="0070C0"/>
        </w:rPr>
        <w:t xml:space="preserve"> to cover any gaps that may exist</w:t>
      </w:r>
      <w:r w:rsidR="000E255B" w:rsidRPr="00EC7552">
        <w:rPr>
          <w:rFonts w:asciiTheme="minorHAnsi" w:hAnsiTheme="minorHAnsi" w:cstheme="minorBidi"/>
          <w:color w:val="0070C0"/>
        </w:rPr>
        <w:t xml:space="preserve"> in these provinces</w:t>
      </w:r>
      <w:r w:rsidR="000A4CF8" w:rsidRPr="00EC7552">
        <w:rPr>
          <w:rFonts w:asciiTheme="minorHAnsi" w:hAnsiTheme="minorHAnsi" w:cstheme="minorBidi"/>
          <w:color w:val="0070C0"/>
        </w:rPr>
        <w:t xml:space="preserve"> (Slide 6)</w:t>
      </w:r>
      <w:r w:rsidRPr="00EC7552">
        <w:rPr>
          <w:rFonts w:asciiTheme="minorHAnsi" w:hAnsiTheme="minorHAnsi" w:cstheme="minorBidi"/>
          <w:color w:val="0070C0"/>
        </w:rPr>
        <w:t>.</w:t>
      </w:r>
    </w:p>
    <w:p w:rsidR="007B0940" w:rsidRDefault="007B0940"/>
    <w:p w:rsidR="00BF7AE3" w:rsidRDefault="002B5BD6">
      <w:r>
        <w:lastRenderedPageBreak/>
        <w:t>8:</w:t>
      </w:r>
      <w:r>
        <w:tab/>
        <w:t>Ho</w:t>
      </w:r>
      <w:r w:rsidR="00BF7AE3">
        <w:t>w are the</w:t>
      </w:r>
      <w:r>
        <w:t xml:space="preserve"> numbers for site installations split between USAASA and SITA? What contribution has BBI made to these installations so far?</w:t>
      </w:r>
    </w:p>
    <w:p w:rsidR="00D0227B" w:rsidRDefault="00D0227B"/>
    <w:p w:rsidR="00EB0C62" w:rsidRPr="00EC7552" w:rsidRDefault="00BF0F42">
      <w:pPr>
        <w:rPr>
          <w:rFonts w:asciiTheme="minorHAnsi" w:hAnsiTheme="minorHAnsi" w:cstheme="minorBidi"/>
          <w:color w:val="0070C0"/>
        </w:rPr>
      </w:pPr>
      <w:r w:rsidRPr="00EC7552">
        <w:rPr>
          <w:rFonts w:asciiTheme="minorHAnsi" w:hAnsiTheme="minorHAnsi" w:cstheme="minorBidi"/>
          <w:color w:val="0070C0"/>
        </w:rPr>
        <w:t xml:space="preserve">Response: </w:t>
      </w:r>
      <w:r w:rsidR="00D0227B" w:rsidRPr="00EC7552">
        <w:rPr>
          <w:rFonts w:asciiTheme="minorHAnsi" w:hAnsiTheme="minorHAnsi" w:cstheme="minorBidi"/>
          <w:color w:val="0070C0"/>
        </w:rPr>
        <w:t xml:space="preserve">Under the </w:t>
      </w:r>
      <w:r w:rsidR="00144D6E" w:rsidRPr="00EC7552">
        <w:rPr>
          <w:rFonts w:asciiTheme="minorHAnsi" w:hAnsiTheme="minorHAnsi" w:cstheme="minorBidi"/>
          <w:color w:val="0070C0"/>
        </w:rPr>
        <w:t xml:space="preserve">SA Connect </w:t>
      </w:r>
      <w:r w:rsidR="00D0227B" w:rsidRPr="00EC7552">
        <w:rPr>
          <w:rFonts w:asciiTheme="minorHAnsi" w:hAnsiTheme="minorHAnsi" w:cstheme="minorBidi"/>
          <w:color w:val="0070C0"/>
        </w:rPr>
        <w:t>Phase 1 rollout the</w:t>
      </w:r>
      <w:r w:rsidR="00144D6E" w:rsidRPr="00EC7552">
        <w:rPr>
          <w:rFonts w:asciiTheme="minorHAnsi" w:hAnsiTheme="minorHAnsi" w:cstheme="minorBidi"/>
          <w:color w:val="0070C0"/>
        </w:rPr>
        <w:t xml:space="preserve"> two </w:t>
      </w:r>
      <w:r w:rsidR="00D0227B" w:rsidRPr="00EC7552">
        <w:rPr>
          <w:rFonts w:asciiTheme="minorHAnsi" w:hAnsiTheme="minorHAnsi" w:cstheme="minorBidi"/>
          <w:color w:val="0070C0"/>
        </w:rPr>
        <w:t xml:space="preserve">entities </w:t>
      </w:r>
      <w:r w:rsidR="00144D6E" w:rsidRPr="00EC7552">
        <w:rPr>
          <w:rFonts w:asciiTheme="minorHAnsi" w:hAnsiTheme="minorHAnsi" w:cstheme="minorBidi"/>
          <w:color w:val="0070C0"/>
        </w:rPr>
        <w:t xml:space="preserve">mandated to </w:t>
      </w:r>
      <w:r w:rsidR="00EB0C62" w:rsidRPr="00EC7552">
        <w:rPr>
          <w:rFonts w:asciiTheme="minorHAnsi" w:hAnsiTheme="minorHAnsi" w:cstheme="minorBidi"/>
          <w:color w:val="0070C0"/>
        </w:rPr>
        <w:t>carry out</w:t>
      </w:r>
      <w:r w:rsidR="00144D6E" w:rsidRPr="00EC7552">
        <w:rPr>
          <w:rFonts w:asciiTheme="minorHAnsi" w:hAnsiTheme="minorHAnsi" w:cstheme="minorBidi"/>
          <w:color w:val="0070C0"/>
        </w:rPr>
        <w:t xml:space="preserve"> the broadband rollout </w:t>
      </w:r>
      <w:r w:rsidR="00D0227B" w:rsidRPr="00EC7552">
        <w:rPr>
          <w:rFonts w:asciiTheme="minorHAnsi" w:hAnsiTheme="minorHAnsi" w:cstheme="minorBidi"/>
          <w:color w:val="0070C0"/>
        </w:rPr>
        <w:t xml:space="preserve">are BBI and SITA.  </w:t>
      </w:r>
      <w:r w:rsidR="00144D6E" w:rsidRPr="00EC7552">
        <w:rPr>
          <w:rFonts w:asciiTheme="minorHAnsi" w:hAnsiTheme="minorHAnsi" w:cstheme="minorBidi"/>
          <w:color w:val="0070C0"/>
        </w:rPr>
        <w:t>In this financial year</w:t>
      </w:r>
      <w:r w:rsidR="00EB0C62" w:rsidRPr="00EC7552">
        <w:rPr>
          <w:rFonts w:asciiTheme="minorHAnsi" w:hAnsiTheme="minorHAnsi" w:cstheme="minorBidi"/>
          <w:color w:val="0070C0"/>
        </w:rPr>
        <w:t>,</w:t>
      </w:r>
      <w:r w:rsidR="00144D6E" w:rsidRPr="00EC7552">
        <w:rPr>
          <w:rFonts w:asciiTheme="minorHAnsi" w:hAnsiTheme="minorHAnsi" w:cstheme="minorBidi"/>
          <w:color w:val="0070C0"/>
        </w:rPr>
        <w:t xml:space="preserve"> two g</w:t>
      </w:r>
      <w:r w:rsidR="00D0227B" w:rsidRPr="00EC7552">
        <w:rPr>
          <w:rFonts w:asciiTheme="minorHAnsi" w:hAnsiTheme="minorHAnsi" w:cstheme="minorBidi"/>
          <w:color w:val="0070C0"/>
        </w:rPr>
        <w:t>ov</w:t>
      </w:r>
      <w:r w:rsidR="00EB0C62" w:rsidRPr="00EC7552">
        <w:rPr>
          <w:rFonts w:asciiTheme="minorHAnsi" w:hAnsiTheme="minorHAnsi" w:cstheme="minorBidi"/>
          <w:color w:val="0070C0"/>
        </w:rPr>
        <w:t>ernment orders were</w:t>
      </w:r>
      <w:r w:rsidR="00144D6E" w:rsidRPr="00EC7552">
        <w:rPr>
          <w:rFonts w:asciiTheme="minorHAnsi" w:hAnsiTheme="minorHAnsi" w:cstheme="minorBidi"/>
          <w:color w:val="0070C0"/>
        </w:rPr>
        <w:t xml:space="preserve"> issued to BBI to install network connectivity to </w:t>
      </w:r>
      <w:r w:rsidR="00EB0C62" w:rsidRPr="00EC7552">
        <w:rPr>
          <w:rFonts w:asciiTheme="minorHAnsi" w:hAnsiTheme="minorHAnsi" w:cstheme="minorBidi"/>
          <w:color w:val="0070C0"/>
        </w:rPr>
        <w:t>915</w:t>
      </w:r>
      <w:r w:rsidR="00144D6E" w:rsidRPr="00EC7552">
        <w:rPr>
          <w:rFonts w:asciiTheme="minorHAnsi" w:hAnsiTheme="minorHAnsi" w:cstheme="minorBidi"/>
          <w:color w:val="0070C0"/>
        </w:rPr>
        <w:t xml:space="preserve"> sites</w:t>
      </w:r>
      <w:r w:rsidR="00EB0C62" w:rsidRPr="00EC7552">
        <w:rPr>
          <w:rFonts w:asciiTheme="minorHAnsi" w:hAnsiTheme="minorHAnsi" w:cstheme="minorBidi"/>
          <w:color w:val="0070C0"/>
        </w:rPr>
        <w:t xml:space="preserve"> (313 + </w:t>
      </w:r>
      <w:r w:rsidR="00144D6E" w:rsidRPr="00EC7552">
        <w:rPr>
          <w:rFonts w:asciiTheme="minorHAnsi" w:hAnsiTheme="minorHAnsi" w:cstheme="minorBidi"/>
          <w:color w:val="0070C0"/>
        </w:rPr>
        <w:t>602 sites</w:t>
      </w:r>
      <w:r w:rsidR="00EB0C62" w:rsidRPr="00EC7552">
        <w:rPr>
          <w:rFonts w:asciiTheme="minorHAnsi" w:hAnsiTheme="minorHAnsi" w:cstheme="minorBidi"/>
          <w:color w:val="0070C0"/>
        </w:rPr>
        <w:t>). F</w:t>
      </w:r>
      <w:r w:rsidR="00144D6E" w:rsidRPr="00EC7552">
        <w:rPr>
          <w:rFonts w:asciiTheme="minorHAnsi" w:hAnsiTheme="minorHAnsi" w:cstheme="minorBidi"/>
          <w:color w:val="0070C0"/>
        </w:rPr>
        <w:t>our government orders have been issued</w:t>
      </w:r>
      <w:r w:rsidR="00EB0C62" w:rsidRPr="00EC7552">
        <w:rPr>
          <w:rFonts w:asciiTheme="minorHAnsi" w:hAnsiTheme="minorHAnsi" w:cstheme="minorBidi"/>
          <w:color w:val="0070C0"/>
        </w:rPr>
        <w:t>, in this financial year,</w:t>
      </w:r>
      <w:r w:rsidR="00144D6E" w:rsidRPr="00EC7552">
        <w:rPr>
          <w:rFonts w:asciiTheme="minorHAnsi" w:hAnsiTheme="minorHAnsi" w:cstheme="minorBidi"/>
          <w:color w:val="0070C0"/>
        </w:rPr>
        <w:t xml:space="preserve"> to SITA to upgrade internet services to </w:t>
      </w:r>
      <w:r w:rsidR="00EB0C62" w:rsidRPr="00EC7552">
        <w:rPr>
          <w:rFonts w:asciiTheme="minorHAnsi" w:hAnsiTheme="minorHAnsi" w:cstheme="minorBidi"/>
          <w:color w:val="0070C0"/>
        </w:rPr>
        <w:t>257 sites (63 + 194 sites) and to activate internet services to 915 sites (313 + 602 sites) where BBI installed network connectivity.</w:t>
      </w:r>
      <w:r w:rsidR="00144D6E" w:rsidRPr="00EC7552">
        <w:rPr>
          <w:rFonts w:asciiTheme="minorHAnsi" w:hAnsiTheme="minorHAnsi" w:cstheme="minorBidi"/>
          <w:color w:val="0070C0"/>
        </w:rPr>
        <w:t xml:space="preserve"> </w:t>
      </w:r>
      <w:r w:rsidR="00EB0C62" w:rsidRPr="00EC7552">
        <w:rPr>
          <w:rFonts w:asciiTheme="minorHAnsi" w:hAnsiTheme="minorHAnsi" w:cstheme="minorBidi"/>
          <w:color w:val="0070C0"/>
        </w:rPr>
        <w:t>BBI has to date installed network connectivity to 312 sites.</w:t>
      </w:r>
    </w:p>
    <w:p w:rsidR="002B5BD6" w:rsidRDefault="002B5BD6"/>
    <w:p w:rsidR="002B5BD6" w:rsidRDefault="002B5BD6">
      <w:r>
        <w:t>9:</w:t>
      </w:r>
      <w:r>
        <w:tab/>
        <w:t>Slide 16: .Core network can accommodate only 570 sites. By the end of the year will 882 sites be up and running (63+507+312). Please explain.</w:t>
      </w:r>
    </w:p>
    <w:p w:rsidR="008F67B7" w:rsidRDefault="008F67B7"/>
    <w:p w:rsidR="008F67B7" w:rsidRPr="00EC7552" w:rsidRDefault="00BF0F42">
      <w:pPr>
        <w:rPr>
          <w:rFonts w:asciiTheme="minorHAnsi" w:hAnsiTheme="minorHAnsi" w:cstheme="minorBidi"/>
          <w:color w:val="0070C0"/>
        </w:rPr>
      </w:pPr>
      <w:r w:rsidRPr="00EC7552">
        <w:rPr>
          <w:rFonts w:asciiTheme="minorHAnsi" w:hAnsiTheme="minorHAnsi" w:cstheme="minorBidi"/>
          <w:color w:val="0070C0"/>
        </w:rPr>
        <w:t xml:space="preserve">Response: </w:t>
      </w:r>
      <w:r w:rsidR="008F67B7" w:rsidRPr="00EC7552">
        <w:rPr>
          <w:rFonts w:asciiTheme="minorHAnsi" w:hAnsiTheme="minorHAnsi" w:cstheme="minorBidi"/>
          <w:color w:val="0070C0"/>
        </w:rPr>
        <w:t>SITA’s core network has been optimized to accommodate</w:t>
      </w:r>
      <w:r w:rsidR="00B81113" w:rsidRPr="00EC7552">
        <w:rPr>
          <w:rFonts w:asciiTheme="minorHAnsi" w:hAnsiTheme="minorHAnsi" w:cstheme="minorBidi"/>
          <w:color w:val="0070C0"/>
        </w:rPr>
        <w:t xml:space="preserve"> the initial</w:t>
      </w:r>
      <w:r w:rsidR="008F67B7" w:rsidRPr="00EC7552">
        <w:rPr>
          <w:rFonts w:asciiTheme="minorHAnsi" w:hAnsiTheme="minorHAnsi" w:cstheme="minorBidi"/>
          <w:color w:val="0070C0"/>
        </w:rPr>
        <w:t xml:space="preserve"> internet services to 570 sites (63 + 194 + 313 sites)</w:t>
      </w:r>
      <w:r w:rsidR="002F28C5" w:rsidRPr="00EC7552">
        <w:rPr>
          <w:rFonts w:asciiTheme="minorHAnsi" w:hAnsiTheme="minorHAnsi" w:cstheme="minorBidi"/>
          <w:color w:val="0070C0"/>
        </w:rPr>
        <w:t xml:space="preserve"> (Slide 16)</w:t>
      </w:r>
      <w:r w:rsidR="00B81113" w:rsidRPr="00EC7552">
        <w:rPr>
          <w:rFonts w:asciiTheme="minorHAnsi" w:hAnsiTheme="minorHAnsi" w:cstheme="minorBidi"/>
          <w:color w:val="0070C0"/>
        </w:rPr>
        <w:t>. The core network capacity has also been increased to accommodate internet services to additional 602 sites. In total the core network will accommodate 1172</w:t>
      </w:r>
      <w:r w:rsidR="00B170AB" w:rsidRPr="00EC7552">
        <w:rPr>
          <w:rFonts w:asciiTheme="minorHAnsi" w:hAnsiTheme="minorHAnsi" w:cstheme="minorBidi"/>
          <w:color w:val="0070C0"/>
        </w:rPr>
        <w:t xml:space="preserve"> sites</w:t>
      </w:r>
      <w:r w:rsidR="00B81113" w:rsidRPr="00EC7552">
        <w:rPr>
          <w:rFonts w:asciiTheme="minorHAnsi" w:hAnsiTheme="minorHAnsi" w:cstheme="minorBidi"/>
          <w:color w:val="0070C0"/>
        </w:rPr>
        <w:t xml:space="preserve"> (570 + 602 sites)</w:t>
      </w:r>
      <w:r w:rsidR="00BC75B4" w:rsidRPr="00EC7552">
        <w:rPr>
          <w:rFonts w:asciiTheme="minorHAnsi" w:hAnsiTheme="minorHAnsi" w:cstheme="minorBidi"/>
          <w:color w:val="0070C0"/>
        </w:rPr>
        <w:t xml:space="preserve"> (Slide 19)</w:t>
      </w:r>
    </w:p>
    <w:p w:rsidR="002B5BD6" w:rsidRDefault="002B5BD6"/>
    <w:p w:rsidR="002B5BD6" w:rsidRDefault="002B5BD6">
      <w:r>
        <w:t>10:</w:t>
      </w:r>
      <w:r>
        <w:tab/>
        <w:t>4 Phase 1 rollouts is for (slide 9) for total 6135 sites.</w:t>
      </w:r>
      <w:r w:rsidR="007C79B0">
        <w:t xml:space="preserve"> How many of these sites have been/are being implemented by the Western Cape and Gauteng governments? From which budgets are these two provinces being funded?</w:t>
      </w:r>
    </w:p>
    <w:p w:rsidR="00B81113" w:rsidRDefault="00B81113"/>
    <w:p w:rsidR="00B81113" w:rsidRPr="00EC7552" w:rsidRDefault="00BF0F42">
      <w:pPr>
        <w:rPr>
          <w:rFonts w:asciiTheme="minorHAnsi" w:hAnsiTheme="minorHAnsi" w:cstheme="minorBidi"/>
          <w:color w:val="0070C0"/>
        </w:rPr>
      </w:pPr>
      <w:r w:rsidRPr="00EC7552">
        <w:rPr>
          <w:rFonts w:asciiTheme="minorHAnsi" w:hAnsiTheme="minorHAnsi" w:cstheme="minorBidi"/>
          <w:color w:val="0070C0"/>
        </w:rPr>
        <w:t xml:space="preserve">Response: </w:t>
      </w:r>
      <w:r w:rsidR="00B81113" w:rsidRPr="00EC7552">
        <w:rPr>
          <w:rFonts w:asciiTheme="minorHAnsi" w:hAnsiTheme="minorHAnsi" w:cstheme="minorBidi"/>
          <w:color w:val="0070C0"/>
        </w:rPr>
        <w:t>Phase 1 rollout excludes Gauteng and Western Cape</w:t>
      </w:r>
      <w:r w:rsidR="00D50D3F" w:rsidRPr="00EC7552">
        <w:rPr>
          <w:rFonts w:asciiTheme="minorHAnsi" w:hAnsiTheme="minorHAnsi" w:cstheme="minorBidi"/>
          <w:color w:val="0070C0"/>
        </w:rPr>
        <w:t xml:space="preserve"> provinces</w:t>
      </w:r>
      <w:r w:rsidR="00B81113" w:rsidRPr="00EC7552">
        <w:rPr>
          <w:rFonts w:asciiTheme="minorHAnsi" w:hAnsiTheme="minorHAnsi" w:cstheme="minorBidi"/>
          <w:color w:val="0070C0"/>
        </w:rPr>
        <w:t xml:space="preserve">. The </w:t>
      </w:r>
      <w:r w:rsidR="00D50D3F" w:rsidRPr="00EC7552">
        <w:rPr>
          <w:rFonts w:asciiTheme="minorHAnsi" w:hAnsiTheme="minorHAnsi" w:cstheme="minorBidi"/>
          <w:color w:val="0070C0"/>
        </w:rPr>
        <w:t xml:space="preserve">two provinces will be included in </w:t>
      </w:r>
      <w:r w:rsidR="00B170AB" w:rsidRPr="00EC7552">
        <w:rPr>
          <w:rFonts w:asciiTheme="minorHAnsi" w:hAnsiTheme="minorHAnsi" w:cstheme="minorBidi"/>
          <w:color w:val="0070C0"/>
        </w:rPr>
        <w:t xml:space="preserve">the </w:t>
      </w:r>
      <w:r w:rsidR="00D50D3F" w:rsidRPr="00EC7552">
        <w:rPr>
          <w:rFonts w:asciiTheme="minorHAnsi" w:hAnsiTheme="minorHAnsi" w:cstheme="minorBidi"/>
          <w:color w:val="0070C0"/>
        </w:rPr>
        <w:t>Phase 2</w:t>
      </w:r>
      <w:r w:rsidR="00B170AB" w:rsidRPr="00EC7552">
        <w:rPr>
          <w:rFonts w:asciiTheme="minorHAnsi" w:hAnsiTheme="minorHAnsi" w:cstheme="minorBidi"/>
          <w:color w:val="0070C0"/>
        </w:rPr>
        <w:t xml:space="preserve"> rollout</w:t>
      </w:r>
      <w:r w:rsidR="00D50D3F" w:rsidRPr="00EC7552">
        <w:rPr>
          <w:rFonts w:asciiTheme="minorHAnsi" w:hAnsiTheme="minorHAnsi" w:cstheme="minorBidi"/>
          <w:color w:val="0070C0"/>
        </w:rPr>
        <w:t>.</w:t>
      </w:r>
      <w:r w:rsidR="00056BDF" w:rsidRPr="00EC7552">
        <w:rPr>
          <w:rFonts w:asciiTheme="minorHAnsi" w:hAnsiTheme="minorHAnsi" w:cstheme="minorBidi"/>
          <w:color w:val="0070C0"/>
        </w:rPr>
        <w:t xml:space="preserve"> The roll-out for the two </w:t>
      </w:r>
      <w:r w:rsidR="00CE7CF3" w:rsidRPr="00EC7552">
        <w:rPr>
          <w:rFonts w:asciiTheme="minorHAnsi" w:hAnsiTheme="minorHAnsi" w:cstheme="minorBidi"/>
          <w:color w:val="0070C0"/>
        </w:rPr>
        <w:t>provinces is from their provincial budgets</w:t>
      </w:r>
      <w:r w:rsidR="00C72A85" w:rsidRPr="00EC7552">
        <w:rPr>
          <w:rFonts w:asciiTheme="minorHAnsi" w:hAnsiTheme="minorHAnsi" w:cstheme="minorBidi"/>
          <w:color w:val="0070C0"/>
        </w:rPr>
        <w:t xml:space="preserve"> which have been re-prioritised to focus ion broadband roll-out.</w:t>
      </w:r>
    </w:p>
    <w:p w:rsidR="00741D73" w:rsidRPr="00EC7552" w:rsidRDefault="00741D73">
      <w:pPr>
        <w:rPr>
          <w:rFonts w:asciiTheme="minorHAnsi" w:hAnsiTheme="minorHAnsi" w:cstheme="minorBidi"/>
          <w:color w:val="0070C0"/>
        </w:rPr>
      </w:pPr>
    </w:p>
    <w:p w:rsidR="00741D73" w:rsidRPr="00EC7552" w:rsidRDefault="00741D73">
      <w:pPr>
        <w:rPr>
          <w:rFonts w:asciiTheme="minorHAnsi" w:hAnsiTheme="minorHAnsi" w:cstheme="minorBidi"/>
          <w:color w:val="0070C0"/>
        </w:rPr>
      </w:pPr>
      <w:r w:rsidRPr="00EC7552">
        <w:rPr>
          <w:rFonts w:asciiTheme="minorHAnsi" w:hAnsiTheme="minorHAnsi" w:cstheme="minorBidi"/>
          <w:color w:val="0070C0"/>
        </w:rPr>
        <w:t>We include their programmes when reporting bec</w:t>
      </w:r>
      <w:r w:rsidR="00274A50" w:rsidRPr="00EC7552">
        <w:rPr>
          <w:rFonts w:asciiTheme="minorHAnsi" w:hAnsiTheme="minorHAnsi" w:cstheme="minorBidi"/>
          <w:color w:val="0070C0"/>
        </w:rPr>
        <w:t xml:space="preserve">ause they contribute to SA Connect target of connecting government  facilities at </w:t>
      </w:r>
      <w:r w:rsidR="00774A25" w:rsidRPr="00EC7552">
        <w:rPr>
          <w:rFonts w:asciiTheme="minorHAnsi" w:hAnsiTheme="minorHAnsi" w:cstheme="minorBidi"/>
          <w:color w:val="0070C0"/>
        </w:rPr>
        <w:t>prescribed speeds and quality</w:t>
      </w:r>
      <w:r w:rsidR="00A75D7A">
        <w:rPr>
          <w:rFonts w:asciiTheme="minorHAnsi" w:hAnsiTheme="minorHAnsi" w:cstheme="minorBidi"/>
          <w:color w:val="0070C0"/>
        </w:rPr>
        <w:t xml:space="preserve"> as </w:t>
      </w:r>
      <w:r w:rsidR="00AD30D0">
        <w:rPr>
          <w:rFonts w:asciiTheme="minorHAnsi" w:hAnsiTheme="minorHAnsi" w:cstheme="minorBidi"/>
          <w:color w:val="0070C0"/>
        </w:rPr>
        <w:t>outlined in the policy</w:t>
      </w:r>
      <w:r w:rsidR="00774A25" w:rsidRPr="00EC7552">
        <w:rPr>
          <w:rFonts w:asciiTheme="minorHAnsi" w:hAnsiTheme="minorHAnsi" w:cstheme="minorBidi"/>
          <w:color w:val="0070C0"/>
        </w:rPr>
        <w:t>.</w:t>
      </w:r>
      <w:r w:rsidRPr="00EC7552">
        <w:rPr>
          <w:rFonts w:asciiTheme="minorHAnsi" w:hAnsiTheme="minorHAnsi" w:cstheme="minorBidi"/>
          <w:color w:val="0070C0"/>
        </w:rPr>
        <w:t xml:space="preserve"> </w:t>
      </w:r>
    </w:p>
    <w:p w:rsidR="007C79B0" w:rsidRDefault="007C79B0"/>
    <w:p w:rsidR="007C79B0" w:rsidRDefault="007C79B0">
      <w:r>
        <w:t>11:</w:t>
      </w:r>
      <w:r>
        <w:tab/>
        <w:t>How much has been spent on upgrading the 63 sites of Phase 1A? How much was spent on the 312 new sites. (slide 16).</w:t>
      </w:r>
    </w:p>
    <w:p w:rsidR="00D50D3F" w:rsidRDefault="00D50D3F"/>
    <w:p w:rsidR="00512676" w:rsidRDefault="00512676">
      <w:pPr>
        <w:rPr>
          <w:color w:val="0070C0"/>
        </w:rPr>
      </w:pPr>
    </w:p>
    <w:p w:rsidR="00B170AB" w:rsidRPr="00EC7552" w:rsidRDefault="00BF0F42">
      <w:pPr>
        <w:rPr>
          <w:rFonts w:asciiTheme="minorHAnsi" w:hAnsiTheme="minorHAnsi" w:cstheme="minorBidi"/>
          <w:color w:val="0070C0"/>
        </w:rPr>
      </w:pPr>
      <w:r w:rsidRPr="00EC7552">
        <w:rPr>
          <w:rFonts w:asciiTheme="minorHAnsi" w:hAnsiTheme="minorHAnsi" w:cstheme="minorBidi"/>
          <w:color w:val="0070C0"/>
        </w:rPr>
        <w:t xml:space="preserve">Response: </w:t>
      </w:r>
      <w:r w:rsidR="00376186" w:rsidRPr="00EC7552">
        <w:rPr>
          <w:rFonts w:asciiTheme="minorHAnsi" w:hAnsiTheme="minorHAnsi" w:cstheme="minorBidi"/>
          <w:color w:val="0070C0"/>
        </w:rPr>
        <w:t xml:space="preserve">For the current financial year R6,8 million has been committed to upgrading 63 sites, while </w:t>
      </w:r>
      <w:r w:rsidR="00023EAF" w:rsidRPr="00EC7552">
        <w:rPr>
          <w:rFonts w:asciiTheme="minorHAnsi" w:hAnsiTheme="minorHAnsi" w:cstheme="minorBidi"/>
          <w:color w:val="0070C0"/>
        </w:rPr>
        <w:t xml:space="preserve">R53 million </w:t>
      </w:r>
      <w:r w:rsidR="00376186" w:rsidRPr="00EC7552">
        <w:rPr>
          <w:rFonts w:asciiTheme="minorHAnsi" w:hAnsiTheme="minorHAnsi" w:cstheme="minorBidi"/>
          <w:color w:val="0070C0"/>
        </w:rPr>
        <w:t>is committed to network and service connectivity for 313 sites.</w:t>
      </w:r>
    </w:p>
    <w:p w:rsidR="00512676" w:rsidRPr="00EC7552" w:rsidRDefault="00512676">
      <w:pPr>
        <w:rPr>
          <w:rFonts w:asciiTheme="minorHAnsi" w:hAnsiTheme="minorHAnsi" w:cstheme="minorBidi"/>
          <w:color w:val="0070C0"/>
        </w:rPr>
      </w:pPr>
    </w:p>
    <w:p w:rsidR="00512676" w:rsidRPr="00EC7552" w:rsidRDefault="00512676">
      <w:pPr>
        <w:rPr>
          <w:rFonts w:asciiTheme="minorHAnsi" w:hAnsiTheme="minorHAnsi" w:cstheme="minorBidi"/>
          <w:color w:val="0070C0"/>
        </w:rPr>
      </w:pPr>
      <w:r w:rsidRPr="00EC7552">
        <w:rPr>
          <w:rFonts w:asciiTheme="minorHAnsi" w:hAnsiTheme="minorHAnsi" w:cstheme="minorBidi"/>
          <w:color w:val="0070C0"/>
        </w:rPr>
        <w:t>To date</w:t>
      </w:r>
    </w:p>
    <w:p w:rsidR="00703949" w:rsidRPr="00EC7552" w:rsidRDefault="00512676" w:rsidP="00703949">
      <w:pPr>
        <w:rPr>
          <w:rFonts w:asciiTheme="minorHAnsi" w:hAnsiTheme="minorHAnsi" w:cstheme="minorBidi"/>
          <w:color w:val="0070C0"/>
        </w:rPr>
      </w:pPr>
      <w:r w:rsidRPr="00EC7552">
        <w:rPr>
          <w:rFonts w:asciiTheme="minorHAnsi" w:hAnsiTheme="minorHAnsi" w:cstheme="minorBidi"/>
          <w:color w:val="0070C0"/>
        </w:rPr>
        <w:t>SITA invoice value: R</w:t>
      </w:r>
      <w:r w:rsidR="00703949" w:rsidRPr="00EC7552">
        <w:rPr>
          <w:rFonts w:asciiTheme="minorHAnsi" w:hAnsiTheme="minorHAnsi" w:cstheme="minorBidi"/>
          <w:color w:val="0070C0"/>
        </w:rPr>
        <w:t xml:space="preserve"> 2,3 million</w:t>
      </w:r>
    </w:p>
    <w:p w:rsidR="00512676" w:rsidRPr="00EC7552" w:rsidRDefault="00512676">
      <w:pPr>
        <w:rPr>
          <w:rFonts w:asciiTheme="minorHAnsi" w:hAnsiTheme="minorHAnsi" w:cstheme="minorBidi"/>
          <w:color w:val="0070C0"/>
        </w:rPr>
      </w:pPr>
      <w:r w:rsidRPr="00EC7552">
        <w:rPr>
          <w:rFonts w:asciiTheme="minorHAnsi" w:hAnsiTheme="minorHAnsi" w:cstheme="minorBidi"/>
          <w:color w:val="0070C0"/>
        </w:rPr>
        <w:t>BBI payment: R4,9 million</w:t>
      </w:r>
    </w:p>
    <w:p w:rsidR="00BC52BB" w:rsidRPr="00EC7552" w:rsidRDefault="00BC52BB">
      <w:pPr>
        <w:rPr>
          <w:rFonts w:asciiTheme="minorHAnsi" w:hAnsiTheme="minorHAnsi" w:cstheme="minorBidi"/>
          <w:color w:val="0070C0"/>
        </w:rPr>
      </w:pPr>
    </w:p>
    <w:p w:rsidR="00BC52BB" w:rsidRPr="00EC7552" w:rsidRDefault="00BC52BB">
      <w:pPr>
        <w:rPr>
          <w:rFonts w:asciiTheme="minorHAnsi" w:hAnsiTheme="minorHAnsi" w:cstheme="minorBidi"/>
          <w:color w:val="0070C0"/>
        </w:rPr>
      </w:pPr>
      <w:r w:rsidRPr="00EC7552">
        <w:rPr>
          <w:rFonts w:asciiTheme="minorHAnsi" w:hAnsiTheme="minorHAnsi" w:cstheme="minorBidi"/>
          <w:color w:val="0070C0"/>
        </w:rPr>
        <w:t xml:space="preserve">SITA invoice </w:t>
      </w:r>
      <w:r w:rsidR="00AA7B74" w:rsidRPr="00EC7552">
        <w:rPr>
          <w:rFonts w:asciiTheme="minorHAnsi" w:hAnsiTheme="minorHAnsi" w:cstheme="minorBidi"/>
          <w:color w:val="0070C0"/>
        </w:rPr>
        <w:t>verification</w:t>
      </w:r>
      <w:r w:rsidRPr="00EC7552">
        <w:rPr>
          <w:rFonts w:asciiTheme="minorHAnsi" w:hAnsiTheme="minorHAnsi" w:cstheme="minorBidi"/>
          <w:color w:val="0070C0"/>
        </w:rPr>
        <w:t xml:space="preserve"> is underway with site audit being conducted in parallel before payment is made. BBI site handover is also underway before additional payment can be process</w:t>
      </w:r>
      <w:r w:rsidR="00EC7552" w:rsidRPr="00EC7552">
        <w:rPr>
          <w:rFonts w:asciiTheme="minorHAnsi" w:hAnsiTheme="minorHAnsi" w:cstheme="minorBidi"/>
          <w:color w:val="0070C0"/>
        </w:rPr>
        <w:t>ed</w:t>
      </w:r>
      <w:r w:rsidRPr="00EC7552">
        <w:rPr>
          <w:rFonts w:asciiTheme="minorHAnsi" w:hAnsiTheme="minorHAnsi" w:cstheme="minorBidi"/>
          <w:color w:val="0070C0"/>
        </w:rPr>
        <w:t>.</w:t>
      </w:r>
    </w:p>
    <w:p w:rsidR="00546D2F" w:rsidRDefault="00546D2F"/>
    <w:p w:rsidR="00546D2F" w:rsidRDefault="00546D2F">
      <w:r>
        <w:t xml:space="preserve">12: </w:t>
      </w:r>
      <w:r>
        <w:tab/>
        <w:t>Why are so few Thusong centres being connected (1B – Slide 20). Is this all there are in these districts?</w:t>
      </w:r>
    </w:p>
    <w:p w:rsidR="00D50D3F" w:rsidRDefault="00D50D3F"/>
    <w:p w:rsidR="00546D2F" w:rsidRPr="00905A84" w:rsidRDefault="00153160">
      <w:pPr>
        <w:rPr>
          <w:rFonts w:asciiTheme="minorHAnsi" w:hAnsiTheme="minorHAnsi" w:cstheme="minorBidi"/>
          <w:color w:val="0070C0"/>
        </w:rPr>
      </w:pPr>
      <w:r w:rsidRPr="00905A84">
        <w:rPr>
          <w:rFonts w:asciiTheme="minorHAnsi" w:hAnsiTheme="minorHAnsi" w:cstheme="minorBidi"/>
          <w:color w:val="0070C0"/>
        </w:rPr>
        <w:t xml:space="preserve">There </w:t>
      </w:r>
      <w:r w:rsidR="00D53291" w:rsidRPr="00905A84">
        <w:rPr>
          <w:rFonts w:asciiTheme="minorHAnsi" w:hAnsiTheme="minorHAnsi" w:cstheme="minorBidi"/>
          <w:color w:val="0070C0"/>
        </w:rPr>
        <w:t xml:space="preserve">are more Thusong centres in these Districts, however the </w:t>
      </w:r>
      <w:r w:rsidR="00C624CD" w:rsidRPr="00905A84">
        <w:rPr>
          <w:rFonts w:asciiTheme="minorHAnsi" w:hAnsiTheme="minorHAnsi" w:cstheme="minorBidi"/>
          <w:color w:val="0070C0"/>
        </w:rPr>
        <w:t xml:space="preserve">site selection is constrained by considering those site that are close to existing BBI infrastructure </w:t>
      </w:r>
      <w:r w:rsidR="00FB33BB" w:rsidRPr="00905A84">
        <w:rPr>
          <w:rFonts w:asciiTheme="minorHAnsi" w:hAnsiTheme="minorHAnsi" w:cstheme="minorBidi"/>
          <w:color w:val="0070C0"/>
        </w:rPr>
        <w:t xml:space="preserve">to minimise cost and </w:t>
      </w:r>
      <w:r w:rsidR="00905A84" w:rsidRPr="00905A84">
        <w:rPr>
          <w:rFonts w:asciiTheme="minorHAnsi" w:hAnsiTheme="minorHAnsi" w:cstheme="minorBidi"/>
          <w:color w:val="0070C0"/>
        </w:rPr>
        <w:t>increase the chan</w:t>
      </w:r>
      <w:r w:rsidR="00905A84">
        <w:rPr>
          <w:rFonts w:asciiTheme="minorHAnsi" w:hAnsiTheme="minorHAnsi" w:cstheme="minorBidi"/>
          <w:color w:val="0070C0"/>
        </w:rPr>
        <w:t>c</w:t>
      </w:r>
      <w:r w:rsidR="00905A84" w:rsidRPr="00905A84">
        <w:rPr>
          <w:rFonts w:asciiTheme="minorHAnsi" w:hAnsiTheme="minorHAnsi" w:cstheme="minorBidi"/>
          <w:color w:val="0070C0"/>
        </w:rPr>
        <w:t xml:space="preserve">e of completion within the remaining short period until the end of the financial year. </w:t>
      </w:r>
    </w:p>
    <w:p w:rsidR="00905A84" w:rsidRDefault="00905A84"/>
    <w:p w:rsidR="00C87C7B" w:rsidRDefault="00546D2F">
      <w:r>
        <w:t>13:</w:t>
      </w:r>
      <w:r>
        <w:tab/>
      </w:r>
      <w:r w:rsidR="00C87C7B">
        <w:t>What is the estimated cost to DTPS and its entities of implementing Phase 1 to completion in 2022?</w:t>
      </w:r>
    </w:p>
    <w:p w:rsidR="00D50D3F" w:rsidRDefault="00D50D3F"/>
    <w:p w:rsidR="00870BFB" w:rsidRPr="00EC7552" w:rsidRDefault="00BF0F42">
      <w:pPr>
        <w:rPr>
          <w:rFonts w:asciiTheme="minorHAnsi" w:hAnsiTheme="minorHAnsi" w:cstheme="minorBidi"/>
          <w:color w:val="0070C0"/>
        </w:rPr>
      </w:pPr>
      <w:r w:rsidRPr="00EC7552">
        <w:rPr>
          <w:rFonts w:asciiTheme="minorHAnsi" w:hAnsiTheme="minorHAnsi" w:cstheme="minorBidi"/>
          <w:color w:val="0070C0"/>
        </w:rPr>
        <w:t xml:space="preserve">Response: </w:t>
      </w:r>
      <w:r w:rsidR="00870BFB" w:rsidRPr="00EC7552">
        <w:rPr>
          <w:rFonts w:asciiTheme="minorHAnsi" w:hAnsiTheme="minorHAnsi" w:cstheme="minorBidi"/>
          <w:color w:val="0070C0"/>
        </w:rPr>
        <w:t xml:space="preserve">Phase 1 is implemented in line with the MTEF base allocations. The base allocations to 2021/22 is </w:t>
      </w:r>
      <w:r w:rsidR="00376186" w:rsidRPr="00EC7552">
        <w:rPr>
          <w:rFonts w:asciiTheme="minorHAnsi" w:hAnsiTheme="minorHAnsi" w:cstheme="minorBidi"/>
          <w:color w:val="0070C0"/>
        </w:rPr>
        <w:t>R945,4 million (inclusive of R110 million rollover granted)</w:t>
      </w:r>
    </w:p>
    <w:p w:rsidR="00C87C7B" w:rsidRDefault="00C87C7B"/>
    <w:p w:rsidR="00546D2F" w:rsidRDefault="00C87C7B">
      <w:r>
        <w:t>14:</w:t>
      </w:r>
      <w:r>
        <w:tab/>
        <w:t>What is the business case presented to DBSA? How much money is needed to connect all 35 211 sites in Phase 2? And the timeframe to completion?</w:t>
      </w:r>
    </w:p>
    <w:p w:rsidR="00D50D3F" w:rsidRDefault="00D50D3F"/>
    <w:p w:rsidR="00287DEC" w:rsidRPr="00EC7552" w:rsidRDefault="00BF0F42" w:rsidP="00B170AB">
      <w:pPr>
        <w:rPr>
          <w:rFonts w:asciiTheme="minorHAnsi" w:hAnsiTheme="minorHAnsi" w:cstheme="minorBidi"/>
          <w:color w:val="0070C0"/>
        </w:rPr>
      </w:pPr>
      <w:r w:rsidRPr="00EC7552">
        <w:rPr>
          <w:rFonts w:asciiTheme="minorHAnsi" w:hAnsiTheme="minorHAnsi" w:cstheme="minorBidi"/>
          <w:color w:val="0070C0"/>
        </w:rPr>
        <w:t xml:space="preserve">Response: Department </w:t>
      </w:r>
      <w:r w:rsidR="00B170AB" w:rsidRPr="00EC7552">
        <w:rPr>
          <w:rFonts w:asciiTheme="minorHAnsi" w:hAnsiTheme="minorHAnsi" w:cstheme="minorBidi"/>
          <w:color w:val="0070C0"/>
        </w:rPr>
        <w:t xml:space="preserve">has </w:t>
      </w:r>
      <w:r w:rsidRPr="00EC7552">
        <w:rPr>
          <w:rFonts w:asciiTheme="minorHAnsi" w:hAnsiTheme="minorHAnsi" w:cstheme="minorBidi"/>
          <w:color w:val="0070C0"/>
        </w:rPr>
        <w:t>signed MoU with DBSA to conduct a feasibility study to determine cost-effective and efficient roll-out of broadband for Phase 2</w:t>
      </w:r>
      <w:r w:rsidR="00B170AB" w:rsidRPr="00EC7552">
        <w:rPr>
          <w:rFonts w:asciiTheme="minorHAnsi" w:hAnsiTheme="minorHAnsi" w:cstheme="minorBidi"/>
          <w:color w:val="0070C0"/>
        </w:rPr>
        <w:t>, including to determine the total cost of rolling out connectivity to 35 211 sites</w:t>
      </w:r>
      <w:r w:rsidRPr="00EC7552">
        <w:rPr>
          <w:rFonts w:asciiTheme="minorHAnsi" w:hAnsiTheme="minorHAnsi" w:cstheme="minorBidi"/>
          <w:color w:val="0070C0"/>
        </w:rPr>
        <w:t>.</w:t>
      </w:r>
      <w:r w:rsidR="00B170AB" w:rsidRPr="00EC7552">
        <w:rPr>
          <w:rFonts w:asciiTheme="minorHAnsi" w:hAnsiTheme="minorHAnsi" w:cstheme="minorBidi"/>
          <w:color w:val="0070C0"/>
        </w:rPr>
        <w:t xml:space="preserve"> </w:t>
      </w:r>
      <w:r w:rsidR="00870BFB" w:rsidRPr="00EC7552">
        <w:rPr>
          <w:rFonts w:asciiTheme="minorHAnsi" w:hAnsiTheme="minorHAnsi" w:cstheme="minorBidi"/>
          <w:color w:val="0070C0"/>
        </w:rPr>
        <w:t>DBSA estimates that the study will be concluded in 2019/20 financial year.</w:t>
      </w:r>
    </w:p>
    <w:p w:rsidR="00C87C7B" w:rsidRDefault="00C87C7B"/>
    <w:p w:rsidR="00C87C7B" w:rsidRDefault="00C87C7B">
      <w:r>
        <w:t xml:space="preserve">15: </w:t>
      </w:r>
      <w:r>
        <w:tab/>
        <w:t>What is the estimated support cost of Phase 1. Who will bear the cost of keeping the network active?</w:t>
      </w:r>
    </w:p>
    <w:p w:rsidR="00D50D3F" w:rsidRDefault="00D50D3F"/>
    <w:p w:rsidR="00D50D3F" w:rsidRPr="00EC7552" w:rsidRDefault="00BF0F42">
      <w:pPr>
        <w:rPr>
          <w:rFonts w:asciiTheme="minorHAnsi" w:hAnsiTheme="minorHAnsi" w:cstheme="minorBidi"/>
          <w:color w:val="0070C0"/>
        </w:rPr>
      </w:pPr>
      <w:r w:rsidRPr="00EC7552">
        <w:rPr>
          <w:rFonts w:asciiTheme="minorHAnsi" w:hAnsiTheme="minorHAnsi" w:cstheme="minorBidi"/>
          <w:color w:val="0070C0"/>
        </w:rPr>
        <w:t xml:space="preserve">Response: </w:t>
      </w:r>
      <w:r w:rsidR="00D50D3F" w:rsidRPr="00EC7552">
        <w:rPr>
          <w:rFonts w:asciiTheme="minorHAnsi" w:hAnsiTheme="minorHAnsi" w:cstheme="minorBidi"/>
          <w:color w:val="0070C0"/>
        </w:rPr>
        <w:t>The Department procures services from BBI and SITA. The service costs are inclusive of support costs</w:t>
      </w:r>
      <w:r w:rsidR="00B170AB" w:rsidRPr="00EC7552">
        <w:rPr>
          <w:rFonts w:asciiTheme="minorHAnsi" w:hAnsiTheme="minorHAnsi" w:cstheme="minorBidi"/>
          <w:color w:val="0070C0"/>
        </w:rPr>
        <w:t>. The costs to operate and maintain the networks are</w:t>
      </w:r>
      <w:r w:rsidR="00D50D3F" w:rsidRPr="00EC7552">
        <w:rPr>
          <w:rFonts w:asciiTheme="minorHAnsi" w:hAnsiTheme="minorHAnsi" w:cstheme="minorBidi"/>
          <w:color w:val="0070C0"/>
        </w:rPr>
        <w:t xml:space="preserve"> borne by BBI and SITA.</w:t>
      </w:r>
    </w:p>
    <w:p w:rsidR="00C87C7B" w:rsidRDefault="00C87C7B"/>
    <w:p w:rsidR="002909A7" w:rsidRPr="002909A7" w:rsidRDefault="002909A7" w:rsidP="002909A7">
      <w:pPr>
        <w:rPr>
          <w:rFonts w:asciiTheme="minorHAnsi" w:hAnsiTheme="minorHAnsi" w:cstheme="minorBidi"/>
          <w:color w:val="0070C0"/>
        </w:rPr>
      </w:pPr>
      <w:r w:rsidRPr="002909A7">
        <w:rPr>
          <w:rFonts w:asciiTheme="minorHAnsi" w:hAnsiTheme="minorHAnsi" w:cstheme="minorBidi"/>
          <w:color w:val="0070C0"/>
        </w:rPr>
        <w:t>Broadband Infraco will be responsible to maintain the core network and the ANPs to maintain the last mile network.</w:t>
      </w:r>
      <w:r w:rsidR="002B04BF">
        <w:rPr>
          <w:rFonts w:asciiTheme="minorHAnsi" w:hAnsiTheme="minorHAnsi" w:cstheme="minorBidi"/>
          <w:color w:val="0070C0"/>
        </w:rPr>
        <w:t xml:space="preserve"> For example</w:t>
      </w:r>
      <w:r w:rsidR="000E641D">
        <w:rPr>
          <w:rFonts w:asciiTheme="minorHAnsi" w:hAnsiTheme="minorHAnsi" w:cstheme="minorBidi"/>
          <w:color w:val="0070C0"/>
        </w:rPr>
        <w:t>,</w:t>
      </w:r>
      <w:r w:rsidR="002B04BF">
        <w:rPr>
          <w:rFonts w:asciiTheme="minorHAnsi" w:hAnsiTheme="minorHAnsi" w:cstheme="minorBidi"/>
          <w:color w:val="0070C0"/>
        </w:rPr>
        <w:t xml:space="preserve"> </w:t>
      </w:r>
      <w:r w:rsidRPr="002909A7">
        <w:rPr>
          <w:rFonts w:asciiTheme="minorHAnsi" w:hAnsiTheme="minorHAnsi" w:cstheme="minorBidi"/>
          <w:color w:val="0070C0"/>
        </w:rPr>
        <w:t>Broadband Infraco’s internal estimated support cost over the 10-year project period will be R148.1 million.</w:t>
      </w:r>
    </w:p>
    <w:p w:rsidR="002909A7" w:rsidRDefault="002909A7"/>
    <w:p w:rsidR="00C87C7B" w:rsidRDefault="00C87C7B">
      <w:r>
        <w:t>16:</w:t>
      </w:r>
      <w:r>
        <w:tab/>
      </w:r>
      <w:r w:rsidR="00457650">
        <w:t xml:space="preserve">What steps are being taken to ensure the departments (health/education/home affairs et al) are budgeting for and developing applications to make efficient use of the network. </w:t>
      </w:r>
    </w:p>
    <w:p w:rsidR="00457650" w:rsidRDefault="00457650"/>
    <w:p w:rsidR="00457650" w:rsidRDefault="00457650"/>
    <w:p w:rsidR="009E1022" w:rsidRPr="009E1022" w:rsidRDefault="009E1022" w:rsidP="000E3BE5">
      <w:pPr>
        <w:pStyle w:val="ListParagraph"/>
        <w:rPr>
          <w:rFonts w:asciiTheme="minorHAnsi" w:hAnsiTheme="minorHAnsi" w:cstheme="minorBidi"/>
          <w:color w:val="0070C0"/>
        </w:rPr>
      </w:pPr>
      <w:r>
        <w:rPr>
          <w:color w:val="0070C0"/>
        </w:rPr>
        <w:t>D</w:t>
      </w:r>
      <w:r w:rsidRPr="009E1022">
        <w:rPr>
          <w:rFonts w:asciiTheme="minorHAnsi" w:hAnsiTheme="minorHAnsi" w:cstheme="minorBidi"/>
          <w:color w:val="0070C0"/>
        </w:rPr>
        <w:t>iscussion with Department of Health confirms that once SA Connect project provides broadband connectivity to health institutions, DoH will utilise this connectivity to rollout ICT applications which they have already piloted to support the NHI initiatives.  </w:t>
      </w:r>
    </w:p>
    <w:p w:rsidR="009E1022" w:rsidRPr="009E1022" w:rsidRDefault="009E1022" w:rsidP="009E1022">
      <w:pPr>
        <w:pStyle w:val="ListParagraph"/>
        <w:rPr>
          <w:rFonts w:asciiTheme="minorHAnsi" w:hAnsiTheme="minorHAnsi" w:cstheme="minorBidi"/>
          <w:color w:val="0070C0"/>
        </w:rPr>
      </w:pPr>
    </w:p>
    <w:p w:rsidR="009E1022" w:rsidRDefault="009E1022" w:rsidP="000E3BE5">
      <w:pPr>
        <w:pStyle w:val="ListParagraph"/>
        <w:rPr>
          <w:color w:val="0070C0"/>
        </w:rPr>
      </w:pPr>
      <w:r w:rsidRPr="009E1022">
        <w:rPr>
          <w:rFonts w:asciiTheme="minorHAnsi" w:hAnsiTheme="minorHAnsi" w:cstheme="minorBidi"/>
          <w:color w:val="0070C0"/>
        </w:rPr>
        <w:t>Department of Education has plans to rollout</w:t>
      </w:r>
      <w:r w:rsidR="00F11DD2">
        <w:rPr>
          <w:color w:val="0070C0"/>
        </w:rPr>
        <w:t xml:space="preserve"> the electronic Leaner Management</w:t>
      </w:r>
      <w:r w:rsidRPr="009E1022">
        <w:rPr>
          <w:rFonts w:asciiTheme="minorHAnsi" w:hAnsiTheme="minorHAnsi" w:cstheme="minorBidi"/>
          <w:color w:val="0070C0"/>
        </w:rPr>
        <w:t xml:space="preserve"> </w:t>
      </w:r>
      <w:r w:rsidR="00F11DD2">
        <w:rPr>
          <w:color w:val="0070C0"/>
        </w:rPr>
        <w:t>(</w:t>
      </w:r>
      <w:r w:rsidRPr="009E1022">
        <w:rPr>
          <w:rFonts w:asciiTheme="minorHAnsi" w:hAnsiTheme="minorHAnsi" w:cstheme="minorBidi"/>
          <w:color w:val="0070C0"/>
        </w:rPr>
        <w:t>e-LMS</w:t>
      </w:r>
      <w:r w:rsidR="00F11DD2">
        <w:rPr>
          <w:color w:val="0070C0"/>
        </w:rPr>
        <w:t>)</w:t>
      </w:r>
      <w:r w:rsidRPr="009E1022">
        <w:rPr>
          <w:rFonts w:asciiTheme="minorHAnsi" w:hAnsiTheme="minorHAnsi" w:cstheme="minorBidi"/>
          <w:color w:val="0070C0"/>
        </w:rPr>
        <w:t xml:space="preserve"> solution which has been developed as part of FIFA 2010 legacy project. This e-learning platform will enable leaners and educators to use ICT applications for teaching and learning in the classroom. The Department also confirmed that </w:t>
      </w:r>
      <w:r w:rsidR="008553DC">
        <w:rPr>
          <w:color w:val="0070C0"/>
        </w:rPr>
        <w:t>the Basic E</w:t>
      </w:r>
      <w:r w:rsidRPr="009E1022">
        <w:rPr>
          <w:rFonts w:asciiTheme="minorHAnsi" w:hAnsiTheme="minorHAnsi" w:cstheme="minorBidi"/>
          <w:color w:val="0070C0"/>
        </w:rPr>
        <w:t xml:space="preserve">ducation </w:t>
      </w:r>
      <w:r w:rsidR="008553DC">
        <w:rPr>
          <w:color w:val="0070C0"/>
        </w:rPr>
        <w:t>D</w:t>
      </w:r>
      <w:r w:rsidRPr="009E1022">
        <w:rPr>
          <w:rFonts w:asciiTheme="minorHAnsi" w:hAnsiTheme="minorHAnsi" w:cstheme="minorBidi"/>
          <w:color w:val="0070C0"/>
        </w:rPr>
        <w:t>epartment (National, Provincial &amp; district) will take care of end user devices.</w:t>
      </w:r>
    </w:p>
    <w:p w:rsidR="007C3416" w:rsidRPr="007C3416" w:rsidRDefault="007C3416" w:rsidP="007C3416">
      <w:pPr>
        <w:pStyle w:val="ListParagraph"/>
        <w:rPr>
          <w:color w:val="0070C0"/>
        </w:rPr>
      </w:pPr>
    </w:p>
    <w:p w:rsidR="007C3416" w:rsidRPr="009E1022" w:rsidRDefault="007C3416" w:rsidP="000E3BE5">
      <w:pPr>
        <w:pStyle w:val="ListParagraph"/>
        <w:rPr>
          <w:rFonts w:asciiTheme="minorHAnsi" w:hAnsiTheme="minorHAnsi" w:cstheme="minorBidi"/>
          <w:color w:val="0070C0"/>
        </w:rPr>
      </w:pPr>
      <w:r>
        <w:rPr>
          <w:color w:val="0070C0"/>
        </w:rPr>
        <w:lastRenderedPageBreak/>
        <w:t>For Home Affairs, the increase broadband speeds will enable roll-out of Smart ID and associated capability.</w:t>
      </w:r>
    </w:p>
    <w:p w:rsidR="00BF7AE3" w:rsidRDefault="00BF7AE3"/>
    <w:p w:rsidR="00A51A32" w:rsidRPr="00C364EF" w:rsidRDefault="00C364EF">
      <w:pPr>
        <w:rPr>
          <w:b/>
        </w:rPr>
      </w:pPr>
      <w:r w:rsidRPr="00C364EF">
        <w:rPr>
          <w:b/>
        </w:rPr>
        <w:t>Honourable Tsotetsi</w:t>
      </w:r>
    </w:p>
    <w:p w:rsidR="00C364EF" w:rsidRDefault="00C364EF"/>
    <w:p w:rsidR="00E877E9" w:rsidRPr="00E877E9" w:rsidRDefault="00A51A32" w:rsidP="001E277A">
      <w:pPr>
        <w:pStyle w:val="ListParagraph"/>
        <w:numPr>
          <w:ilvl w:val="0"/>
          <w:numId w:val="9"/>
        </w:numPr>
        <w:rPr>
          <w:color w:val="0070C0"/>
        </w:rPr>
      </w:pPr>
      <w:r w:rsidRPr="00943D96">
        <w:t>Broadband to reach a critical mass of S.A</w:t>
      </w:r>
      <w:r w:rsidRPr="00943D96">
        <w:br/>
        <w:t>- what progress you have made i t.o infrastructure in rural areas as it has been a challenge</w:t>
      </w:r>
      <w:r>
        <w:t xml:space="preserve">. </w:t>
      </w:r>
    </w:p>
    <w:p w:rsidR="00A51A32" w:rsidRPr="00B3083C" w:rsidRDefault="00A51A32" w:rsidP="00E877E9">
      <w:pPr>
        <w:pStyle w:val="ListParagraph"/>
        <w:rPr>
          <w:rFonts w:asciiTheme="minorHAnsi" w:hAnsiTheme="minorHAnsi" w:cstheme="minorBidi"/>
          <w:color w:val="0070C0"/>
        </w:rPr>
      </w:pPr>
      <w:r w:rsidRPr="00B3083C">
        <w:rPr>
          <w:rFonts w:asciiTheme="minorHAnsi" w:hAnsiTheme="minorHAnsi" w:cstheme="minorBidi"/>
          <w:color w:val="0070C0"/>
        </w:rPr>
        <w:t>Reponses: The majority of sites being connected are in rural areas. The current rollout scale is however still significantly small to achieve the desired impact.</w:t>
      </w:r>
    </w:p>
    <w:p w:rsidR="001E277A" w:rsidRPr="001E277A" w:rsidRDefault="001E277A" w:rsidP="001E277A">
      <w:pPr>
        <w:pStyle w:val="ListParagraph"/>
        <w:rPr>
          <w:color w:val="0070C0"/>
        </w:rPr>
      </w:pPr>
    </w:p>
    <w:p w:rsidR="002E35FD" w:rsidRDefault="00A51A32" w:rsidP="001E277A">
      <w:pPr>
        <w:pStyle w:val="ListParagraph"/>
        <w:numPr>
          <w:ilvl w:val="0"/>
          <w:numId w:val="9"/>
        </w:numPr>
        <w:rPr>
          <w:color w:val="0070C0"/>
        </w:rPr>
      </w:pPr>
      <w:r w:rsidRPr="00943D96">
        <w:t>Budget cuts</w:t>
      </w:r>
      <w:r w:rsidRPr="00943D96">
        <w:br/>
      </w:r>
      <w:r w:rsidR="002E35FD">
        <w:t xml:space="preserve">a) </w:t>
      </w:r>
      <w:r w:rsidRPr="00943D96">
        <w:t>what informs the budget cuts. Is it a decision from Treasury or negotiations DTPS</w:t>
      </w:r>
      <w:r>
        <w:t xml:space="preserve">. </w:t>
      </w:r>
      <w:r w:rsidRPr="00B3083C">
        <w:rPr>
          <w:rFonts w:asciiTheme="minorHAnsi" w:hAnsiTheme="minorHAnsi" w:cstheme="minorBidi"/>
          <w:color w:val="0070C0"/>
        </w:rPr>
        <w:t xml:space="preserve">Response: DTPS </w:t>
      </w:r>
      <w:r w:rsidR="00AD7E3A" w:rsidRPr="00B3083C">
        <w:rPr>
          <w:rFonts w:asciiTheme="minorHAnsi" w:hAnsiTheme="minorHAnsi" w:cstheme="minorBidi"/>
          <w:color w:val="0070C0"/>
        </w:rPr>
        <w:t xml:space="preserve">did not have input on the budget cuts, we were informed </w:t>
      </w:r>
      <w:r w:rsidR="003B116C" w:rsidRPr="00B3083C">
        <w:rPr>
          <w:rFonts w:asciiTheme="minorHAnsi" w:hAnsiTheme="minorHAnsi" w:cstheme="minorBidi"/>
          <w:color w:val="0070C0"/>
        </w:rPr>
        <w:t>once a decision was taken</w:t>
      </w:r>
      <w:r w:rsidR="001932D3" w:rsidRPr="00B3083C">
        <w:rPr>
          <w:rFonts w:asciiTheme="minorHAnsi" w:hAnsiTheme="minorHAnsi" w:cstheme="minorBidi"/>
          <w:color w:val="0070C0"/>
        </w:rPr>
        <w:t xml:space="preserve"> by Cabinet</w:t>
      </w:r>
      <w:r w:rsidRPr="00B3083C">
        <w:rPr>
          <w:rFonts w:asciiTheme="minorHAnsi" w:hAnsiTheme="minorHAnsi" w:cstheme="minorBidi"/>
          <w:color w:val="0070C0"/>
        </w:rPr>
        <w:t>.</w:t>
      </w:r>
      <w:r w:rsidR="00211F12" w:rsidRPr="00B3083C">
        <w:rPr>
          <w:rFonts w:asciiTheme="minorHAnsi" w:hAnsiTheme="minorHAnsi" w:cstheme="minorBidi"/>
          <w:color w:val="0070C0"/>
        </w:rPr>
        <w:t xml:space="preserve"> The budget cuts affected all in not most government departments which are running a major project.</w:t>
      </w:r>
      <w:r w:rsidRPr="00B3083C">
        <w:rPr>
          <w:rFonts w:asciiTheme="minorHAnsi" w:hAnsiTheme="minorHAnsi" w:cstheme="minorBidi"/>
          <w:color w:val="0070C0"/>
        </w:rPr>
        <w:t xml:space="preserve"> According to NT budget cuts were informed by national priorities.</w:t>
      </w:r>
    </w:p>
    <w:p w:rsidR="002E35FD" w:rsidRDefault="002E35FD" w:rsidP="002E35FD">
      <w:pPr>
        <w:pStyle w:val="ListParagraph"/>
      </w:pPr>
    </w:p>
    <w:p w:rsidR="00773912" w:rsidRDefault="002E35FD" w:rsidP="00773912">
      <w:pPr>
        <w:pStyle w:val="ListParagraph"/>
      </w:pPr>
      <w:r>
        <w:t xml:space="preserve">b) </w:t>
      </w:r>
      <w:r w:rsidR="00A51A32" w:rsidRPr="00943D96">
        <w:t>To  what extent will the budget cuts affect your targets</w:t>
      </w:r>
      <w:r w:rsidR="00A51A32">
        <w:t xml:space="preserve"> . </w:t>
      </w:r>
    </w:p>
    <w:p w:rsidR="00A51A32" w:rsidRPr="00B3083C" w:rsidRDefault="00293213" w:rsidP="00773912">
      <w:pPr>
        <w:pStyle w:val="ListParagraph"/>
        <w:rPr>
          <w:rFonts w:asciiTheme="minorHAnsi" w:hAnsiTheme="minorHAnsi" w:cstheme="minorBidi"/>
          <w:color w:val="0070C0"/>
        </w:rPr>
      </w:pPr>
      <w:r w:rsidRPr="00B3083C">
        <w:rPr>
          <w:rFonts w:asciiTheme="minorHAnsi" w:hAnsiTheme="minorHAnsi" w:cstheme="minorBidi"/>
          <w:color w:val="0070C0"/>
        </w:rPr>
        <w:t xml:space="preserve">Response: </w:t>
      </w:r>
      <w:r w:rsidR="0066727F" w:rsidRPr="00B3083C">
        <w:rPr>
          <w:rFonts w:asciiTheme="minorHAnsi" w:hAnsiTheme="minorHAnsi" w:cstheme="minorBidi"/>
          <w:color w:val="0070C0"/>
        </w:rPr>
        <w:t xml:space="preserve">The budget cuts </w:t>
      </w:r>
      <w:r w:rsidR="003C073B" w:rsidRPr="00B3083C">
        <w:rPr>
          <w:rFonts w:asciiTheme="minorHAnsi" w:hAnsiTheme="minorHAnsi" w:cstheme="minorBidi"/>
          <w:color w:val="0070C0"/>
        </w:rPr>
        <w:t>affected the SA Connect targets signi</w:t>
      </w:r>
      <w:r w:rsidR="006128EE" w:rsidRPr="00B3083C">
        <w:rPr>
          <w:rFonts w:asciiTheme="minorHAnsi" w:hAnsiTheme="minorHAnsi" w:cstheme="minorBidi"/>
          <w:color w:val="0070C0"/>
        </w:rPr>
        <w:t>ficantly</w:t>
      </w:r>
      <w:r w:rsidR="00352FB5" w:rsidRPr="00B3083C">
        <w:rPr>
          <w:rFonts w:asciiTheme="minorHAnsi" w:hAnsiTheme="minorHAnsi" w:cstheme="minorBidi"/>
          <w:color w:val="0070C0"/>
        </w:rPr>
        <w:t>, For example,</w:t>
      </w:r>
      <w:r w:rsidR="006128EE" w:rsidRPr="00B3083C">
        <w:rPr>
          <w:rFonts w:asciiTheme="minorHAnsi" w:hAnsiTheme="minorHAnsi" w:cstheme="minorBidi"/>
          <w:color w:val="0070C0"/>
        </w:rPr>
        <w:t xml:space="preserve"> the number of sites to be connected </w:t>
      </w:r>
      <w:r w:rsidR="00352FB5" w:rsidRPr="00B3083C">
        <w:rPr>
          <w:rFonts w:asciiTheme="minorHAnsi" w:hAnsiTheme="minorHAnsi" w:cstheme="minorBidi"/>
          <w:color w:val="0070C0"/>
        </w:rPr>
        <w:t xml:space="preserve">in 2018/19 </w:t>
      </w:r>
      <w:r w:rsidR="006128EE" w:rsidRPr="00B3083C">
        <w:rPr>
          <w:rFonts w:asciiTheme="minorHAnsi" w:hAnsiTheme="minorHAnsi" w:cstheme="minorBidi"/>
          <w:color w:val="0070C0"/>
        </w:rPr>
        <w:t>had to be drastically reduced</w:t>
      </w:r>
      <w:r w:rsidR="00352FB5" w:rsidRPr="00B3083C">
        <w:rPr>
          <w:rFonts w:asciiTheme="minorHAnsi" w:hAnsiTheme="minorHAnsi" w:cstheme="minorBidi"/>
          <w:color w:val="0070C0"/>
        </w:rPr>
        <w:t xml:space="preserve"> </w:t>
      </w:r>
      <w:r w:rsidR="00B34244" w:rsidRPr="00B3083C">
        <w:rPr>
          <w:rFonts w:asciiTheme="minorHAnsi" w:hAnsiTheme="minorHAnsi" w:cstheme="minorBidi"/>
          <w:color w:val="0070C0"/>
        </w:rPr>
        <w:t xml:space="preserve">as there was only R9,7m available, </w:t>
      </w:r>
      <w:r w:rsidR="00B3083C">
        <w:rPr>
          <w:rFonts w:asciiTheme="minorHAnsi" w:hAnsiTheme="minorHAnsi" w:cstheme="minorBidi"/>
          <w:color w:val="0070C0"/>
        </w:rPr>
        <w:t>(S</w:t>
      </w:r>
      <w:r w:rsidR="00A51A32" w:rsidRPr="00B3083C">
        <w:rPr>
          <w:rFonts w:asciiTheme="minorHAnsi" w:hAnsiTheme="minorHAnsi" w:cstheme="minorBidi"/>
          <w:color w:val="0070C0"/>
        </w:rPr>
        <w:t>ee slides 14 &amp; 15)</w:t>
      </w:r>
    </w:p>
    <w:p w:rsidR="001E277A" w:rsidRPr="001E277A" w:rsidRDefault="001E277A" w:rsidP="001E277A">
      <w:pPr>
        <w:pStyle w:val="ListParagraph"/>
        <w:rPr>
          <w:color w:val="0070C0"/>
        </w:rPr>
      </w:pPr>
    </w:p>
    <w:p w:rsidR="001E277A" w:rsidRPr="00943D96" w:rsidRDefault="001E277A" w:rsidP="001E277A">
      <w:pPr>
        <w:pStyle w:val="ListParagraph"/>
        <w:rPr>
          <w:color w:val="0070C0"/>
        </w:rPr>
      </w:pPr>
    </w:p>
    <w:p w:rsidR="002E35FD" w:rsidRPr="002E35FD" w:rsidRDefault="00A51A32" w:rsidP="001E277A">
      <w:pPr>
        <w:pStyle w:val="ListParagraph"/>
        <w:numPr>
          <w:ilvl w:val="0"/>
          <w:numId w:val="9"/>
        </w:numPr>
      </w:pPr>
      <w:r w:rsidRPr="00943D96">
        <w:t>Connectivity</w:t>
      </w:r>
      <w:r w:rsidRPr="00943D96">
        <w:br/>
        <w:t>-are all facilities which are tested activated</w:t>
      </w:r>
      <w:r w:rsidRPr="006010DA">
        <w:rPr>
          <w:color w:val="0070C0"/>
        </w:rPr>
        <w:t xml:space="preserve">. </w:t>
      </w:r>
    </w:p>
    <w:p w:rsidR="00367C23" w:rsidRDefault="00A51A32" w:rsidP="002E35FD">
      <w:pPr>
        <w:pStyle w:val="ListParagraph"/>
        <w:rPr>
          <w:rFonts w:asciiTheme="minorHAnsi" w:hAnsiTheme="minorHAnsi" w:cstheme="minorBidi"/>
          <w:color w:val="0070C0"/>
        </w:rPr>
      </w:pPr>
      <w:r w:rsidRPr="00B3083C">
        <w:rPr>
          <w:rFonts w:asciiTheme="minorHAnsi" w:hAnsiTheme="minorHAnsi" w:cstheme="minorBidi"/>
          <w:color w:val="0070C0"/>
        </w:rPr>
        <w:t xml:space="preserve">Response: </w:t>
      </w:r>
      <w:r w:rsidR="004D3203">
        <w:rPr>
          <w:rFonts w:asciiTheme="minorHAnsi" w:hAnsiTheme="minorHAnsi" w:cstheme="minorBidi"/>
          <w:color w:val="0070C0"/>
        </w:rPr>
        <w:t>S</w:t>
      </w:r>
      <w:r w:rsidRPr="00B3083C">
        <w:rPr>
          <w:rFonts w:asciiTheme="minorHAnsi" w:hAnsiTheme="minorHAnsi" w:cstheme="minorBidi"/>
          <w:color w:val="0070C0"/>
        </w:rPr>
        <w:t xml:space="preserve">ites being installed with infrastructure </w:t>
      </w:r>
      <w:r w:rsidR="00137A2D">
        <w:rPr>
          <w:rFonts w:asciiTheme="minorHAnsi" w:hAnsiTheme="minorHAnsi" w:cstheme="minorBidi"/>
          <w:color w:val="0070C0"/>
        </w:rPr>
        <w:t xml:space="preserve">by BBI’s partners </w:t>
      </w:r>
      <w:r w:rsidRPr="00B3083C">
        <w:rPr>
          <w:rFonts w:asciiTheme="minorHAnsi" w:hAnsiTheme="minorHAnsi" w:cstheme="minorBidi"/>
          <w:color w:val="0070C0"/>
        </w:rPr>
        <w:t>are the ones being tested to ensure compliance with SA Connect network requirements before services are activated</w:t>
      </w:r>
      <w:r w:rsidR="00137A2D">
        <w:rPr>
          <w:rFonts w:asciiTheme="minorHAnsi" w:hAnsiTheme="minorHAnsi" w:cstheme="minorBidi"/>
          <w:color w:val="0070C0"/>
        </w:rPr>
        <w:t xml:space="preserve"> by SITA</w:t>
      </w:r>
      <w:r w:rsidRPr="00B3083C">
        <w:rPr>
          <w:rFonts w:asciiTheme="minorHAnsi" w:hAnsiTheme="minorHAnsi" w:cstheme="minorBidi"/>
          <w:color w:val="0070C0"/>
        </w:rPr>
        <w:t>.</w:t>
      </w:r>
      <w:r w:rsidR="00137A2D">
        <w:rPr>
          <w:rFonts w:asciiTheme="minorHAnsi" w:hAnsiTheme="minorHAnsi" w:cstheme="minorBidi"/>
          <w:color w:val="0070C0"/>
        </w:rPr>
        <w:t xml:space="preserve"> </w:t>
      </w:r>
      <w:r w:rsidR="00047104">
        <w:rPr>
          <w:rFonts w:asciiTheme="minorHAnsi" w:hAnsiTheme="minorHAnsi" w:cstheme="minorBidi"/>
          <w:color w:val="0070C0"/>
        </w:rPr>
        <w:t xml:space="preserve">Due to the funding for services becoming available </w:t>
      </w:r>
      <w:r w:rsidR="00F267B3">
        <w:rPr>
          <w:rFonts w:asciiTheme="minorHAnsi" w:hAnsiTheme="minorHAnsi" w:cstheme="minorBidi"/>
          <w:color w:val="0070C0"/>
        </w:rPr>
        <w:t xml:space="preserve">in </w:t>
      </w:r>
      <w:r w:rsidR="00047104">
        <w:rPr>
          <w:rFonts w:asciiTheme="minorHAnsi" w:hAnsiTheme="minorHAnsi" w:cstheme="minorBidi"/>
          <w:color w:val="0070C0"/>
        </w:rPr>
        <w:t>late August 2018</w:t>
      </w:r>
      <w:r w:rsidR="00CC7E5D">
        <w:rPr>
          <w:rFonts w:asciiTheme="minorHAnsi" w:hAnsiTheme="minorHAnsi" w:cstheme="minorBidi"/>
          <w:color w:val="0070C0"/>
        </w:rPr>
        <w:t xml:space="preserve">. </w:t>
      </w:r>
    </w:p>
    <w:p w:rsidR="00367C23" w:rsidRDefault="00367C23" w:rsidP="002E35FD">
      <w:pPr>
        <w:pStyle w:val="ListParagraph"/>
        <w:rPr>
          <w:rFonts w:asciiTheme="minorHAnsi" w:hAnsiTheme="minorHAnsi" w:cstheme="minorBidi"/>
          <w:color w:val="0070C0"/>
        </w:rPr>
      </w:pPr>
    </w:p>
    <w:p w:rsidR="001E277A" w:rsidRDefault="00367C23" w:rsidP="002E35FD">
      <w:pPr>
        <w:pStyle w:val="ListParagraph"/>
      </w:pPr>
      <w:r w:rsidRPr="00150085">
        <w:rPr>
          <w:rFonts w:asciiTheme="minorHAnsi" w:hAnsiTheme="minorHAnsi" w:cstheme="minorBidi"/>
          <w:color w:val="FF0000"/>
        </w:rPr>
        <w:t>SITA’s plan to activate services as follows.</w:t>
      </w:r>
      <w:r w:rsidR="00137A2D" w:rsidRPr="00150085">
        <w:rPr>
          <w:rFonts w:asciiTheme="minorHAnsi" w:hAnsiTheme="minorHAnsi" w:cstheme="minorBidi"/>
          <w:color w:val="FF0000"/>
        </w:rPr>
        <w:t xml:space="preserve"> </w:t>
      </w:r>
      <w:r w:rsidR="00A51A32" w:rsidRPr="00150085">
        <w:rPr>
          <w:color w:val="FF0000"/>
        </w:rPr>
        <w:br/>
      </w:r>
    </w:p>
    <w:p w:rsidR="00773912" w:rsidRDefault="00A51A32" w:rsidP="001E277A">
      <w:pPr>
        <w:pStyle w:val="ListParagraph"/>
        <w:numPr>
          <w:ilvl w:val="0"/>
          <w:numId w:val="9"/>
        </w:numPr>
      </w:pPr>
      <w:r w:rsidRPr="00943D96">
        <w:t>Risks</w:t>
      </w:r>
      <w:r w:rsidRPr="00943D96">
        <w:br/>
      </w:r>
      <w:r w:rsidR="002E35FD">
        <w:t xml:space="preserve">a) </w:t>
      </w:r>
      <w:r w:rsidRPr="00943D96">
        <w:t>are there mechanisms in place to mitigate the risks effectively</w:t>
      </w:r>
      <w:r>
        <w:t xml:space="preserve">. </w:t>
      </w:r>
    </w:p>
    <w:p w:rsidR="002E35FD" w:rsidRDefault="00A51A32" w:rsidP="00773912">
      <w:pPr>
        <w:pStyle w:val="ListParagraph"/>
      </w:pPr>
      <w:r w:rsidRPr="00B3083C">
        <w:rPr>
          <w:rFonts w:asciiTheme="minorHAnsi" w:hAnsiTheme="minorHAnsi" w:cstheme="minorBidi"/>
          <w:color w:val="0070C0"/>
        </w:rPr>
        <w:t>Response:  Operationally there is governance framework to address, strategic, operational, and technical risks.  Financially however the risk mitigation is limited.</w:t>
      </w:r>
      <w:r w:rsidRPr="00943D96">
        <w:br/>
      </w:r>
    </w:p>
    <w:p w:rsidR="009D5B6C" w:rsidRDefault="002E35FD" w:rsidP="002E35FD">
      <w:pPr>
        <w:pStyle w:val="ListParagraph"/>
      </w:pPr>
      <w:r>
        <w:t xml:space="preserve">b) </w:t>
      </w:r>
      <w:r w:rsidR="00A51A32" w:rsidRPr="00943D96">
        <w:t>elections campaigns are always threatened by protests which are sometimes violent and cause damage to public property. In light of this information, how realistic are your time frames</w:t>
      </w:r>
    </w:p>
    <w:p w:rsidR="00AE7289" w:rsidRDefault="00A51A32" w:rsidP="002E35FD">
      <w:pPr>
        <w:pStyle w:val="ListParagraph"/>
      </w:pPr>
      <w:r w:rsidRPr="00943D96">
        <w:br/>
      </w:r>
      <w:r w:rsidR="00E307BD" w:rsidRPr="00B3083C">
        <w:rPr>
          <w:rFonts w:asciiTheme="minorHAnsi" w:hAnsiTheme="minorHAnsi" w:cstheme="minorBidi"/>
          <w:color w:val="0070C0"/>
        </w:rPr>
        <w:t xml:space="preserve">Response: </w:t>
      </w:r>
      <w:r w:rsidR="009D0CA3" w:rsidRPr="00B3083C">
        <w:rPr>
          <w:rFonts w:asciiTheme="minorHAnsi" w:hAnsiTheme="minorHAnsi" w:cstheme="minorBidi"/>
          <w:color w:val="0070C0"/>
        </w:rPr>
        <w:t xml:space="preserve">As indicated on </w:t>
      </w:r>
      <w:r w:rsidR="008A483C" w:rsidRPr="00B3083C">
        <w:rPr>
          <w:rFonts w:asciiTheme="minorHAnsi" w:hAnsiTheme="minorHAnsi" w:cstheme="minorBidi"/>
          <w:color w:val="0070C0"/>
        </w:rPr>
        <w:t xml:space="preserve">Slide 13, service delivery protests have the potential to </w:t>
      </w:r>
      <w:r w:rsidR="00EE699B" w:rsidRPr="00B3083C">
        <w:rPr>
          <w:rFonts w:asciiTheme="minorHAnsi" w:hAnsiTheme="minorHAnsi" w:cstheme="minorBidi"/>
          <w:color w:val="0070C0"/>
        </w:rPr>
        <w:t xml:space="preserve">impact the project. So far, we have been fortunate that </w:t>
      </w:r>
      <w:r w:rsidR="004E1B56" w:rsidRPr="00B3083C">
        <w:rPr>
          <w:rFonts w:asciiTheme="minorHAnsi" w:hAnsiTheme="minorHAnsi" w:cstheme="minorBidi"/>
          <w:color w:val="0070C0"/>
        </w:rPr>
        <w:t xml:space="preserve">the protests that were encountered did not impact the project. </w:t>
      </w:r>
      <w:r w:rsidR="00AA12D8" w:rsidRPr="00B3083C">
        <w:rPr>
          <w:rFonts w:asciiTheme="minorHAnsi" w:hAnsiTheme="minorHAnsi" w:cstheme="minorBidi"/>
          <w:color w:val="0070C0"/>
        </w:rPr>
        <w:t xml:space="preserve">The plans factor in some of the major </w:t>
      </w:r>
      <w:r w:rsidR="008F2034" w:rsidRPr="00B3083C">
        <w:rPr>
          <w:rFonts w:asciiTheme="minorHAnsi" w:hAnsiTheme="minorHAnsi" w:cstheme="minorBidi"/>
          <w:color w:val="0070C0"/>
        </w:rPr>
        <w:t xml:space="preserve">issues such as </w:t>
      </w:r>
      <w:r w:rsidR="00AF7EFE" w:rsidRPr="00B3083C">
        <w:rPr>
          <w:rFonts w:asciiTheme="minorHAnsi" w:hAnsiTheme="minorHAnsi" w:cstheme="minorBidi"/>
          <w:color w:val="0070C0"/>
        </w:rPr>
        <w:t xml:space="preserve">3rd party approval of high sites, </w:t>
      </w:r>
      <w:r w:rsidR="00B86E68" w:rsidRPr="00B3083C">
        <w:rPr>
          <w:rFonts w:asciiTheme="minorHAnsi" w:hAnsiTheme="minorHAnsi" w:cstheme="minorBidi"/>
          <w:color w:val="0070C0"/>
        </w:rPr>
        <w:t xml:space="preserve">equipment delivery delays etc, however, the Department and the entities have been </w:t>
      </w:r>
      <w:r w:rsidR="00D96B41" w:rsidRPr="00B3083C">
        <w:rPr>
          <w:rFonts w:asciiTheme="minorHAnsi" w:hAnsiTheme="minorHAnsi" w:cstheme="minorBidi"/>
          <w:color w:val="0070C0"/>
        </w:rPr>
        <w:t xml:space="preserve">working hard </w:t>
      </w:r>
      <w:r w:rsidR="000373AC" w:rsidRPr="00B3083C">
        <w:rPr>
          <w:rFonts w:asciiTheme="minorHAnsi" w:hAnsiTheme="minorHAnsi" w:cstheme="minorBidi"/>
          <w:color w:val="0070C0"/>
        </w:rPr>
        <w:t xml:space="preserve">and go through a detailed process </w:t>
      </w:r>
      <w:r w:rsidR="00D96B41" w:rsidRPr="00B3083C">
        <w:rPr>
          <w:rFonts w:asciiTheme="minorHAnsi" w:hAnsiTheme="minorHAnsi" w:cstheme="minorBidi"/>
          <w:color w:val="0070C0"/>
        </w:rPr>
        <w:t xml:space="preserve">to shorten some of the timelines in order to complete </w:t>
      </w:r>
      <w:r w:rsidR="00F07E3D" w:rsidRPr="00B3083C">
        <w:rPr>
          <w:rFonts w:asciiTheme="minorHAnsi" w:hAnsiTheme="minorHAnsi" w:cstheme="minorBidi"/>
          <w:color w:val="0070C0"/>
        </w:rPr>
        <w:t xml:space="preserve">the work. Therefore, if the were prolonged service delivery protests or there was damage to </w:t>
      </w:r>
      <w:r w:rsidR="00026322" w:rsidRPr="00B3083C">
        <w:rPr>
          <w:rFonts w:asciiTheme="minorHAnsi" w:hAnsiTheme="minorHAnsi" w:cstheme="minorBidi"/>
          <w:color w:val="0070C0"/>
        </w:rPr>
        <w:t xml:space="preserve">important </w:t>
      </w:r>
      <w:r w:rsidR="00026322" w:rsidRPr="00B3083C">
        <w:rPr>
          <w:rFonts w:asciiTheme="minorHAnsi" w:hAnsiTheme="minorHAnsi" w:cstheme="minorBidi"/>
          <w:color w:val="0070C0"/>
        </w:rPr>
        <w:lastRenderedPageBreak/>
        <w:t>equipment during the protests, the timelines will definitely be affected.</w:t>
      </w:r>
      <w:r w:rsidR="00026322">
        <w:rPr>
          <w:color w:val="0070C0"/>
        </w:rPr>
        <w:t xml:space="preserve"> </w:t>
      </w:r>
      <w:r w:rsidRPr="00E307BD">
        <w:rPr>
          <w:color w:val="0070C0"/>
        </w:rPr>
        <w:br/>
      </w:r>
    </w:p>
    <w:p w:rsidR="00A51A32" w:rsidRDefault="00A51A32" w:rsidP="001E277A">
      <w:pPr>
        <w:pStyle w:val="ListParagraph"/>
        <w:numPr>
          <w:ilvl w:val="0"/>
          <w:numId w:val="9"/>
        </w:numPr>
      </w:pPr>
      <w:r w:rsidRPr="00943D96">
        <w:t>Do you anticipate further cuts in the budget.</w:t>
      </w:r>
      <w:r w:rsidRPr="00943D96">
        <w:br/>
      </w:r>
    </w:p>
    <w:p w:rsidR="00930F47" w:rsidRDefault="00D96C6B" w:rsidP="00D96C6B">
      <w:pPr>
        <w:pStyle w:val="ListParagraph"/>
        <w:rPr>
          <w:rFonts w:asciiTheme="minorHAnsi" w:hAnsiTheme="minorHAnsi" w:cstheme="minorBidi"/>
          <w:color w:val="0070C0"/>
        </w:rPr>
      </w:pPr>
      <w:r w:rsidRPr="00B3083C">
        <w:rPr>
          <w:rFonts w:asciiTheme="minorHAnsi" w:hAnsiTheme="minorHAnsi" w:cstheme="minorBidi"/>
          <w:color w:val="0070C0"/>
        </w:rPr>
        <w:t xml:space="preserve">Response: </w:t>
      </w:r>
      <w:r w:rsidR="00930F47" w:rsidRPr="00B3083C">
        <w:rPr>
          <w:rFonts w:asciiTheme="minorHAnsi" w:hAnsiTheme="minorHAnsi" w:cstheme="minorBidi"/>
          <w:color w:val="0070C0"/>
        </w:rPr>
        <w:t>We do not anticipate further budget cuts</w:t>
      </w:r>
      <w:r w:rsidR="00D6740B" w:rsidRPr="00B3083C">
        <w:rPr>
          <w:rFonts w:asciiTheme="minorHAnsi" w:hAnsiTheme="minorHAnsi" w:cstheme="minorBidi"/>
          <w:color w:val="0070C0"/>
        </w:rPr>
        <w:t xml:space="preserve">, the budget increase night also be to high, which have a serious impact </w:t>
      </w:r>
      <w:r w:rsidRPr="00B3083C">
        <w:rPr>
          <w:rFonts w:asciiTheme="minorHAnsi" w:hAnsiTheme="minorHAnsi" w:cstheme="minorBidi"/>
          <w:color w:val="0070C0"/>
        </w:rPr>
        <w:t>on the roll-out broadband</w:t>
      </w:r>
      <w:r w:rsidR="00F12E02" w:rsidRPr="00B3083C">
        <w:rPr>
          <w:rFonts w:asciiTheme="minorHAnsi" w:hAnsiTheme="minorHAnsi" w:cstheme="minorBidi"/>
          <w:color w:val="0070C0"/>
        </w:rPr>
        <w:t xml:space="preserve">. </w:t>
      </w:r>
      <w:r w:rsidR="0018520C" w:rsidRPr="00B3083C">
        <w:rPr>
          <w:rFonts w:asciiTheme="minorHAnsi" w:hAnsiTheme="minorHAnsi" w:cstheme="minorBidi"/>
          <w:color w:val="0070C0"/>
        </w:rPr>
        <w:t xml:space="preserve">The positive progress and impact should also encourage National Treasury </w:t>
      </w:r>
      <w:r w:rsidR="006A6DAE" w:rsidRPr="00B3083C">
        <w:rPr>
          <w:rFonts w:asciiTheme="minorHAnsi" w:hAnsiTheme="minorHAnsi" w:cstheme="minorBidi"/>
          <w:color w:val="0070C0"/>
        </w:rPr>
        <w:t xml:space="preserve">not to cut the budget. </w:t>
      </w:r>
      <w:r w:rsidR="00437FCC" w:rsidRPr="00B3083C">
        <w:rPr>
          <w:rFonts w:asciiTheme="minorHAnsi" w:hAnsiTheme="minorHAnsi" w:cstheme="minorBidi"/>
          <w:color w:val="0070C0"/>
        </w:rPr>
        <w:t>There is general agreement that ICTs in particular, broadband roll-out is crucial for economic growth</w:t>
      </w:r>
      <w:r w:rsidR="00D77804" w:rsidRPr="00B3083C">
        <w:rPr>
          <w:rFonts w:asciiTheme="minorHAnsi" w:hAnsiTheme="minorHAnsi" w:cstheme="minorBidi"/>
          <w:color w:val="0070C0"/>
        </w:rPr>
        <w:t xml:space="preserve"> including the Fourth Industrial revolution.</w:t>
      </w:r>
    </w:p>
    <w:p w:rsidR="00150085" w:rsidRDefault="00150085" w:rsidP="00D96C6B">
      <w:pPr>
        <w:pStyle w:val="ListParagraph"/>
        <w:rPr>
          <w:rFonts w:asciiTheme="minorHAnsi" w:hAnsiTheme="minorHAnsi" w:cstheme="minorBidi"/>
          <w:color w:val="0070C0"/>
        </w:rPr>
      </w:pPr>
    </w:p>
    <w:p w:rsidR="003700CD" w:rsidRDefault="003700CD" w:rsidP="00D96C6B">
      <w:pPr>
        <w:pStyle w:val="ListParagraph"/>
        <w:rPr>
          <w:rFonts w:asciiTheme="minorHAnsi" w:hAnsiTheme="minorHAnsi" w:cstheme="minorBidi"/>
          <w:color w:val="0070C0"/>
        </w:rPr>
      </w:pPr>
    </w:p>
    <w:p w:rsidR="00150085" w:rsidRPr="003700CD" w:rsidRDefault="00B12360" w:rsidP="003700CD">
      <w:pPr>
        <w:rPr>
          <w:b/>
        </w:rPr>
      </w:pPr>
      <w:r w:rsidRPr="003700CD">
        <w:rPr>
          <w:b/>
        </w:rPr>
        <w:t>Honourable Chairperson</w:t>
      </w:r>
    </w:p>
    <w:p w:rsidR="00B12360" w:rsidRDefault="00B12360" w:rsidP="00D96C6B">
      <w:pPr>
        <w:pStyle w:val="ListParagraph"/>
        <w:rPr>
          <w:rFonts w:asciiTheme="minorHAnsi" w:hAnsiTheme="minorHAnsi" w:cstheme="minorBidi"/>
          <w:color w:val="0070C0"/>
        </w:rPr>
      </w:pPr>
    </w:p>
    <w:p w:rsidR="003700CD" w:rsidRPr="003700CD" w:rsidRDefault="00B12360" w:rsidP="003700CD">
      <w:pPr>
        <w:pStyle w:val="ListParagraph"/>
        <w:numPr>
          <w:ilvl w:val="0"/>
          <w:numId w:val="10"/>
        </w:numPr>
      </w:pPr>
      <w:r w:rsidRPr="003700CD">
        <w:t>Need demonstrate live, the monitoring of connectivity</w:t>
      </w:r>
      <w:r w:rsidR="003700CD" w:rsidRPr="003700CD">
        <w:t>?</w:t>
      </w:r>
    </w:p>
    <w:p w:rsidR="003700CD" w:rsidRDefault="003700CD" w:rsidP="00D96C6B">
      <w:pPr>
        <w:pStyle w:val="ListParagraph"/>
        <w:rPr>
          <w:rFonts w:asciiTheme="minorHAnsi" w:hAnsiTheme="minorHAnsi" w:cstheme="minorBidi"/>
          <w:color w:val="0070C0"/>
        </w:rPr>
      </w:pPr>
    </w:p>
    <w:p w:rsidR="00F4603E" w:rsidRPr="00A75D7A" w:rsidRDefault="00F4603E" w:rsidP="00A46215">
      <w:pPr>
        <w:pStyle w:val="ListParagraph"/>
        <w:rPr>
          <w:rFonts w:asciiTheme="minorHAnsi" w:hAnsiTheme="minorHAnsi" w:cstheme="minorBidi"/>
          <w:color w:val="FF0000"/>
        </w:rPr>
      </w:pPr>
      <w:r w:rsidRPr="00A75D7A">
        <w:rPr>
          <w:rFonts w:asciiTheme="minorHAnsi" w:hAnsiTheme="minorHAnsi" w:cstheme="minorBidi"/>
          <w:color w:val="FF0000"/>
        </w:rPr>
        <w:t>Response:  a) Connectivity to the 63 Facilities</w:t>
      </w:r>
    </w:p>
    <w:p w:rsidR="00A46215" w:rsidRPr="00A75D7A" w:rsidRDefault="00010A63" w:rsidP="00A46215">
      <w:pPr>
        <w:pStyle w:val="ListParagraph"/>
        <w:ind w:left="1440"/>
        <w:rPr>
          <w:rFonts w:asciiTheme="minorHAnsi" w:hAnsiTheme="minorHAnsi" w:cstheme="minorBidi"/>
          <w:color w:val="FF0000"/>
        </w:rPr>
      </w:pPr>
      <w:r w:rsidRPr="00A75D7A">
        <w:rPr>
          <w:rFonts w:asciiTheme="minorHAnsi" w:hAnsiTheme="minorHAnsi" w:cstheme="minorBidi"/>
          <w:color w:val="FF0000"/>
        </w:rPr>
        <w:t>b) Connectivity to the 312 (now 313 facilities)</w:t>
      </w:r>
    </w:p>
    <w:p w:rsidR="00F4603E" w:rsidRPr="00B3083C" w:rsidRDefault="00F4603E" w:rsidP="00D96C6B">
      <w:pPr>
        <w:pStyle w:val="ListParagraph"/>
        <w:rPr>
          <w:rFonts w:asciiTheme="minorHAnsi" w:hAnsiTheme="minorHAnsi" w:cstheme="minorBidi"/>
          <w:color w:val="0070C0"/>
        </w:rPr>
      </w:pPr>
    </w:p>
    <w:sectPr w:rsidR="00F4603E" w:rsidRPr="00B3083C" w:rsidSect="00D05DE5">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6DD" w:rsidRDefault="000F36DD" w:rsidP="004D3203">
      <w:r>
        <w:separator/>
      </w:r>
    </w:p>
  </w:endnote>
  <w:endnote w:type="continuationSeparator" w:id="0">
    <w:p w:rsidR="000F36DD" w:rsidRDefault="000F36DD" w:rsidP="004D3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9918776"/>
      <w:docPartObj>
        <w:docPartGallery w:val="Page Numbers (Bottom of Page)"/>
        <w:docPartUnique/>
      </w:docPartObj>
    </w:sdtPr>
    <w:sdtContent>
      <w:p w:rsidR="004D3203" w:rsidRDefault="002F43CE" w:rsidP="00903D20">
        <w:pPr>
          <w:pStyle w:val="Footer"/>
          <w:framePr w:wrap="none" w:vAnchor="text" w:hAnchor="margin" w:xAlign="center" w:y="1"/>
          <w:rPr>
            <w:rStyle w:val="PageNumber"/>
          </w:rPr>
        </w:pPr>
        <w:r>
          <w:rPr>
            <w:rStyle w:val="PageNumber"/>
          </w:rPr>
          <w:fldChar w:fldCharType="begin"/>
        </w:r>
        <w:r w:rsidR="004D3203">
          <w:rPr>
            <w:rStyle w:val="PageNumber"/>
          </w:rPr>
          <w:instrText xml:space="preserve"> PAGE </w:instrText>
        </w:r>
        <w:r>
          <w:rPr>
            <w:rStyle w:val="PageNumber"/>
          </w:rPr>
          <w:fldChar w:fldCharType="end"/>
        </w:r>
      </w:p>
    </w:sdtContent>
  </w:sdt>
  <w:p w:rsidR="004D3203" w:rsidRDefault="004D3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835348269"/>
      <w:docPartObj>
        <w:docPartGallery w:val="Page Numbers (Bottom of Page)"/>
        <w:docPartUnique/>
      </w:docPartObj>
    </w:sdtPr>
    <w:sdtContent>
      <w:p w:rsidR="004D3203" w:rsidRDefault="002F43CE" w:rsidP="00903D20">
        <w:pPr>
          <w:pStyle w:val="Footer"/>
          <w:framePr w:wrap="none" w:vAnchor="text" w:hAnchor="margin" w:xAlign="center" w:y="1"/>
          <w:rPr>
            <w:rStyle w:val="PageNumber"/>
          </w:rPr>
        </w:pPr>
        <w:r>
          <w:rPr>
            <w:rStyle w:val="PageNumber"/>
          </w:rPr>
          <w:fldChar w:fldCharType="begin"/>
        </w:r>
        <w:r w:rsidR="004D3203">
          <w:rPr>
            <w:rStyle w:val="PageNumber"/>
          </w:rPr>
          <w:instrText xml:space="preserve"> PAGE </w:instrText>
        </w:r>
        <w:r>
          <w:rPr>
            <w:rStyle w:val="PageNumber"/>
          </w:rPr>
          <w:fldChar w:fldCharType="separate"/>
        </w:r>
        <w:r w:rsidR="00E3513B">
          <w:rPr>
            <w:rStyle w:val="PageNumber"/>
            <w:noProof/>
          </w:rPr>
          <w:t>1</w:t>
        </w:r>
        <w:r>
          <w:rPr>
            <w:rStyle w:val="PageNumber"/>
          </w:rPr>
          <w:fldChar w:fldCharType="end"/>
        </w:r>
      </w:p>
    </w:sdtContent>
  </w:sdt>
  <w:p w:rsidR="004D3203" w:rsidRDefault="004D3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6DD" w:rsidRDefault="000F36DD" w:rsidP="004D3203">
      <w:r>
        <w:separator/>
      </w:r>
    </w:p>
  </w:footnote>
  <w:footnote w:type="continuationSeparator" w:id="0">
    <w:p w:rsidR="000F36DD" w:rsidRDefault="000F36DD" w:rsidP="004D3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F4E"/>
    <w:multiLevelType w:val="hybridMultilevel"/>
    <w:tmpl w:val="00808F9C"/>
    <w:lvl w:ilvl="0" w:tplc="1C09000F">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90024F"/>
    <w:multiLevelType w:val="hybridMultilevel"/>
    <w:tmpl w:val="6A6418F8"/>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2B1795D"/>
    <w:multiLevelType w:val="hybridMultilevel"/>
    <w:tmpl w:val="6A6418F8"/>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62D2B38"/>
    <w:multiLevelType w:val="hybridMultilevel"/>
    <w:tmpl w:val="E74CF296"/>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7">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CE55A83"/>
    <w:multiLevelType w:val="hybridMultilevel"/>
    <w:tmpl w:val="54D4E0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0B308DE"/>
    <w:multiLevelType w:val="hybridMultilevel"/>
    <w:tmpl w:val="B60C816A"/>
    <w:lvl w:ilvl="0" w:tplc="59F22F34">
      <w:start w:val="1"/>
      <w:numFmt w:val="bullet"/>
      <w:lvlText w:val=""/>
      <w:lvlJc w:val="left"/>
      <w:pPr>
        <w:tabs>
          <w:tab w:val="num" w:pos="720"/>
        </w:tabs>
        <w:ind w:left="720" w:hanging="360"/>
      </w:pPr>
      <w:rPr>
        <w:rFonts w:ascii="Wingdings" w:hAnsi="Wingdings" w:hint="default"/>
      </w:rPr>
    </w:lvl>
    <w:lvl w:ilvl="1" w:tplc="4344D846">
      <w:start w:val="1"/>
      <w:numFmt w:val="bullet"/>
      <w:lvlText w:val=""/>
      <w:lvlJc w:val="left"/>
      <w:pPr>
        <w:tabs>
          <w:tab w:val="num" w:pos="1440"/>
        </w:tabs>
        <w:ind w:left="1440" w:hanging="360"/>
      </w:pPr>
      <w:rPr>
        <w:rFonts w:ascii="Wingdings" w:hAnsi="Wingdings" w:hint="default"/>
      </w:rPr>
    </w:lvl>
    <w:lvl w:ilvl="2" w:tplc="702A9C82" w:tentative="1">
      <w:start w:val="1"/>
      <w:numFmt w:val="bullet"/>
      <w:lvlText w:val=""/>
      <w:lvlJc w:val="left"/>
      <w:pPr>
        <w:tabs>
          <w:tab w:val="num" w:pos="2160"/>
        </w:tabs>
        <w:ind w:left="2160" w:hanging="360"/>
      </w:pPr>
      <w:rPr>
        <w:rFonts w:ascii="Wingdings" w:hAnsi="Wingdings" w:hint="default"/>
      </w:rPr>
    </w:lvl>
    <w:lvl w:ilvl="3" w:tplc="A6E8B63A" w:tentative="1">
      <w:start w:val="1"/>
      <w:numFmt w:val="bullet"/>
      <w:lvlText w:val=""/>
      <w:lvlJc w:val="left"/>
      <w:pPr>
        <w:tabs>
          <w:tab w:val="num" w:pos="2880"/>
        </w:tabs>
        <w:ind w:left="2880" w:hanging="360"/>
      </w:pPr>
      <w:rPr>
        <w:rFonts w:ascii="Wingdings" w:hAnsi="Wingdings" w:hint="default"/>
      </w:rPr>
    </w:lvl>
    <w:lvl w:ilvl="4" w:tplc="45D69EF6" w:tentative="1">
      <w:start w:val="1"/>
      <w:numFmt w:val="bullet"/>
      <w:lvlText w:val=""/>
      <w:lvlJc w:val="left"/>
      <w:pPr>
        <w:tabs>
          <w:tab w:val="num" w:pos="3600"/>
        </w:tabs>
        <w:ind w:left="3600" w:hanging="360"/>
      </w:pPr>
      <w:rPr>
        <w:rFonts w:ascii="Wingdings" w:hAnsi="Wingdings" w:hint="default"/>
      </w:rPr>
    </w:lvl>
    <w:lvl w:ilvl="5" w:tplc="BA76DDFA" w:tentative="1">
      <w:start w:val="1"/>
      <w:numFmt w:val="bullet"/>
      <w:lvlText w:val=""/>
      <w:lvlJc w:val="left"/>
      <w:pPr>
        <w:tabs>
          <w:tab w:val="num" w:pos="4320"/>
        </w:tabs>
        <w:ind w:left="4320" w:hanging="360"/>
      </w:pPr>
      <w:rPr>
        <w:rFonts w:ascii="Wingdings" w:hAnsi="Wingdings" w:hint="default"/>
      </w:rPr>
    </w:lvl>
    <w:lvl w:ilvl="6" w:tplc="5EAEA976" w:tentative="1">
      <w:start w:val="1"/>
      <w:numFmt w:val="bullet"/>
      <w:lvlText w:val=""/>
      <w:lvlJc w:val="left"/>
      <w:pPr>
        <w:tabs>
          <w:tab w:val="num" w:pos="5040"/>
        </w:tabs>
        <w:ind w:left="5040" w:hanging="360"/>
      </w:pPr>
      <w:rPr>
        <w:rFonts w:ascii="Wingdings" w:hAnsi="Wingdings" w:hint="default"/>
      </w:rPr>
    </w:lvl>
    <w:lvl w:ilvl="7" w:tplc="87FEA866" w:tentative="1">
      <w:start w:val="1"/>
      <w:numFmt w:val="bullet"/>
      <w:lvlText w:val=""/>
      <w:lvlJc w:val="left"/>
      <w:pPr>
        <w:tabs>
          <w:tab w:val="num" w:pos="5760"/>
        </w:tabs>
        <w:ind w:left="5760" w:hanging="360"/>
      </w:pPr>
      <w:rPr>
        <w:rFonts w:ascii="Wingdings" w:hAnsi="Wingdings" w:hint="default"/>
      </w:rPr>
    </w:lvl>
    <w:lvl w:ilvl="8" w:tplc="DBCCAB5C" w:tentative="1">
      <w:start w:val="1"/>
      <w:numFmt w:val="bullet"/>
      <w:lvlText w:val=""/>
      <w:lvlJc w:val="left"/>
      <w:pPr>
        <w:tabs>
          <w:tab w:val="num" w:pos="6480"/>
        </w:tabs>
        <w:ind w:left="6480" w:hanging="360"/>
      </w:pPr>
      <w:rPr>
        <w:rFonts w:ascii="Wingdings" w:hAnsi="Wingdings" w:hint="default"/>
      </w:rPr>
    </w:lvl>
  </w:abstractNum>
  <w:abstractNum w:abstractNumId="6">
    <w:nsid w:val="6166451B"/>
    <w:multiLevelType w:val="hybridMultilevel"/>
    <w:tmpl w:val="9E828A36"/>
    <w:lvl w:ilvl="0" w:tplc="CB64545A">
      <w:start w:val="1"/>
      <w:numFmt w:val="decimal"/>
      <w:lvlText w:val="%1."/>
      <w:lvlJc w:val="left"/>
      <w:pPr>
        <w:ind w:left="720" w:hanging="360"/>
      </w:pPr>
      <w:rPr>
        <w:rFonts w:hint="default"/>
        <w:color w:val="000000" w:themeColor="text1"/>
      </w:r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50C46BE"/>
    <w:multiLevelType w:val="hybridMultilevel"/>
    <w:tmpl w:val="E7F2C622"/>
    <w:lvl w:ilvl="0" w:tplc="BE8CA322">
      <w:numFmt w:val="bullet"/>
      <w:lvlText w:val="•"/>
      <w:lvlJc w:val="left"/>
      <w:pPr>
        <w:ind w:left="1950" w:hanging="615"/>
      </w:pPr>
      <w:rPr>
        <w:rFonts w:ascii="Calibri" w:eastAsiaTheme="minorHAnsi" w:hAnsi="Calibri" w:cstheme="minorBidi" w:hint="default"/>
      </w:rPr>
    </w:lvl>
    <w:lvl w:ilvl="1" w:tplc="1C090003" w:tentative="1">
      <w:start w:val="1"/>
      <w:numFmt w:val="bullet"/>
      <w:lvlText w:val="o"/>
      <w:lvlJc w:val="left"/>
      <w:pPr>
        <w:ind w:left="2415" w:hanging="360"/>
      </w:pPr>
      <w:rPr>
        <w:rFonts w:ascii="Courier New" w:hAnsi="Courier New" w:cs="Courier New" w:hint="default"/>
      </w:rPr>
    </w:lvl>
    <w:lvl w:ilvl="2" w:tplc="1C090005" w:tentative="1">
      <w:start w:val="1"/>
      <w:numFmt w:val="bullet"/>
      <w:lvlText w:val=""/>
      <w:lvlJc w:val="left"/>
      <w:pPr>
        <w:ind w:left="3135" w:hanging="360"/>
      </w:pPr>
      <w:rPr>
        <w:rFonts w:ascii="Wingdings" w:hAnsi="Wingdings" w:hint="default"/>
      </w:rPr>
    </w:lvl>
    <w:lvl w:ilvl="3" w:tplc="1C090001" w:tentative="1">
      <w:start w:val="1"/>
      <w:numFmt w:val="bullet"/>
      <w:lvlText w:val=""/>
      <w:lvlJc w:val="left"/>
      <w:pPr>
        <w:ind w:left="3855" w:hanging="360"/>
      </w:pPr>
      <w:rPr>
        <w:rFonts w:ascii="Symbol" w:hAnsi="Symbol" w:hint="default"/>
      </w:rPr>
    </w:lvl>
    <w:lvl w:ilvl="4" w:tplc="1C090003" w:tentative="1">
      <w:start w:val="1"/>
      <w:numFmt w:val="bullet"/>
      <w:lvlText w:val="o"/>
      <w:lvlJc w:val="left"/>
      <w:pPr>
        <w:ind w:left="4575" w:hanging="360"/>
      </w:pPr>
      <w:rPr>
        <w:rFonts w:ascii="Courier New" w:hAnsi="Courier New" w:cs="Courier New" w:hint="default"/>
      </w:rPr>
    </w:lvl>
    <w:lvl w:ilvl="5" w:tplc="1C090005" w:tentative="1">
      <w:start w:val="1"/>
      <w:numFmt w:val="bullet"/>
      <w:lvlText w:val=""/>
      <w:lvlJc w:val="left"/>
      <w:pPr>
        <w:ind w:left="5295" w:hanging="360"/>
      </w:pPr>
      <w:rPr>
        <w:rFonts w:ascii="Wingdings" w:hAnsi="Wingdings" w:hint="default"/>
      </w:rPr>
    </w:lvl>
    <w:lvl w:ilvl="6" w:tplc="1C090001" w:tentative="1">
      <w:start w:val="1"/>
      <w:numFmt w:val="bullet"/>
      <w:lvlText w:val=""/>
      <w:lvlJc w:val="left"/>
      <w:pPr>
        <w:ind w:left="6015" w:hanging="360"/>
      </w:pPr>
      <w:rPr>
        <w:rFonts w:ascii="Symbol" w:hAnsi="Symbol" w:hint="default"/>
      </w:rPr>
    </w:lvl>
    <w:lvl w:ilvl="7" w:tplc="1C090003" w:tentative="1">
      <w:start w:val="1"/>
      <w:numFmt w:val="bullet"/>
      <w:lvlText w:val="o"/>
      <w:lvlJc w:val="left"/>
      <w:pPr>
        <w:ind w:left="6735" w:hanging="360"/>
      </w:pPr>
      <w:rPr>
        <w:rFonts w:ascii="Courier New" w:hAnsi="Courier New" w:cs="Courier New" w:hint="default"/>
      </w:rPr>
    </w:lvl>
    <w:lvl w:ilvl="8" w:tplc="1C090005" w:tentative="1">
      <w:start w:val="1"/>
      <w:numFmt w:val="bullet"/>
      <w:lvlText w:val=""/>
      <w:lvlJc w:val="left"/>
      <w:pPr>
        <w:ind w:left="7455" w:hanging="360"/>
      </w:pPr>
      <w:rPr>
        <w:rFonts w:ascii="Wingdings" w:hAnsi="Wingdings" w:hint="default"/>
      </w:rPr>
    </w:lvl>
  </w:abstractNum>
  <w:abstractNum w:abstractNumId="8">
    <w:nsid w:val="67656097"/>
    <w:multiLevelType w:val="hybridMultilevel"/>
    <w:tmpl w:val="9E828A36"/>
    <w:lvl w:ilvl="0" w:tplc="CB64545A">
      <w:start w:val="1"/>
      <w:numFmt w:val="decimal"/>
      <w:lvlText w:val="%1."/>
      <w:lvlJc w:val="left"/>
      <w:pPr>
        <w:ind w:left="720" w:hanging="360"/>
      </w:pPr>
      <w:rPr>
        <w:rFonts w:hint="default"/>
        <w:color w:val="000000" w:themeColor="text1"/>
      </w:r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0105C8B"/>
    <w:multiLevelType w:val="hybridMultilevel"/>
    <w:tmpl w:val="365E0A80"/>
    <w:lvl w:ilvl="0" w:tplc="4F4C951E">
      <w:start w:val="1"/>
      <w:numFmt w:val="bullet"/>
      <w:lvlText w:val="•"/>
      <w:lvlJc w:val="left"/>
      <w:pPr>
        <w:tabs>
          <w:tab w:val="num" w:pos="720"/>
        </w:tabs>
        <w:ind w:left="720" w:hanging="360"/>
      </w:pPr>
      <w:rPr>
        <w:rFonts w:ascii="Arial" w:hAnsi="Arial" w:hint="default"/>
      </w:rPr>
    </w:lvl>
    <w:lvl w:ilvl="1" w:tplc="03D8DFE2" w:tentative="1">
      <w:start w:val="1"/>
      <w:numFmt w:val="bullet"/>
      <w:lvlText w:val="•"/>
      <w:lvlJc w:val="left"/>
      <w:pPr>
        <w:tabs>
          <w:tab w:val="num" w:pos="1440"/>
        </w:tabs>
        <w:ind w:left="1440" w:hanging="360"/>
      </w:pPr>
      <w:rPr>
        <w:rFonts w:ascii="Arial" w:hAnsi="Arial" w:hint="default"/>
      </w:rPr>
    </w:lvl>
    <w:lvl w:ilvl="2" w:tplc="67687D62" w:tentative="1">
      <w:start w:val="1"/>
      <w:numFmt w:val="bullet"/>
      <w:lvlText w:val="•"/>
      <w:lvlJc w:val="left"/>
      <w:pPr>
        <w:tabs>
          <w:tab w:val="num" w:pos="2160"/>
        </w:tabs>
        <w:ind w:left="2160" w:hanging="360"/>
      </w:pPr>
      <w:rPr>
        <w:rFonts w:ascii="Arial" w:hAnsi="Arial" w:hint="default"/>
      </w:rPr>
    </w:lvl>
    <w:lvl w:ilvl="3" w:tplc="78CEFC40" w:tentative="1">
      <w:start w:val="1"/>
      <w:numFmt w:val="bullet"/>
      <w:lvlText w:val="•"/>
      <w:lvlJc w:val="left"/>
      <w:pPr>
        <w:tabs>
          <w:tab w:val="num" w:pos="2880"/>
        </w:tabs>
        <w:ind w:left="2880" w:hanging="360"/>
      </w:pPr>
      <w:rPr>
        <w:rFonts w:ascii="Arial" w:hAnsi="Arial" w:hint="default"/>
      </w:rPr>
    </w:lvl>
    <w:lvl w:ilvl="4" w:tplc="E4926BC2" w:tentative="1">
      <w:start w:val="1"/>
      <w:numFmt w:val="bullet"/>
      <w:lvlText w:val="•"/>
      <w:lvlJc w:val="left"/>
      <w:pPr>
        <w:tabs>
          <w:tab w:val="num" w:pos="3600"/>
        </w:tabs>
        <w:ind w:left="3600" w:hanging="360"/>
      </w:pPr>
      <w:rPr>
        <w:rFonts w:ascii="Arial" w:hAnsi="Arial" w:hint="default"/>
      </w:rPr>
    </w:lvl>
    <w:lvl w:ilvl="5" w:tplc="5644CB4E" w:tentative="1">
      <w:start w:val="1"/>
      <w:numFmt w:val="bullet"/>
      <w:lvlText w:val="•"/>
      <w:lvlJc w:val="left"/>
      <w:pPr>
        <w:tabs>
          <w:tab w:val="num" w:pos="4320"/>
        </w:tabs>
        <w:ind w:left="4320" w:hanging="360"/>
      </w:pPr>
      <w:rPr>
        <w:rFonts w:ascii="Arial" w:hAnsi="Arial" w:hint="default"/>
      </w:rPr>
    </w:lvl>
    <w:lvl w:ilvl="6" w:tplc="27C07B58" w:tentative="1">
      <w:start w:val="1"/>
      <w:numFmt w:val="bullet"/>
      <w:lvlText w:val="•"/>
      <w:lvlJc w:val="left"/>
      <w:pPr>
        <w:tabs>
          <w:tab w:val="num" w:pos="5040"/>
        </w:tabs>
        <w:ind w:left="5040" w:hanging="360"/>
      </w:pPr>
      <w:rPr>
        <w:rFonts w:ascii="Arial" w:hAnsi="Arial" w:hint="default"/>
      </w:rPr>
    </w:lvl>
    <w:lvl w:ilvl="7" w:tplc="7D6CF4C4" w:tentative="1">
      <w:start w:val="1"/>
      <w:numFmt w:val="bullet"/>
      <w:lvlText w:val="•"/>
      <w:lvlJc w:val="left"/>
      <w:pPr>
        <w:tabs>
          <w:tab w:val="num" w:pos="5760"/>
        </w:tabs>
        <w:ind w:left="5760" w:hanging="360"/>
      </w:pPr>
      <w:rPr>
        <w:rFonts w:ascii="Arial" w:hAnsi="Arial" w:hint="default"/>
      </w:rPr>
    </w:lvl>
    <w:lvl w:ilvl="8" w:tplc="B642986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4"/>
  </w:num>
  <w:num w:numId="4">
    <w:abstractNumId w:val="7"/>
  </w:num>
  <w:num w:numId="5">
    <w:abstractNumId w:val="1"/>
  </w:num>
  <w:num w:numId="6">
    <w:abstractNumId w:val="0"/>
  </w:num>
  <w:num w:numId="7">
    <w:abstractNumId w:val="3"/>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defaultTabStop w:val="720"/>
  <w:characterSpacingControl w:val="doNotCompress"/>
  <w:footnotePr>
    <w:footnote w:id="-1"/>
    <w:footnote w:id="0"/>
  </w:footnotePr>
  <w:endnotePr>
    <w:endnote w:id="-1"/>
    <w:endnote w:id="0"/>
  </w:endnotePr>
  <w:compat/>
  <w:rsids>
    <w:rsidRoot w:val="00BF7AE3"/>
    <w:rsid w:val="00010A63"/>
    <w:rsid w:val="000152B2"/>
    <w:rsid w:val="00023EAF"/>
    <w:rsid w:val="00026322"/>
    <w:rsid w:val="00027326"/>
    <w:rsid w:val="000318BA"/>
    <w:rsid w:val="000373AC"/>
    <w:rsid w:val="00047104"/>
    <w:rsid w:val="00056BDF"/>
    <w:rsid w:val="00085C4B"/>
    <w:rsid w:val="000A4CF8"/>
    <w:rsid w:val="000B156F"/>
    <w:rsid w:val="000E255B"/>
    <w:rsid w:val="000E3BE5"/>
    <w:rsid w:val="000E641D"/>
    <w:rsid w:val="000F0166"/>
    <w:rsid w:val="000F36DD"/>
    <w:rsid w:val="00137A2D"/>
    <w:rsid w:val="00144D6E"/>
    <w:rsid w:val="00150085"/>
    <w:rsid w:val="00153160"/>
    <w:rsid w:val="0017390A"/>
    <w:rsid w:val="0018520C"/>
    <w:rsid w:val="001932D3"/>
    <w:rsid w:val="001D1118"/>
    <w:rsid w:val="001D5051"/>
    <w:rsid w:val="001E277A"/>
    <w:rsid w:val="00211F12"/>
    <w:rsid w:val="002650BA"/>
    <w:rsid w:val="00274A50"/>
    <w:rsid w:val="00287DEC"/>
    <w:rsid w:val="002909A7"/>
    <w:rsid w:val="00293213"/>
    <w:rsid w:val="002B04BF"/>
    <w:rsid w:val="002B5BD6"/>
    <w:rsid w:val="002E35FD"/>
    <w:rsid w:val="002F28C5"/>
    <w:rsid w:val="002F43CE"/>
    <w:rsid w:val="00352FB5"/>
    <w:rsid w:val="00367C23"/>
    <w:rsid w:val="003700CD"/>
    <w:rsid w:val="00376186"/>
    <w:rsid w:val="003B116C"/>
    <w:rsid w:val="003C073B"/>
    <w:rsid w:val="004372C7"/>
    <w:rsid w:val="00437FCC"/>
    <w:rsid w:val="00457650"/>
    <w:rsid w:val="004950C2"/>
    <w:rsid w:val="004D3203"/>
    <w:rsid w:val="004E1B56"/>
    <w:rsid w:val="00512676"/>
    <w:rsid w:val="00546D2F"/>
    <w:rsid w:val="005B2E13"/>
    <w:rsid w:val="005B339C"/>
    <w:rsid w:val="005B557C"/>
    <w:rsid w:val="006128EE"/>
    <w:rsid w:val="00626AB1"/>
    <w:rsid w:val="0066727F"/>
    <w:rsid w:val="006A6DAE"/>
    <w:rsid w:val="00703949"/>
    <w:rsid w:val="00741D73"/>
    <w:rsid w:val="00773912"/>
    <w:rsid w:val="00774A25"/>
    <w:rsid w:val="00785040"/>
    <w:rsid w:val="007A6F8E"/>
    <w:rsid w:val="007B0940"/>
    <w:rsid w:val="007C3416"/>
    <w:rsid w:val="007C79B0"/>
    <w:rsid w:val="0084451C"/>
    <w:rsid w:val="008553DC"/>
    <w:rsid w:val="00870BFB"/>
    <w:rsid w:val="008A483C"/>
    <w:rsid w:val="008F2034"/>
    <w:rsid w:val="008F67B7"/>
    <w:rsid w:val="0090509A"/>
    <w:rsid w:val="00905A84"/>
    <w:rsid w:val="00920797"/>
    <w:rsid w:val="00920B67"/>
    <w:rsid w:val="00930F47"/>
    <w:rsid w:val="009A12B0"/>
    <w:rsid w:val="009D0CA3"/>
    <w:rsid w:val="009D5B6C"/>
    <w:rsid w:val="009E1022"/>
    <w:rsid w:val="00A20696"/>
    <w:rsid w:val="00A2541C"/>
    <w:rsid w:val="00A46215"/>
    <w:rsid w:val="00A51A32"/>
    <w:rsid w:val="00A65B19"/>
    <w:rsid w:val="00A71DC5"/>
    <w:rsid w:val="00A75D7A"/>
    <w:rsid w:val="00AA12D8"/>
    <w:rsid w:val="00AA7B74"/>
    <w:rsid w:val="00AD30D0"/>
    <w:rsid w:val="00AD41EC"/>
    <w:rsid w:val="00AD7E3A"/>
    <w:rsid w:val="00AE7289"/>
    <w:rsid w:val="00AF14C6"/>
    <w:rsid w:val="00AF7EFE"/>
    <w:rsid w:val="00B07170"/>
    <w:rsid w:val="00B12360"/>
    <w:rsid w:val="00B15C03"/>
    <w:rsid w:val="00B170AB"/>
    <w:rsid w:val="00B3083C"/>
    <w:rsid w:val="00B34244"/>
    <w:rsid w:val="00B43CDB"/>
    <w:rsid w:val="00B45321"/>
    <w:rsid w:val="00B81113"/>
    <w:rsid w:val="00B86E68"/>
    <w:rsid w:val="00BB1EE8"/>
    <w:rsid w:val="00BC47AB"/>
    <w:rsid w:val="00BC52BB"/>
    <w:rsid w:val="00BC75B4"/>
    <w:rsid w:val="00BF0F42"/>
    <w:rsid w:val="00BF7AE3"/>
    <w:rsid w:val="00C30DE7"/>
    <w:rsid w:val="00C364EF"/>
    <w:rsid w:val="00C60FC9"/>
    <w:rsid w:val="00C624CD"/>
    <w:rsid w:val="00C72A85"/>
    <w:rsid w:val="00C87C7B"/>
    <w:rsid w:val="00CC7E5D"/>
    <w:rsid w:val="00CE7CF3"/>
    <w:rsid w:val="00D0227B"/>
    <w:rsid w:val="00D05DE5"/>
    <w:rsid w:val="00D20A59"/>
    <w:rsid w:val="00D50D3F"/>
    <w:rsid w:val="00D53291"/>
    <w:rsid w:val="00D6740B"/>
    <w:rsid w:val="00D75F21"/>
    <w:rsid w:val="00D77804"/>
    <w:rsid w:val="00D96B41"/>
    <w:rsid w:val="00D96C6B"/>
    <w:rsid w:val="00E307BD"/>
    <w:rsid w:val="00E3513B"/>
    <w:rsid w:val="00E877E9"/>
    <w:rsid w:val="00EB0C62"/>
    <w:rsid w:val="00EC7552"/>
    <w:rsid w:val="00EE699B"/>
    <w:rsid w:val="00F07E3D"/>
    <w:rsid w:val="00F11DD2"/>
    <w:rsid w:val="00F12E02"/>
    <w:rsid w:val="00F267B3"/>
    <w:rsid w:val="00F4603E"/>
    <w:rsid w:val="00F66565"/>
    <w:rsid w:val="00F73B3E"/>
    <w:rsid w:val="00FB33BB"/>
    <w:rsid w:val="00FE0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22"/>
    <w:rPr>
      <w:rFonts w:ascii="Times New Roman" w:eastAsia="Times New Roman" w:hAnsi="Times New Roman"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CDB"/>
    <w:pPr>
      <w:ind w:left="720"/>
      <w:contextualSpacing/>
    </w:pPr>
  </w:style>
  <w:style w:type="paragraph" w:styleId="Footer">
    <w:name w:val="footer"/>
    <w:basedOn w:val="Normal"/>
    <w:link w:val="FooterChar"/>
    <w:uiPriority w:val="99"/>
    <w:unhideWhenUsed/>
    <w:rsid w:val="004D3203"/>
    <w:pPr>
      <w:tabs>
        <w:tab w:val="center" w:pos="4680"/>
        <w:tab w:val="right" w:pos="9360"/>
      </w:tabs>
    </w:pPr>
  </w:style>
  <w:style w:type="character" w:customStyle="1" w:styleId="FooterChar">
    <w:name w:val="Footer Char"/>
    <w:basedOn w:val="DefaultParagraphFont"/>
    <w:link w:val="Footer"/>
    <w:uiPriority w:val="99"/>
    <w:rsid w:val="004D3203"/>
    <w:rPr>
      <w:rFonts w:ascii="Times New Roman" w:eastAsia="Times New Roman" w:hAnsi="Times New Roman" w:cs="Times New Roman"/>
      <w:lang w:val="en-ZA"/>
    </w:rPr>
  </w:style>
  <w:style w:type="character" w:styleId="PageNumber">
    <w:name w:val="page number"/>
    <w:basedOn w:val="DefaultParagraphFont"/>
    <w:uiPriority w:val="99"/>
    <w:semiHidden/>
    <w:unhideWhenUsed/>
    <w:rsid w:val="004D3203"/>
  </w:style>
</w:styles>
</file>

<file path=word/webSettings.xml><?xml version="1.0" encoding="utf-8"?>
<w:webSettings xmlns:r="http://schemas.openxmlformats.org/officeDocument/2006/relationships" xmlns:w="http://schemas.openxmlformats.org/wordprocessingml/2006/main">
  <w:divs>
    <w:div w:id="1383139068">
      <w:bodyDiv w:val="1"/>
      <w:marLeft w:val="0"/>
      <w:marRight w:val="0"/>
      <w:marTop w:val="0"/>
      <w:marBottom w:val="0"/>
      <w:divBdr>
        <w:top w:val="none" w:sz="0" w:space="0" w:color="auto"/>
        <w:left w:val="none" w:sz="0" w:space="0" w:color="auto"/>
        <w:bottom w:val="none" w:sz="0" w:space="0" w:color="auto"/>
        <w:right w:val="none" w:sz="0" w:space="0" w:color="auto"/>
      </w:divBdr>
      <w:divsChild>
        <w:div w:id="103815185">
          <w:marLeft w:val="446"/>
          <w:marRight w:val="0"/>
          <w:marTop w:val="0"/>
          <w:marBottom w:val="120"/>
          <w:divBdr>
            <w:top w:val="none" w:sz="0" w:space="0" w:color="auto"/>
            <w:left w:val="none" w:sz="0" w:space="0" w:color="auto"/>
            <w:bottom w:val="none" w:sz="0" w:space="0" w:color="auto"/>
            <w:right w:val="none" w:sz="0" w:space="0" w:color="auto"/>
          </w:divBdr>
        </w:div>
      </w:divsChild>
    </w:div>
    <w:div w:id="2067214014">
      <w:bodyDiv w:val="1"/>
      <w:marLeft w:val="0"/>
      <w:marRight w:val="0"/>
      <w:marTop w:val="0"/>
      <w:marBottom w:val="0"/>
      <w:divBdr>
        <w:top w:val="none" w:sz="0" w:space="0" w:color="auto"/>
        <w:left w:val="none" w:sz="0" w:space="0" w:color="auto"/>
        <w:bottom w:val="none" w:sz="0" w:space="0" w:color="auto"/>
        <w:right w:val="none" w:sz="0" w:space="0" w:color="auto"/>
      </w:divBdr>
    </w:div>
    <w:div w:id="2071148848">
      <w:bodyDiv w:val="1"/>
      <w:marLeft w:val="0"/>
      <w:marRight w:val="0"/>
      <w:marTop w:val="0"/>
      <w:marBottom w:val="0"/>
      <w:divBdr>
        <w:top w:val="none" w:sz="0" w:space="0" w:color="auto"/>
        <w:left w:val="none" w:sz="0" w:space="0" w:color="auto"/>
        <w:bottom w:val="none" w:sz="0" w:space="0" w:color="auto"/>
        <w:right w:val="none" w:sz="0" w:space="0" w:color="auto"/>
      </w:divBdr>
    </w:div>
    <w:div w:id="2095279279">
      <w:bodyDiv w:val="1"/>
      <w:marLeft w:val="0"/>
      <w:marRight w:val="0"/>
      <w:marTop w:val="0"/>
      <w:marBottom w:val="0"/>
      <w:divBdr>
        <w:top w:val="none" w:sz="0" w:space="0" w:color="auto"/>
        <w:left w:val="none" w:sz="0" w:space="0" w:color="auto"/>
        <w:bottom w:val="none" w:sz="0" w:space="0" w:color="auto"/>
        <w:right w:val="none" w:sz="0" w:space="0" w:color="auto"/>
      </w:divBdr>
      <w:divsChild>
        <w:div w:id="741299319">
          <w:marLeft w:val="850"/>
          <w:marRight w:val="0"/>
          <w:marTop w:val="0"/>
          <w:marBottom w:val="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PUMZA</cp:lastModifiedBy>
  <cp:revision>2</cp:revision>
  <dcterms:created xsi:type="dcterms:W3CDTF">2018-11-06T13:15:00Z</dcterms:created>
  <dcterms:modified xsi:type="dcterms:W3CDTF">2018-11-06T13:15:00Z</dcterms:modified>
</cp:coreProperties>
</file>