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04" w:rsidRDefault="007E45AD" w:rsidP="003646A7">
      <w:pPr>
        <w:jc w:val="center"/>
        <w:rPr>
          <w:rFonts w:ascii="Arial" w:hAnsi="Arial" w:cs="Arial"/>
          <w:b/>
          <w:sz w:val="24"/>
          <w:szCs w:val="24"/>
        </w:rPr>
      </w:pPr>
      <w:r w:rsidRPr="003646A7">
        <w:rPr>
          <w:rFonts w:ascii="Arial" w:hAnsi="Arial" w:cs="Arial"/>
          <w:b/>
          <w:sz w:val="24"/>
          <w:szCs w:val="24"/>
        </w:rPr>
        <w:t>Critical Infrastructure Bill</w:t>
      </w:r>
    </w:p>
    <w:p w:rsidR="000874FD" w:rsidRPr="00815535" w:rsidRDefault="000874FD" w:rsidP="003646A7">
      <w:pPr>
        <w:jc w:val="center"/>
        <w:rPr>
          <w:rFonts w:ascii="Arial" w:hAnsi="Arial" w:cs="Arial"/>
          <w:b/>
          <w:sz w:val="24"/>
          <w:szCs w:val="24"/>
        </w:rPr>
      </w:pPr>
      <w:r w:rsidRPr="00815535">
        <w:rPr>
          <w:rFonts w:ascii="Arial" w:hAnsi="Arial" w:cs="Arial"/>
          <w:b/>
          <w:bCs/>
          <w:sz w:val="24"/>
          <w:szCs w:val="24"/>
        </w:rPr>
        <w:t>[B 22B—2017]</w:t>
      </w:r>
    </w:p>
    <w:p w:rsidR="007E45AD" w:rsidRPr="003646A7" w:rsidRDefault="007E45AD" w:rsidP="00815535">
      <w:pPr>
        <w:jc w:val="center"/>
        <w:rPr>
          <w:rFonts w:ascii="Arial" w:hAnsi="Arial" w:cs="Arial"/>
          <w:color w:val="231F20"/>
        </w:rPr>
      </w:pPr>
      <w:r w:rsidRPr="003646A7">
        <w:rPr>
          <w:rFonts w:ascii="Arial" w:hAnsi="Arial" w:cs="Arial"/>
          <w:b/>
          <w:sz w:val="24"/>
          <w:szCs w:val="24"/>
        </w:rPr>
        <w:t>Summary of Submissions</w:t>
      </w:r>
    </w:p>
    <w:tbl>
      <w:tblPr>
        <w:tblStyle w:val="TableGrid"/>
        <w:tblW w:w="15480" w:type="dxa"/>
        <w:tblInd w:w="-1265" w:type="dxa"/>
        <w:tblLook w:val="04A0"/>
      </w:tblPr>
      <w:tblGrid>
        <w:gridCol w:w="2709"/>
        <w:gridCol w:w="3728"/>
        <w:gridCol w:w="5649"/>
        <w:gridCol w:w="3394"/>
      </w:tblGrid>
      <w:tr w:rsidR="007E45AD" w:rsidRPr="000874FD" w:rsidTr="00815535">
        <w:tc>
          <w:tcPr>
            <w:tcW w:w="2348" w:type="dxa"/>
          </w:tcPr>
          <w:p w:rsidR="007E45AD" w:rsidRPr="000874FD" w:rsidRDefault="00815535">
            <w:pPr>
              <w:rPr>
                <w:rFonts w:ascii="Arial" w:hAnsi="Arial" w:cs="Arial"/>
                <w:b/>
                <w:sz w:val="20"/>
                <w:szCs w:val="20"/>
              </w:rPr>
            </w:pPr>
            <w:r w:rsidRPr="000874FD">
              <w:rPr>
                <w:rFonts w:ascii="Arial" w:hAnsi="Arial" w:cs="Arial"/>
                <w:b/>
                <w:sz w:val="20"/>
                <w:szCs w:val="20"/>
              </w:rPr>
              <w:t>ORGANISATION</w:t>
            </w:r>
          </w:p>
        </w:tc>
        <w:tc>
          <w:tcPr>
            <w:tcW w:w="3844" w:type="dxa"/>
          </w:tcPr>
          <w:p w:rsidR="007E45AD" w:rsidRPr="000874FD" w:rsidRDefault="00815535">
            <w:pPr>
              <w:rPr>
                <w:rFonts w:ascii="Arial" w:hAnsi="Arial" w:cs="Arial"/>
                <w:b/>
                <w:sz w:val="20"/>
                <w:szCs w:val="20"/>
              </w:rPr>
            </w:pPr>
            <w:r w:rsidRPr="000874FD">
              <w:rPr>
                <w:rFonts w:ascii="Arial" w:hAnsi="Arial" w:cs="Arial"/>
                <w:b/>
                <w:sz w:val="20"/>
                <w:szCs w:val="20"/>
              </w:rPr>
              <w:t>RELEVANT SECTION OF THE BILL</w:t>
            </w:r>
          </w:p>
        </w:tc>
        <w:tc>
          <w:tcPr>
            <w:tcW w:w="5842" w:type="dxa"/>
          </w:tcPr>
          <w:p w:rsidR="007E45AD" w:rsidRPr="000874FD" w:rsidRDefault="00815535">
            <w:pPr>
              <w:rPr>
                <w:rFonts w:ascii="Arial" w:hAnsi="Arial" w:cs="Arial"/>
                <w:b/>
                <w:sz w:val="20"/>
                <w:szCs w:val="20"/>
              </w:rPr>
            </w:pPr>
            <w:r w:rsidRPr="000874FD">
              <w:rPr>
                <w:rFonts w:ascii="Arial" w:hAnsi="Arial" w:cs="Arial"/>
                <w:b/>
                <w:sz w:val="20"/>
                <w:szCs w:val="20"/>
              </w:rPr>
              <w:t>MOTIVATION FOR SUBMISSION</w:t>
            </w:r>
          </w:p>
          <w:p w:rsidR="00847656" w:rsidRPr="000874FD" w:rsidRDefault="00847656">
            <w:pPr>
              <w:rPr>
                <w:rFonts w:ascii="Arial" w:hAnsi="Arial" w:cs="Arial"/>
                <w:b/>
                <w:sz w:val="20"/>
                <w:szCs w:val="20"/>
              </w:rPr>
            </w:pPr>
          </w:p>
        </w:tc>
        <w:tc>
          <w:tcPr>
            <w:tcW w:w="3446" w:type="dxa"/>
          </w:tcPr>
          <w:p w:rsidR="007E45AD" w:rsidRPr="000874FD" w:rsidRDefault="00815535">
            <w:pPr>
              <w:rPr>
                <w:rFonts w:ascii="Arial" w:hAnsi="Arial" w:cs="Arial"/>
                <w:b/>
                <w:sz w:val="20"/>
                <w:szCs w:val="20"/>
              </w:rPr>
            </w:pPr>
            <w:r w:rsidRPr="000874FD">
              <w:rPr>
                <w:rFonts w:ascii="Arial" w:hAnsi="Arial" w:cs="Arial"/>
                <w:b/>
                <w:sz w:val="20"/>
                <w:szCs w:val="20"/>
              </w:rPr>
              <w:t>RECOMMENDED CHANGES</w:t>
            </w:r>
          </w:p>
        </w:tc>
      </w:tr>
      <w:tr w:rsidR="00917994" w:rsidRPr="000874FD" w:rsidTr="00815535">
        <w:tc>
          <w:tcPr>
            <w:tcW w:w="2348" w:type="dxa"/>
          </w:tcPr>
          <w:p w:rsidR="00917994" w:rsidRPr="000874FD" w:rsidRDefault="002A1FCA" w:rsidP="00E132E0">
            <w:pPr>
              <w:pStyle w:val="ListParagraph"/>
              <w:numPr>
                <w:ilvl w:val="0"/>
                <w:numId w:val="6"/>
              </w:numPr>
              <w:jc w:val="both"/>
              <w:rPr>
                <w:rFonts w:ascii="Arial" w:hAnsi="Arial" w:cs="Arial"/>
                <w:b/>
                <w:sz w:val="20"/>
                <w:szCs w:val="20"/>
              </w:rPr>
            </w:pPr>
            <w:r w:rsidRPr="000874FD">
              <w:rPr>
                <w:rFonts w:ascii="Arial" w:hAnsi="Arial" w:cs="Arial"/>
                <w:b/>
                <w:sz w:val="20"/>
                <w:szCs w:val="20"/>
              </w:rPr>
              <w:t>AmaBhungane</w:t>
            </w:r>
          </w:p>
        </w:tc>
        <w:tc>
          <w:tcPr>
            <w:tcW w:w="3844" w:type="dxa"/>
          </w:tcPr>
          <w:p w:rsidR="00FC6DEB" w:rsidRPr="000874FD" w:rsidRDefault="00475D3F" w:rsidP="00D044BE">
            <w:pPr>
              <w:autoSpaceDE w:val="0"/>
              <w:autoSpaceDN w:val="0"/>
              <w:adjustRightInd w:val="0"/>
              <w:jc w:val="both"/>
              <w:rPr>
                <w:rFonts w:ascii="Arial" w:hAnsi="Arial" w:cs="Arial"/>
                <w:b/>
                <w:sz w:val="20"/>
                <w:szCs w:val="20"/>
              </w:rPr>
            </w:pPr>
            <w:r w:rsidRPr="000874FD">
              <w:rPr>
                <w:rFonts w:ascii="Arial" w:hAnsi="Arial" w:cs="Arial"/>
                <w:iCs/>
                <w:sz w:val="20"/>
                <w:szCs w:val="20"/>
              </w:rPr>
              <w:t>S 26Any person who unlawfully … furnishes, disseminates or publishes in any manner whatsoever information relating to the security measures applicable at or in respect of a critical infrastructure other than in accordance with the Protected Disclosures Act, 2000 (Act No. 26 of 2000), Prevention and Combating of Corrupt Activities Act, 2004 (Act No. 12 of 2004) or any other Act of Parliament that provides for the lawful disclosure of information …commits an offence and is … liable upon conviction to a fine or to</w:t>
            </w:r>
            <w:r w:rsidR="00D044BE" w:rsidRPr="000874FD">
              <w:rPr>
                <w:rFonts w:ascii="Arial" w:hAnsi="Arial" w:cs="Arial"/>
                <w:iCs/>
                <w:sz w:val="20"/>
                <w:szCs w:val="20"/>
              </w:rPr>
              <w:t xml:space="preserve"> </w:t>
            </w:r>
            <w:r w:rsidRPr="000874FD">
              <w:rPr>
                <w:rFonts w:ascii="Arial" w:hAnsi="Arial" w:cs="Arial"/>
                <w:iCs/>
                <w:sz w:val="20"/>
                <w:szCs w:val="20"/>
              </w:rPr>
              <w:t>imprisonment for a period not exceeding three years, or to both a fine and imprisonment</w:t>
            </w:r>
          </w:p>
        </w:tc>
        <w:tc>
          <w:tcPr>
            <w:tcW w:w="5842" w:type="dxa"/>
          </w:tcPr>
          <w:p w:rsidR="00917994" w:rsidRPr="000874FD" w:rsidRDefault="00C60670" w:rsidP="00414DFF">
            <w:pPr>
              <w:autoSpaceDE w:val="0"/>
              <w:autoSpaceDN w:val="0"/>
              <w:adjustRightInd w:val="0"/>
              <w:jc w:val="both"/>
              <w:rPr>
                <w:rFonts w:ascii="Arial" w:hAnsi="Arial" w:cs="Arial"/>
                <w:sz w:val="20"/>
                <w:szCs w:val="20"/>
              </w:rPr>
            </w:pPr>
            <w:r w:rsidRPr="000874FD">
              <w:rPr>
                <w:rFonts w:ascii="Arial" w:hAnsi="Arial" w:cs="Arial"/>
                <w:sz w:val="20"/>
                <w:szCs w:val="20"/>
              </w:rPr>
              <w:t>C</w:t>
            </w:r>
            <w:r w:rsidR="00917994" w:rsidRPr="000874FD">
              <w:rPr>
                <w:rFonts w:ascii="Arial" w:hAnsi="Arial" w:cs="Arial"/>
                <w:sz w:val="20"/>
                <w:szCs w:val="20"/>
              </w:rPr>
              <w:t>oncerned that the Bill in its current form still imposes undue, and</w:t>
            </w:r>
            <w:r w:rsidR="00FC6DEB" w:rsidRPr="000874FD">
              <w:rPr>
                <w:rFonts w:ascii="Arial" w:hAnsi="Arial" w:cs="Arial"/>
                <w:sz w:val="20"/>
                <w:szCs w:val="20"/>
              </w:rPr>
              <w:t xml:space="preserve"> </w:t>
            </w:r>
            <w:r w:rsidR="00917994" w:rsidRPr="000874FD">
              <w:rPr>
                <w:rFonts w:ascii="Arial" w:hAnsi="Arial" w:cs="Arial"/>
                <w:sz w:val="20"/>
                <w:szCs w:val="20"/>
              </w:rPr>
              <w:t>potentially unconstitutional limitations to the right of freedom of expression and right to</w:t>
            </w:r>
            <w:r w:rsidRPr="000874FD">
              <w:rPr>
                <w:rFonts w:ascii="Arial" w:hAnsi="Arial" w:cs="Arial"/>
                <w:sz w:val="20"/>
                <w:szCs w:val="20"/>
              </w:rPr>
              <w:t xml:space="preserve"> </w:t>
            </w:r>
            <w:r w:rsidR="00917994" w:rsidRPr="000874FD">
              <w:rPr>
                <w:rFonts w:ascii="Arial" w:hAnsi="Arial" w:cs="Arial"/>
                <w:sz w:val="20"/>
                <w:szCs w:val="20"/>
              </w:rPr>
              <w:t>information entrenched in section 16 and 32 of the Constitution.</w:t>
            </w:r>
          </w:p>
          <w:p w:rsidR="00C60670" w:rsidRPr="000874FD" w:rsidRDefault="00C60670" w:rsidP="00414DFF">
            <w:pPr>
              <w:autoSpaceDE w:val="0"/>
              <w:autoSpaceDN w:val="0"/>
              <w:adjustRightInd w:val="0"/>
              <w:jc w:val="both"/>
              <w:rPr>
                <w:rFonts w:ascii="Arial" w:hAnsi="Arial" w:cs="Arial"/>
                <w:sz w:val="20"/>
                <w:szCs w:val="20"/>
              </w:rPr>
            </w:pPr>
          </w:p>
          <w:p w:rsidR="00917994" w:rsidRPr="000874FD" w:rsidRDefault="00917994" w:rsidP="00C60670">
            <w:pPr>
              <w:autoSpaceDE w:val="0"/>
              <w:autoSpaceDN w:val="0"/>
              <w:adjustRightInd w:val="0"/>
              <w:jc w:val="both"/>
              <w:rPr>
                <w:rFonts w:ascii="Arial" w:hAnsi="Arial" w:cs="Arial"/>
                <w:b/>
                <w:bCs/>
                <w:sz w:val="20"/>
                <w:szCs w:val="20"/>
              </w:rPr>
            </w:pPr>
            <w:r w:rsidRPr="000874FD">
              <w:rPr>
                <w:rFonts w:ascii="Arial" w:hAnsi="Arial" w:cs="Arial"/>
                <w:sz w:val="20"/>
                <w:szCs w:val="20"/>
              </w:rPr>
              <w:t>Our view therefore is that an express public interest defence clause against the criminal</w:t>
            </w:r>
            <w:r w:rsidR="00C60670" w:rsidRPr="000874FD">
              <w:rPr>
                <w:rFonts w:ascii="Arial" w:hAnsi="Arial" w:cs="Arial"/>
                <w:sz w:val="20"/>
                <w:szCs w:val="20"/>
              </w:rPr>
              <w:t xml:space="preserve"> </w:t>
            </w:r>
            <w:r w:rsidRPr="000874FD">
              <w:rPr>
                <w:rFonts w:ascii="Arial" w:hAnsi="Arial" w:cs="Arial"/>
                <w:sz w:val="20"/>
                <w:szCs w:val="20"/>
              </w:rPr>
              <w:t>sanctions contained at s26 of the Bill must inserted for it to meet constitutional muster. The public</w:t>
            </w:r>
            <w:r w:rsidR="00C60670" w:rsidRPr="000874FD">
              <w:rPr>
                <w:rFonts w:ascii="Arial" w:hAnsi="Arial" w:cs="Arial"/>
                <w:sz w:val="20"/>
                <w:szCs w:val="20"/>
              </w:rPr>
              <w:t xml:space="preserve"> </w:t>
            </w:r>
            <w:r w:rsidRPr="000874FD">
              <w:rPr>
                <w:rFonts w:ascii="Arial" w:hAnsi="Arial" w:cs="Arial"/>
                <w:sz w:val="20"/>
                <w:szCs w:val="20"/>
              </w:rPr>
              <w:t>domain defence now contained in the Bill is important improvement, but still falls short of an</w:t>
            </w:r>
            <w:r w:rsidR="00C60670" w:rsidRPr="000874FD">
              <w:rPr>
                <w:rFonts w:ascii="Arial" w:hAnsi="Arial" w:cs="Arial"/>
                <w:sz w:val="20"/>
                <w:szCs w:val="20"/>
              </w:rPr>
              <w:t xml:space="preserve"> </w:t>
            </w:r>
            <w:r w:rsidRPr="000874FD">
              <w:rPr>
                <w:rFonts w:ascii="Arial" w:hAnsi="Arial" w:cs="Arial"/>
                <w:sz w:val="20"/>
                <w:szCs w:val="20"/>
              </w:rPr>
              <w:t>adequate defence.</w:t>
            </w:r>
          </w:p>
        </w:tc>
        <w:tc>
          <w:tcPr>
            <w:tcW w:w="3446" w:type="dxa"/>
          </w:tcPr>
          <w:p w:rsidR="00917994" w:rsidRPr="000874FD" w:rsidRDefault="00917994" w:rsidP="00414DFF">
            <w:pPr>
              <w:autoSpaceDE w:val="0"/>
              <w:autoSpaceDN w:val="0"/>
              <w:adjustRightInd w:val="0"/>
              <w:jc w:val="both"/>
              <w:rPr>
                <w:rFonts w:ascii="Arial" w:hAnsi="Arial" w:cs="Arial"/>
                <w:iCs/>
                <w:sz w:val="20"/>
                <w:szCs w:val="20"/>
              </w:rPr>
            </w:pPr>
            <w:r w:rsidRPr="000874FD">
              <w:rPr>
                <w:rFonts w:ascii="Arial" w:hAnsi="Arial" w:cs="Arial"/>
                <w:iCs/>
                <w:sz w:val="20"/>
                <w:szCs w:val="20"/>
              </w:rPr>
              <w:t>(1) No person shall be guilty of an offence under section 26(2)(b) to the</w:t>
            </w:r>
          </w:p>
          <w:p w:rsidR="00917994" w:rsidRPr="000874FD" w:rsidRDefault="00917994" w:rsidP="00414DFF">
            <w:pPr>
              <w:autoSpaceDE w:val="0"/>
              <w:autoSpaceDN w:val="0"/>
              <w:adjustRightInd w:val="0"/>
              <w:jc w:val="both"/>
              <w:rPr>
                <w:rFonts w:ascii="Arial" w:hAnsi="Arial" w:cs="Arial"/>
                <w:iCs/>
                <w:sz w:val="20"/>
                <w:szCs w:val="20"/>
              </w:rPr>
            </w:pPr>
            <w:r w:rsidRPr="000874FD">
              <w:rPr>
                <w:rFonts w:ascii="Arial" w:hAnsi="Arial" w:cs="Arial"/>
                <w:iCs/>
                <w:sz w:val="20"/>
                <w:szCs w:val="20"/>
              </w:rPr>
              <w:t>extent that the disclosure was in the public interest or was made in the</w:t>
            </w:r>
          </w:p>
          <w:p w:rsidR="00917994" w:rsidRPr="000874FD" w:rsidRDefault="00917994" w:rsidP="00414DFF">
            <w:pPr>
              <w:autoSpaceDE w:val="0"/>
              <w:autoSpaceDN w:val="0"/>
              <w:adjustRightInd w:val="0"/>
              <w:jc w:val="both"/>
              <w:rPr>
                <w:rFonts w:ascii="Arial" w:hAnsi="Arial" w:cs="Arial"/>
                <w:iCs/>
                <w:sz w:val="20"/>
                <w:szCs w:val="20"/>
              </w:rPr>
            </w:pPr>
            <w:r w:rsidRPr="000874FD">
              <w:rPr>
                <w:rFonts w:ascii="Arial" w:hAnsi="Arial" w:cs="Arial"/>
                <w:iCs/>
                <w:sz w:val="20"/>
                <w:szCs w:val="20"/>
              </w:rPr>
              <w:t>reasonable belief that it was in the public interest.</w:t>
            </w:r>
          </w:p>
          <w:p w:rsidR="00917994" w:rsidRPr="000874FD" w:rsidRDefault="00917994" w:rsidP="00414DFF">
            <w:pPr>
              <w:autoSpaceDE w:val="0"/>
              <w:autoSpaceDN w:val="0"/>
              <w:adjustRightInd w:val="0"/>
              <w:jc w:val="both"/>
              <w:rPr>
                <w:rFonts w:ascii="Arial" w:hAnsi="Arial" w:cs="Arial"/>
                <w:iCs/>
                <w:sz w:val="20"/>
                <w:szCs w:val="20"/>
              </w:rPr>
            </w:pPr>
            <w:r w:rsidRPr="000874FD">
              <w:rPr>
                <w:rFonts w:ascii="Arial" w:hAnsi="Arial" w:cs="Arial"/>
                <w:iCs/>
                <w:sz w:val="20"/>
                <w:szCs w:val="20"/>
              </w:rPr>
              <w:t>(2) For the purposes of this section, a disclosure is in the public interest if:</w:t>
            </w:r>
          </w:p>
          <w:p w:rsidR="00917994" w:rsidRPr="000874FD" w:rsidRDefault="00917994" w:rsidP="00414DFF">
            <w:pPr>
              <w:autoSpaceDE w:val="0"/>
              <w:autoSpaceDN w:val="0"/>
              <w:adjustRightInd w:val="0"/>
              <w:jc w:val="both"/>
              <w:rPr>
                <w:rFonts w:ascii="Arial" w:hAnsi="Arial" w:cs="Arial"/>
                <w:iCs/>
                <w:sz w:val="20"/>
                <w:szCs w:val="20"/>
              </w:rPr>
            </w:pPr>
            <w:r w:rsidRPr="000874FD">
              <w:rPr>
                <w:rFonts w:ascii="Arial" w:hAnsi="Arial" w:cs="Arial"/>
                <w:iCs/>
                <w:sz w:val="20"/>
                <w:szCs w:val="20"/>
              </w:rPr>
              <w:t>(a) it reveals wrongdoing that has occurred, is occurring or is likely to</w:t>
            </w:r>
          </w:p>
          <w:p w:rsidR="00917994" w:rsidRPr="000874FD" w:rsidRDefault="00917994" w:rsidP="00414DFF">
            <w:pPr>
              <w:autoSpaceDE w:val="0"/>
              <w:autoSpaceDN w:val="0"/>
              <w:adjustRightInd w:val="0"/>
              <w:jc w:val="both"/>
              <w:rPr>
                <w:rFonts w:ascii="Arial" w:hAnsi="Arial" w:cs="Arial"/>
                <w:iCs/>
                <w:sz w:val="20"/>
                <w:szCs w:val="20"/>
              </w:rPr>
            </w:pPr>
            <w:r w:rsidRPr="000874FD">
              <w:rPr>
                <w:rFonts w:ascii="Arial" w:hAnsi="Arial" w:cs="Arial"/>
                <w:iCs/>
                <w:sz w:val="20"/>
                <w:szCs w:val="20"/>
              </w:rPr>
              <w:t>occur, including:</w:t>
            </w:r>
          </w:p>
          <w:p w:rsidR="00917994" w:rsidRPr="000874FD" w:rsidRDefault="00917994" w:rsidP="00414DFF">
            <w:pPr>
              <w:autoSpaceDE w:val="0"/>
              <w:autoSpaceDN w:val="0"/>
              <w:adjustRightInd w:val="0"/>
              <w:jc w:val="both"/>
              <w:rPr>
                <w:rFonts w:ascii="Arial" w:hAnsi="Arial" w:cs="Arial"/>
                <w:iCs/>
                <w:sz w:val="20"/>
                <w:szCs w:val="20"/>
              </w:rPr>
            </w:pPr>
            <w:r w:rsidRPr="000874FD">
              <w:rPr>
                <w:rFonts w:ascii="Arial" w:hAnsi="Arial" w:cs="Arial"/>
                <w:iCs/>
                <w:sz w:val="20"/>
                <w:szCs w:val="20"/>
              </w:rPr>
              <w:t>(i) any criminal offence or other contravention of law;</w:t>
            </w:r>
          </w:p>
          <w:p w:rsidR="00917994" w:rsidRPr="000874FD" w:rsidRDefault="00917994" w:rsidP="00414DFF">
            <w:pPr>
              <w:autoSpaceDE w:val="0"/>
              <w:autoSpaceDN w:val="0"/>
              <w:adjustRightInd w:val="0"/>
              <w:jc w:val="both"/>
              <w:rPr>
                <w:rFonts w:ascii="Arial" w:hAnsi="Arial" w:cs="Arial"/>
                <w:iCs/>
                <w:sz w:val="20"/>
                <w:szCs w:val="20"/>
              </w:rPr>
            </w:pPr>
            <w:r w:rsidRPr="000874FD">
              <w:rPr>
                <w:rFonts w:ascii="Arial" w:hAnsi="Arial" w:cs="Arial"/>
                <w:iCs/>
                <w:sz w:val="20"/>
                <w:szCs w:val="20"/>
              </w:rPr>
              <w:t>(ii) any danger to public health, safety or the environment;</w:t>
            </w:r>
          </w:p>
          <w:p w:rsidR="00917994" w:rsidRPr="000874FD" w:rsidRDefault="00917994" w:rsidP="00414DFF">
            <w:pPr>
              <w:autoSpaceDE w:val="0"/>
              <w:autoSpaceDN w:val="0"/>
              <w:adjustRightInd w:val="0"/>
              <w:jc w:val="both"/>
              <w:rPr>
                <w:rFonts w:ascii="Arial" w:hAnsi="Arial" w:cs="Arial"/>
                <w:iCs/>
                <w:sz w:val="20"/>
                <w:szCs w:val="20"/>
              </w:rPr>
            </w:pPr>
            <w:r w:rsidRPr="000874FD">
              <w:rPr>
                <w:rFonts w:ascii="Arial" w:hAnsi="Arial" w:cs="Arial"/>
                <w:iCs/>
                <w:sz w:val="20"/>
                <w:szCs w:val="20"/>
              </w:rPr>
              <w:t>(iii) any abuse of public office, neglect of public duty, misleading</w:t>
            </w:r>
          </w:p>
          <w:p w:rsidR="00917994" w:rsidRPr="000874FD" w:rsidRDefault="00917994" w:rsidP="00414DFF">
            <w:pPr>
              <w:autoSpaceDE w:val="0"/>
              <w:autoSpaceDN w:val="0"/>
              <w:adjustRightInd w:val="0"/>
              <w:jc w:val="both"/>
              <w:rPr>
                <w:rFonts w:ascii="Arial" w:hAnsi="Arial" w:cs="Arial"/>
                <w:iCs/>
                <w:sz w:val="20"/>
                <w:szCs w:val="20"/>
              </w:rPr>
            </w:pPr>
            <w:r w:rsidRPr="000874FD">
              <w:rPr>
                <w:rFonts w:ascii="Arial" w:hAnsi="Arial" w:cs="Arial"/>
                <w:iCs/>
                <w:sz w:val="20"/>
                <w:szCs w:val="20"/>
              </w:rPr>
              <w:t>of the public in the purported performance of public duties or</w:t>
            </w:r>
          </w:p>
          <w:p w:rsidR="00917994" w:rsidRPr="000874FD" w:rsidRDefault="00917994" w:rsidP="00414DFF">
            <w:pPr>
              <w:autoSpaceDE w:val="0"/>
              <w:autoSpaceDN w:val="0"/>
              <w:adjustRightInd w:val="0"/>
              <w:jc w:val="both"/>
              <w:rPr>
                <w:rFonts w:ascii="Arial" w:hAnsi="Arial" w:cs="Arial"/>
                <w:iCs/>
                <w:sz w:val="20"/>
                <w:szCs w:val="20"/>
              </w:rPr>
            </w:pPr>
            <w:r w:rsidRPr="000874FD">
              <w:rPr>
                <w:rFonts w:ascii="Arial" w:hAnsi="Arial" w:cs="Arial"/>
                <w:iCs/>
                <w:sz w:val="20"/>
                <w:szCs w:val="20"/>
              </w:rPr>
              <w:t>functions, or misuse, mismanagement or waste of public</w:t>
            </w:r>
          </w:p>
          <w:p w:rsidR="00917994" w:rsidRPr="000874FD" w:rsidRDefault="00917994" w:rsidP="00414DFF">
            <w:pPr>
              <w:autoSpaceDE w:val="0"/>
              <w:autoSpaceDN w:val="0"/>
              <w:adjustRightInd w:val="0"/>
              <w:jc w:val="both"/>
              <w:rPr>
                <w:rFonts w:ascii="Arial" w:hAnsi="Arial" w:cs="Arial"/>
                <w:iCs/>
                <w:sz w:val="20"/>
                <w:szCs w:val="20"/>
              </w:rPr>
            </w:pPr>
            <w:r w:rsidRPr="000874FD">
              <w:rPr>
                <w:rFonts w:ascii="Arial" w:hAnsi="Arial" w:cs="Arial"/>
                <w:iCs/>
                <w:sz w:val="20"/>
                <w:szCs w:val="20"/>
              </w:rPr>
              <w:t>resources;</w:t>
            </w:r>
          </w:p>
          <w:p w:rsidR="00917994" w:rsidRPr="000874FD" w:rsidRDefault="00917994" w:rsidP="00414DFF">
            <w:pPr>
              <w:autoSpaceDE w:val="0"/>
              <w:autoSpaceDN w:val="0"/>
              <w:adjustRightInd w:val="0"/>
              <w:jc w:val="both"/>
              <w:rPr>
                <w:rFonts w:ascii="Arial" w:hAnsi="Arial" w:cs="Arial"/>
                <w:iCs/>
                <w:sz w:val="20"/>
                <w:szCs w:val="20"/>
              </w:rPr>
            </w:pPr>
            <w:r w:rsidRPr="000874FD">
              <w:rPr>
                <w:rFonts w:ascii="Arial" w:hAnsi="Arial" w:cs="Arial"/>
                <w:iCs/>
                <w:sz w:val="20"/>
                <w:szCs w:val="20"/>
              </w:rPr>
              <w:t>(iv) any miscarriage of justice; or</w:t>
            </w:r>
          </w:p>
          <w:p w:rsidR="00917994" w:rsidRPr="000874FD" w:rsidRDefault="00917994" w:rsidP="00414DFF">
            <w:pPr>
              <w:autoSpaceDE w:val="0"/>
              <w:autoSpaceDN w:val="0"/>
              <w:adjustRightInd w:val="0"/>
              <w:jc w:val="both"/>
              <w:rPr>
                <w:rFonts w:ascii="Arial" w:hAnsi="Arial" w:cs="Arial"/>
                <w:iCs/>
                <w:sz w:val="20"/>
                <w:szCs w:val="20"/>
              </w:rPr>
            </w:pPr>
            <w:r w:rsidRPr="000874FD">
              <w:rPr>
                <w:rFonts w:ascii="Arial" w:hAnsi="Arial" w:cs="Arial"/>
                <w:iCs/>
                <w:sz w:val="20"/>
                <w:szCs w:val="20"/>
              </w:rPr>
              <w:t>(v) deliberate concealment of any such wrongdoing; and (b) any reasonably foreseeable risk of harm caused by the disclosure is</w:t>
            </w:r>
          </w:p>
          <w:p w:rsidR="00917994" w:rsidRPr="000874FD" w:rsidRDefault="00917994" w:rsidP="00414DFF">
            <w:pPr>
              <w:autoSpaceDE w:val="0"/>
              <w:autoSpaceDN w:val="0"/>
              <w:adjustRightInd w:val="0"/>
              <w:jc w:val="both"/>
              <w:rPr>
                <w:rFonts w:ascii="Arial" w:hAnsi="Arial" w:cs="Arial"/>
                <w:iCs/>
                <w:sz w:val="20"/>
                <w:szCs w:val="20"/>
              </w:rPr>
            </w:pPr>
            <w:r w:rsidRPr="000874FD">
              <w:rPr>
                <w:rFonts w:ascii="Arial" w:hAnsi="Arial" w:cs="Arial"/>
                <w:iCs/>
                <w:sz w:val="20"/>
                <w:szCs w:val="20"/>
              </w:rPr>
              <w:t>outweighed by the need to bring the wrongdoing to the attention</w:t>
            </w:r>
          </w:p>
          <w:p w:rsidR="00475D3F" w:rsidRPr="000874FD" w:rsidRDefault="00917994" w:rsidP="000874FD">
            <w:pPr>
              <w:pStyle w:val="Default"/>
              <w:spacing w:after="76"/>
              <w:jc w:val="both"/>
              <w:rPr>
                <w:rFonts w:ascii="Arial" w:hAnsi="Arial" w:cs="Arial"/>
                <w:color w:val="auto"/>
                <w:sz w:val="20"/>
                <w:szCs w:val="20"/>
              </w:rPr>
            </w:pPr>
            <w:r w:rsidRPr="000874FD">
              <w:rPr>
                <w:rFonts w:ascii="Arial" w:hAnsi="Arial" w:cs="Arial"/>
                <w:iCs/>
                <w:sz w:val="20"/>
                <w:szCs w:val="20"/>
              </w:rPr>
              <w:lastRenderedPageBreak/>
              <w:t>of the person or persons to whom it is disclosed.</w:t>
            </w:r>
            <w:r w:rsidR="00D044BE" w:rsidRPr="000874FD">
              <w:rPr>
                <w:rFonts w:ascii="Arial" w:hAnsi="Arial" w:cs="Arial"/>
                <w:sz w:val="20"/>
                <w:szCs w:val="20"/>
              </w:rPr>
              <w:t xml:space="preserve"> </w:t>
            </w:r>
          </w:p>
          <w:p w:rsidR="00475D3F" w:rsidRPr="000874FD" w:rsidRDefault="00475D3F" w:rsidP="00475D3F">
            <w:pPr>
              <w:pStyle w:val="Default"/>
              <w:spacing w:after="76"/>
              <w:jc w:val="both"/>
              <w:rPr>
                <w:rFonts w:ascii="Arial" w:hAnsi="Arial" w:cs="Arial"/>
                <w:color w:val="auto"/>
                <w:sz w:val="20"/>
                <w:szCs w:val="20"/>
              </w:rPr>
            </w:pPr>
          </w:p>
        </w:tc>
      </w:tr>
      <w:tr w:rsidR="007E45AD" w:rsidRPr="000874FD" w:rsidTr="00815535">
        <w:tc>
          <w:tcPr>
            <w:tcW w:w="2348" w:type="dxa"/>
          </w:tcPr>
          <w:p w:rsidR="007E45AD" w:rsidRPr="000874FD" w:rsidRDefault="007E45AD" w:rsidP="00E132E0">
            <w:pPr>
              <w:pStyle w:val="ListParagraph"/>
              <w:numPr>
                <w:ilvl w:val="0"/>
                <w:numId w:val="6"/>
              </w:numPr>
              <w:jc w:val="both"/>
              <w:rPr>
                <w:rFonts w:ascii="Arial" w:hAnsi="Arial" w:cs="Arial"/>
                <w:b/>
                <w:sz w:val="20"/>
                <w:szCs w:val="20"/>
              </w:rPr>
            </w:pPr>
            <w:r w:rsidRPr="000874FD">
              <w:rPr>
                <w:rFonts w:ascii="Arial" w:hAnsi="Arial" w:cs="Arial"/>
                <w:b/>
                <w:sz w:val="20"/>
                <w:szCs w:val="20"/>
              </w:rPr>
              <w:lastRenderedPageBreak/>
              <w:t>BASA (The Banking Association of South Africa)</w:t>
            </w:r>
          </w:p>
        </w:tc>
        <w:tc>
          <w:tcPr>
            <w:tcW w:w="3844" w:type="dxa"/>
          </w:tcPr>
          <w:p w:rsidR="007E45AD" w:rsidRPr="000874FD" w:rsidRDefault="007E45AD" w:rsidP="00414DFF">
            <w:pPr>
              <w:autoSpaceDE w:val="0"/>
              <w:autoSpaceDN w:val="0"/>
              <w:adjustRightInd w:val="0"/>
              <w:jc w:val="both"/>
              <w:rPr>
                <w:rFonts w:ascii="Arial" w:hAnsi="Arial" w:cs="Arial"/>
                <w:sz w:val="20"/>
                <w:szCs w:val="20"/>
              </w:rPr>
            </w:pPr>
            <w:r w:rsidRPr="000874FD">
              <w:rPr>
                <w:rFonts w:ascii="Arial" w:hAnsi="Arial" w:cs="Arial"/>
                <w:sz w:val="20"/>
                <w:szCs w:val="20"/>
              </w:rPr>
              <w:t>Section 17 (4) Where it appears from the application that the infrastructure contemplated in</w:t>
            </w:r>
            <w:r w:rsidR="0072561B" w:rsidRPr="000874FD">
              <w:rPr>
                <w:rFonts w:ascii="Arial" w:hAnsi="Arial" w:cs="Arial"/>
                <w:sz w:val="20"/>
                <w:szCs w:val="20"/>
              </w:rPr>
              <w:t xml:space="preserve"> </w:t>
            </w:r>
            <w:r w:rsidRPr="000874FD">
              <w:rPr>
                <w:rFonts w:ascii="Arial" w:hAnsi="Arial" w:cs="Arial"/>
                <w:sz w:val="20"/>
                <w:szCs w:val="20"/>
              </w:rPr>
              <w:t>subsection (1) partly consists of, incorporates or houses, any information infrastructure</w:t>
            </w:r>
            <w:r w:rsidR="0072561B" w:rsidRPr="000874FD">
              <w:rPr>
                <w:rFonts w:ascii="Arial" w:hAnsi="Arial" w:cs="Arial"/>
                <w:sz w:val="20"/>
                <w:szCs w:val="20"/>
              </w:rPr>
              <w:t xml:space="preserve"> </w:t>
            </w:r>
            <w:r w:rsidRPr="000874FD">
              <w:rPr>
                <w:rFonts w:ascii="Arial" w:hAnsi="Arial" w:cs="Arial"/>
                <w:sz w:val="20"/>
                <w:szCs w:val="20"/>
              </w:rPr>
              <w:t xml:space="preserve">as contemplated in any legislation on cybersecurity, the National </w:t>
            </w:r>
            <w:r w:rsidR="0072561B" w:rsidRPr="000874FD">
              <w:rPr>
                <w:rFonts w:ascii="Arial" w:hAnsi="Arial" w:cs="Arial"/>
                <w:sz w:val="20"/>
                <w:szCs w:val="20"/>
              </w:rPr>
              <w:t>C</w:t>
            </w:r>
            <w:r w:rsidRPr="000874FD">
              <w:rPr>
                <w:rFonts w:ascii="Arial" w:hAnsi="Arial" w:cs="Arial"/>
                <w:sz w:val="20"/>
                <w:szCs w:val="20"/>
              </w:rPr>
              <w:t>ommissioner must</w:t>
            </w:r>
            <w:r w:rsidR="0072561B" w:rsidRPr="000874FD">
              <w:rPr>
                <w:rFonts w:ascii="Arial" w:hAnsi="Arial" w:cs="Arial"/>
                <w:sz w:val="20"/>
                <w:szCs w:val="20"/>
              </w:rPr>
              <w:t xml:space="preserve"> </w:t>
            </w:r>
            <w:r w:rsidRPr="000874FD">
              <w:rPr>
                <w:rFonts w:ascii="Arial" w:hAnsi="Arial" w:cs="Arial"/>
                <w:sz w:val="20"/>
                <w:szCs w:val="20"/>
              </w:rPr>
              <w:t>follow the procedure contemplated in section 20(4).</w:t>
            </w:r>
          </w:p>
          <w:p w:rsidR="007E45AD" w:rsidRPr="000874FD" w:rsidRDefault="007E45AD" w:rsidP="00414DFF">
            <w:pPr>
              <w:jc w:val="both"/>
              <w:rPr>
                <w:rFonts w:ascii="Arial" w:hAnsi="Arial" w:cs="Arial"/>
                <w:sz w:val="20"/>
                <w:szCs w:val="20"/>
              </w:rPr>
            </w:pPr>
          </w:p>
          <w:p w:rsidR="007E45AD" w:rsidRPr="000874FD" w:rsidRDefault="007E45AD" w:rsidP="00414DFF">
            <w:pPr>
              <w:jc w:val="both"/>
              <w:rPr>
                <w:rFonts w:ascii="Arial" w:hAnsi="Arial" w:cs="Arial"/>
                <w:b/>
                <w:bCs/>
                <w:sz w:val="20"/>
                <w:szCs w:val="20"/>
              </w:rPr>
            </w:pPr>
            <w:r w:rsidRPr="000874FD">
              <w:rPr>
                <w:rFonts w:ascii="Arial" w:hAnsi="Arial" w:cs="Arial"/>
                <w:b/>
                <w:bCs/>
                <w:sz w:val="20"/>
                <w:szCs w:val="20"/>
              </w:rPr>
              <w:t>Powers of Minister to declare infrastructure as critical infrastructure</w:t>
            </w:r>
          </w:p>
          <w:p w:rsidR="007E45AD" w:rsidRPr="000874FD" w:rsidRDefault="007E45AD" w:rsidP="00414DFF">
            <w:pPr>
              <w:jc w:val="both"/>
              <w:rPr>
                <w:rFonts w:ascii="Arial" w:hAnsi="Arial" w:cs="Arial"/>
                <w:b/>
                <w:bCs/>
                <w:sz w:val="20"/>
                <w:szCs w:val="20"/>
              </w:rPr>
            </w:pPr>
          </w:p>
          <w:p w:rsidR="007E45AD" w:rsidRPr="000874FD" w:rsidRDefault="007E45AD" w:rsidP="00414DFF">
            <w:pPr>
              <w:autoSpaceDE w:val="0"/>
              <w:autoSpaceDN w:val="0"/>
              <w:adjustRightInd w:val="0"/>
              <w:jc w:val="both"/>
              <w:rPr>
                <w:rFonts w:ascii="Arial" w:hAnsi="Arial" w:cs="Arial"/>
                <w:sz w:val="20"/>
                <w:szCs w:val="20"/>
              </w:rPr>
            </w:pPr>
            <w:r w:rsidRPr="000874FD">
              <w:rPr>
                <w:rFonts w:ascii="Arial" w:hAnsi="Arial" w:cs="Arial"/>
                <w:sz w:val="20"/>
                <w:szCs w:val="20"/>
              </w:rPr>
              <w:t>(4) The Minister must, in consultation with the Cabinet member responsible for State security, determine the procedure that the National Commissioner and the State Security Agency must follow when dealing with an application contemplated in section 17(4).</w:t>
            </w:r>
          </w:p>
          <w:p w:rsidR="00847656" w:rsidRPr="000874FD" w:rsidRDefault="00847656" w:rsidP="00414DFF">
            <w:pPr>
              <w:autoSpaceDE w:val="0"/>
              <w:autoSpaceDN w:val="0"/>
              <w:adjustRightInd w:val="0"/>
              <w:jc w:val="both"/>
              <w:rPr>
                <w:rFonts w:ascii="Arial" w:hAnsi="Arial" w:cs="Arial"/>
                <w:sz w:val="20"/>
                <w:szCs w:val="20"/>
              </w:rPr>
            </w:pPr>
          </w:p>
          <w:p w:rsidR="007E45AD" w:rsidRPr="000874FD" w:rsidRDefault="007E45AD" w:rsidP="00414DFF">
            <w:pPr>
              <w:autoSpaceDE w:val="0"/>
              <w:autoSpaceDN w:val="0"/>
              <w:adjustRightInd w:val="0"/>
              <w:jc w:val="both"/>
              <w:rPr>
                <w:rFonts w:ascii="Arial" w:hAnsi="Arial" w:cs="Arial"/>
                <w:sz w:val="20"/>
                <w:szCs w:val="20"/>
              </w:rPr>
            </w:pPr>
            <w:r w:rsidRPr="000874FD">
              <w:rPr>
                <w:rFonts w:ascii="Arial" w:hAnsi="Arial" w:cs="Arial"/>
                <w:sz w:val="20"/>
                <w:szCs w:val="20"/>
              </w:rPr>
              <w:t xml:space="preserve">(5) Where an application </w:t>
            </w:r>
            <w:r w:rsidR="0072561B" w:rsidRPr="000874FD">
              <w:rPr>
                <w:rFonts w:ascii="Arial" w:hAnsi="Arial" w:cs="Arial"/>
                <w:sz w:val="20"/>
                <w:szCs w:val="20"/>
              </w:rPr>
              <w:t>c</w:t>
            </w:r>
            <w:r w:rsidRPr="000874FD">
              <w:rPr>
                <w:rFonts w:ascii="Arial" w:hAnsi="Arial" w:cs="Arial"/>
                <w:sz w:val="20"/>
                <w:szCs w:val="20"/>
              </w:rPr>
              <w:t>ontemplated in section 17(4) is referred to the Cabinet</w:t>
            </w:r>
            <w:r w:rsidR="00847656" w:rsidRPr="000874FD">
              <w:rPr>
                <w:rFonts w:ascii="Arial" w:hAnsi="Arial" w:cs="Arial"/>
                <w:sz w:val="20"/>
                <w:szCs w:val="20"/>
              </w:rPr>
              <w:t xml:space="preserve"> </w:t>
            </w:r>
            <w:r w:rsidRPr="000874FD">
              <w:rPr>
                <w:rFonts w:ascii="Arial" w:hAnsi="Arial" w:cs="Arial"/>
                <w:sz w:val="20"/>
                <w:szCs w:val="20"/>
              </w:rPr>
              <w:t>member responsible for State security in terms of any legislation on cybersecurity, the</w:t>
            </w:r>
            <w:r w:rsidR="00847656" w:rsidRPr="000874FD">
              <w:rPr>
                <w:rFonts w:ascii="Arial" w:hAnsi="Arial" w:cs="Arial"/>
                <w:sz w:val="20"/>
                <w:szCs w:val="20"/>
              </w:rPr>
              <w:t xml:space="preserve"> </w:t>
            </w:r>
            <w:r w:rsidRPr="000874FD">
              <w:rPr>
                <w:rFonts w:ascii="Arial" w:hAnsi="Arial" w:cs="Arial"/>
                <w:sz w:val="20"/>
                <w:szCs w:val="20"/>
              </w:rPr>
              <w:t>Cabinet member responsible for State security must, within 60 days or such further</w:t>
            </w:r>
            <w:r w:rsidR="0072561B" w:rsidRPr="000874FD">
              <w:rPr>
                <w:rFonts w:ascii="Arial" w:hAnsi="Arial" w:cs="Arial"/>
                <w:sz w:val="20"/>
                <w:szCs w:val="20"/>
              </w:rPr>
              <w:t xml:space="preserve"> </w:t>
            </w:r>
            <w:r w:rsidRPr="000874FD">
              <w:rPr>
                <w:rFonts w:ascii="Arial" w:hAnsi="Arial" w:cs="Arial"/>
                <w:sz w:val="20"/>
                <w:szCs w:val="20"/>
              </w:rPr>
              <w:t>period as agreed upon between the Ministers, decide whether the infrastructure in</w:t>
            </w:r>
            <w:r w:rsidR="00847656" w:rsidRPr="000874FD">
              <w:rPr>
                <w:rFonts w:ascii="Arial" w:hAnsi="Arial" w:cs="Arial"/>
                <w:sz w:val="20"/>
                <w:szCs w:val="20"/>
              </w:rPr>
              <w:t xml:space="preserve"> </w:t>
            </w:r>
            <w:r w:rsidRPr="000874FD">
              <w:rPr>
                <w:rFonts w:ascii="Arial" w:hAnsi="Arial" w:cs="Arial"/>
                <w:sz w:val="20"/>
                <w:szCs w:val="20"/>
              </w:rPr>
              <w:t>question, or any part thereof must be dealt with in terms of any legislation on</w:t>
            </w:r>
            <w:r w:rsidR="00847656" w:rsidRPr="000874FD">
              <w:rPr>
                <w:rFonts w:ascii="Arial" w:hAnsi="Arial" w:cs="Arial"/>
                <w:sz w:val="20"/>
                <w:szCs w:val="20"/>
              </w:rPr>
              <w:t xml:space="preserve"> </w:t>
            </w:r>
            <w:r w:rsidRPr="000874FD">
              <w:rPr>
                <w:rFonts w:ascii="Arial" w:hAnsi="Arial" w:cs="Arial"/>
                <w:sz w:val="20"/>
                <w:szCs w:val="20"/>
              </w:rPr>
              <w:t xml:space="preserve">cybersecurity or not, and inform the </w:t>
            </w:r>
            <w:r w:rsidRPr="000874FD">
              <w:rPr>
                <w:rFonts w:ascii="Arial" w:hAnsi="Arial" w:cs="Arial"/>
                <w:sz w:val="20"/>
                <w:szCs w:val="20"/>
              </w:rPr>
              <w:lastRenderedPageBreak/>
              <w:t>Minister in writing of the decision.</w:t>
            </w:r>
          </w:p>
          <w:p w:rsidR="00847656" w:rsidRPr="000874FD" w:rsidRDefault="00847656" w:rsidP="00414DFF">
            <w:pPr>
              <w:autoSpaceDE w:val="0"/>
              <w:autoSpaceDN w:val="0"/>
              <w:adjustRightInd w:val="0"/>
              <w:jc w:val="both"/>
              <w:rPr>
                <w:rFonts w:ascii="Arial" w:hAnsi="Arial" w:cs="Arial"/>
                <w:sz w:val="20"/>
                <w:szCs w:val="20"/>
              </w:rPr>
            </w:pPr>
          </w:p>
          <w:p w:rsidR="007E45AD" w:rsidRPr="000874FD" w:rsidRDefault="007E45AD" w:rsidP="00414DFF">
            <w:pPr>
              <w:autoSpaceDE w:val="0"/>
              <w:autoSpaceDN w:val="0"/>
              <w:adjustRightInd w:val="0"/>
              <w:jc w:val="both"/>
              <w:rPr>
                <w:rFonts w:ascii="Arial" w:hAnsi="Arial" w:cs="Arial"/>
                <w:sz w:val="20"/>
                <w:szCs w:val="20"/>
              </w:rPr>
            </w:pPr>
            <w:r w:rsidRPr="000874FD">
              <w:rPr>
                <w:rFonts w:ascii="Arial" w:hAnsi="Arial" w:cs="Arial"/>
                <w:sz w:val="20"/>
                <w:szCs w:val="20"/>
              </w:rPr>
              <w:t>(6) Where the Cabinet member responsible for State security decides that an</w:t>
            </w:r>
            <w:r w:rsidR="00847656" w:rsidRPr="000874FD">
              <w:rPr>
                <w:rFonts w:ascii="Arial" w:hAnsi="Arial" w:cs="Arial"/>
                <w:sz w:val="20"/>
                <w:szCs w:val="20"/>
              </w:rPr>
              <w:t xml:space="preserve"> </w:t>
            </w:r>
            <w:r w:rsidRPr="000874FD">
              <w:rPr>
                <w:rFonts w:ascii="Arial" w:hAnsi="Arial" w:cs="Arial"/>
                <w:sz w:val="20"/>
                <w:szCs w:val="20"/>
              </w:rPr>
              <w:t>application must not be dealt with in terms of legislation on cybersecurity, the Cabinet</w:t>
            </w:r>
            <w:r w:rsidR="00847656" w:rsidRPr="000874FD">
              <w:rPr>
                <w:rFonts w:ascii="Arial" w:hAnsi="Arial" w:cs="Arial"/>
                <w:sz w:val="20"/>
                <w:szCs w:val="20"/>
              </w:rPr>
              <w:t xml:space="preserve"> </w:t>
            </w:r>
            <w:r w:rsidRPr="000874FD">
              <w:rPr>
                <w:rFonts w:ascii="Arial" w:hAnsi="Arial" w:cs="Arial"/>
                <w:sz w:val="20"/>
                <w:szCs w:val="20"/>
              </w:rPr>
              <w:t>member responsible for State security must return the application to the Minister,</w:t>
            </w:r>
            <w:r w:rsidR="00847656" w:rsidRPr="000874FD">
              <w:rPr>
                <w:rFonts w:ascii="Arial" w:hAnsi="Arial" w:cs="Arial"/>
                <w:sz w:val="20"/>
                <w:szCs w:val="20"/>
              </w:rPr>
              <w:t xml:space="preserve"> </w:t>
            </w:r>
            <w:r w:rsidRPr="000874FD">
              <w:rPr>
                <w:rFonts w:ascii="Arial" w:hAnsi="Arial" w:cs="Arial"/>
                <w:sz w:val="20"/>
                <w:szCs w:val="20"/>
              </w:rPr>
              <w:t>whereafter the application must be dealt with in terms of this Act.</w:t>
            </w:r>
          </w:p>
        </w:tc>
        <w:tc>
          <w:tcPr>
            <w:tcW w:w="5842" w:type="dxa"/>
          </w:tcPr>
          <w:p w:rsidR="00847656" w:rsidRPr="000874FD" w:rsidRDefault="00847656" w:rsidP="00414DFF">
            <w:pPr>
              <w:pStyle w:val="Default"/>
              <w:spacing w:after="64"/>
              <w:jc w:val="both"/>
              <w:rPr>
                <w:rFonts w:ascii="Arial" w:hAnsi="Arial" w:cs="Arial"/>
                <w:color w:val="auto"/>
                <w:sz w:val="20"/>
                <w:szCs w:val="20"/>
              </w:rPr>
            </w:pPr>
            <w:r w:rsidRPr="000874FD">
              <w:rPr>
                <w:rFonts w:ascii="Arial" w:hAnsi="Arial" w:cs="Arial"/>
                <w:b/>
                <w:bCs/>
                <w:color w:val="auto"/>
                <w:sz w:val="20"/>
                <w:szCs w:val="20"/>
              </w:rPr>
              <w:lastRenderedPageBreak/>
              <w:t xml:space="preserve">Sections 17(4) and 20(4) – (6): </w:t>
            </w:r>
          </w:p>
          <w:p w:rsidR="00A85F34" w:rsidRPr="000874FD" w:rsidRDefault="00847656" w:rsidP="00414DFF">
            <w:pPr>
              <w:pStyle w:val="Default"/>
              <w:numPr>
                <w:ilvl w:val="0"/>
                <w:numId w:val="3"/>
              </w:numPr>
              <w:spacing w:after="64"/>
              <w:jc w:val="both"/>
              <w:rPr>
                <w:rFonts w:ascii="Arial" w:hAnsi="Arial" w:cs="Arial"/>
                <w:color w:val="auto"/>
                <w:sz w:val="20"/>
                <w:szCs w:val="20"/>
              </w:rPr>
            </w:pPr>
            <w:r w:rsidRPr="000874FD">
              <w:rPr>
                <w:rFonts w:ascii="Arial" w:hAnsi="Arial" w:cs="Arial"/>
                <w:color w:val="auto"/>
                <w:sz w:val="20"/>
                <w:szCs w:val="20"/>
              </w:rPr>
              <w:t xml:space="preserve">There is concern that the application of sections 17(4) and 20(4) – (6) of the Bill may be constitutionally questionable on the basis, </w:t>
            </w:r>
            <w:r w:rsidRPr="000874FD">
              <w:rPr>
                <w:rFonts w:ascii="Arial" w:hAnsi="Arial" w:cs="Arial"/>
                <w:i/>
                <w:iCs/>
                <w:color w:val="auto"/>
                <w:sz w:val="20"/>
                <w:szCs w:val="20"/>
              </w:rPr>
              <w:t>inter alia</w:t>
            </w:r>
            <w:r w:rsidRPr="000874FD">
              <w:rPr>
                <w:rFonts w:ascii="Arial" w:hAnsi="Arial" w:cs="Arial"/>
                <w:color w:val="auto"/>
                <w:sz w:val="20"/>
                <w:szCs w:val="20"/>
              </w:rPr>
              <w:t xml:space="preserve">, that legislation should clearly set out objective criteria for decision making, where administrative discretion is granted to the executive. </w:t>
            </w:r>
          </w:p>
          <w:p w:rsidR="00847656" w:rsidRPr="000874FD" w:rsidRDefault="00847656" w:rsidP="00414DFF">
            <w:pPr>
              <w:pStyle w:val="Default"/>
              <w:numPr>
                <w:ilvl w:val="0"/>
                <w:numId w:val="3"/>
              </w:numPr>
              <w:spacing w:after="64"/>
              <w:jc w:val="both"/>
              <w:rPr>
                <w:rFonts w:ascii="Arial" w:hAnsi="Arial" w:cs="Arial"/>
                <w:color w:val="auto"/>
                <w:sz w:val="20"/>
                <w:szCs w:val="20"/>
              </w:rPr>
            </w:pPr>
            <w:r w:rsidRPr="000874FD">
              <w:rPr>
                <w:rFonts w:ascii="Arial" w:hAnsi="Arial" w:cs="Arial"/>
                <w:color w:val="auto"/>
                <w:sz w:val="20"/>
                <w:szCs w:val="20"/>
              </w:rPr>
              <w:t>Section 17(3) purports to include the head of a government department or head of an organ of state in an application to declare an infrastructure as critical, but for certainty (given that information infrastructure has been specifically excluded from the definition of infrastructure), a similar provision should be set out in section 20(4)-(6), so that the head of a government department or head of an organ of state with functional control over an impacted sector forms part of the decision making process to bring such information infrastructure back into the ambit of the Critical Infrastructure Protection legislation.</w:t>
            </w:r>
          </w:p>
          <w:p w:rsidR="0072561B" w:rsidRPr="000874FD" w:rsidRDefault="0072561B" w:rsidP="00414DFF">
            <w:pPr>
              <w:pStyle w:val="Default"/>
              <w:spacing w:after="64"/>
              <w:jc w:val="both"/>
              <w:rPr>
                <w:rFonts w:ascii="Arial" w:hAnsi="Arial" w:cs="Arial"/>
                <w:b/>
                <w:bCs/>
                <w:color w:val="auto"/>
                <w:sz w:val="20"/>
                <w:szCs w:val="20"/>
              </w:rPr>
            </w:pPr>
          </w:p>
          <w:p w:rsidR="00847656" w:rsidRPr="000874FD" w:rsidRDefault="00847656" w:rsidP="00414DFF">
            <w:pPr>
              <w:pStyle w:val="Default"/>
              <w:spacing w:after="64"/>
              <w:jc w:val="both"/>
              <w:rPr>
                <w:rFonts w:ascii="Arial" w:hAnsi="Arial" w:cs="Arial"/>
                <w:color w:val="auto"/>
                <w:sz w:val="20"/>
                <w:szCs w:val="20"/>
              </w:rPr>
            </w:pPr>
            <w:r w:rsidRPr="000874FD">
              <w:rPr>
                <w:rFonts w:ascii="Arial" w:hAnsi="Arial" w:cs="Arial"/>
                <w:b/>
                <w:bCs/>
                <w:color w:val="auto"/>
                <w:sz w:val="20"/>
                <w:szCs w:val="20"/>
              </w:rPr>
              <w:t>Powers of the Minister</w:t>
            </w:r>
            <w:r w:rsidRPr="000874FD">
              <w:rPr>
                <w:rFonts w:ascii="Arial" w:hAnsi="Arial" w:cs="Arial"/>
                <w:color w:val="auto"/>
                <w:sz w:val="20"/>
                <w:szCs w:val="20"/>
              </w:rPr>
              <w:t xml:space="preserve">: </w:t>
            </w:r>
          </w:p>
          <w:p w:rsidR="00847656" w:rsidRPr="000874FD" w:rsidRDefault="00847656" w:rsidP="00414DFF">
            <w:pPr>
              <w:pStyle w:val="Default"/>
              <w:numPr>
                <w:ilvl w:val="0"/>
                <w:numId w:val="4"/>
              </w:numPr>
              <w:jc w:val="both"/>
              <w:rPr>
                <w:rFonts w:ascii="Arial" w:hAnsi="Arial" w:cs="Arial"/>
                <w:color w:val="auto"/>
                <w:sz w:val="20"/>
                <w:szCs w:val="20"/>
              </w:rPr>
            </w:pPr>
            <w:r w:rsidRPr="000874FD">
              <w:rPr>
                <w:rFonts w:ascii="Arial" w:hAnsi="Arial" w:cs="Arial"/>
                <w:color w:val="auto"/>
                <w:sz w:val="20"/>
                <w:szCs w:val="20"/>
              </w:rPr>
              <w:t xml:space="preserve">There is a concern that while the Bill gives the Minister the power to declare infrastructure as critical infrastructure, it does not adequately circumscribe the extent, limitations and duties associated with this power. Importantly, the Bill does not define the rights of, and protections for, critical infrastructure controllers and owners in the event of such a declaration by the Minister (especially where such owners or controllers are not government agencies). </w:t>
            </w:r>
          </w:p>
          <w:p w:rsidR="00847656" w:rsidRPr="000874FD" w:rsidRDefault="00847656" w:rsidP="00414DFF">
            <w:pPr>
              <w:jc w:val="both"/>
              <w:rPr>
                <w:rFonts w:ascii="Arial" w:hAnsi="Arial" w:cs="Arial"/>
                <w:sz w:val="20"/>
                <w:szCs w:val="20"/>
              </w:rPr>
            </w:pPr>
          </w:p>
        </w:tc>
        <w:tc>
          <w:tcPr>
            <w:tcW w:w="3446" w:type="dxa"/>
          </w:tcPr>
          <w:p w:rsidR="00847656" w:rsidRPr="000874FD" w:rsidRDefault="0072561B" w:rsidP="00815535">
            <w:pPr>
              <w:pStyle w:val="Default"/>
              <w:spacing w:after="76"/>
              <w:jc w:val="both"/>
              <w:rPr>
                <w:rFonts w:ascii="Arial" w:hAnsi="Arial" w:cs="Arial"/>
                <w:color w:val="auto"/>
                <w:sz w:val="20"/>
                <w:szCs w:val="20"/>
              </w:rPr>
            </w:pPr>
            <w:r w:rsidRPr="000874FD">
              <w:rPr>
                <w:rFonts w:ascii="Arial" w:hAnsi="Arial" w:cs="Arial"/>
                <w:color w:val="auto"/>
                <w:sz w:val="20"/>
                <w:szCs w:val="20"/>
              </w:rPr>
              <w:t>BASA recommends that</w:t>
            </w:r>
            <w:r w:rsidR="00847656" w:rsidRPr="000874FD">
              <w:rPr>
                <w:rFonts w:ascii="Arial" w:hAnsi="Arial" w:cs="Arial"/>
                <w:color w:val="auto"/>
                <w:sz w:val="20"/>
                <w:szCs w:val="20"/>
              </w:rPr>
              <w:t xml:space="preserve"> the Bill provides for the following: </w:t>
            </w:r>
          </w:p>
          <w:p w:rsidR="00847656" w:rsidRPr="000874FD" w:rsidRDefault="00847656" w:rsidP="00815535">
            <w:pPr>
              <w:pStyle w:val="Default"/>
              <w:spacing w:after="76"/>
              <w:jc w:val="both"/>
              <w:rPr>
                <w:rFonts w:ascii="Arial" w:hAnsi="Arial" w:cs="Arial"/>
                <w:color w:val="auto"/>
                <w:sz w:val="20"/>
                <w:szCs w:val="20"/>
              </w:rPr>
            </w:pPr>
            <w:r w:rsidRPr="000874FD">
              <w:rPr>
                <w:rFonts w:ascii="Arial" w:hAnsi="Arial" w:cs="Arial"/>
                <w:color w:val="auto"/>
                <w:sz w:val="20"/>
                <w:szCs w:val="20"/>
              </w:rPr>
              <w:t xml:space="preserve">• the designation of a function in the Minister’s office that may have access to a critical infrastructure for non-governmental infrastructures; </w:t>
            </w:r>
          </w:p>
          <w:p w:rsidR="00847656" w:rsidRPr="000874FD" w:rsidRDefault="00847656" w:rsidP="00815535">
            <w:pPr>
              <w:pStyle w:val="Default"/>
              <w:spacing w:after="76"/>
              <w:jc w:val="both"/>
              <w:rPr>
                <w:rFonts w:ascii="Arial" w:hAnsi="Arial" w:cs="Arial"/>
                <w:color w:val="auto"/>
                <w:sz w:val="20"/>
                <w:szCs w:val="20"/>
              </w:rPr>
            </w:pPr>
            <w:r w:rsidRPr="000874FD">
              <w:rPr>
                <w:rFonts w:ascii="Arial" w:hAnsi="Arial" w:cs="Arial"/>
                <w:color w:val="auto"/>
                <w:sz w:val="20"/>
                <w:szCs w:val="20"/>
              </w:rPr>
              <w:t>• the conditions an</w:t>
            </w:r>
            <w:r w:rsidR="00815535">
              <w:rPr>
                <w:rFonts w:ascii="Arial" w:hAnsi="Arial" w:cs="Arial"/>
                <w:color w:val="auto"/>
                <w:sz w:val="20"/>
                <w:szCs w:val="20"/>
              </w:rPr>
              <w:t xml:space="preserve">d regularity of the access to a </w:t>
            </w:r>
            <w:r w:rsidRPr="000874FD">
              <w:rPr>
                <w:rFonts w:ascii="Arial" w:hAnsi="Arial" w:cs="Arial"/>
                <w:color w:val="auto"/>
                <w:sz w:val="20"/>
                <w:szCs w:val="20"/>
              </w:rPr>
              <w:t xml:space="preserve">critical non-governmental infrastructures; </w:t>
            </w:r>
          </w:p>
          <w:p w:rsidR="00847656" w:rsidRPr="000874FD" w:rsidRDefault="00847656" w:rsidP="00815535">
            <w:pPr>
              <w:pStyle w:val="Default"/>
              <w:spacing w:after="76"/>
              <w:jc w:val="both"/>
              <w:rPr>
                <w:rFonts w:ascii="Arial" w:hAnsi="Arial" w:cs="Arial"/>
                <w:color w:val="auto"/>
                <w:sz w:val="20"/>
                <w:szCs w:val="20"/>
              </w:rPr>
            </w:pPr>
            <w:r w:rsidRPr="000874FD">
              <w:rPr>
                <w:rFonts w:ascii="Arial" w:hAnsi="Arial" w:cs="Arial"/>
                <w:color w:val="auto"/>
                <w:sz w:val="20"/>
                <w:szCs w:val="20"/>
              </w:rPr>
              <w:t>• authorisation and identification (certificate of authorisation) of individuals who</w:t>
            </w:r>
            <w:r w:rsidR="00815535">
              <w:rPr>
                <w:rFonts w:ascii="Arial" w:hAnsi="Arial" w:cs="Arial"/>
                <w:color w:val="auto"/>
                <w:sz w:val="20"/>
                <w:szCs w:val="20"/>
              </w:rPr>
              <w:t xml:space="preserve"> will have access to a critical </w:t>
            </w:r>
            <w:r w:rsidRPr="000874FD">
              <w:rPr>
                <w:rFonts w:ascii="Arial" w:hAnsi="Arial" w:cs="Arial"/>
                <w:color w:val="auto"/>
                <w:sz w:val="20"/>
                <w:szCs w:val="20"/>
              </w:rPr>
              <w:t xml:space="preserve">non-governmental infrastructure; </w:t>
            </w:r>
          </w:p>
          <w:p w:rsidR="00847656" w:rsidRPr="000874FD" w:rsidRDefault="00847656" w:rsidP="00815535">
            <w:pPr>
              <w:pStyle w:val="Default"/>
              <w:spacing w:after="76"/>
              <w:jc w:val="both"/>
              <w:rPr>
                <w:rFonts w:ascii="Arial" w:hAnsi="Arial" w:cs="Arial"/>
                <w:color w:val="auto"/>
                <w:sz w:val="20"/>
                <w:szCs w:val="20"/>
              </w:rPr>
            </w:pPr>
            <w:r w:rsidRPr="000874FD">
              <w:rPr>
                <w:rFonts w:ascii="Arial" w:hAnsi="Arial" w:cs="Arial"/>
                <w:color w:val="auto"/>
                <w:sz w:val="20"/>
                <w:szCs w:val="20"/>
              </w:rPr>
              <w:t xml:space="preserve">• consequences of acting contrary to authorisation; </w:t>
            </w:r>
          </w:p>
          <w:p w:rsidR="00847656" w:rsidRPr="000874FD" w:rsidRDefault="00847656" w:rsidP="00815535">
            <w:pPr>
              <w:pStyle w:val="Default"/>
              <w:spacing w:after="76"/>
              <w:jc w:val="both"/>
              <w:rPr>
                <w:rFonts w:ascii="Arial" w:hAnsi="Arial" w:cs="Arial"/>
                <w:color w:val="auto"/>
                <w:sz w:val="20"/>
                <w:szCs w:val="20"/>
              </w:rPr>
            </w:pPr>
            <w:r w:rsidRPr="000874FD">
              <w:rPr>
                <w:rFonts w:ascii="Arial" w:hAnsi="Arial" w:cs="Arial"/>
                <w:color w:val="auto"/>
                <w:sz w:val="20"/>
                <w:szCs w:val="20"/>
              </w:rPr>
              <w:t xml:space="preserve">• the rights of the owner or controller of a critical infrastructure; and </w:t>
            </w:r>
          </w:p>
          <w:p w:rsidR="00847656" w:rsidRPr="000874FD" w:rsidRDefault="00847656" w:rsidP="00815535">
            <w:pPr>
              <w:pStyle w:val="Default"/>
              <w:jc w:val="both"/>
              <w:rPr>
                <w:rFonts w:ascii="Arial" w:hAnsi="Arial" w:cs="Arial"/>
                <w:color w:val="auto"/>
                <w:sz w:val="20"/>
                <w:szCs w:val="20"/>
              </w:rPr>
            </w:pPr>
            <w:r w:rsidRPr="000874FD">
              <w:rPr>
                <w:rFonts w:ascii="Arial" w:hAnsi="Arial" w:cs="Arial"/>
                <w:color w:val="auto"/>
                <w:sz w:val="20"/>
                <w:szCs w:val="20"/>
              </w:rPr>
              <w:t xml:space="preserve">• prohibition on disclosure of information by members of law enforcement/investigator on such critical infrastructures. </w:t>
            </w:r>
          </w:p>
          <w:p w:rsidR="007E45AD" w:rsidRPr="000874FD" w:rsidRDefault="007E45AD" w:rsidP="00414DFF">
            <w:pPr>
              <w:jc w:val="both"/>
              <w:rPr>
                <w:rFonts w:ascii="Arial" w:hAnsi="Arial" w:cs="Arial"/>
                <w:sz w:val="20"/>
                <w:szCs w:val="20"/>
              </w:rPr>
            </w:pPr>
          </w:p>
        </w:tc>
      </w:tr>
      <w:tr w:rsidR="007E45AD" w:rsidRPr="000874FD" w:rsidTr="00815535">
        <w:tc>
          <w:tcPr>
            <w:tcW w:w="2348" w:type="dxa"/>
          </w:tcPr>
          <w:p w:rsidR="007E45AD" w:rsidRPr="000874FD" w:rsidRDefault="009E6A71" w:rsidP="00E132E0">
            <w:pPr>
              <w:pStyle w:val="ListParagraph"/>
              <w:numPr>
                <w:ilvl w:val="0"/>
                <w:numId w:val="6"/>
              </w:numPr>
              <w:jc w:val="both"/>
              <w:rPr>
                <w:rFonts w:ascii="Arial" w:hAnsi="Arial" w:cs="Arial"/>
                <w:b/>
                <w:sz w:val="20"/>
                <w:szCs w:val="20"/>
              </w:rPr>
            </w:pPr>
            <w:r w:rsidRPr="000874FD">
              <w:rPr>
                <w:rFonts w:ascii="Arial" w:hAnsi="Arial" w:cs="Arial"/>
                <w:b/>
                <w:sz w:val="20"/>
                <w:szCs w:val="20"/>
              </w:rPr>
              <w:lastRenderedPageBreak/>
              <w:t>SANEF (South African National Editors Forum)</w:t>
            </w:r>
          </w:p>
          <w:p w:rsidR="00473BE0" w:rsidRPr="000874FD" w:rsidRDefault="00473BE0" w:rsidP="00414DFF">
            <w:pPr>
              <w:jc w:val="both"/>
              <w:rPr>
                <w:rFonts w:ascii="Arial" w:hAnsi="Arial" w:cs="Arial"/>
                <w:b/>
                <w:sz w:val="20"/>
                <w:szCs w:val="20"/>
              </w:rPr>
            </w:pPr>
          </w:p>
          <w:p w:rsidR="00473BE0" w:rsidRPr="000874FD" w:rsidRDefault="00473BE0" w:rsidP="00414DFF">
            <w:pPr>
              <w:autoSpaceDE w:val="0"/>
              <w:autoSpaceDN w:val="0"/>
              <w:adjustRightInd w:val="0"/>
              <w:jc w:val="both"/>
              <w:rPr>
                <w:rFonts w:ascii="Arial" w:hAnsi="Arial" w:cs="Arial"/>
                <w:color w:val="000000"/>
                <w:sz w:val="20"/>
                <w:szCs w:val="20"/>
              </w:rPr>
            </w:pPr>
          </w:p>
          <w:p w:rsidR="00473BE0" w:rsidRPr="000874FD" w:rsidRDefault="00473BE0" w:rsidP="00414DFF">
            <w:pPr>
              <w:autoSpaceDE w:val="0"/>
              <w:autoSpaceDN w:val="0"/>
              <w:adjustRightInd w:val="0"/>
              <w:jc w:val="both"/>
              <w:rPr>
                <w:rFonts w:ascii="Arial" w:hAnsi="Arial" w:cs="Arial"/>
                <w:color w:val="000000"/>
                <w:sz w:val="20"/>
                <w:szCs w:val="20"/>
              </w:rPr>
            </w:pPr>
            <w:r w:rsidRPr="000874FD">
              <w:rPr>
                <w:rFonts w:ascii="Arial" w:hAnsi="Arial" w:cs="Arial"/>
                <w:color w:val="000000"/>
                <w:sz w:val="20"/>
                <w:szCs w:val="20"/>
              </w:rPr>
              <w:t xml:space="preserve"> </w:t>
            </w:r>
          </w:p>
          <w:p w:rsidR="00473BE0" w:rsidRPr="000874FD" w:rsidRDefault="00473BE0" w:rsidP="00414DFF">
            <w:pPr>
              <w:autoSpaceDE w:val="0"/>
              <w:autoSpaceDN w:val="0"/>
              <w:adjustRightInd w:val="0"/>
              <w:jc w:val="both"/>
              <w:rPr>
                <w:rFonts w:ascii="Arial" w:hAnsi="Arial" w:cs="Arial"/>
                <w:color w:val="000000"/>
                <w:sz w:val="20"/>
                <w:szCs w:val="20"/>
              </w:rPr>
            </w:pPr>
            <w:r w:rsidRPr="000874FD">
              <w:rPr>
                <w:rFonts w:ascii="Arial" w:hAnsi="Arial" w:cs="Arial"/>
                <w:color w:val="000000"/>
                <w:sz w:val="20"/>
                <w:szCs w:val="20"/>
              </w:rPr>
              <w:t xml:space="preserve">These submissions are made by the South African National Editors Forum (SANEF), the SOS: Support Public Broadcasting Coalition (SOS) and Media Monitoring Africa (MMA) (collectively, the Group) </w:t>
            </w:r>
          </w:p>
          <w:p w:rsidR="00473BE0" w:rsidRPr="000874FD" w:rsidRDefault="00473BE0" w:rsidP="00414DFF">
            <w:pPr>
              <w:autoSpaceDE w:val="0"/>
              <w:autoSpaceDN w:val="0"/>
              <w:adjustRightInd w:val="0"/>
              <w:jc w:val="both"/>
              <w:rPr>
                <w:rFonts w:ascii="Arial" w:hAnsi="Arial" w:cs="Arial"/>
                <w:color w:val="000000"/>
                <w:sz w:val="20"/>
                <w:szCs w:val="20"/>
              </w:rPr>
            </w:pPr>
          </w:p>
          <w:p w:rsidR="00473BE0" w:rsidRPr="000874FD" w:rsidRDefault="00473BE0" w:rsidP="00414DFF">
            <w:pPr>
              <w:jc w:val="both"/>
              <w:rPr>
                <w:rFonts w:ascii="Arial" w:hAnsi="Arial" w:cs="Arial"/>
                <w:b/>
                <w:sz w:val="20"/>
                <w:szCs w:val="20"/>
              </w:rPr>
            </w:pPr>
          </w:p>
        </w:tc>
        <w:tc>
          <w:tcPr>
            <w:tcW w:w="3844" w:type="dxa"/>
          </w:tcPr>
          <w:p w:rsidR="007E45AD" w:rsidRPr="000874FD" w:rsidRDefault="000874FD" w:rsidP="00414DFF">
            <w:pPr>
              <w:jc w:val="both"/>
              <w:rPr>
                <w:rFonts w:ascii="Arial" w:hAnsi="Arial" w:cs="Arial"/>
                <w:i/>
                <w:sz w:val="20"/>
                <w:szCs w:val="20"/>
              </w:rPr>
            </w:pPr>
            <w:r>
              <w:rPr>
                <w:rFonts w:ascii="Arial" w:hAnsi="Arial" w:cs="Arial"/>
                <w:i/>
                <w:sz w:val="20"/>
                <w:szCs w:val="20"/>
              </w:rPr>
              <w:t>Suggests introduction of new provision.</w:t>
            </w:r>
          </w:p>
        </w:tc>
        <w:tc>
          <w:tcPr>
            <w:tcW w:w="5842" w:type="dxa"/>
          </w:tcPr>
          <w:p w:rsidR="00473BE0" w:rsidRPr="000874FD" w:rsidRDefault="00473BE0" w:rsidP="00414DFF">
            <w:pPr>
              <w:jc w:val="both"/>
              <w:rPr>
                <w:rFonts w:ascii="Arial" w:hAnsi="Arial" w:cs="Arial"/>
                <w:sz w:val="20"/>
                <w:szCs w:val="20"/>
              </w:rPr>
            </w:pPr>
            <w:r w:rsidRPr="000874FD">
              <w:rPr>
                <w:rFonts w:ascii="Arial" w:hAnsi="Arial" w:cs="Arial"/>
                <w:sz w:val="20"/>
                <w:szCs w:val="20"/>
              </w:rPr>
              <w:t>SABC has been appointed as a NKP and as a result they have concerns with</w:t>
            </w:r>
            <w:r w:rsidR="00A85F34" w:rsidRPr="000874FD">
              <w:rPr>
                <w:rFonts w:ascii="Arial" w:hAnsi="Arial" w:cs="Arial"/>
                <w:sz w:val="20"/>
                <w:szCs w:val="20"/>
              </w:rPr>
              <w:t>:</w:t>
            </w:r>
          </w:p>
          <w:p w:rsidR="00473BE0" w:rsidRPr="000874FD" w:rsidRDefault="00473BE0" w:rsidP="00414DFF">
            <w:pPr>
              <w:autoSpaceDE w:val="0"/>
              <w:autoSpaceDN w:val="0"/>
              <w:adjustRightInd w:val="0"/>
              <w:jc w:val="both"/>
              <w:rPr>
                <w:rFonts w:ascii="Arial" w:hAnsi="Arial" w:cs="Arial"/>
                <w:color w:val="000000"/>
                <w:sz w:val="20"/>
                <w:szCs w:val="20"/>
              </w:rPr>
            </w:pPr>
          </w:p>
          <w:p w:rsidR="00A85F34" w:rsidRPr="000874FD" w:rsidRDefault="00473BE0" w:rsidP="00414DFF">
            <w:pPr>
              <w:pStyle w:val="ListParagraph"/>
              <w:numPr>
                <w:ilvl w:val="0"/>
                <w:numId w:val="4"/>
              </w:numPr>
              <w:autoSpaceDE w:val="0"/>
              <w:autoSpaceDN w:val="0"/>
              <w:adjustRightInd w:val="0"/>
              <w:jc w:val="both"/>
              <w:rPr>
                <w:rFonts w:ascii="Arial" w:hAnsi="Arial" w:cs="Arial"/>
                <w:color w:val="000000"/>
                <w:sz w:val="20"/>
                <w:szCs w:val="20"/>
              </w:rPr>
            </w:pPr>
            <w:r w:rsidRPr="000874FD">
              <w:rPr>
                <w:rFonts w:ascii="Arial" w:hAnsi="Arial" w:cs="Arial"/>
                <w:color w:val="000000"/>
                <w:sz w:val="20"/>
                <w:szCs w:val="20"/>
              </w:rPr>
              <w:t xml:space="preserve">the State Security Agency (SSA) has been approaching non-security personnel at the SABC and more specifically, editorial staff, that is journalists and/or management personnel and informing them of the necessity of completing a very detailed and invasive </w:t>
            </w:r>
            <w:r w:rsidR="00A85F34" w:rsidRPr="000874FD">
              <w:rPr>
                <w:rFonts w:ascii="Arial" w:hAnsi="Arial" w:cs="Arial"/>
                <w:color w:val="000000"/>
                <w:sz w:val="20"/>
                <w:szCs w:val="20"/>
              </w:rPr>
              <w:t>security vetting questionnaire,</w:t>
            </w:r>
          </w:p>
          <w:p w:rsidR="00A85F34" w:rsidRPr="000874FD" w:rsidRDefault="00473BE0" w:rsidP="00414DFF">
            <w:pPr>
              <w:pStyle w:val="ListParagraph"/>
              <w:numPr>
                <w:ilvl w:val="0"/>
                <w:numId w:val="4"/>
              </w:numPr>
              <w:autoSpaceDE w:val="0"/>
              <w:autoSpaceDN w:val="0"/>
              <w:adjustRightInd w:val="0"/>
              <w:jc w:val="both"/>
              <w:rPr>
                <w:rFonts w:ascii="Arial" w:hAnsi="Arial" w:cs="Arial"/>
                <w:color w:val="000000"/>
                <w:sz w:val="20"/>
                <w:szCs w:val="20"/>
              </w:rPr>
            </w:pPr>
            <w:r w:rsidRPr="000874FD">
              <w:rPr>
                <w:rFonts w:ascii="Arial" w:hAnsi="Arial" w:cs="Arial"/>
                <w:color w:val="000000"/>
                <w:sz w:val="20"/>
                <w:szCs w:val="20"/>
              </w:rPr>
              <w:t xml:space="preserve">power is being exercised in a manner that we believe to be an unconstitutional violation of the right to freedom of the press which is a specifically protected aspect of the right to freedom of expression as is provided for in section 16(1)(a) of the Constitution of the Republic of South Africa, 1996 (the Constitution). </w:t>
            </w:r>
          </w:p>
          <w:p w:rsidR="008B382C" w:rsidRPr="000874FD" w:rsidRDefault="00A85F34" w:rsidP="00414DFF">
            <w:pPr>
              <w:pStyle w:val="ListParagraph"/>
              <w:numPr>
                <w:ilvl w:val="0"/>
                <w:numId w:val="4"/>
              </w:numPr>
              <w:autoSpaceDE w:val="0"/>
              <w:autoSpaceDN w:val="0"/>
              <w:adjustRightInd w:val="0"/>
              <w:jc w:val="both"/>
              <w:rPr>
                <w:rFonts w:ascii="Arial" w:hAnsi="Arial" w:cs="Arial"/>
                <w:color w:val="000000"/>
                <w:sz w:val="20"/>
                <w:szCs w:val="20"/>
              </w:rPr>
            </w:pPr>
            <w:r w:rsidRPr="000874FD">
              <w:rPr>
                <w:rFonts w:ascii="Arial" w:hAnsi="Arial" w:cs="Arial"/>
                <w:color w:val="000000"/>
                <w:sz w:val="20"/>
                <w:szCs w:val="20"/>
              </w:rPr>
              <w:t>T</w:t>
            </w:r>
            <w:r w:rsidR="008B382C" w:rsidRPr="000874FD">
              <w:rPr>
                <w:rFonts w:ascii="Arial" w:hAnsi="Arial" w:cs="Arial"/>
                <w:color w:val="000000"/>
                <w:sz w:val="20"/>
                <w:szCs w:val="20"/>
              </w:rPr>
              <w:t xml:space="preserve">he Group requests the NCOP to ensure that specific protection of editorial integrity and freedom of work as a journalist be provided for with regard to the staff of the SABC, other than, of course, in respect of the security staff needed to secure the SABC as a National Key Point or, in due course, a Critical Infrastructure or Critical Infrastructure Complex. </w:t>
            </w:r>
          </w:p>
          <w:p w:rsidR="008B382C" w:rsidRPr="000874FD" w:rsidRDefault="008B382C" w:rsidP="00414DFF">
            <w:pPr>
              <w:autoSpaceDE w:val="0"/>
              <w:autoSpaceDN w:val="0"/>
              <w:adjustRightInd w:val="0"/>
              <w:jc w:val="both"/>
              <w:rPr>
                <w:rFonts w:ascii="Arial" w:hAnsi="Arial" w:cs="Arial"/>
                <w:color w:val="000000"/>
                <w:sz w:val="20"/>
                <w:szCs w:val="20"/>
              </w:rPr>
            </w:pPr>
          </w:p>
          <w:p w:rsidR="008B382C" w:rsidRPr="000874FD" w:rsidRDefault="008B382C" w:rsidP="00414DFF">
            <w:pPr>
              <w:autoSpaceDE w:val="0"/>
              <w:autoSpaceDN w:val="0"/>
              <w:adjustRightInd w:val="0"/>
              <w:jc w:val="both"/>
              <w:rPr>
                <w:rFonts w:ascii="Arial" w:hAnsi="Arial" w:cs="Arial"/>
                <w:color w:val="000000"/>
                <w:sz w:val="20"/>
                <w:szCs w:val="20"/>
              </w:rPr>
            </w:pPr>
          </w:p>
          <w:p w:rsidR="00473BE0" w:rsidRPr="000874FD" w:rsidRDefault="00473BE0" w:rsidP="00414DFF">
            <w:pPr>
              <w:jc w:val="both"/>
              <w:rPr>
                <w:rFonts w:ascii="Arial" w:hAnsi="Arial" w:cs="Arial"/>
                <w:sz w:val="20"/>
                <w:szCs w:val="20"/>
              </w:rPr>
            </w:pPr>
          </w:p>
        </w:tc>
        <w:tc>
          <w:tcPr>
            <w:tcW w:w="3446" w:type="dxa"/>
          </w:tcPr>
          <w:p w:rsidR="008B382C" w:rsidRPr="000874FD" w:rsidRDefault="00A85F34" w:rsidP="00414DFF">
            <w:pPr>
              <w:autoSpaceDE w:val="0"/>
              <w:autoSpaceDN w:val="0"/>
              <w:adjustRightInd w:val="0"/>
              <w:jc w:val="both"/>
              <w:rPr>
                <w:rFonts w:ascii="Arial" w:hAnsi="Arial" w:cs="Arial"/>
                <w:color w:val="000000"/>
                <w:sz w:val="20"/>
                <w:szCs w:val="20"/>
              </w:rPr>
            </w:pPr>
            <w:r w:rsidRPr="000874FD">
              <w:rPr>
                <w:rFonts w:ascii="Arial" w:hAnsi="Arial" w:cs="Arial"/>
                <w:color w:val="000000"/>
                <w:sz w:val="20"/>
                <w:szCs w:val="20"/>
              </w:rPr>
              <w:t xml:space="preserve">The group </w:t>
            </w:r>
            <w:r w:rsidR="008B382C" w:rsidRPr="000874FD">
              <w:rPr>
                <w:rFonts w:ascii="Arial" w:hAnsi="Arial" w:cs="Arial"/>
                <w:color w:val="000000"/>
                <w:sz w:val="20"/>
                <w:szCs w:val="20"/>
              </w:rPr>
              <w:t>suggest</w:t>
            </w:r>
            <w:r w:rsidRPr="000874FD">
              <w:rPr>
                <w:rFonts w:ascii="Arial" w:hAnsi="Arial" w:cs="Arial"/>
                <w:color w:val="000000"/>
                <w:sz w:val="20"/>
                <w:szCs w:val="20"/>
              </w:rPr>
              <w:t>s</w:t>
            </w:r>
            <w:r w:rsidR="008B382C" w:rsidRPr="000874FD">
              <w:rPr>
                <w:rFonts w:ascii="Arial" w:hAnsi="Arial" w:cs="Arial"/>
                <w:color w:val="000000"/>
                <w:sz w:val="20"/>
                <w:szCs w:val="20"/>
              </w:rPr>
              <w:t xml:space="preserve"> the introduction of a new section 24 to be contained in Chapter 3 of the Bill as follows: </w:t>
            </w:r>
          </w:p>
          <w:p w:rsidR="008B382C" w:rsidRPr="000874FD" w:rsidRDefault="008B382C" w:rsidP="00414DFF">
            <w:pPr>
              <w:autoSpaceDE w:val="0"/>
              <w:autoSpaceDN w:val="0"/>
              <w:adjustRightInd w:val="0"/>
              <w:jc w:val="both"/>
              <w:rPr>
                <w:rFonts w:ascii="Arial" w:hAnsi="Arial" w:cs="Arial"/>
                <w:color w:val="000000"/>
                <w:sz w:val="20"/>
                <w:szCs w:val="20"/>
              </w:rPr>
            </w:pPr>
          </w:p>
          <w:p w:rsidR="008B382C" w:rsidRPr="000874FD" w:rsidRDefault="008B382C" w:rsidP="00414DFF">
            <w:pPr>
              <w:autoSpaceDE w:val="0"/>
              <w:autoSpaceDN w:val="0"/>
              <w:adjustRightInd w:val="0"/>
              <w:jc w:val="both"/>
              <w:rPr>
                <w:rFonts w:ascii="Arial" w:hAnsi="Arial" w:cs="Arial"/>
                <w:color w:val="000000"/>
                <w:sz w:val="20"/>
                <w:szCs w:val="20"/>
              </w:rPr>
            </w:pPr>
          </w:p>
          <w:p w:rsidR="008B382C" w:rsidRPr="000874FD" w:rsidRDefault="008B382C" w:rsidP="00414DFF">
            <w:pPr>
              <w:autoSpaceDE w:val="0"/>
              <w:autoSpaceDN w:val="0"/>
              <w:adjustRightInd w:val="0"/>
              <w:jc w:val="both"/>
              <w:rPr>
                <w:rFonts w:ascii="Arial" w:hAnsi="Arial" w:cs="Arial"/>
                <w:color w:val="000000"/>
                <w:sz w:val="20"/>
                <w:szCs w:val="20"/>
              </w:rPr>
            </w:pPr>
            <w:r w:rsidRPr="000874FD">
              <w:rPr>
                <w:rFonts w:ascii="Arial" w:hAnsi="Arial" w:cs="Arial"/>
                <w:bCs/>
                <w:iCs/>
                <w:color w:val="000000"/>
                <w:sz w:val="20"/>
                <w:szCs w:val="20"/>
              </w:rPr>
              <w:t xml:space="preserve">“Specific Protections for the SABC as the independent public broadcaster </w:t>
            </w:r>
          </w:p>
          <w:p w:rsidR="00E132E0" w:rsidRPr="000874FD" w:rsidRDefault="00E132E0" w:rsidP="00414DFF">
            <w:pPr>
              <w:jc w:val="both"/>
              <w:rPr>
                <w:rFonts w:ascii="Arial" w:hAnsi="Arial" w:cs="Arial"/>
                <w:bCs/>
                <w:iCs/>
                <w:color w:val="000000"/>
                <w:sz w:val="20"/>
                <w:szCs w:val="20"/>
              </w:rPr>
            </w:pPr>
          </w:p>
          <w:p w:rsidR="007E45AD" w:rsidRPr="000874FD" w:rsidRDefault="008B382C" w:rsidP="00414DFF">
            <w:pPr>
              <w:jc w:val="both"/>
              <w:rPr>
                <w:rFonts w:ascii="Arial" w:hAnsi="Arial" w:cs="Arial"/>
                <w:sz w:val="20"/>
                <w:szCs w:val="20"/>
              </w:rPr>
            </w:pPr>
            <w:r w:rsidRPr="000874FD">
              <w:rPr>
                <w:rFonts w:ascii="Arial" w:hAnsi="Arial" w:cs="Arial"/>
                <w:bCs/>
                <w:iCs/>
                <w:color w:val="000000"/>
                <w:sz w:val="20"/>
                <w:szCs w:val="20"/>
              </w:rPr>
              <w:t>24. In recognition of the vital role that the SABC, the independent public broadcaster, plays in ensuring that the public has access to a wide range of news and information, nothing in this Act shall require the security vetting, other than of the SABC’s security staff, of the SABC staff, in particular, no journalist or non-security staff member shall be required to disclose any communication undertaken in the course of his or her employment and sources of journalistic information as a result of the SABC being declared critical infrastructure and/or a critical infrastructure complex.”</w:t>
            </w:r>
          </w:p>
        </w:tc>
      </w:tr>
      <w:tr w:rsidR="007E45AD" w:rsidRPr="000874FD" w:rsidTr="00815535">
        <w:tc>
          <w:tcPr>
            <w:tcW w:w="2348" w:type="dxa"/>
          </w:tcPr>
          <w:p w:rsidR="007E45AD" w:rsidRPr="000874FD" w:rsidRDefault="007E45AD" w:rsidP="00414DFF">
            <w:pPr>
              <w:jc w:val="both"/>
              <w:rPr>
                <w:rFonts w:ascii="Arial" w:hAnsi="Arial" w:cs="Arial"/>
                <w:sz w:val="20"/>
                <w:szCs w:val="20"/>
              </w:rPr>
            </w:pPr>
          </w:p>
        </w:tc>
        <w:tc>
          <w:tcPr>
            <w:tcW w:w="3844" w:type="dxa"/>
          </w:tcPr>
          <w:p w:rsidR="00DB2ABC" w:rsidRPr="000874FD" w:rsidRDefault="00DB2ABC" w:rsidP="00414DFF">
            <w:pPr>
              <w:autoSpaceDE w:val="0"/>
              <w:autoSpaceDN w:val="0"/>
              <w:adjustRightInd w:val="0"/>
              <w:jc w:val="both"/>
              <w:rPr>
                <w:rFonts w:ascii="Arial" w:hAnsi="Arial" w:cs="Arial"/>
                <w:b/>
                <w:bCs/>
                <w:sz w:val="20"/>
                <w:szCs w:val="20"/>
              </w:rPr>
            </w:pPr>
            <w:r w:rsidRPr="000874FD">
              <w:rPr>
                <w:rFonts w:ascii="Arial" w:hAnsi="Arial" w:cs="Arial"/>
                <w:b/>
                <w:bCs/>
                <w:sz w:val="20"/>
                <w:szCs w:val="20"/>
              </w:rPr>
              <w:t>Offences and penalties</w:t>
            </w:r>
          </w:p>
          <w:p w:rsidR="00DB2ABC" w:rsidRPr="000874FD" w:rsidRDefault="00DB2ABC" w:rsidP="00414DFF">
            <w:pPr>
              <w:autoSpaceDE w:val="0"/>
              <w:autoSpaceDN w:val="0"/>
              <w:adjustRightInd w:val="0"/>
              <w:jc w:val="both"/>
              <w:rPr>
                <w:rFonts w:ascii="Arial" w:hAnsi="Arial" w:cs="Arial"/>
                <w:sz w:val="20"/>
                <w:szCs w:val="20"/>
              </w:rPr>
            </w:pPr>
            <w:r w:rsidRPr="000874FD">
              <w:rPr>
                <w:rFonts w:ascii="Arial" w:hAnsi="Arial" w:cs="Arial"/>
                <w:b/>
                <w:bCs/>
                <w:sz w:val="20"/>
                <w:szCs w:val="20"/>
              </w:rPr>
              <w:lastRenderedPageBreak/>
              <w:t xml:space="preserve">26. </w:t>
            </w:r>
            <w:r w:rsidRPr="000874FD">
              <w:rPr>
                <w:rFonts w:ascii="Arial" w:hAnsi="Arial" w:cs="Arial"/>
                <w:sz w:val="20"/>
                <w:szCs w:val="20"/>
              </w:rPr>
              <w:t>(1) Any person who unlawfully—</w:t>
            </w:r>
          </w:p>
          <w:p w:rsidR="00DB2ABC" w:rsidRPr="000874FD" w:rsidRDefault="00DB2ABC" w:rsidP="00414DFF">
            <w:pPr>
              <w:autoSpaceDE w:val="0"/>
              <w:autoSpaceDN w:val="0"/>
              <w:adjustRightInd w:val="0"/>
              <w:jc w:val="both"/>
              <w:rPr>
                <w:rFonts w:ascii="Arial" w:hAnsi="Arial" w:cs="Arial"/>
                <w:sz w:val="20"/>
                <w:szCs w:val="20"/>
              </w:rPr>
            </w:pPr>
            <w:r w:rsidRPr="000874FD">
              <w:rPr>
                <w:rFonts w:ascii="Arial" w:hAnsi="Arial" w:cs="Arial"/>
                <w:i/>
                <w:iCs/>
                <w:sz w:val="20"/>
                <w:szCs w:val="20"/>
              </w:rPr>
              <w:t xml:space="preserve">(a) </w:t>
            </w:r>
            <w:r w:rsidRPr="000874FD">
              <w:rPr>
                <w:rFonts w:ascii="Arial" w:hAnsi="Arial" w:cs="Arial"/>
                <w:sz w:val="20"/>
                <w:szCs w:val="20"/>
              </w:rPr>
              <w:t>furnishes, disseminates or publishes in any manner whatsoever information</w:t>
            </w:r>
            <w:r w:rsidR="0072561B" w:rsidRPr="000874FD">
              <w:rPr>
                <w:rFonts w:ascii="Arial" w:hAnsi="Arial" w:cs="Arial"/>
                <w:sz w:val="20"/>
                <w:szCs w:val="20"/>
              </w:rPr>
              <w:t xml:space="preserve"> </w:t>
            </w:r>
            <w:r w:rsidRPr="000874FD">
              <w:rPr>
                <w:rFonts w:ascii="Arial" w:hAnsi="Arial" w:cs="Arial"/>
                <w:sz w:val="20"/>
                <w:szCs w:val="20"/>
              </w:rPr>
              <w:t>relating to the security measures applicable at or in respect of a critical</w:t>
            </w:r>
            <w:r w:rsidR="0072561B" w:rsidRPr="000874FD">
              <w:rPr>
                <w:rFonts w:ascii="Arial" w:hAnsi="Arial" w:cs="Arial"/>
                <w:sz w:val="20"/>
                <w:szCs w:val="20"/>
              </w:rPr>
              <w:t xml:space="preserve"> </w:t>
            </w:r>
            <w:r w:rsidRPr="000874FD">
              <w:rPr>
                <w:rFonts w:ascii="Arial" w:hAnsi="Arial" w:cs="Arial"/>
                <w:sz w:val="20"/>
                <w:szCs w:val="20"/>
              </w:rPr>
              <w:t>infrastructure other than in accordance with the Protected Disclosures Act,</w:t>
            </w:r>
            <w:r w:rsidR="0072561B" w:rsidRPr="000874FD">
              <w:rPr>
                <w:rFonts w:ascii="Arial" w:hAnsi="Arial" w:cs="Arial"/>
                <w:sz w:val="20"/>
                <w:szCs w:val="20"/>
              </w:rPr>
              <w:t xml:space="preserve"> </w:t>
            </w:r>
            <w:r w:rsidRPr="000874FD">
              <w:rPr>
                <w:rFonts w:ascii="Arial" w:hAnsi="Arial" w:cs="Arial"/>
                <w:sz w:val="20"/>
                <w:szCs w:val="20"/>
              </w:rPr>
              <w:t>2000 (Act No. 26 of 2000), the Prevention and Combating of Corrupt</w:t>
            </w:r>
            <w:r w:rsidR="0072561B" w:rsidRPr="000874FD">
              <w:rPr>
                <w:rFonts w:ascii="Arial" w:hAnsi="Arial" w:cs="Arial"/>
                <w:sz w:val="20"/>
                <w:szCs w:val="20"/>
              </w:rPr>
              <w:t xml:space="preserve"> </w:t>
            </w:r>
            <w:r w:rsidRPr="000874FD">
              <w:rPr>
                <w:rFonts w:ascii="Arial" w:hAnsi="Arial" w:cs="Arial"/>
                <w:sz w:val="20"/>
                <w:szCs w:val="20"/>
              </w:rPr>
              <w:t>Activities Act, 2004 (Act No. 12 of 2004) or any other Act of Parliament that</w:t>
            </w:r>
            <w:r w:rsidR="0072561B" w:rsidRPr="000874FD">
              <w:rPr>
                <w:rFonts w:ascii="Arial" w:hAnsi="Arial" w:cs="Arial"/>
                <w:sz w:val="20"/>
                <w:szCs w:val="20"/>
              </w:rPr>
              <w:t xml:space="preserve"> </w:t>
            </w:r>
            <w:r w:rsidRPr="000874FD">
              <w:rPr>
                <w:rFonts w:ascii="Arial" w:hAnsi="Arial" w:cs="Arial"/>
                <w:sz w:val="20"/>
                <w:szCs w:val="20"/>
              </w:rPr>
              <w:t>provides for the lawful disclosure of information;</w:t>
            </w:r>
          </w:p>
          <w:p w:rsidR="00DB2ABC" w:rsidRPr="000874FD" w:rsidRDefault="00DB2ABC" w:rsidP="00414DFF">
            <w:pPr>
              <w:autoSpaceDE w:val="0"/>
              <w:autoSpaceDN w:val="0"/>
              <w:adjustRightInd w:val="0"/>
              <w:jc w:val="both"/>
              <w:rPr>
                <w:rFonts w:ascii="Arial" w:hAnsi="Arial" w:cs="Arial"/>
                <w:sz w:val="20"/>
                <w:szCs w:val="20"/>
              </w:rPr>
            </w:pPr>
            <w:r w:rsidRPr="000874FD">
              <w:rPr>
                <w:rFonts w:ascii="Arial" w:hAnsi="Arial" w:cs="Arial"/>
                <w:i/>
                <w:iCs/>
                <w:sz w:val="20"/>
                <w:szCs w:val="20"/>
              </w:rPr>
              <w:t xml:space="preserve">(b) </w:t>
            </w:r>
            <w:r w:rsidRPr="000874FD">
              <w:rPr>
                <w:rFonts w:ascii="Arial" w:hAnsi="Arial" w:cs="Arial"/>
                <w:sz w:val="20"/>
                <w:szCs w:val="20"/>
              </w:rPr>
              <w:t>takes or records, or causes to take or record, an analog or digital photographic</w:t>
            </w:r>
            <w:r w:rsidR="0072561B" w:rsidRPr="000874FD">
              <w:rPr>
                <w:rFonts w:ascii="Arial" w:hAnsi="Arial" w:cs="Arial"/>
                <w:sz w:val="20"/>
                <w:szCs w:val="20"/>
              </w:rPr>
              <w:t xml:space="preserve"> </w:t>
            </w:r>
            <w:r w:rsidRPr="000874FD">
              <w:rPr>
                <w:rFonts w:ascii="Arial" w:hAnsi="Arial" w:cs="Arial"/>
                <w:sz w:val="20"/>
                <w:szCs w:val="20"/>
              </w:rPr>
              <w:t>image, video or film of the security measures at a critical infrastructure;</w:t>
            </w:r>
          </w:p>
          <w:p w:rsidR="00DB2ABC" w:rsidRPr="000874FD" w:rsidRDefault="00DB2ABC" w:rsidP="00414DFF">
            <w:pPr>
              <w:autoSpaceDE w:val="0"/>
              <w:autoSpaceDN w:val="0"/>
              <w:adjustRightInd w:val="0"/>
              <w:jc w:val="both"/>
              <w:rPr>
                <w:rFonts w:ascii="Arial" w:hAnsi="Arial" w:cs="Arial"/>
                <w:sz w:val="20"/>
                <w:szCs w:val="20"/>
              </w:rPr>
            </w:pPr>
            <w:r w:rsidRPr="000874FD">
              <w:rPr>
                <w:rFonts w:ascii="Arial" w:hAnsi="Arial" w:cs="Arial"/>
                <w:i/>
                <w:iCs/>
                <w:sz w:val="20"/>
                <w:szCs w:val="20"/>
              </w:rPr>
              <w:t xml:space="preserve">(c) </w:t>
            </w:r>
            <w:r w:rsidRPr="000874FD">
              <w:rPr>
                <w:rFonts w:ascii="Arial" w:hAnsi="Arial" w:cs="Arial"/>
                <w:sz w:val="20"/>
                <w:szCs w:val="20"/>
              </w:rPr>
              <w:t xml:space="preserve">hinders, obstructs or disobeys a person in control of a critical </w:t>
            </w:r>
            <w:r w:rsidR="0072561B" w:rsidRPr="000874FD">
              <w:rPr>
                <w:rFonts w:ascii="Arial" w:hAnsi="Arial" w:cs="Arial"/>
                <w:sz w:val="20"/>
                <w:szCs w:val="20"/>
              </w:rPr>
              <w:t>i</w:t>
            </w:r>
            <w:r w:rsidRPr="000874FD">
              <w:rPr>
                <w:rFonts w:ascii="Arial" w:hAnsi="Arial" w:cs="Arial"/>
                <w:sz w:val="20"/>
                <w:szCs w:val="20"/>
              </w:rPr>
              <w:t>nfrastructure in</w:t>
            </w:r>
            <w:r w:rsidR="0072561B" w:rsidRPr="000874FD">
              <w:rPr>
                <w:rFonts w:ascii="Arial" w:hAnsi="Arial" w:cs="Arial"/>
                <w:sz w:val="20"/>
                <w:szCs w:val="20"/>
              </w:rPr>
              <w:t xml:space="preserve"> </w:t>
            </w:r>
            <w:r w:rsidRPr="000874FD">
              <w:rPr>
                <w:rFonts w:ascii="Arial" w:hAnsi="Arial" w:cs="Arial"/>
                <w:sz w:val="20"/>
                <w:szCs w:val="20"/>
              </w:rPr>
              <w:t>taking any steps required or ordered in terms of this Act in relation to the</w:t>
            </w:r>
            <w:r w:rsidR="0072561B" w:rsidRPr="000874FD">
              <w:rPr>
                <w:rFonts w:ascii="Arial" w:hAnsi="Arial" w:cs="Arial"/>
                <w:sz w:val="20"/>
                <w:szCs w:val="20"/>
              </w:rPr>
              <w:t xml:space="preserve"> </w:t>
            </w:r>
            <w:r w:rsidRPr="000874FD">
              <w:rPr>
                <w:rFonts w:ascii="Arial" w:hAnsi="Arial" w:cs="Arial"/>
                <w:sz w:val="20"/>
                <w:szCs w:val="20"/>
              </w:rPr>
              <w:t>security of any critical infrastructure;</w:t>
            </w:r>
          </w:p>
          <w:p w:rsidR="00DB2ABC" w:rsidRPr="000874FD" w:rsidRDefault="00DB2ABC" w:rsidP="00414DFF">
            <w:pPr>
              <w:autoSpaceDE w:val="0"/>
              <w:autoSpaceDN w:val="0"/>
              <w:adjustRightInd w:val="0"/>
              <w:jc w:val="both"/>
              <w:rPr>
                <w:rFonts w:ascii="Arial" w:hAnsi="Arial" w:cs="Arial"/>
                <w:sz w:val="20"/>
                <w:szCs w:val="20"/>
              </w:rPr>
            </w:pPr>
            <w:r w:rsidRPr="000874FD">
              <w:rPr>
                <w:rFonts w:ascii="Arial" w:hAnsi="Arial" w:cs="Arial"/>
                <w:i/>
                <w:iCs/>
                <w:sz w:val="20"/>
                <w:szCs w:val="20"/>
              </w:rPr>
              <w:t xml:space="preserve">(d) </w:t>
            </w:r>
            <w:r w:rsidRPr="000874FD">
              <w:rPr>
                <w:rFonts w:ascii="Arial" w:hAnsi="Arial" w:cs="Arial"/>
                <w:sz w:val="20"/>
                <w:szCs w:val="20"/>
              </w:rPr>
              <w:t>hinders, obstructs or disobeys any person while performing a function or in</w:t>
            </w:r>
            <w:r w:rsidR="0072561B" w:rsidRPr="000874FD">
              <w:rPr>
                <w:rFonts w:ascii="Arial" w:hAnsi="Arial" w:cs="Arial"/>
                <w:sz w:val="20"/>
                <w:szCs w:val="20"/>
              </w:rPr>
              <w:t xml:space="preserve"> </w:t>
            </w:r>
            <w:r w:rsidRPr="000874FD">
              <w:rPr>
                <w:rFonts w:ascii="Arial" w:hAnsi="Arial" w:cs="Arial"/>
                <w:sz w:val="20"/>
                <w:szCs w:val="20"/>
              </w:rPr>
              <w:t>doing anything required to be done in terms of this Act;</w:t>
            </w:r>
          </w:p>
          <w:p w:rsidR="007E45AD" w:rsidRPr="000874FD" w:rsidRDefault="00DB2ABC" w:rsidP="00414DFF">
            <w:pPr>
              <w:autoSpaceDE w:val="0"/>
              <w:autoSpaceDN w:val="0"/>
              <w:adjustRightInd w:val="0"/>
              <w:jc w:val="both"/>
              <w:rPr>
                <w:rFonts w:ascii="Arial" w:hAnsi="Arial" w:cs="Arial"/>
                <w:sz w:val="20"/>
                <w:szCs w:val="20"/>
              </w:rPr>
            </w:pPr>
            <w:r w:rsidRPr="000874FD">
              <w:rPr>
                <w:rFonts w:ascii="Arial" w:hAnsi="Arial" w:cs="Arial"/>
                <w:i/>
                <w:iCs/>
                <w:sz w:val="20"/>
                <w:szCs w:val="20"/>
              </w:rPr>
              <w:t xml:space="preserve">(e) </w:t>
            </w:r>
            <w:r w:rsidRPr="000874FD">
              <w:rPr>
                <w:rFonts w:ascii="Arial" w:hAnsi="Arial" w:cs="Arial"/>
                <w:sz w:val="20"/>
                <w:szCs w:val="20"/>
              </w:rPr>
              <w:t>enters or gains access to critical infrastructure without the consent of the</w:t>
            </w:r>
            <w:r w:rsidR="0072561B" w:rsidRPr="000874FD">
              <w:rPr>
                <w:rFonts w:ascii="Arial" w:hAnsi="Arial" w:cs="Arial"/>
                <w:sz w:val="20"/>
                <w:szCs w:val="20"/>
              </w:rPr>
              <w:t xml:space="preserve"> </w:t>
            </w:r>
            <w:r w:rsidRPr="000874FD">
              <w:rPr>
                <w:rFonts w:ascii="Arial" w:hAnsi="Arial" w:cs="Arial"/>
                <w:sz w:val="20"/>
                <w:szCs w:val="20"/>
              </w:rPr>
              <w:t>security manager or person in control of that critical infrastructure;</w:t>
            </w:r>
          </w:p>
          <w:p w:rsidR="00DB2ABC" w:rsidRPr="000874FD" w:rsidRDefault="00DB2ABC" w:rsidP="00414DFF">
            <w:pPr>
              <w:autoSpaceDE w:val="0"/>
              <w:autoSpaceDN w:val="0"/>
              <w:adjustRightInd w:val="0"/>
              <w:jc w:val="both"/>
              <w:rPr>
                <w:rFonts w:ascii="Arial" w:hAnsi="Arial" w:cs="Arial"/>
                <w:sz w:val="20"/>
                <w:szCs w:val="20"/>
              </w:rPr>
            </w:pPr>
            <w:r w:rsidRPr="000874FD">
              <w:rPr>
                <w:rFonts w:ascii="Arial" w:hAnsi="Arial" w:cs="Arial"/>
                <w:sz w:val="20"/>
                <w:szCs w:val="20"/>
              </w:rPr>
              <w:t>enters or gains access to critical infrastructure in contravention of the notice</w:t>
            </w:r>
            <w:r w:rsidR="0072561B" w:rsidRPr="000874FD">
              <w:rPr>
                <w:rFonts w:ascii="Arial" w:hAnsi="Arial" w:cs="Arial"/>
                <w:sz w:val="20"/>
                <w:szCs w:val="20"/>
              </w:rPr>
              <w:t xml:space="preserve"> </w:t>
            </w:r>
            <w:r w:rsidRPr="000874FD">
              <w:rPr>
                <w:rFonts w:ascii="Arial" w:hAnsi="Arial" w:cs="Arial"/>
                <w:sz w:val="20"/>
                <w:szCs w:val="20"/>
              </w:rPr>
              <w:t>contemplated in section 24(8) or 25(8);</w:t>
            </w:r>
          </w:p>
          <w:p w:rsidR="00DB2ABC" w:rsidRPr="000874FD" w:rsidRDefault="00DB2ABC" w:rsidP="00414DFF">
            <w:pPr>
              <w:autoSpaceDE w:val="0"/>
              <w:autoSpaceDN w:val="0"/>
              <w:adjustRightInd w:val="0"/>
              <w:jc w:val="both"/>
              <w:rPr>
                <w:rFonts w:ascii="Arial" w:hAnsi="Arial" w:cs="Arial"/>
                <w:sz w:val="20"/>
                <w:szCs w:val="20"/>
              </w:rPr>
            </w:pPr>
            <w:r w:rsidRPr="000874FD">
              <w:rPr>
                <w:rFonts w:ascii="Arial" w:hAnsi="Arial" w:cs="Arial"/>
                <w:i/>
                <w:iCs/>
                <w:sz w:val="20"/>
                <w:szCs w:val="20"/>
              </w:rPr>
              <w:t xml:space="preserve">(g) </w:t>
            </w:r>
            <w:r w:rsidRPr="000874FD">
              <w:rPr>
                <w:rFonts w:ascii="Arial" w:hAnsi="Arial" w:cs="Arial"/>
                <w:sz w:val="20"/>
                <w:szCs w:val="20"/>
              </w:rPr>
              <w:t>damages, endangers or disrupts a critical infrastructure or threatens the safety</w:t>
            </w:r>
            <w:r w:rsidR="0072561B" w:rsidRPr="000874FD">
              <w:rPr>
                <w:rFonts w:ascii="Arial" w:hAnsi="Arial" w:cs="Arial"/>
                <w:sz w:val="20"/>
                <w:szCs w:val="20"/>
              </w:rPr>
              <w:t xml:space="preserve"> </w:t>
            </w:r>
            <w:r w:rsidRPr="000874FD">
              <w:rPr>
                <w:rFonts w:ascii="Arial" w:hAnsi="Arial" w:cs="Arial"/>
                <w:sz w:val="20"/>
                <w:szCs w:val="20"/>
              </w:rPr>
              <w:t>or security at a critical infrastructure or part thereof;</w:t>
            </w:r>
          </w:p>
          <w:p w:rsidR="00DB2ABC" w:rsidRPr="000874FD" w:rsidRDefault="00DB2ABC" w:rsidP="00414DFF">
            <w:pPr>
              <w:autoSpaceDE w:val="0"/>
              <w:autoSpaceDN w:val="0"/>
              <w:adjustRightInd w:val="0"/>
              <w:jc w:val="both"/>
              <w:rPr>
                <w:rFonts w:ascii="Arial" w:hAnsi="Arial" w:cs="Arial"/>
                <w:sz w:val="20"/>
                <w:szCs w:val="20"/>
              </w:rPr>
            </w:pPr>
            <w:r w:rsidRPr="000874FD">
              <w:rPr>
                <w:rFonts w:ascii="Arial" w:hAnsi="Arial" w:cs="Arial"/>
                <w:i/>
                <w:iCs/>
                <w:sz w:val="20"/>
                <w:szCs w:val="20"/>
              </w:rPr>
              <w:lastRenderedPageBreak/>
              <w:t xml:space="preserve">(h) </w:t>
            </w:r>
            <w:r w:rsidRPr="000874FD">
              <w:rPr>
                <w:rFonts w:ascii="Arial" w:hAnsi="Arial" w:cs="Arial"/>
                <w:sz w:val="20"/>
                <w:szCs w:val="20"/>
              </w:rPr>
              <w:t>threatens to damage critical infrastructure; or</w:t>
            </w:r>
          </w:p>
          <w:p w:rsidR="00DB2ABC" w:rsidRPr="000874FD" w:rsidRDefault="00DB2ABC" w:rsidP="000874FD">
            <w:pPr>
              <w:autoSpaceDE w:val="0"/>
              <w:autoSpaceDN w:val="0"/>
              <w:adjustRightInd w:val="0"/>
              <w:jc w:val="both"/>
              <w:rPr>
                <w:rFonts w:ascii="Arial" w:hAnsi="Arial" w:cs="Arial"/>
                <w:sz w:val="20"/>
                <w:szCs w:val="20"/>
              </w:rPr>
            </w:pPr>
            <w:r w:rsidRPr="000874FD">
              <w:rPr>
                <w:rFonts w:ascii="Arial" w:hAnsi="Arial" w:cs="Arial"/>
                <w:i/>
                <w:iCs/>
                <w:sz w:val="20"/>
                <w:szCs w:val="20"/>
              </w:rPr>
              <w:t xml:space="preserve">(i) </w:t>
            </w:r>
            <w:r w:rsidRPr="000874FD">
              <w:rPr>
                <w:rFonts w:ascii="Arial" w:hAnsi="Arial" w:cs="Arial"/>
                <w:sz w:val="20"/>
                <w:szCs w:val="20"/>
              </w:rPr>
              <w:t xml:space="preserve">colludes with or assists another person in the commission, </w:t>
            </w:r>
            <w:r w:rsidR="0072561B" w:rsidRPr="000874FD">
              <w:rPr>
                <w:rFonts w:ascii="Arial" w:hAnsi="Arial" w:cs="Arial"/>
                <w:sz w:val="20"/>
                <w:szCs w:val="20"/>
              </w:rPr>
              <w:t>p</w:t>
            </w:r>
            <w:r w:rsidRPr="000874FD">
              <w:rPr>
                <w:rFonts w:ascii="Arial" w:hAnsi="Arial" w:cs="Arial"/>
                <w:sz w:val="20"/>
                <w:szCs w:val="20"/>
              </w:rPr>
              <w:t>erformance or</w:t>
            </w:r>
            <w:r w:rsidR="0072561B" w:rsidRPr="000874FD">
              <w:rPr>
                <w:rFonts w:ascii="Arial" w:hAnsi="Arial" w:cs="Arial"/>
                <w:sz w:val="20"/>
                <w:szCs w:val="20"/>
              </w:rPr>
              <w:t xml:space="preserve"> </w:t>
            </w:r>
            <w:r w:rsidRPr="000874FD">
              <w:rPr>
                <w:rFonts w:ascii="Arial" w:hAnsi="Arial" w:cs="Arial"/>
                <w:sz w:val="20"/>
                <w:szCs w:val="20"/>
              </w:rPr>
              <w:t xml:space="preserve">carrying out of an activity referred to in paragraphs </w:t>
            </w:r>
            <w:r w:rsidRPr="000874FD">
              <w:rPr>
                <w:rFonts w:ascii="Arial" w:hAnsi="Arial" w:cs="Arial"/>
                <w:i/>
                <w:iCs/>
                <w:sz w:val="20"/>
                <w:szCs w:val="20"/>
              </w:rPr>
              <w:t xml:space="preserve">(a) </w:t>
            </w:r>
            <w:r w:rsidRPr="000874FD">
              <w:rPr>
                <w:rFonts w:ascii="Arial" w:hAnsi="Arial" w:cs="Arial"/>
                <w:sz w:val="20"/>
                <w:szCs w:val="20"/>
              </w:rPr>
              <w:t xml:space="preserve">to </w:t>
            </w:r>
            <w:r w:rsidRPr="000874FD">
              <w:rPr>
                <w:rFonts w:ascii="Arial" w:hAnsi="Arial" w:cs="Arial"/>
                <w:i/>
                <w:iCs/>
                <w:sz w:val="20"/>
                <w:szCs w:val="20"/>
              </w:rPr>
              <w:t>(h)</w:t>
            </w:r>
            <w:r w:rsidRPr="000874FD">
              <w:rPr>
                <w:rFonts w:ascii="Arial" w:hAnsi="Arial" w:cs="Arial"/>
                <w:sz w:val="20"/>
                <w:szCs w:val="20"/>
              </w:rPr>
              <w:t>,</w:t>
            </w:r>
            <w:r w:rsidR="0072561B" w:rsidRPr="000874FD">
              <w:rPr>
                <w:rFonts w:ascii="Arial" w:hAnsi="Arial" w:cs="Arial"/>
                <w:sz w:val="20"/>
                <w:szCs w:val="20"/>
              </w:rPr>
              <w:t xml:space="preserve"> </w:t>
            </w:r>
            <w:r w:rsidRPr="000874FD">
              <w:rPr>
                <w:rFonts w:ascii="Arial" w:hAnsi="Arial" w:cs="Arial"/>
                <w:sz w:val="20"/>
                <w:szCs w:val="20"/>
              </w:rPr>
              <w:t>commits an offence and is, subject to subsection (3) and (4), liable on conviction to a fine</w:t>
            </w:r>
            <w:r w:rsidR="000874FD">
              <w:rPr>
                <w:rFonts w:ascii="Arial" w:hAnsi="Arial" w:cs="Arial"/>
                <w:sz w:val="20"/>
                <w:szCs w:val="20"/>
              </w:rPr>
              <w:t xml:space="preserve"> </w:t>
            </w:r>
            <w:r w:rsidRPr="000874FD">
              <w:rPr>
                <w:rFonts w:ascii="Arial" w:hAnsi="Arial" w:cs="Arial"/>
                <w:sz w:val="20"/>
                <w:szCs w:val="20"/>
              </w:rPr>
              <w:t>or to imprisonment for a period not exceeding three years, or to both a fine and</w:t>
            </w:r>
            <w:r w:rsidR="0072561B" w:rsidRPr="000874FD">
              <w:rPr>
                <w:rFonts w:ascii="Arial" w:hAnsi="Arial" w:cs="Arial"/>
                <w:sz w:val="20"/>
                <w:szCs w:val="20"/>
              </w:rPr>
              <w:t xml:space="preserve"> </w:t>
            </w:r>
            <w:r w:rsidRPr="000874FD">
              <w:rPr>
                <w:rFonts w:ascii="Arial" w:hAnsi="Arial" w:cs="Arial"/>
                <w:sz w:val="20"/>
                <w:szCs w:val="20"/>
              </w:rPr>
              <w:t>imprisonment.</w:t>
            </w:r>
            <w:bookmarkStart w:id="0" w:name="_GoBack"/>
            <w:bookmarkEnd w:id="0"/>
          </w:p>
        </w:tc>
        <w:tc>
          <w:tcPr>
            <w:tcW w:w="5842" w:type="dxa"/>
          </w:tcPr>
          <w:p w:rsidR="00DB2ABC" w:rsidRPr="000874FD" w:rsidRDefault="00DB2ABC" w:rsidP="00414DFF">
            <w:pPr>
              <w:autoSpaceDE w:val="0"/>
              <w:autoSpaceDN w:val="0"/>
              <w:adjustRightInd w:val="0"/>
              <w:spacing w:after="474"/>
              <w:jc w:val="both"/>
              <w:rPr>
                <w:rFonts w:ascii="Arial" w:hAnsi="Arial" w:cs="Arial"/>
                <w:color w:val="000000"/>
                <w:sz w:val="20"/>
                <w:szCs w:val="20"/>
              </w:rPr>
            </w:pPr>
            <w:r w:rsidRPr="000874FD">
              <w:rPr>
                <w:rFonts w:ascii="Arial" w:hAnsi="Arial" w:cs="Arial"/>
                <w:color w:val="000000"/>
                <w:sz w:val="20"/>
                <w:szCs w:val="20"/>
              </w:rPr>
              <w:lastRenderedPageBreak/>
              <w:t xml:space="preserve">The Bill contains severe penalties for violations in relation to </w:t>
            </w:r>
            <w:r w:rsidRPr="000874FD">
              <w:rPr>
                <w:rFonts w:ascii="Arial" w:hAnsi="Arial" w:cs="Arial"/>
                <w:color w:val="000000"/>
                <w:sz w:val="20"/>
                <w:szCs w:val="20"/>
              </w:rPr>
              <w:lastRenderedPageBreak/>
              <w:t xml:space="preserve">critical infrastructure as provided for in section 26. These range from 20 years imprisonment for tampering with, damaging or destroying critical infrastructure (section 26(4)) to a fine and/or three years imprisonment. </w:t>
            </w:r>
          </w:p>
          <w:p w:rsidR="00A85F34" w:rsidRPr="000874FD" w:rsidRDefault="00A85F34" w:rsidP="00414DFF">
            <w:pPr>
              <w:pStyle w:val="ListParagraph"/>
              <w:numPr>
                <w:ilvl w:val="0"/>
                <w:numId w:val="5"/>
              </w:numPr>
              <w:autoSpaceDE w:val="0"/>
              <w:autoSpaceDN w:val="0"/>
              <w:adjustRightInd w:val="0"/>
              <w:jc w:val="both"/>
              <w:rPr>
                <w:rFonts w:ascii="Arial" w:hAnsi="Arial" w:cs="Arial"/>
                <w:color w:val="000000"/>
                <w:sz w:val="20"/>
                <w:szCs w:val="20"/>
              </w:rPr>
            </w:pPr>
            <w:r w:rsidRPr="000874FD">
              <w:rPr>
                <w:rFonts w:ascii="Arial" w:hAnsi="Arial" w:cs="Arial"/>
                <w:color w:val="000000"/>
                <w:sz w:val="20"/>
                <w:szCs w:val="20"/>
              </w:rPr>
              <w:t>A</w:t>
            </w:r>
            <w:r w:rsidR="00DB2ABC" w:rsidRPr="000874FD">
              <w:rPr>
                <w:rFonts w:ascii="Arial" w:hAnsi="Arial" w:cs="Arial"/>
                <w:color w:val="000000"/>
                <w:sz w:val="20"/>
                <w:szCs w:val="20"/>
              </w:rPr>
              <w:t xml:space="preserve"> penalty of up to 3 years imprisonment is currently provided in section 26(1) for activities that could be described as journalism, namely section 26(1)(a), (b), (e) and (f), which sections prohibit, </w:t>
            </w:r>
            <w:r w:rsidR="00DB2ABC" w:rsidRPr="000874FD">
              <w:rPr>
                <w:rFonts w:ascii="Arial" w:hAnsi="Arial" w:cs="Arial"/>
                <w:i/>
                <w:iCs/>
                <w:color w:val="000000"/>
                <w:sz w:val="20"/>
                <w:szCs w:val="20"/>
              </w:rPr>
              <w:t>inter alia</w:t>
            </w:r>
            <w:r w:rsidR="00DB2ABC" w:rsidRPr="000874FD">
              <w:rPr>
                <w:rFonts w:ascii="Arial" w:hAnsi="Arial" w:cs="Arial"/>
                <w:color w:val="000000"/>
                <w:sz w:val="20"/>
                <w:szCs w:val="20"/>
              </w:rPr>
              <w:t xml:space="preserve">, publishing information, being at or taking photographs of critical infrastructure. While it is true that these are subject to this being done “unlawfully” – this term is never defined - and we are concerned that this would have a chilling effect on reporting about activities taking place at critical infrastructure sites. </w:t>
            </w:r>
          </w:p>
          <w:p w:rsidR="00DB2ABC" w:rsidRPr="000874FD" w:rsidRDefault="00DB2ABC" w:rsidP="00414DFF">
            <w:pPr>
              <w:pStyle w:val="ListParagraph"/>
              <w:numPr>
                <w:ilvl w:val="0"/>
                <w:numId w:val="5"/>
              </w:numPr>
              <w:autoSpaceDE w:val="0"/>
              <w:autoSpaceDN w:val="0"/>
              <w:adjustRightInd w:val="0"/>
              <w:jc w:val="both"/>
              <w:rPr>
                <w:rFonts w:ascii="Arial" w:hAnsi="Arial" w:cs="Arial"/>
                <w:color w:val="000000"/>
                <w:sz w:val="20"/>
                <w:szCs w:val="20"/>
              </w:rPr>
            </w:pPr>
            <w:r w:rsidRPr="000874FD">
              <w:rPr>
                <w:rFonts w:ascii="Arial" w:hAnsi="Arial" w:cs="Arial"/>
                <w:sz w:val="20"/>
                <w:szCs w:val="20"/>
              </w:rPr>
              <w:t xml:space="preserve">The Group therefore supports the call that the Bill specifically contains a public interest override to ensure, in particular, that the information-disclosure activities contained in what is currently section 26(1) of the Latest Bill would not constitute offenses if the disclosure of information and related activities regarding critical infrastructure would be in the public interest. </w:t>
            </w:r>
          </w:p>
          <w:p w:rsidR="00DB2ABC" w:rsidRPr="000874FD" w:rsidRDefault="00DB2ABC" w:rsidP="00414DFF">
            <w:pPr>
              <w:autoSpaceDE w:val="0"/>
              <w:autoSpaceDN w:val="0"/>
              <w:adjustRightInd w:val="0"/>
              <w:jc w:val="both"/>
              <w:rPr>
                <w:rFonts w:ascii="Arial" w:hAnsi="Arial" w:cs="Arial"/>
                <w:sz w:val="20"/>
                <w:szCs w:val="20"/>
              </w:rPr>
            </w:pPr>
          </w:p>
          <w:p w:rsidR="00DB2ABC" w:rsidRPr="000874FD" w:rsidRDefault="00DB2ABC" w:rsidP="00414DFF">
            <w:pPr>
              <w:autoSpaceDE w:val="0"/>
              <w:autoSpaceDN w:val="0"/>
              <w:adjustRightInd w:val="0"/>
              <w:jc w:val="both"/>
              <w:rPr>
                <w:rFonts w:ascii="Arial" w:hAnsi="Arial" w:cs="Arial"/>
                <w:sz w:val="20"/>
                <w:szCs w:val="20"/>
              </w:rPr>
            </w:pPr>
          </w:p>
          <w:p w:rsidR="007E45AD" w:rsidRPr="000874FD" w:rsidRDefault="007E45AD" w:rsidP="00414DFF">
            <w:pPr>
              <w:jc w:val="both"/>
              <w:rPr>
                <w:rFonts w:ascii="Arial" w:hAnsi="Arial" w:cs="Arial"/>
                <w:sz w:val="20"/>
                <w:szCs w:val="20"/>
              </w:rPr>
            </w:pPr>
          </w:p>
        </w:tc>
        <w:tc>
          <w:tcPr>
            <w:tcW w:w="3446" w:type="dxa"/>
          </w:tcPr>
          <w:p w:rsidR="00DB2ABC" w:rsidRPr="000874FD" w:rsidRDefault="0072561B" w:rsidP="00414DFF">
            <w:pPr>
              <w:autoSpaceDE w:val="0"/>
              <w:autoSpaceDN w:val="0"/>
              <w:adjustRightInd w:val="0"/>
              <w:jc w:val="both"/>
              <w:rPr>
                <w:rFonts w:ascii="Arial" w:hAnsi="Arial" w:cs="Arial"/>
                <w:color w:val="000000"/>
                <w:sz w:val="20"/>
                <w:szCs w:val="20"/>
              </w:rPr>
            </w:pPr>
            <w:r w:rsidRPr="000874FD">
              <w:rPr>
                <w:rFonts w:ascii="Arial" w:hAnsi="Arial" w:cs="Arial"/>
                <w:color w:val="000000"/>
                <w:sz w:val="20"/>
                <w:szCs w:val="20"/>
              </w:rPr>
              <w:lastRenderedPageBreak/>
              <w:t>It is</w:t>
            </w:r>
            <w:r w:rsidR="00DB2ABC" w:rsidRPr="000874FD">
              <w:rPr>
                <w:rFonts w:ascii="Arial" w:hAnsi="Arial" w:cs="Arial"/>
                <w:color w:val="000000"/>
                <w:sz w:val="20"/>
                <w:szCs w:val="20"/>
              </w:rPr>
              <w:t xml:space="preserve"> suggest</w:t>
            </w:r>
            <w:r w:rsidRPr="000874FD">
              <w:rPr>
                <w:rFonts w:ascii="Arial" w:hAnsi="Arial" w:cs="Arial"/>
                <w:color w:val="000000"/>
                <w:sz w:val="20"/>
                <w:szCs w:val="20"/>
              </w:rPr>
              <w:t>ed</w:t>
            </w:r>
            <w:r w:rsidR="00DB2ABC" w:rsidRPr="000874FD">
              <w:rPr>
                <w:rFonts w:ascii="Arial" w:hAnsi="Arial" w:cs="Arial"/>
                <w:color w:val="000000"/>
                <w:sz w:val="20"/>
                <w:szCs w:val="20"/>
              </w:rPr>
              <w:t xml:space="preserve"> that a new sub-</w:t>
            </w:r>
            <w:r w:rsidR="00DB2ABC" w:rsidRPr="000874FD">
              <w:rPr>
                <w:rFonts w:ascii="Arial" w:hAnsi="Arial" w:cs="Arial"/>
                <w:color w:val="000000"/>
                <w:sz w:val="20"/>
                <w:szCs w:val="20"/>
              </w:rPr>
              <w:lastRenderedPageBreak/>
              <w:t xml:space="preserve">section (3) be inserted into what is currently section 26 the Bill as follows: </w:t>
            </w:r>
          </w:p>
          <w:p w:rsidR="00DB2ABC" w:rsidRPr="000874FD" w:rsidRDefault="00DB2ABC" w:rsidP="00414DFF">
            <w:pPr>
              <w:autoSpaceDE w:val="0"/>
              <w:autoSpaceDN w:val="0"/>
              <w:adjustRightInd w:val="0"/>
              <w:jc w:val="both"/>
              <w:rPr>
                <w:rFonts w:ascii="Arial" w:hAnsi="Arial" w:cs="Arial"/>
                <w:color w:val="000000"/>
                <w:sz w:val="20"/>
                <w:szCs w:val="20"/>
              </w:rPr>
            </w:pPr>
          </w:p>
          <w:p w:rsidR="00DB2ABC" w:rsidRPr="000874FD" w:rsidRDefault="00DB2ABC" w:rsidP="00414DFF">
            <w:pPr>
              <w:autoSpaceDE w:val="0"/>
              <w:autoSpaceDN w:val="0"/>
              <w:adjustRightInd w:val="0"/>
              <w:jc w:val="both"/>
              <w:rPr>
                <w:rFonts w:ascii="Arial" w:hAnsi="Arial" w:cs="Arial"/>
                <w:color w:val="000000"/>
                <w:sz w:val="20"/>
                <w:szCs w:val="20"/>
              </w:rPr>
            </w:pPr>
          </w:p>
          <w:p w:rsidR="00DB2ABC" w:rsidRPr="000874FD" w:rsidRDefault="00DB2ABC" w:rsidP="00414DFF">
            <w:pPr>
              <w:autoSpaceDE w:val="0"/>
              <w:autoSpaceDN w:val="0"/>
              <w:adjustRightInd w:val="0"/>
              <w:jc w:val="both"/>
              <w:rPr>
                <w:rFonts w:ascii="Arial" w:hAnsi="Arial" w:cs="Arial"/>
                <w:color w:val="000000"/>
                <w:sz w:val="20"/>
                <w:szCs w:val="20"/>
              </w:rPr>
            </w:pPr>
            <w:r w:rsidRPr="000874FD">
              <w:rPr>
                <w:rFonts w:ascii="Arial" w:hAnsi="Arial" w:cs="Arial"/>
                <w:bCs/>
                <w:color w:val="000000"/>
                <w:sz w:val="20"/>
                <w:szCs w:val="20"/>
              </w:rPr>
              <w:t xml:space="preserve">“(3) Notwithstanding the provisions of sections (1)(a), (b), (e) and (f), where a disclosure of information regarding critical infrastructure would reveal evidence of: </w:t>
            </w:r>
          </w:p>
          <w:p w:rsidR="00DB2ABC" w:rsidRPr="000874FD" w:rsidRDefault="00DB2ABC" w:rsidP="00414DFF">
            <w:pPr>
              <w:numPr>
                <w:ilvl w:val="0"/>
                <w:numId w:val="2"/>
              </w:numPr>
              <w:autoSpaceDE w:val="0"/>
              <w:autoSpaceDN w:val="0"/>
              <w:adjustRightInd w:val="0"/>
              <w:spacing w:after="128"/>
              <w:jc w:val="both"/>
              <w:rPr>
                <w:rFonts w:ascii="Arial" w:hAnsi="Arial" w:cs="Arial"/>
                <w:color w:val="000000"/>
                <w:sz w:val="20"/>
                <w:szCs w:val="20"/>
              </w:rPr>
            </w:pPr>
            <w:r w:rsidRPr="000874FD">
              <w:rPr>
                <w:rFonts w:ascii="Arial" w:hAnsi="Arial" w:cs="Arial"/>
                <w:bCs/>
                <w:color w:val="000000"/>
                <w:sz w:val="20"/>
                <w:szCs w:val="20"/>
              </w:rPr>
              <w:t xml:space="preserve">(a) a substantial contravention of, or failure to comply with, the law; or </w:t>
            </w:r>
          </w:p>
          <w:p w:rsidR="00DB2ABC" w:rsidRPr="000874FD" w:rsidRDefault="00DB2ABC" w:rsidP="00414DFF">
            <w:pPr>
              <w:numPr>
                <w:ilvl w:val="0"/>
                <w:numId w:val="2"/>
              </w:numPr>
              <w:autoSpaceDE w:val="0"/>
              <w:autoSpaceDN w:val="0"/>
              <w:adjustRightInd w:val="0"/>
              <w:spacing w:after="128"/>
              <w:jc w:val="both"/>
              <w:rPr>
                <w:rFonts w:ascii="Arial" w:hAnsi="Arial" w:cs="Arial"/>
                <w:color w:val="000000"/>
                <w:sz w:val="20"/>
                <w:szCs w:val="20"/>
              </w:rPr>
            </w:pPr>
            <w:r w:rsidRPr="000874FD">
              <w:rPr>
                <w:rFonts w:ascii="Arial" w:hAnsi="Arial" w:cs="Arial"/>
                <w:bCs/>
                <w:color w:val="000000"/>
                <w:sz w:val="20"/>
                <w:szCs w:val="20"/>
              </w:rPr>
              <w:t xml:space="preserve">(b) an imminent and serious public health, safety or environmental risk; and </w:t>
            </w:r>
          </w:p>
          <w:p w:rsidR="007E45AD" w:rsidRPr="000874FD" w:rsidRDefault="00DB2ABC" w:rsidP="00E132E0">
            <w:pPr>
              <w:numPr>
                <w:ilvl w:val="0"/>
                <w:numId w:val="2"/>
              </w:numPr>
              <w:autoSpaceDE w:val="0"/>
              <w:autoSpaceDN w:val="0"/>
              <w:adjustRightInd w:val="0"/>
              <w:jc w:val="both"/>
              <w:rPr>
                <w:rFonts w:ascii="Arial" w:hAnsi="Arial" w:cs="Arial"/>
                <w:sz w:val="20"/>
                <w:szCs w:val="20"/>
              </w:rPr>
            </w:pPr>
            <w:r w:rsidRPr="000874FD">
              <w:rPr>
                <w:rFonts w:ascii="Arial" w:hAnsi="Arial" w:cs="Arial"/>
                <w:bCs/>
                <w:color w:val="000000"/>
                <w:sz w:val="20"/>
                <w:szCs w:val="20"/>
              </w:rPr>
              <w:t>(c) the public interest in the disclosure clearly outweighs the harm in question, the disclosure and related activities falling within those listed in section 26(1)(a), (b), (e) and (f), shall be lawful.”</w:t>
            </w:r>
          </w:p>
        </w:tc>
      </w:tr>
    </w:tbl>
    <w:p w:rsidR="009D3085" w:rsidRPr="000874FD" w:rsidRDefault="009D3085" w:rsidP="00414DFF">
      <w:pPr>
        <w:jc w:val="both"/>
        <w:rPr>
          <w:rFonts w:ascii="Arial" w:hAnsi="Arial" w:cs="Arial"/>
          <w:sz w:val="20"/>
          <w:szCs w:val="20"/>
        </w:rPr>
      </w:pPr>
    </w:p>
    <w:sectPr w:rsidR="009D3085" w:rsidRPr="000874FD" w:rsidSect="007E45AD">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C51" w:rsidRDefault="000E4C51" w:rsidP="002C4C98">
      <w:pPr>
        <w:spacing w:after="0" w:line="240" w:lineRule="auto"/>
      </w:pPr>
      <w:r>
        <w:separator/>
      </w:r>
    </w:p>
  </w:endnote>
  <w:endnote w:type="continuationSeparator" w:id="0">
    <w:p w:rsidR="000E4C51" w:rsidRDefault="000E4C51" w:rsidP="002C4C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295830"/>
      <w:docPartObj>
        <w:docPartGallery w:val="Page Numbers (Bottom of Page)"/>
        <w:docPartUnique/>
      </w:docPartObj>
    </w:sdtPr>
    <w:sdtEndPr>
      <w:rPr>
        <w:noProof/>
      </w:rPr>
    </w:sdtEndPr>
    <w:sdtContent>
      <w:p w:rsidR="002C4C98" w:rsidRDefault="00E16A45">
        <w:pPr>
          <w:pStyle w:val="Footer"/>
          <w:jc w:val="right"/>
        </w:pPr>
        <w:r>
          <w:fldChar w:fldCharType="begin"/>
        </w:r>
        <w:r w:rsidR="002C4C98">
          <w:instrText xml:space="preserve"> PAGE   \* MERGEFORMAT </w:instrText>
        </w:r>
        <w:r>
          <w:fldChar w:fldCharType="separate"/>
        </w:r>
        <w:r w:rsidR="00752484">
          <w:rPr>
            <w:noProof/>
          </w:rPr>
          <w:t>1</w:t>
        </w:r>
        <w:r>
          <w:rPr>
            <w:noProof/>
          </w:rPr>
          <w:fldChar w:fldCharType="end"/>
        </w:r>
      </w:p>
    </w:sdtContent>
  </w:sdt>
  <w:p w:rsidR="002C4C98" w:rsidRDefault="002C4C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C51" w:rsidRDefault="000E4C51" w:rsidP="002C4C98">
      <w:pPr>
        <w:spacing w:after="0" w:line="240" w:lineRule="auto"/>
      </w:pPr>
      <w:r>
        <w:separator/>
      </w:r>
    </w:p>
  </w:footnote>
  <w:footnote w:type="continuationSeparator" w:id="0">
    <w:p w:rsidR="000E4C51" w:rsidRDefault="000E4C51" w:rsidP="002C4C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C9312D5"/>
    <w:multiLevelType w:val="hybridMultilevel"/>
    <w:tmpl w:val="3D2115E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B72CE8"/>
    <w:multiLevelType w:val="hybridMultilevel"/>
    <w:tmpl w:val="E15AE214"/>
    <w:lvl w:ilvl="0" w:tplc="B54A4484">
      <w:start w:val="1"/>
      <w:numFmt w:val="bullet"/>
      <w:lvlText w:val="•"/>
      <w:lvlJc w:val="left"/>
      <w:pPr>
        <w:tabs>
          <w:tab w:val="num" w:pos="720"/>
        </w:tabs>
        <w:ind w:left="720" w:hanging="360"/>
      </w:pPr>
      <w:rPr>
        <w:rFonts w:ascii="Times New Roman" w:hAnsi="Times New Roman" w:hint="default"/>
      </w:rPr>
    </w:lvl>
    <w:lvl w:ilvl="1" w:tplc="EF8A0670" w:tentative="1">
      <w:start w:val="1"/>
      <w:numFmt w:val="bullet"/>
      <w:lvlText w:val="•"/>
      <w:lvlJc w:val="left"/>
      <w:pPr>
        <w:tabs>
          <w:tab w:val="num" w:pos="1440"/>
        </w:tabs>
        <w:ind w:left="1440" w:hanging="360"/>
      </w:pPr>
      <w:rPr>
        <w:rFonts w:ascii="Times New Roman" w:hAnsi="Times New Roman" w:hint="default"/>
      </w:rPr>
    </w:lvl>
    <w:lvl w:ilvl="2" w:tplc="363A9924" w:tentative="1">
      <w:start w:val="1"/>
      <w:numFmt w:val="bullet"/>
      <w:lvlText w:val="•"/>
      <w:lvlJc w:val="left"/>
      <w:pPr>
        <w:tabs>
          <w:tab w:val="num" w:pos="2160"/>
        </w:tabs>
        <w:ind w:left="2160" w:hanging="360"/>
      </w:pPr>
      <w:rPr>
        <w:rFonts w:ascii="Times New Roman" w:hAnsi="Times New Roman" w:hint="default"/>
      </w:rPr>
    </w:lvl>
    <w:lvl w:ilvl="3" w:tplc="62E8E45A" w:tentative="1">
      <w:start w:val="1"/>
      <w:numFmt w:val="bullet"/>
      <w:lvlText w:val="•"/>
      <w:lvlJc w:val="left"/>
      <w:pPr>
        <w:tabs>
          <w:tab w:val="num" w:pos="2880"/>
        </w:tabs>
        <w:ind w:left="2880" w:hanging="360"/>
      </w:pPr>
      <w:rPr>
        <w:rFonts w:ascii="Times New Roman" w:hAnsi="Times New Roman" w:hint="default"/>
      </w:rPr>
    </w:lvl>
    <w:lvl w:ilvl="4" w:tplc="10FCDA3A" w:tentative="1">
      <w:start w:val="1"/>
      <w:numFmt w:val="bullet"/>
      <w:lvlText w:val="•"/>
      <w:lvlJc w:val="left"/>
      <w:pPr>
        <w:tabs>
          <w:tab w:val="num" w:pos="3600"/>
        </w:tabs>
        <w:ind w:left="3600" w:hanging="360"/>
      </w:pPr>
      <w:rPr>
        <w:rFonts w:ascii="Times New Roman" w:hAnsi="Times New Roman" w:hint="default"/>
      </w:rPr>
    </w:lvl>
    <w:lvl w:ilvl="5" w:tplc="8932C856" w:tentative="1">
      <w:start w:val="1"/>
      <w:numFmt w:val="bullet"/>
      <w:lvlText w:val="•"/>
      <w:lvlJc w:val="left"/>
      <w:pPr>
        <w:tabs>
          <w:tab w:val="num" w:pos="4320"/>
        </w:tabs>
        <w:ind w:left="4320" w:hanging="360"/>
      </w:pPr>
      <w:rPr>
        <w:rFonts w:ascii="Times New Roman" w:hAnsi="Times New Roman" w:hint="default"/>
      </w:rPr>
    </w:lvl>
    <w:lvl w:ilvl="6" w:tplc="0760364C" w:tentative="1">
      <w:start w:val="1"/>
      <w:numFmt w:val="bullet"/>
      <w:lvlText w:val="•"/>
      <w:lvlJc w:val="left"/>
      <w:pPr>
        <w:tabs>
          <w:tab w:val="num" w:pos="5040"/>
        </w:tabs>
        <w:ind w:left="5040" w:hanging="360"/>
      </w:pPr>
      <w:rPr>
        <w:rFonts w:ascii="Times New Roman" w:hAnsi="Times New Roman" w:hint="default"/>
      </w:rPr>
    </w:lvl>
    <w:lvl w:ilvl="7" w:tplc="84B47D62" w:tentative="1">
      <w:start w:val="1"/>
      <w:numFmt w:val="bullet"/>
      <w:lvlText w:val="•"/>
      <w:lvlJc w:val="left"/>
      <w:pPr>
        <w:tabs>
          <w:tab w:val="num" w:pos="5760"/>
        </w:tabs>
        <w:ind w:left="5760" w:hanging="360"/>
      </w:pPr>
      <w:rPr>
        <w:rFonts w:ascii="Times New Roman" w:hAnsi="Times New Roman" w:hint="default"/>
      </w:rPr>
    </w:lvl>
    <w:lvl w:ilvl="8" w:tplc="B10830A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B74916"/>
    <w:multiLevelType w:val="hybridMultilevel"/>
    <w:tmpl w:val="1720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047A0"/>
    <w:multiLevelType w:val="hybridMultilevel"/>
    <w:tmpl w:val="CEC873D8"/>
    <w:lvl w:ilvl="0" w:tplc="DE8E8B7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0A169B"/>
    <w:multiLevelType w:val="hybridMultilevel"/>
    <w:tmpl w:val="DF3E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BD6472"/>
    <w:multiLevelType w:val="hybridMultilevel"/>
    <w:tmpl w:val="3A70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E45AD"/>
    <w:rsid w:val="000874FD"/>
    <w:rsid w:val="000E4C51"/>
    <w:rsid w:val="002A1FCA"/>
    <w:rsid w:val="002C4C98"/>
    <w:rsid w:val="003646A7"/>
    <w:rsid w:val="00414DFF"/>
    <w:rsid w:val="00473BE0"/>
    <w:rsid w:val="00475D3F"/>
    <w:rsid w:val="005F0002"/>
    <w:rsid w:val="0072561B"/>
    <w:rsid w:val="00752484"/>
    <w:rsid w:val="007E45AD"/>
    <w:rsid w:val="00815535"/>
    <w:rsid w:val="00847656"/>
    <w:rsid w:val="008B382C"/>
    <w:rsid w:val="00917994"/>
    <w:rsid w:val="009D3085"/>
    <w:rsid w:val="009E6A71"/>
    <w:rsid w:val="00A85F34"/>
    <w:rsid w:val="00C60670"/>
    <w:rsid w:val="00D044BE"/>
    <w:rsid w:val="00DB2ABC"/>
    <w:rsid w:val="00E132E0"/>
    <w:rsid w:val="00E16A45"/>
    <w:rsid w:val="00E176E1"/>
    <w:rsid w:val="00EC3904"/>
    <w:rsid w:val="00FC6D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A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5AD"/>
    <w:pPr>
      <w:ind w:left="720"/>
      <w:contextualSpacing/>
    </w:pPr>
  </w:style>
  <w:style w:type="table" w:styleId="TableGrid">
    <w:name w:val="Table Grid"/>
    <w:basedOn w:val="TableNormal"/>
    <w:uiPriority w:val="39"/>
    <w:rsid w:val="007E4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765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C4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C98"/>
  </w:style>
  <w:style w:type="paragraph" w:styleId="Footer">
    <w:name w:val="footer"/>
    <w:basedOn w:val="Normal"/>
    <w:link w:val="FooterChar"/>
    <w:uiPriority w:val="99"/>
    <w:unhideWhenUsed/>
    <w:rsid w:val="002C4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C98"/>
  </w:style>
  <w:style w:type="paragraph" w:styleId="BalloonText">
    <w:name w:val="Balloon Text"/>
    <w:basedOn w:val="Normal"/>
    <w:link w:val="BalloonTextChar"/>
    <w:uiPriority w:val="99"/>
    <w:semiHidden/>
    <w:unhideWhenUsed/>
    <w:rsid w:val="00E13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2E0"/>
    <w:rPr>
      <w:rFonts w:ascii="Segoe UI" w:hAnsi="Segoe UI" w:cs="Segoe UI"/>
      <w:sz w:val="18"/>
      <w:szCs w:val="18"/>
    </w:rPr>
  </w:style>
  <w:style w:type="paragraph" w:styleId="FootnoteText">
    <w:name w:val="footnote text"/>
    <w:basedOn w:val="Normal"/>
    <w:link w:val="FootnoteTextChar"/>
    <w:uiPriority w:val="99"/>
    <w:semiHidden/>
    <w:unhideWhenUsed/>
    <w:rsid w:val="000874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74FD"/>
    <w:rPr>
      <w:sz w:val="20"/>
      <w:szCs w:val="20"/>
    </w:rPr>
  </w:style>
  <w:style w:type="character" w:styleId="FootnoteReference">
    <w:name w:val="footnote reference"/>
    <w:basedOn w:val="DefaultParagraphFont"/>
    <w:uiPriority w:val="99"/>
    <w:semiHidden/>
    <w:unhideWhenUsed/>
    <w:rsid w:val="000874FD"/>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D403A7F-68A5-4AF5-A060-EB01BDB32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Anthea VanDerBurg</dc:creator>
  <cp:lastModifiedBy>PUMZA</cp:lastModifiedBy>
  <cp:revision>2</cp:revision>
  <cp:lastPrinted>2018-10-29T07:04:00Z</cp:lastPrinted>
  <dcterms:created xsi:type="dcterms:W3CDTF">2018-11-02T08:22:00Z</dcterms:created>
  <dcterms:modified xsi:type="dcterms:W3CDTF">2018-11-02T08:22:00Z</dcterms:modified>
</cp:coreProperties>
</file>