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3C" w:rsidRPr="00F37A4A" w:rsidRDefault="00005CB1" w:rsidP="00E5233C">
      <w:pPr>
        <w:jc w:val="center"/>
        <w:rPr>
          <w:rFonts w:ascii="Arial" w:hAnsi="Arial" w:cs="Arial"/>
          <w:b/>
          <w:u w:val="single"/>
        </w:rPr>
      </w:pPr>
      <w:bookmarkStart w:id="0" w:name="_GoBack"/>
      <w:bookmarkEnd w:id="0"/>
      <w:r>
        <w:rPr>
          <w:rFonts w:ascii="Arial" w:hAnsi="Arial" w:cs="Arial"/>
          <w:b/>
          <w:u w:val="single"/>
        </w:rPr>
        <w:t>C</w:t>
      </w:r>
      <w:r w:rsidR="00E5233C" w:rsidRPr="00F37A4A">
        <w:rPr>
          <w:rFonts w:ascii="Arial" w:hAnsi="Arial" w:cs="Arial"/>
          <w:b/>
          <w:u w:val="single"/>
        </w:rPr>
        <w:t xml:space="preserve">OMMENTARY ON THE </w:t>
      </w:r>
      <w:r w:rsidR="00A76EBC">
        <w:rPr>
          <w:rFonts w:ascii="Arial" w:hAnsi="Arial" w:cs="Arial"/>
          <w:b/>
          <w:u w:val="single"/>
        </w:rPr>
        <w:t>STATE LIABILITY AMENDMENT BILL</w:t>
      </w:r>
    </w:p>
    <w:p w:rsidR="00E5233C" w:rsidRDefault="00E5233C" w:rsidP="00E5233C">
      <w:pPr>
        <w:rPr>
          <w:rFonts w:ascii="Arial" w:hAnsi="Arial" w:cs="Arial"/>
          <w:b/>
        </w:rPr>
      </w:pPr>
    </w:p>
    <w:p w:rsidR="00E5233C" w:rsidRPr="00E5233C" w:rsidRDefault="00E5233C" w:rsidP="00E5233C">
      <w:pPr>
        <w:jc w:val="both"/>
        <w:rPr>
          <w:rFonts w:ascii="Arial" w:hAnsi="Arial" w:cs="Arial"/>
          <w:b/>
        </w:rPr>
      </w:pPr>
      <w:r w:rsidRPr="00E5233C">
        <w:rPr>
          <w:rFonts w:ascii="Arial" w:hAnsi="Arial" w:cs="Arial"/>
          <w:b/>
        </w:rPr>
        <w:t>1.</w:t>
      </w:r>
      <w:r w:rsidRPr="00E5233C">
        <w:rPr>
          <w:rFonts w:ascii="Arial" w:hAnsi="Arial" w:cs="Arial"/>
          <w:b/>
        </w:rPr>
        <w:tab/>
      </w:r>
      <w:r w:rsidRPr="00E5233C">
        <w:rPr>
          <w:rFonts w:ascii="Arial" w:hAnsi="Arial" w:cs="Arial"/>
          <w:b/>
          <w:u w:val="single"/>
        </w:rPr>
        <w:t>Introduction</w:t>
      </w:r>
    </w:p>
    <w:p w:rsidR="00E5233C" w:rsidRDefault="00E5233C" w:rsidP="00E5233C">
      <w:pPr>
        <w:jc w:val="both"/>
        <w:rPr>
          <w:rFonts w:ascii="Arial" w:hAnsi="Arial" w:cs="Arial"/>
        </w:rPr>
      </w:pPr>
    </w:p>
    <w:p w:rsidR="00E5233C" w:rsidRPr="00E5233C" w:rsidRDefault="00E5233C" w:rsidP="00E5233C">
      <w:pPr>
        <w:pStyle w:val="ListParagraph"/>
        <w:numPr>
          <w:ilvl w:val="1"/>
          <w:numId w:val="15"/>
        </w:numPr>
        <w:jc w:val="both"/>
        <w:rPr>
          <w:rFonts w:ascii="Arial" w:hAnsi="Arial" w:cs="Arial"/>
        </w:rPr>
      </w:pPr>
      <w:r w:rsidRPr="00E5233C">
        <w:rPr>
          <w:rFonts w:ascii="Arial" w:hAnsi="Arial" w:cs="Arial"/>
        </w:rPr>
        <w:t>Algorithm Consultants &amp; Actuaries submit</w:t>
      </w:r>
      <w:r w:rsidR="00A01B28">
        <w:rPr>
          <w:rFonts w:ascii="Arial" w:hAnsi="Arial" w:cs="Arial"/>
        </w:rPr>
        <w:t>s</w:t>
      </w:r>
      <w:r w:rsidRPr="00E5233C">
        <w:rPr>
          <w:rFonts w:ascii="Arial" w:hAnsi="Arial" w:cs="Arial"/>
        </w:rPr>
        <w:t xml:space="preserve"> the following comments on the </w:t>
      </w:r>
      <w:r w:rsidR="00A01B28">
        <w:rPr>
          <w:rFonts w:ascii="Arial" w:hAnsi="Arial" w:cs="Arial"/>
        </w:rPr>
        <w:t>State Liability Amendment Bill (“SLAB”).</w:t>
      </w:r>
    </w:p>
    <w:p w:rsidR="00E5233C" w:rsidRDefault="00E5233C" w:rsidP="00E5233C">
      <w:pPr>
        <w:jc w:val="both"/>
        <w:rPr>
          <w:rFonts w:ascii="Arial" w:hAnsi="Arial" w:cs="Arial"/>
        </w:rPr>
      </w:pPr>
    </w:p>
    <w:p w:rsidR="00D11280" w:rsidRDefault="00D539E7" w:rsidP="00D11280">
      <w:pPr>
        <w:jc w:val="both"/>
        <w:rPr>
          <w:rFonts w:ascii="Arial" w:hAnsi="Arial" w:cs="Arial"/>
        </w:rPr>
      </w:pPr>
      <w:r>
        <w:rPr>
          <w:rFonts w:ascii="Arial" w:hAnsi="Arial" w:cs="Arial"/>
        </w:rPr>
        <w:t>1</w:t>
      </w:r>
      <w:r w:rsidR="00D11280">
        <w:rPr>
          <w:rFonts w:ascii="Arial" w:hAnsi="Arial" w:cs="Arial"/>
        </w:rPr>
        <w:t>.</w:t>
      </w:r>
      <w:r>
        <w:rPr>
          <w:rFonts w:ascii="Arial" w:hAnsi="Arial" w:cs="Arial"/>
        </w:rPr>
        <w:t>2</w:t>
      </w:r>
      <w:r w:rsidR="00D11280">
        <w:rPr>
          <w:rFonts w:ascii="Arial" w:hAnsi="Arial" w:cs="Arial"/>
        </w:rPr>
        <w:tab/>
      </w:r>
      <w:r w:rsidR="007558E6">
        <w:rPr>
          <w:rFonts w:ascii="Arial" w:hAnsi="Arial" w:cs="Arial"/>
        </w:rPr>
        <w:t>The intention of SLAB is:</w:t>
      </w:r>
    </w:p>
    <w:p w:rsidR="007558E6" w:rsidRPr="00E107D1" w:rsidRDefault="007558E6" w:rsidP="00E107D1">
      <w:pPr>
        <w:ind w:left="1440"/>
        <w:jc w:val="both"/>
        <w:rPr>
          <w:rFonts w:ascii="Arial" w:hAnsi="Arial" w:cs="Arial"/>
          <w:sz w:val="18"/>
          <w:szCs w:val="18"/>
        </w:rPr>
      </w:pPr>
      <w:r w:rsidRPr="00E107D1">
        <w:rPr>
          <w:rFonts w:ascii="Arial" w:hAnsi="Arial" w:cs="Arial"/>
          <w:sz w:val="18"/>
          <w:szCs w:val="18"/>
        </w:rPr>
        <w:t xml:space="preserve">To amend the State Liability Act, 1957, so as to provide for </w:t>
      </w:r>
      <w:r w:rsidRPr="00E107D1">
        <w:rPr>
          <w:rFonts w:ascii="Arial" w:hAnsi="Arial" w:cs="Arial"/>
          <w:sz w:val="18"/>
          <w:szCs w:val="18"/>
          <w:u w:val="single"/>
        </w:rPr>
        <w:t>structured settlements</w:t>
      </w:r>
      <w:r w:rsidRPr="00E107D1">
        <w:rPr>
          <w:rFonts w:ascii="Arial" w:hAnsi="Arial" w:cs="Arial"/>
          <w:sz w:val="18"/>
          <w:szCs w:val="18"/>
        </w:rPr>
        <w:t xml:space="preserve"> for the satisfaction of claims against the State as a result of wrongful medical treatment of persons by servants of the State; and to provide for matters connected therewith.</w:t>
      </w:r>
    </w:p>
    <w:p w:rsidR="00D539E7" w:rsidRDefault="00D539E7" w:rsidP="00D539E7">
      <w:pPr>
        <w:jc w:val="both"/>
        <w:rPr>
          <w:rFonts w:ascii="Arial" w:hAnsi="Arial" w:cs="Arial"/>
          <w:i/>
          <w:sz w:val="18"/>
          <w:szCs w:val="18"/>
        </w:rPr>
      </w:pPr>
    </w:p>
    <w:p w:rsidR="00577A90" w:rsidRDefault="00577A90" w:rsidP="00577A90">
      <w:pPr>
        <w:jc w:val="both"/>
        <w:rPr>
          <w:rFonts w:ascii="Arial" w:hAnsi="Arial" w:cs="Arial"/>
          <w:b/>
          <w:u w:val="single"/>
        </w:rPr>
      </w:pPr>
      <w:r>
        <w:rPr>
          <w:rFonts w:ascii="Arial" w:hAnsi="Arial" w:cs="Arial"/>
          <w:b/>
        </w:rPr>
        <w:t>2</w:t>
      </w:r>
      <w:r w:rsidRPr="00E5233C">
        <w:rPr>
          <w:rFonts w:ascii="Arial" w:hAnsi="Arial" w:cs="Arial"/>
          <w:b/>
        </w:rPr>
        <w:t>.</w:t>
      </w:r>
      <w:r w:rsidRPr="00E5233C">
        <w:rPr>
          <w:rFonts w:ascii="Arial" w:hAnsi="Arial" w:cs="Arial"/>
          <w:b/>
        </w:rPr>
        <w:tab/>
      </w:r>
      <w:r>
        <w:rPr>
          <w:rFonts w:ascii="Arial" w:hAnsi="Arial" w:cs="Arial"/>
          <w:b/>
          <w:u w:val="single"/>
        </w:rPr>
        <w:t>Documentation</w:t>
      </w:r>
    </w:p>
    <w:p w:rsidR="00577A90" w:rsidRDefault="00577A90" w:rsidP="00577A90">
      <w:pPr>
        <w:jc w:val="both"/>
        <w:rPr>
          <w:rFonts w:ascii="Arial" w:hAnsi="Arial" w:cs="Arial"/>
          <w:b/>
        </w:rPr>
      </w:pPr>
    </w:p>
    <w:p w:rsidR="00577A90" w:rsidRDefault="00577A90" w:rsidP="00577A90">
      <w:pPr>
        <w:jc w:val="both"/>
        <w:rPr>
          <w:rFonts w:ascii="Arial" w:hAnsi="Arial" w:cs="Arial"/>
        </w:rPr>
      </w:pPr>
      <w:r>
        <w:rPr>
          <w:rFonts w:ascii="Arial" w:hAnsi="Arial" w:cs="Arial"/>
        </w:rPr>
        <w:t>2.1</w:t>
      </w:r>
      <w:r>
        <w:rPr>
          <w:rFonts w:ascii="Arial" w:hAnsi="Arial" w:cs="Arial"/>
        </w:rPr>
        <w:tab/>
        <w:t>In formulating our comments we consulted the following documents:</w:t>
      </w:r>
    </w:p>
    <w:p w:rsidR="00577A90" w:rsidRDefault="00577A90">
      <w:pPr>
        <w:rPr>
          <w:rFonts w:ascii="Arial" w:hAnsi="Arial" w:cs="Arial"/>
          <w:b/>
        </w:rPr>
      </w:pPr>
    </w:p>
    <w:p w:rsidR="00577A90" w:rsidRDefault="00577A90">
      <w:pPr>
        <w:rPr>
          <w:rFonts w:ascii="Arial" w:hAnsi="Arial" w:cs="Arial"/>
        </w:rPr>
      </w:pPr>
      <w:r>
        <w:rPr>
          <w:rFonts w:ascii="Arial" w:hAnsi="Arial" w:cs="Arial"/>
        </w:rPr>
        <w:t>2.1.1</w:t>
      </w:r>
      <w:r>
        <w:rPr>
          <w:rFonts w:ascii="Arial" w:hAnsi="Arial" w:cs="Arial"/>
        </w:rPr>
        <w:tab/>
        <w:t>State Liability Amendment Bill (2018).</w:t>
      </w:r>
    </w:p>
    <w:p w:rsidR="00577A90" w:rsidRDefault="00577A90">
      <w:pPr>
        <w:rPr>
          <w:rFonts w:ascii="Arial" w:hAnsi="Arial" w:cs="Arial"/>
        </w:rPr>
      </w:pPr>
    </w:p>
    <w:p w:rsidR="00577A90" w:rsidRDefault="00577A90" w:rsidP="00EE4420">
      <w:pPr>
        <w:ind w:left="720" w:hanging="720"/>
        <w:jc w:val="both"/>
        <w:rPr>
          <w:rFonts w:ascii="Arial" w:hAnsi="Arial" w:cs="Arial"/>
        </w:rPr>
      </w:pPr>
      <w:r>
        <w:rPr>
          <w:rFonts w:ascii="Arial" w:hAnsi="Arial" w:cs="Arial"/>
        </w:rPr>
        <w:t>2.1.2</w:t>
      </w:r>
      <w:r>
        <w:rPr>
          <w:rFonts w:ascii="Arial" w:hAnsi="Arial" w:cs="Arial"/>
        </w:rPr>
        <w:tab/>
      </w:r>
      <w:r w:rsidR="00EE4420">
        <w:rPr>
          <w:rFonts w:ascii="Arial" w:hAnsi="Arial" w:cs="Arial"/>
        </w:rPr>
        <w:t>National Health System Litigation Authority Annual Report and Accounts 2017/2018 (United Kingdom).</w:t>
      </w:r>
    </w:p>
    <w:p w:rsidR="003A49B7" w:rsidRDefault="003A49B7" w:rsidP="00EE4420">
      <w:pPr>
        <w:ind w:left="720" w:hanging="720"/>
        <w:jc w:val="both"/>
        <w:rPr>
          <w:rFonts w:ascii="Arial" w:hAnsi="Arial" w:cs="Arial"/>
        </w:rPr>
      </w:pPr>
    </w:p>
    <w:p w:rsidR="003A49B7" w:rsidRDefault="003A49B7" w:rsidP="00EE4420">
      <w:pPr>
        <w:ind w:left="720" w:hanging="720"/>
        <w:jc w:val="both"/>
        <w:rPr>
          <w:rFonts w:ascii="Arial" w:hAnsi="Arial" w:cs="Arial"/>
        </w:rPr>
      </w:pPr>
      <w:r>
        <w:rPr>
          <w:rFonts w:ascii="Arial" w:hAnsi="Arial" w:cs="Arial"/>
        </w:rPr>
        <w:t>2.1.3</w:t>
      </w:r>
      <w:r>
        <w:rPr>
          <w:rFonts w:ascii="Arial" w:hAnsi="Arial" w:cs="Arial"/>
        </w:rPr>
        <w:tab/>
      </w:r>
      <w:r w:rsidR="00FA041B">
        <w:rPr>
          <w:rFonts w:ascii="Arial" w:hAnsi="Arial" w:cs="Arial"/>
        </w:rPr>
        <w:t>Office of Health Standards Compliance Annual Inspection Report 201</w:t>
      </w:r>
      <w:r w:rsidR="00D2485D">
        <w:rPr>
          <w:rFonts w:ascii="Arial" w:hAnsi="Arial" w:cs="Arial"/>
        </w:rPr>
        <w:t>6</w:t>
      </w:r>
      <w:r w:rsidR="00FA041B">
        <w:rPr>
          <w:rFonts w:ascii="Arial" w:hAnsi="Arial" w:cs="Arial"/>
        </w:rPr>
        <w:t>/201</w:t>
      </w:r>
      <w:r w:rsidR="00D2485D">
        <w:rPr>
          <w:rFonts w:ascii="Arial" w:hAnsi="Arial" w:cs="Arial"/>
        </w:rPr>
        <w:t>7</w:t>
      </w:r>
      <w:r w:rsidR="00FA041B">
        <w:rPr>
          <w:rFonts w:ascii="Arial" w:hAnsi="Arial" w:cs="Arial"/>
        </w:rPr>
        <w:t>.</w:t>
      </w:r>
    </w:p>
    <w:p w:rsidR="00FA041B" w:rsidRDefault="00FA041B" w:rsidP="00EE4420">
      <w:pPr>
        <w:ind w:left="720" w:hanging="720"/>
        <w:jc w:val="both"/>
        <w:rPr>
          <w:rFonts w:ascii="Arial" w:hAnsi="Arial" w:cs="Arial"/>
        </w:rPr>
      </w:pPr>
    </w:p>
    <w:p w:rsidR="00343D85" w:rsidRDefault="00FA041B" w:rsidP="00EE4420">
      <w:pPr>
        <w:ind w:left="720" w:hanging="720"/>
        <w:jc w:val="both"/>
        <w:rPr>
          <w:rFonts w:ascii="Arial" w:hAnsi="Arial" w:cs="Arial"/>
        </w:rPr>
      </w:pPr>
      <w:r>
        <w:rPr>
          <w:rFonts w:ascii="Arial" w:hAnsi="Arial" w:cs="Arial"/>
        </w:rPr>
        <w:t>2.1.4</w:t>
      </w:r>
      <w:r>
        <w:rPr>
          <w:rFonts w:ascii="Arial" w:hAnsi="Arial" w:cs="Arial"/>
        </w:rPr>
        <w:tab/>
      </w:r>
      <w:r w:rsidR="00343D85" w:rsidRPr="00343D85">
        <w:rPr>
          <w:rFonts w:ascii="Arial" w:hAnsi="Arial" w:cs="Arial"/>
        </w:rPr>
        <w:t>Eastern Cape</w:t>
      </w:r>
      <w:r w:rsidR="00343D85">
        <w:rPr>
          <w:rFonts w:ascii="Arial" w:hAnsi="Arial" w:cs="Arial"/>
        </w:rPr>
        <w:t xml:space="preserve"> Department of Health Annual Report for 2015/2016 and 2016/2017</w:t>
      </w:r>
      <w:r w:rsidR="00343D85" w:rsidRPr="00343D85">
        <w:rPr>
          <w:rFonts w:ascii="Arial" w:hAnsi="Arial" w:cs="Arial"/>
        </w:rPr>
        <w:t xml:space="preserve">. </w:t>
      </w:r>
    </w:p>
    <w:p w:rsidR="00343D85" w:rsidRDefault="00343D85" w:rsidP="00EE4420">
      <w:pPr>
        <w:ind w:left="720" w:hanging="720"/>
        <w:jc w:val="both"/>
        <w:rPr>
          <w:rFonts w:ascii="Arial" w:hAnsi="Arial" w:cs="Arial"/>
        </w:rPr>
      </w:pPr>
    </w:p>
    <w:p w:rsidR="00343D85" w:rsidRDefault="00343D85" w:rsidP="00EE4420">
      <w:pPr>
        <w:ind w:left="720" w:hanging="720"/>
        <w:jc w:val="both"/>
        <w:rPr>
          <w:rFonts w:ascii="Arial" w:hAnsi="Arial" w:cs="Arial"/>
        </w:rPr>
      </w:pPr>
      <w:r>
        <w:rPr>
          <w:rFonts w:ascii="Arial" w:hAnsi="Arial" w:cs="Arial"/>
        </w:rPr>
        <w:t>2.1.5</w:t>
      </w:r>
      <w:r>
        <w:rPr>
          <w:rFonts w:ascii="Arial" w:hAnsi="Arial" w:cs="Arial"/>
        </w:rPr>
        <w:tab/>
        <w:t>Gauteng Department of Health Annual Report for 2015/2016 and 2016/2017</w:t>
      </w:r>
      <w:r w:rsidR="006C2E1F">
        <w:rPr>
          <w:rFonts w:ascii="Arial" w:hAnsi="Arial" w:cs="Arial"/>
        </w:rPr>
        <w:t>.</w:t>
      </w:r>
    </w:p>
    <w:p w:rsidR="00343D85" w:rsidRDefault="00343D85" w:rsidP="00EE4420">
      <w:pPr>
        <w:ind w:left="720" w:hanging="720"/>
        <w:jc w:val="both"/>
        <w:rPr>
          <w:rFonts w:ascii="Arial" w:hAnsi="Arial" w:cs="Arial"/>
        </w:rPr>
      </w:pPr>
    </w:p>
    <w:p w:rsidR="00343D85" w:rsidRDefault="00343D85" w:rsidP="00EE4420">
      <w:pPr>
        <w:ind w:left="720" w:hanging="720"/>
        <w:jc w:val="both"/>
        <w:rPr>
          <w:rFonts w:ascii="Arial" w:hAnsi="Arial" w:cs="Arial"/>
        </w:rPr>
      </w:pPr>
      <w:r>
        <w:rPr>
          <w:rFonts w:ascii="Arial" w:hAnsi="Arial" w:cs="Arial"/>
        </w:rPr>
        <w:t>2.1.</w:t>
      </w:r>
      <w:r w:rsidR="004229E3">
        <w:rPr>
          <w:rFonts w:ascii="Arial" w:hAnsi="Arial" w:cs="Arial"/>
        </w:rPr>
        <w:t>6</w:t>
      </w:r>
      <w:r>
        <w:rPr>
          <w:rFonts w:ascii="Arial" w:hAnsi="Arial" w:cs="Arial"/>
        </w:rPr>
        <w:tab/>
      </w:r>
      <w:r w:rsidRPr="00343D85">
        <w:rPr>
          <w:rFonts w:ascii="Arial" w:hAnsi="Arial" w:cs="Arial"/>
        </w:rPr>
        <w:t>KwaZulu Natal</w:t>
      </w:r>
      <w:r>
        <w:rPr>
          <w:rFonts w:ascii="Arial" w:hAnsi="Arial" w:cs="Arial"/>
        </w:rPr>
        <w:t xml:space="preserve"> Department of Health Annual Report for 2015/2016 and 2016/2017</w:t>
      </w:r>
      <w:r w:rsidRPr="00343D85">
        <w:rPr>
          <w:rFonts w:ascii="Arial" w:hAnsi="Arial" w:cs="Arial"/>
        </w:rPr>
        <w:t xml:space="preserve">. </w:t>
      </w:r>
    </w:p>
    <w:p w:rsidR="00343D85" w:rsidRDefault="00343D85" w:rsidP="00EE4420">
      <w:pPr>
        <w:ind w:left="720" w:hanging="720"/>
        <w:jc w:val="both"/>
        <w:rPr>
          <w:rFonts w:ascii="Arial" w:hAnsi="Arial" w:cs="Arial"/>
        </w:rPr>
      </w:pPr>
    </w:p>
    <w:p w:rsidR="00EE4420" w:rsidRDefault="00BB73D1" w:rsidP="007A38A3">
      <w:pPr>
        <w:ind w:left="720" w:hanging="720"/>
        <w:jc w:val="both"/>
        <w:rPr>
          <w:rFonts w:ascii="Arial" w:hAnsi="Arial" w:cs="Arial"/>
        </w:rPr>
      </w:pPr>
      <w:r>
        <w:rPr>
          <w:rFonts w:ascii="Arial" w:hAnsi="Arial" w:cs="Arial"/>
        </w:rPr>
        <w:t>2.1.</w:t>
      </w:r>
      <w:r w:rsidR="004229E3">
        <w:rPr>
          <w:rFonts w:ascii="Arial" w:hAnsi="Arial" w:cs="Arial"/>
        </w:rPr>
        <w:t>7</w:t>
      </w:r>
      <w:r>
        <w:rPr>
          <w:rFonts w:ascii="Arial" w:hAnsi="Arial" w:cs="Arial"/>
        </w:rPr>
        <w:tab/>
      </w:r>
      <w:r w:rsidR="004A0EC0">
        <w:rPr>
          <w:rFonts w:ascii="Arial" w:hAnsi="Arial" w:cs="Arial"/>
        </w:rPr>
        <w:t xml:space="preserve">A paper entitled </w:t>
      </w:r>
      <w:r w:rsidR="006B385B" w:rsidRPr="004A0EC0">
        <w:rPr>
          <w:rFonts w:ascii="Arial" w:hAnsi="Arial" w:cs="Arial"/>
          <w:i/>
        </w:rPr>
        <w:t>Periodic Payment Orders</w:t>
      </w:r>
      <w:r w:rsidR="006B385B">
        <w:rPr>
          <w:rFonts w:ascii="Arial" w:hAnsi="Arial" w:cs="Arial"/>
        </w:rPr>
        <w:t xml:space="preserve"> </w:t>
      </w:r>
      <w:r w:rsidR="007A38A3">
        <w:rPr>
          <w:rFonts w:ascii="Arial" w:hAnsi="Arial" w:cs="Arial"/>
        </w:rPr>
        <w:t xml:space="preserve">compiled by the General Insurance Research Organizing Committee of </w:t>
      </w:r>
      <w:r w:rsidR="006B385B">
        <w:rPr>
          <w:rFonts w:ascii="Arial" w:hAnsi="Arial" w:cs="Arial"/>
        </w:rPr>
        <w:t xml:space="preserve">the Institute </w:t>
      </w:r>
      <w:r w:rsidR="007A38A3">
        <w:rPr>
          <w:rFonts w:ascii="Arial" w:hAnsi="Arial" w:cs="Arial"/>
        </w:rPr>
        <w:t xml:space="preserve">and Faculty </w:t>
      </w:r>
      <w:r w:rsidR="006B385B">
        <w:rPr>
          <w:rFonts w:ascii="Arial" w:hAnsi="Arial" w:cs="Arial"/>
        </w:rPr>
        <w:t>of Actuaries 2010.</w:t>
      </w:r>
    </w:p>
    <w:p w:rsidR="006B385B" w:rsidRDefault="006B385B">
      <w:pPr>
        <w:rPr>
          <w:rFonts w:ascii="Arial" w:hAnsi="Arial" w:cs="Arial"/>
        </w:rPr>
      </w:pPr>
    </w:p>
    <w:p w:rsidR="009876E3" w:rsidRDefault="006B385B">
      <w:pPr>
        <w:rPr>
          <w:rFonts w:ascii="Arial" w:hAnsi="Arial" w:cs="Arial"/>
        </w:rPr>
      </w:pPr>
      <w:r>
        <w:rPr>
          <w:rFonts w:ascii="Arial" w:hAnsi="Arial" w:cs="Arial"/>
        </w:rPr>
        <w:t>2.1.</w:t>
      </w:r>
      <w:r w:rsidR="004229E3">
        <w:rPr>
          <w:rFonts w:ascii="Arial" w:hAnsi="Arial" w:cs="Arial"/>
        </w:rPr>
        <w:t>8</w:t>
      </w:r>
      <w:r w:rsidR="009876E3">
        <w:rPr>
          <w:rFonts w:ascii="Arial" w:hAnsi="Arial" w:cs="Arial"/>
        </w:rPr>
        <w:tab/>
        <w:t>South African Law Reform Commission Issue Paper 33 on Medico-Legal Claims (2017).</w:t>
      </w:r>
    </w:p>
    <w:p w:rsidR="009876E3" w:rsidRDefault="009876E3">
      <w:pPr>
        <w:rPr>
          <w:rFonts w:ascii="Arial" w:hAnsi="Arial" w:cs="Arial"/>
        </w:rPr>
      </w:pPr>
    </w:p>
    <w:p w:rsidR="00A16F5D" w:rsidRDefault="009876E3">
      <w:pPr>
        <w:rPr>
          <w:rFonts w:ascii="Arial" w:hAnsi="Arial" w:cs="Arial"/>
        </w:rPr>
      </w:pPr>
      <w:r>
        <w:rPr>
          <w:rFonts w:ascii="Arial" w:hAnsi="Arial" w:cs="Arial"/>
        </w:rPr>
        <w:t>2.1.</w:t>
      </w:r>
      <w:r w:rsidR="004229E3">
        <w:rPr>
          <w:rFonts w:ascii="Arial" w:hAnsi="Arial" w:cs="Arial"/>
        </w:rPr>
        <w:t>9</w:t>
      </w:r>
      <w:r>
        <w:rPr>
          <w:rFonts w:ascii="Arial" w:hAnsi="Arial" w:cs="Arial"/>
        </w:rPr>
        <w:tab/>
      </w:r>
      <w:r w:rsidR="00A16F5D">
        <w:rPr>
          <w:rFonts w:ascii="Arial" w:hAnsi="Arial" w:cs="Arial"/>
        </w:rPr>
        <w:t>Submission of Section 27 on the State Liability Amendment Bill dated 24 August 2018.</w:t>
      </w:r>
    </w:p>
    <w:p w:rsidR="00A16F5D" w:rsidRDefault="00A16F5D">
      <w:pPr>
        <w:rPr>
          <w:rFonts w:ascii="Arial" w:hAnsi="Arial" w:cs="Arial"/>
        </w:rPr>
      </w:pPr>
    </w:p>
    <w:p w:rsidR="00E96C94" w:rsidRDefault="00A16F5D" w:rsidP="000A30BE">
      <w:pPr>
        <w:ind w:left="720" w:hanging="720"/>
        <w:jc w:val="both"/>
        <w:rPr>
          <w:rFonts w:ascii="Arial" w:hAnsi="Arial" w:cs="Arial"/>
        </w:rPr>
      </w:pPr>
      <w:r>
        <w:rPr>
          <w:rFonts w:ascii="Arial" w:hAnsi="Arial" w:cs="Arial"/>
        </w:rPr>
        <w:t>2.1.</w:t>
      </w:r>
      <w:r w:rsidR="004229E3">
        <w:rPr>
          <w:rFonts w:ascii="Arial" w:hAnsi="Arial" w:cs="Arial"/>
        </w:rPr>
        <w:t>10</w:t>
      </w:r>
      <w:r>
        <w:rPr>
          <w:rFonts w:ascii="Arial" w:hAnsi="Arial" w:cs="Arial"/>
        </w:rPr>
        <w:tab/>
      </w:r>
      <w:r w:rsidR="000A30BE">
        <w:rPr>
          <w:rFonts w:ascii="Arial" w:hAnsi="Arial" w:cs="Arial"/>
        </w:rPr>
        <w:t xml:space="preserve">A paper compiled by the </w:t>
      </w:r>
      <w:r w:rsidR="00E96C94">
        <w:rPr>
          <w:rFonts w:ascii="Arial" w:hAnsi="Arial" w:cs="Arial"/>
        </w:rPr>
        <w:t>Structured Settlements Working Party of the Institute and Faculty of Actuaries 2000.</w:t>
      </w:r>
    </w:p>
    <w:p w:rsidR="00E96C94" w:rsidRDefault="00E96C94">
      <w:pPr>
        <w:rPr>
          <w:rFonts w:ascii="Arial" w:hAnsi="Arial" w:cs="Arial"/>
        </w:rPr>
      </w:pPr>
    </w:p>
    <w:p w:rsidR="00912C24" w:rsidRDefault="00912C24">
      <w:pPr>
        <w:rPr>
          <w:rFonts w:ascii="Arial" w:hAnsi="Arial" w:cs="Arial"/>
        </w:rPr>
      </w:pPr>
      <w:r>
        <w:rPr>
          <w:rFonts w:ascii="Arial" w:hAnsi="Arial" w:cs="Arial"/>
        </w:rPr>
        <w:br w:type="page"/>
      </w:r>
    </w:p>
    <w:p w:rsidR="00F31569" w:rsidRDefault="00912C24" w:rsidP="00F31569">
      <w:pPr>
        <w:ind w:left="720" w:hanging="720"/>
        <w:jc w:val="both"/>
        <w:rPr>
          <w:rStyle w:val="Strong"/>
          <w:rFonts w:ascii="Arial" w:hAnsi="Arial" w:cs="Arial"/>
          <w:b w:val="0"/>
        </w:rPr>
      </w:pPr>
      <w:r>
        <w:rPr>
          <w:rFonts w:ascii="Arial" w:hAnsi="Arial" w:cs="Arial"/>
        </w:rPr>
        <w:lastRenderedPageBreak/>
        <w:t>2.1.1</w:t>
      </w:r>
      <w:r w:rsidR="004229E3">
        <w:rPr>
          <w:rFonts w:ascii="Arial" w:hAnsi="Arial" w:cs="Arial"/>
        </w:rPr>
        <w:t>1</w:t>
      </w:r>
      <w:r>
        <w:rPr>
          <w:rFonts w:ascii="Arial" w:hAnsi="Arial" w:cs="Arial"/>
        </w:rPr>
        <w:tab/>
      </w:r>
      <w:r w:rsidR="00F31569" w:rsidRPr="001E644F">
        <w:rPr>
          <w:rStyle w:val="Strong"/>
          <w:rFonts w:ascii="Arial" w:hAnsi="Arial" w:cs="Arial"/>
          <w:b w:val="0"/>
        </w:rPr>
        <w:t>Repor</w:t>
      </w:r>
      <w:r w:rsidR="00F31569">
        <w:rPr>
          <w:rStyle w:val="Strong"/>
          <w:rFonts w:ascii="Arial" w:hAnsi="Arial" w:cs="Arial"/>
          <w:b w:val="0"/>
        </w:rPr>
        <w:t>t of the Working Group on Legislation on Periodic Payment Orders dated 22 April 2015 (Ireland).</w:t>
      </w:r>
    </w:p>
    <w:p w:rsidR="00F31569" w:rsidRDefault="00F31569">
      <w:pPr>
        <w:rPr>
          <w:rFonts w:ascii="Arial" w:hAnsi="Arial" w:cs="Arial"/>
        </w:rPr>
      </w:pPr>
    </w:p>
    <w:p w:rsidR="006B385B" w:rsidRDefault="00F31569" w:rsidP="00DA0824">
      <w:pPr>
        <w:ind w:left="720" w:hanging="720"/>
        <w:jc w:val="both"/>
        <w:rPr>
          <w:rFonts w:ascii="Arial" w:hAnsi="Arial" w:cs="Arial"/>
        </w:rPr>
      </w:pPr>
      <w:r>
        <w:rPr>
          <w:rFonts w:ascii="Arial" w:hAnsi="Arial" w:cs="Arial"/>
        </w:rPr>
        <w:t>2.1.1</w:t>
      </w:r>
      <w:r w:rsidR="004229E3">
        <w:rPr>
          <w:rFonts w:ascii="Arial" w:hAnsi="Arial" w:cs="Arial"/>
        </w:rPr>
        <w:t>2</w:t>
      </w:r>
      <w:r>
        <w:rPr>
          <w:rFonts w:ascii="Arial" w:hAnsi="Arial" w:cs="Arial"/>
        </w:rPr>
        <w:tab/>
      </w:r>
      <w:r w:rsidR="00DA0824">
        <w:rPr>
          <w:rFonts w:ascii="Arial" w:hAnsi="Arial" w:cs="Arial"/>
        </w:rPr>
        <w:t>American Congress of Obstetricians and Gynaecologists (ACOG) 2015 Professional Liability Survey Results.</w:t>
      </w:r>
    </w:p>
    <w:p w:rsidR="003E36C9" w:rsidRDefault="003E36C9" w:rsidP="00DA0824">
      <w:pPr>
        <w:ind w:left="720" w:hanging="720"/>
        <w:jc w:val="both"/>
        <w:rPr>
          <w:rFonts w:ascii="Arial" w:hAnsi="Arial" w:cs="Arial"/>
        </w:rPr>
      </w:pPr>
    </w:p>
    <w:p w:rsidR="003E36C9" w:rsidRDefault="003E36C9" w:rsidP="00DA0824">
      <w:pPr>
        <w:ind w:left="720" w:hanging="720"/>
        <w:jc w:val="both"/>
        <w:rPr>
          <w:rFonts w:ascii="Arial" w:hAnsi="Arial" w:cs="Arial"/>
          <w:szCs w:val="18"/>
        </w:rPr>
      </w:pPr>
      <w:r>
        <w:rPr>
          <w:rFonts w:ascii="Arial" w:hAnsi="Arial" w:cs="Arial"/>
        </w:rPr>
        <w:t>2.1.1</w:t>
      </w:r>
      <w:r w:rsidR="004229E3">
        <w:rPr>
          <w:rFonts w:ascii="Arial" w:hAnsi="Arial" w:cs="Arial"/>
        </w:rPr>
        <w:t>3</w:t>
      </w:r>
      <w:r>
        <w:rPr>
          <w:rFonts w:ascii="Arial" w:hAnsi="Arial" w:cs="Arial"/>
        </w:rPr>
        <w:tab/>
      </w:r>
      <w:r w:rsidR="006F033B">
        <w:rPr>
          <w:rFonts w:ascii="Arial" w:hAnsi="Arial" w:cs="Arial"/>
          <w:szCs w:val="18"/>
        </w:rPr>
        <w:t xml:space="preserve">Brakenridge, R.D.C. et. al. (2006). </w:t>
      </w:r>
      <w:r w:rsidR="006F033B" w:rsidRPr="0065572B">
        <w:rPr>
          <w:rFonts w:ascii="Arial" w:hAnsi="Arial" w:cs="Arial"/>
          <w:i/>
          <w:szCs w:val="18"/>
        </w:rPr>
        <w:t>Medical selection of life risks</w:t>
      </w:r>
      <w:r w:rsidR="006F033B">
        <w:rPr>
          <w:rFonts w:ascii="Arial" w:hAnsi="Arial" w:cs="Arial"/>
          <w:i/>
          <w:szCs w:val="18"/>
        </w:rPr>
        <w:t>, 6</w:t>
      </w:r>
      <w:r w:rsidR="006F033B" w:rsidRPr="0065572B">
        <w:rPr>
          <w:rFonts w:ascii="Arial" w:hAnsi="Arial" w:cs="Arial"/>
          <w:i/>
          <w:szCs w:val="18"/>
          <w:vertAlign w:val="superscript"/>
        </w:rPr>
        <w:t>th</w:t>
      </w:r>
      <w:r w:rsidR="006F033B">
        <w:rPr>
          <w:rFonts w:ascii="Arial" w:hAnsi="Arial" w:cs="Arial"/>
          <w:i/>
          <w:szCs w:val="18"/>
        </w:rPr>
        <w:t xml:space="preserve"> edition</w:t>
      </w:r>
      <w:r w:rsidR="006F033B">
        <w:rPr>
          <w:rFonts w:ascii="Arial" w:hAnsi="Arial" w:cs="Arial"/>
          <w:szCs w:val="18"/>
        </w:rPr>
        <w:t>. New York: Palgrave Macmillan.</w:t>
      </w:r>
    </w:p>
    <w:p w:rsidR="004014EB" w:rsidRDefault="004014EB" w:rsidP="00DA0824">
      <w:pPr>
        <w:ind w:left="720" w:hanging="720"/>
        <w:jc w:val="both"/>
        <w:rPr>
          <w:rFonts w:ascii="Arial" w:hAnsi="Arial" w:cs="Arial"/>
          <w:szCs w:val="18"/>
        </w:rPr>
      </w:pPr>
    </w:p>
    <w:p w:rsidR="004014EB" w:rsidRDefault="004014EB" w:rsidP="00DA0824">
      <w:pPr>
        <w:ind w:left="720" w:hanging="720"/>
        <w:jc w:val="both"/>
        <w:rPr>
          <w:rFonts w:ascii="Arial" w:hAnsi="Arial" w:cs="Arial"/>
          <w:szCs w:val="18"/>
        </w:rPr>
      </w:pPr>
      <w:r>
        <w:rPr>
          <w:rFonts w:ascii="Arial" w:hAnsi="Arial" w:cs="Arial"/>
          <w:szCs w:val="18"/>
        </w:rPr>
        <w:t>2.1.1</w:t>
      </w:r>
      <w:r w:rsidR="004229E3">
        <w:rPr>
          <w:rFonts w:ascii="Arial" w:hAnsi="Arial" w:cs="Arial"/>
          <w:szCs w:val="18"/>
        </w:rPr>
        <w:t>4</w:t>
      </w:r>
      <w:r>
        <w:rPr>
          <w:rFonts w:ascii="Arial" w:hAnsi="Arial" w:cs="Arial"/>
          <w:szCs w:val="18"/>
        </w:rPr>
        <w:tab/>
      </w:r>
      <w:r w:rsidRPr="004014EB">
        <w:rPr>
          <w:rFonts w:ascii="Arial" w:hAnsi="Arial" w:cs="Arial"/>
          <w:szCs w:val="18"/>
        </w:rPr>
        <w:t xml:space="preserve">Baergen, R. (2007). The Placenta as Witness. Clinics in perinatology. 34. 393-407. </w:t>
      </w:r>
    </w:p>
    <w:p w:rsidR="00DF784E" w:rsidRDefault="00DF784E" w:rsidP="00DA0824">
      <w:pPr>
        <w:ind w:left="720" w:hanging="720"/>
        <w:jc w:val="both"/>
        <w:rPr>
          <w:rFonts w:ascii="Arial" w:hAnsi="Arial" w:cs="Arial"/>
          <w:szCs w:val="18"/>
        </w:rPr>
      </w:pPr>
    </w:p>
    <w:p w:rsidR="004B2A71" w:rsidRDefault="00DF784E" w:rsidP="004B2A71">
      <w:pPr>
        <w:ind w:left="720" w:hanging="720"/>
        <w:jc w:val="both"/>
        <w:rPr>
          <w:rFonts w:ascii="Arial" w:hAnsi="Arial" w:cs="Arial"/>
          <w:szCs w:val="18"/>
        </w:rPr>
      </w:pPr>
      <w:r>
        <w:rPr>
          <w:rFonts w:ascii="Arial" w:hAnsi="Arial" w:cs="Arial"/>
          <w:szCs w:val="18"/>
        </w:rPr>
        <w:t>2.1.1</w:t>
      </w:r>
      <w:r w:rsidR="004229E3">
        <w:rPr>
          <w:rFonts w:ascii="Arial" w:hAnsi="Arial" w:cs="Arial"/>
          <w:szCs w:val="18"/>
        </w:rPr>
        <w:t>5</w:t>
      </w:r>
      <w:r>
        <w:rPr>
          <w:rFonts w:ascii="Arial" w:hAnsi="Arial" w:cs="Arial"/>
          <w:szCs w:val="18"/>
        </w:rPr>
        <w:tab/>
      </w:r>
      <w:r w:rsidR="004B2A71" w:rsidRPr="004B2A71">
        <w:rPr>
          <w:rFonts w:ascii="Arial" w:hAnsi="Arial" w:cs="Arial"/>
          <w:szCs w:val="18"/>
        </w:rPr>
        <w:t xml:space="preserve">Hwang, Chi-Yuan &amp; Wu, Chien-Hung &amp; Cheng, Fu-Cheng &amp; Yen, Yung-Lin &amp; Wu, Kuan-Han. (2018). A 12-year analysis of closed medical malpractice claims of the Taiwan civil court: A retrospective study. Medicine. 97. </w:t>
      </w:r>
    </w:p>
    <w:p w:rsidR="00621AC5" w:rsidRDefault="00621AC5" w:rsidP="004B2A71">
      <w:pPr>
        <w:ind w:left="720" w:hanging="720"/>
        <w:jc w:val="both"/>
        <w:rPr>
          <w:rFonts w:ascii="Arial" w:hAnsi="Arial" w:cs="Arial"/>
          <w:szCs w:val="18"/>
        </w:rPr>
      </w:pPr>
    </w:p>
    <w:p w:rsidR="00621AC5" w:rsidRDefault="00621AC5" w:rsidP="004B2A71">
      <w:pPr>
        <w:ind w:left="720" w:hanging="720"/>
        <w:jc w:val="both"/>
        <w:rPr>
          <w:rFonts w:ascii="Arial" w:hAnsi="Arial" w:cs="Arial"/>
          <w:szCs w:val="18"/>
        </w:rPr>
      </w:pPr>
      <w:r>
        <w:rPr>
          <w:rFonts w:ascii="Arial" w:hAnsi="Arial" w:cs="Arial"/>
          <w:szCs w:val="18"/>
        </w:rPr>
        <w:t>2.1.1</w:t>
      </w:r>
      <w:r w:rsidR="004229E3">
        <w:rPr>
          <w:rFonts w:ascii="Arial" w:hAnsi="Arial" w:cs="Arial"/>
          <w:szCs w:val="18"/>
        </w:rPr>
        <w:t>6</w:t>
      </w:r>
      <w:r>
        <w:rPr>
          <w:rFonts w:ascii="Arial" w:hAnsi="Arial" w:cs="Arial"/>
          <w:szCs w:val="18"/>
        </w:rPr>
        <w:tab/>
      </w:r>
      <w:r w:rsidRPr="00621AC5">
        <w:rPr>
          <w:rFonts w:ascii="Arial" w:hAnsi="Arial" w:cs="Arial"/>
          <w:szCs w:val="18"/>
        </w:rPr>
        <w:t xml:space="preserve">Kos, Marina. (2012). Placenta: A silent witness: Clinical and forensic importance of placental examination. Materia Medica. 28. 533-539. </w:t>
      </w:r>
    </w:p>
    <w:p w:rsidR="008D0F42" w:rsidRDefault="008D0F42" w:rsidP="004B2A71">
      <w:pPr>
        <w:ind w:left="720" w:hanging="720"/>
        <w:jc w:val="both"/>
        <w:rPr>
          <w:rFonts w:ascii="Arial" w:hAnsi="Arial" w:cs="Arial"/>
          <w:szCs w:val="18"/>
        </w:rPr>
      </w:pPr>
    </w:p>
    <w:p w:rsidR="008D0F42" w:rsidRDefault="008D0F42" w:rsidP="004B2A71">
      <w:pPr>
        <w:ind w:left="720" w:hanging="720"/>
        <w:jc w:val="both"/>
        <w:rPr>
          <w:rFonts w:ascii="Arial" w:hAnsi="Arial" w:cs="Arial"/>
          <w:szCs w:val="18"/>
        </w:rPr>
      </w:pPr>
      <w:r>
        <w:rPr>
          <w:rFonts w:ascii="Arial" w:hAnsi="Arial" w:cs="Arial"/>
          <w:szCs w:val="18"/>
        </w:rPr>
        <w:t>2.1.1</w:t>
      </w:r>
      <w:r w:rsidR="004229E3">
        <w:rPr>
          <w:rFonts w:ascii="Arial" w:hAnsi="Arial" w:cs="Arial"/>
          <w:szCs w:val="18"/>
        </w:rPr>
        <w:t>7</w:t>
      </w:r>
      <w:r>
        <w:rPr>
          <w:rFonts w:ascii="Arial" w:hAnsi="Arial" w:cs="Arial"/>
          <w:szCs w:val="18"/>
        </w:rPr>
        <w:tab/>
        <w:t>Bateman, C. (2014). Discard the placenta at your peril, pathologist warns doctors. South African Medical Journal. 104(11): 729-730.</w:t>
      </w:r>
    </w:p>
    <w:p w:rsidR="00F52076" w:rsidRDefault="00F52076" w:rsidP="004B2A71">
      <w:pPr>
        <w:ind w:left="720" w:hanging="720"/>
        <w:jc w:val="both"/>
        <w:rPr>
          <w:rFonts w:ascii="Arial" w:hAnsi="Arial" w:cs="Arial"/>
          <w:szCs w:val="18"/>
        </w:rPr>
      </w:pPr>
    </w:p>
    <w:p w:rsidR="00F52076" w:rsidRDefault="00F52076" w:rsidP="004B2A71">
      <w:pPr>
        <w:ind w:left="720" w:hanging="720"/>
        <w:jc w:val="both"/>
        <w:rPr>
          <w:rFonts w:ascii="Arial" w:hAnsi="Arial" w:cs="Arial"/>
          <w:szCs w:val="18"/>
        </w:rPr>
      </w:pPr>
      <w:r>
        <w:rPr>
          <w:rFonts w:ascii="Arial" w:hAnsi="Arial" w:cs="Arial"/>
          <w:szCs w:val="18"/>
        </w:rPr>
        <w:t>2.1.1</w:t>
      </w:r>
      <w:r w:rsidR="004229E3">
        <w:rPr>
          <w:rFonts w:ascii="Arial" w:hAnsi="Arial" w:cs="Arial"/>
          <w:szCs w:val="18"/>
        </w:rPr>
        <w:t>8</w:t>
      </w:r>
      <w:r>
        <w:rPr>
          <w:rFonts w:ascii="Arial" w:hAnsi="Arial" w:cs="Arial"/>
          <w:szCs w:val="18"/>
        </w:rPr>
        <w:tab/>
      </w:r>
      <w:r w:rsidRPr="00F52076">
        <w:rPr>
          <w:rFonts w:ascii="Arial" w:hAnsi="Arial" w:cs="Arial"/>
          <w:szCs w:val="18"/>
        </w:rPr>
        <w:t xml:space="preserve">Roescher, Annemiek &amp; Timmer, Albert &amp; Erwich, Jan Jaap &amp; Bos, Arend. (2014). Placental Pathology, Perinatal Death, Neonatal Outcome, and Neurological Development: </w:t>
      </w:r>
      <w:r w:rsidR="007A7507">
        <w:rPr>
          <w:rFonts w:ascii="Arial" w:hAnsi="Arial" w:cs="Arial"/>
          <w:szCs w:val="18"/>
        </w:rPr>
        <w:br/>
      </w:r>
      <w:r w:rsidRPr="00F52076">
        <w:rPr>
          <w:rFonts w:ascii="Arial" w:hAnsi="Arial" w:cs="Arial"/>
          <w:szCs w:val="18"/>
        </w:rPr>
        <w:t xml:space="preserve">A Systematic Review. PloS one. 9. </w:t>
      </w:r>
    </w:p>
    <w:p w:rsidR="004B2A71" w:rsidRDefault="004B2A71" w:rsidP="00595EBB">
      <w:pPr>
        <w:jc w:val="both"/>
        <w:rPr>
          <w:rFonts w:ascii="Arial" w:hAnsi="Arial" w:cs="Arial"/>
          <w:b/>
        </w:rPr>
      </w:pPr>
    </w:p>
    <w:p w:rsidR="00595EBB" w:rsidRDefault="00595EBB" w:rsidP="00595EBB">
      <w:pPr>
        <w:jc w:val="both"/>
        <w:rPr>
          <w:rFonts w:ascii="Arial" w:hAnsi="Arial" w:cs="Arial"/>
          <w:b/>
          <w:u w:val="single"/>
        </w:rPr>
      </w:pPr>
      <w:r>
        <w:rPr>
          <w:rFonts w:ascii="Arial" w:hAnsi="Arial" w:cs="Arial"/>
          <w:b/>
        </w:rPr>
        <w:t>3</w:t>
      </w:r>
      <w:r w:rsidRPr="00E5233C">
        <w:rPr>
          <w:rFonts w:ascii="Arial" w:hAnsi="Arial" w:cs="Arial"/>
          <w:b/>
        </w:rPr>
        <w:t>.</w:t>
      </w:r>
      <w:r w:rsidRPr="00E5233C">
        <w:rPr>
          <w:rFonts w:ascii="Arial" w:hAnsi="Arial" w:cs="Arial"/>
          <w:b/>
        </w:rPr>
        <w:tab/>
      </w:r>
      <w:r>
        <w:rPr>
          <w:rFonts w:ascii="Arial" w:hAnsi="Arial" w:cs="Arial"/>
          <w:b/>
          <w:u w:val="single"/>
        </w:rPr>
        <w:t>Areas of commentary</w:t>
      </w:r>
    </w:p>
    <w:p w:rsidR="00595EBB" w:rsidRDefault="00595EBB" w:rsidP="00595EBB">
      <w:pPr>
        <w:ind w:left="720" w:hanging="720"/>
        <w:jc w:val="both"/>
        <w:rPr>
          <w:rFonts w:ascii="Arial" w:hAnsi="Arial" w:cs="Arial"/>
          <w:b/>
        </w:rPr>
      </w:pPr>
    </w:p>
    <w:p w:rsidR="00595EBB" w:rsidRDefault="00595EBB" w:rsidP="00595EBB">
      <w:pPr>
        <w:ind w:left="720" w:hanging="720"/>
        <w:jc w:val="both"/>
        <w:rPr>
          <w:rFonts w:ascii="Arial" w:hAnsi="Arial" w:cs="Arial"/>
        </w:rPr>
      </w:pPr>
      <w:r>
        <w:rPr>
          <w:rFonts w:ascii="Arial" w:hAnsi="Arial" w:cs="Arial"/>
        </w:rPr>
        <w:t>3.1</w:t>
      </w:r>
      <w:r>
        <w:rPr>
          <w:rFonts w:ascii="Arial" w:hAnsi="Arial" w:cs="Arial"/>
        </w:rPr>
        <w:tab/>
        <w:t>We have provided commentary on the following broad aspects:</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3.1.1</w:t>
      </w:r>
      <w:r>
        <w:rPr>
          <w:rFonts w:ascii="Arial" w:hAnsi="Arial" w:cs="Arial"/>
        </w:rPr>
        <w:tab/>
        <w:t>Medical negligence litigation against the State covered in Section 4.</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3.1.2</w:t>
      </w:r>
      <w:r>
        <w:rPr>
          <w:rFonts w:ascii="Arial" w:hAnsi="Arial" w:cs="Arial"/>
        </w:rPr>
        <w:tab/>
      </w:r>
      <w:r w:rsidR="005F2E8C">
        <w:rPr>
          <w:rFonts w:ascii="Arial" w:hAnsi="Arial" w:cs="Arial"/>
        </w:rPr>
        <w:t>The global childbirth litigation industry</w:t>
      </w:r>
      <w:r>
        <w:rPr>
          <w:rFonts w:ascii="Arial" w:hAnsi="Arial" w:cs="Arial"/>
        </w:rPr>
        <w:t xml:space="preserve"> covered in Section 5.</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3.1.3</w:t>
      </w:r>
      <w:r>
        <w:rPr>
          <w:rFonts w:ascii="Arial" w:hAnsi="Arial" w:cs="Arial"/>
        </w:rPr>
        <w:tab/>
      </w:r>
      <w:r w:rsidR="005F2E8C">
        <w:rPr>
          <w:rFonts w:ascii="Arial" w:hAnsi="Arial" w:cs="Arial"/>
        </w:rPr>
        <w:t xml:space="preserve">Structured settlements </w:t>
      </w:r>
      <w:r>
        <w:rPr>
          <w:rFonts w:ascii="Arial" w:hAnsi="Arial" w:cs="Arial"/>
        </w:rPr>
        <w:t>covered in Section 6.</w:t>
      </w:r>
    </w:p>
    <w:p w:rsidR="00034406" w:rsidRDefault="00034406" w:rsidP="00595EBB">
      <w:pPr>
        <w:ind w:left="720" w:hanging="720"/>
        <w:jc w:val="both"/>
        <w:rPr>
          <w:rFonts w:ascii="Arial" w:hAnsi="Arial" w:cs="Arial"/>
        </w:rPr>
      </w:pPr>
    </w:p>
    <w:p w:rsidR="00034406" w:rsidRDefault="00034406" w:rsidP="00595EBB">
      <w:pPr>
        <w:ind w:left="720" w:hanging="720"/>
        <w:jc w:val="both"/>
        <w:rPr>
          <w:rFonts w:ascii="Arial" w:hAnsi="Arial" w:cs="Arial"/>
        </w:rPr>
      </w:pPr>
      <w:r>
        <w:rPr>
          <w:rFonts w:ascii="Arial" w:hAnsi="Arial" w:cs="Arial"/>
        </w:rPr>
        <w:t>3.1.4</w:t>
      </w:r>
      <w:r>
        <w:rPr>
          <w:rFonts w:ascii="Arial" w:hAnsi="Arial" w:cs="Arial"/>
        </w:rPr>
        <w:tab/>
      </w:r>
      <w:r w:rsidR="001C3346">
        <w:rPr>
          <w:rFonts w:ascii="Arial" w:hAnsi="Arial" w:cs="Arial"/>
        </w:rPr>
        <w:t>Comparing lump sum settlements and structured settlements covered in Section 7.</w:t>
      </w:r>
    </w:p>
    <w:p w:rsidR="001C3346" w:rsidRDefault="001C3346" w:rsidP="00595EBB">
      <w:pPr>
        <w:ind w:left="720" w:hanging="720"/>
        <w:jc w:val="both"/>
        <w:rPr>
          <w:rFonts w:ascii="Arial" w:hAnsi="Arial" w:cs="Arial"/>
        </w:rPr>
      </w:pPr>
    </w:p>
    <w:p w:rsidR="001C3346" w:rsidRDefault="001C3346" w:rsidP="00595EBB">
      <w:pPr>
        <w:ind w:left="720" w:hanging="720"/>
        <w:jc w:val="both"/>
        <w:rPr>
          <w:rFonts w:ascii="Arial" w:hAnsi="Arial" w:cs="Arial"/>
        </w:rPr>
      </w:pPr>
      <w:r>
        <w:rPr>
          <w:rFonts w:ascii="Arial" w:hAnsi="Arial" w:cs="Arial"/>
        </w:rPr>
        <w:t>3.1.5</w:t>
      </w:r>
      <w:r>
        <w:rPr>
          <w:rFonts w:ascii="Arial" w:hAnsi="Arial" w:cs="Arial"/>
        </w:rPr>
        <w:tab/>
        <w:t>Caregiving covered in Section 8.</w:t>
      </w:r>
    </w:p>
    <w:p w:rsidR="007A0F5F" w:rsidRDefault="007A0F5F" w:rsidP="00595EBB">
      <w:pPr>
        <w:ind w:left="720" w:hanging="720"/>
        <w:jc w:val="both"/>
        <w:rPr>
          <w:rFonts w:ascii="Arial" w:hAnsi="Arial" w:cs="Arial"/>
        </w:rPr>
      </w:pPr>
    </w:p>
    <w:p w:rsidR="007A0F5F" w:rsidRDefault="007A0F5F" w:rsidP="00595EBB">
      <w:pPr>
        <w:ind w:left="720" w:hanging="720"/>
        <w:jc w:val="both"/>
        <w:rPr>
          <w:rFonts w:ascii="Arial" w:hAnsi="Arial" w:cs="Arial"/>
        </w:rPr>
      </w:pPr>
      <w:r>
        <w:rPr>
          <w:rFonts w:ascii="Arial" w:hAnsi="Arial" w:cs="Arial"/>
        </w:rPr>
        <w:t>3.1.6</w:t>
      </w:r>
      <w:r>
        <w:rPr>
          <w:rFonts w:ascii="Arial" w:hAnsi="Arial" w:cs="Arial"/>
        </w:rPr>
        <w:tab/>
        <w:t>Placental pathology covered in Section 9.</w:t>
      </w:r>
    </w:p>
    <w:p w:rsidR="007A0F5F" w:rsidRDefault="007A0F5F" w:rsidP="00595EBB">
      <w:pPr>
        <w:ind w:left="720" w:hanging="720"/>
        <w:jc w:val="both"/>
        <w:rPr>
          <w:rFonts w:ascii="Arial" w:hAnsi="Arial" w:cs="Arial"/>
        </w:rPr>
      </w:pPr>
    </w:p>
    <w:p w:rsidR="007A0F5F" w:rsidRDefault="007A0F5F" w:rsidP="00595EBB">
      <w:pPr>
        <w:ind w:left="720" w:hanging="720"/>
        <w:jc w:val="both"/>
        <w:rPr>
          <w:rFonts w:ascii="Arial" w:hAnsi="Arial" w:cs="Arial"/>
        </w:rPr>
      </w:pPr>
      <w:r>
        <w:rPr>
          <w:rFonts w:ascii="Arial" w:hAnsi="Arial" w:cs="Arial"/>
        </w:rPr>
        <w:t>3.1.7</w:t>
      </w:r>
      <w:r>
        <w:rPr>
          <w:rFonts w:ascii="Arial" w:hAnsi="Arial" w:cs="Arial"/>
        </w:rPr>
        <w:tab/>
        <w:t>Life expectancy covered in Section 10.</w:t>
      </w:r>
    </w:p>
    <w:p w:rsidR="007A0F5F" w:rsidRDefault="007A0F5F" w:rsidP="00595EBB">
      <w:pPr>
        <w:ind w:left="720" w:hanging="720"/>
        <w:jc w:val="both"/>
        <w:rPr>
          <w:rFonts w:ascii="Arial" w:hAnsi="Arial" w:cs="Arial"/>
        </w:rPr>
      </w:pPr>
    </w:p>
    <w:p w:rsidR="007A0F5F" w:rsidRDefault="007A0F5F" w:rsidP="00595EBB">
      <w:pPr>
        <w:ind w:left="720" w:hanging="720"/>
        <w:jc w:val="both"/>
        <w:rPr>
          <w:rFonts w:ascii="Arial" w:hAnsi="Arial" w:cs="Arial"/>
        </w:rPr>
      </w:pPr>
      <w:r>
        <w:rPr>
          <w:rFonts w:ascii="Arial" w:hAnsi="Arial" w:cs="Arial"/>
        </w:rPr>
        <w:t>3.1.8</w:t>
      </w:r>
      <w:r>
        <w:rPr>
          <w:rFonts w:ascii="Arial" w:hAnsi="Arial" w:cs="Arial"/>
        </w:rPr>
        <w:tab/>
        <w:t>Conclusions covered in Section 11.</w:t>
      </w:r>
    </w:p>
    <w:p w:rsidR="00595EBB" w:rsidRDefault="00595EBB" w:rsidP="00595EBB">
      <w:pPr>
        <w:ind w:left="720" w:hanging="720"/>
        <w:jc w:val="both"/>
        <w:rPr>
          <w:rFonts w:ascii="Arial" w:hAnsi="Arial" w:cs="Arial"/>
        </w:rPr>
      </w:pPr>
    </w:p>
    <w:p w:rsidR="00577A90" w:rsidRDefault="00577A90">
      <w:pPr>
        <w:rPr>
          <w:rFonts w:ascii="Arial" w:hAnsi="Arial" w:cs="Arial"/>
          <w:b/>
        </w:rPr>
      </w:pPr>
      <w:r>
        <w:rPr>
          <w:rFonts w:ascii="Arial" w:hAnsi="Arial" w:cs="Arial"/>
          <w:b/>
        </w:rPr>
        <w:br w:type="page"/>
      </w:r>
    </w:p>
    <w:p w:rsidR="00D539E7" w:rsidRDefault="00595EBB" w:rsidP="00D539E7">
      <w:pPr>
        <w:jc w:val="both"/>
        <w:rPr>
          <w:rFonts w:ascii="Arial" w:hAnsi="Arial" w:cs="Arial"/>
          <w:b/>
          <w:u w:val="single"/>
        </w:rPr>
      </w:pPr>
      <w:r>
        <w:rPr>
          <w:rFonts w:ascii="Arial" w:hAnsi="Arial" w:cs="Arial"/>
          <w:b/>
        </w:rPr>
        <w:lastRenderedPageBreak/>
        <w:t>4</w:t>
      </w:r>
      <w:r w:rsidR="00D539E7" w:rsidRPr="00E5233C">
        <w:rPr>
          <w:rFonts w:ascii="Arial" w:hAnsi="Arial" w:cs="Arial"/>
          <w:b/>
        </w:rPr>
        <w:t>.</w:t>
      </w:r>
      <w:r w:rsidR="00D539E7" w:rsidRPr="00E5233C">
        <w:rPr>
          <w:rFonts w:ascii="Arial" w:hAnsi="Arial" w:cs="Arial"/>
          <w:b/>
        </w:rPr>
        <w:tab/>
      </w:r>
      <w:r w:rsidR="00D539E7">
        <w:rPr>
          <w:rFonts w:ascii="Arial" w:hAnsi="Arial" w:cs="Arial"/>
          <w:b/>
          <w:u w:val="single"/>
        </w:rPr>
        <w:t>Medical negligence litigation against the State</w:t>
      </w:r>
      <w:r w:rsidR="00897354">
        <w:rPr>
          <w:rFonts w:ascii="Arial" w:hAnsi="Arial" w:cs="Arial"/>
          <w:b/>
          <w:u w:val="single"/>
        </w:rPr>
        <w:t xml:space="preserve"> in South Africa</w:t>
      </w:r>
    </w:p>
    <w:p w:rsidR="00D539E7" w:rsidRDefault="00D539E7" w:rsidP="00D539E7">
      <w:pPr>
        <w:jc w:val="both"/>
        <w:rPr>
          <w:rFonts w:ascii="Arial" w:hAnsi="Arial" w:cs="Arial"/>
          <w:b/>
        </w:rPr>
      </w:pPr>
    </w:p>
    <w:p w:rsidR="00D539E7" w:rsidRDefault="00595EBB" w:rsidP="00D539E7">
      <w:pPr>
        <w:ind w:left="720" w:hanging="720"/>
        <w:jc w:val="both"/>
        <w:rPr>
          <w:rFonts w:ascii="Arial" w:hAnsi="Arial" w:cs="Arial"/>
        </w:rPr>
      </w:pPr>
      <w:r>
        <w:rPr>
          <w:rFonts w:ascii="Arial" w:hAnsi="Arial" w:cs="Arial"/>
        </w:rPr>
        <w:t>4</w:t>
      </w:r>
      <w:r w:rsidR="00D539E7">
        <w:rPr>
          <w:rFonts w:ascii="Arial" w:hAnsi="Arial" w:cs="Arial"/>
        </w:rPr>
        <w:t>.1</w:t>
      </w:r>
      <w:r w:rsidR="00D539E7">
        <w:rPr>
          <w:rFonts w:ascii="Arial" w:hAnsi="Arial" w:cs="Arial"/>
        </w:rPr>
        <w:tab/>
        <w:t>The Financial Mail (19 July 2018 to 25 July 2018 edition) provides the following situation concerning medical negligence claims against the State in South Africa:</w:t>
      </w:r>
    </w:p>
    <w:p w:rsidR="00D539E7" w:rsidRDefault="00D539E7" w:rsidP="00D539E7">
      <w:pPr>
        <w:ind w:left="720" w:hanging="720"/>
        <w:jc w:val="both"/>
        <w:rPr>
          <w:rFonts w:ascii="Arial" w:hAnsi="Arial" w:cs="Arial"/>
        </w:rPr>
      </w:pPr>
    </w:p>
    <w:p w:rsidR="00D539E7" w:rsidRDefault="00595EBB" w:rsidP="00D539E7">
      <w:pPr>
        <w:ind w:left="720" w:hanging="720"/>
        <w:jc w:val="both"/>
        <w:rPr>
          <w:rFonts w:ascii="Arial" w:hAnsi="Arial" w:cs="Arial"/>
        </w:rPr>
      </w:pPr>
      <w:r>
        <w:rPr>
          <w:rFonts w:ascii="Arial" w:hAnsi="Arial" w:cs="Arial"/>
        </w:rPr>
        <w:t>4</w:t>
      </w:r>
      <w:r w:rsidR="00D539E7">
        <w:rPr>
          <w:rFonts w:ascii="Arial" w:hAnsi="Arial" w:cs="Arial"/>
        </w:rPr>
        <w:t>.1.1</w:t>
      </w:r>
      <w:r w:rsidR="00D539E7">
        <w:rPr>
          <w:rFonts w:ascii="Arial" w:hAnsi="Arial" w:cs="Arial"/>
        </w:rPr>
        <w:tab/>
      </w:r>
      <w:r w:rsidR="00D539E7" w:rsidRPr="00D73A29">
        <w:rPr>
          <w:rFonts w:ascii="Arial" w:hAnsi="Arial" w:cs="Arial"/>
          <w:u w:val="single"/>
        </w:rPr>
        <w:t>Contingent liabilities</w:t>
      </w:r>
    </w:p>
    <w:p w:rsidR="00D539E7" w:rsidRDefault="00D539E7" w:rsidP="00D539E7">
      <w:pPr>
        <w:ind w:left="720" w:hanging="720"/>
        <w:jc w:val="both"/>
        <w:rPr>
          <w:rFonts w:ascii="Arial" w:hAnsi="Arial" w:cs="Arial"/>
        </w:rPr>
      </w:pPr>
    </w:p>
    <w:p w:rsidR="00D539E7" w:rsidRDefault="00D539E7" w:rsidP="00D539E7">
      <w:pPr>
        <w:ind w:left="720" w:hanging="720"/>
        <w:jc w:val="both"/>
        <w:rPr>
          <w:rFonts w:ascii="Arial" w:hAnsi="Arial" w:cs="Arial"/>
        </w:rPr>
      </w:pPr>
      <w:r>
        <w:rPr>
          <w:rFonts w:ascii="Arial" w:hAnsi="Arial" w:cs="Arial"/>
        </w:rPr>
        <w:tab/>
        <w:t>Table 1: Contingent liabilities (R’ million)</w:t>
      </w:r>
      <w:r>
        <w:rPr>
          <w:rFonts w:ascii="Arial" w:hAnsi="Arial" w:cs="Arial"/>
        </w:rPr>
        <w:tab/>
      </w:r>
    </w:p>
    <w:tbl>
      <w:tblPr>
        <w:tblW w:w="6160" w:type="dxa"/>
        <w:tblInd w:w="715" w:type="dxa"/>
        <w:tblLook w:val="04A0"/>
      </w:tblPr>
      <w:tblGrid>
        <w:gridCol w:w="2020"/>
        <w:gridCol w:w="1380"/>
        <w:gridCol w:w="1380"/>
        <w:gridCol w:w="1380"/>
      </w:tblGrid>
      <w:tr w:rsidR="00D539E7" w:rsidRPr="00D73A29" w:rsidTr="006D7F36">
        <w:trPr>
          <w:trHeight w:val="288"/>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Province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center"/>
              <w:rPr>
                <w:rFonts w:ascii="Arial" w:hAnsi="Arial" w:cs="Arial"/>
                <w:color w:val="000000"/>
                <w:sz w:val="18"/>
                <w:szCs w:val="18"/>
                <w:lang w:eastAsia="en-US"/>
              </w:rPr>
            </w:pPr>
            <w:r w:rsidRPr="00D73A29">
              <w:rPr>
                <w:rFonts w:ascii="Arial" w:hAnsi="Arial" w:cs="Arial"/>
                <w:color w:val="000000"/>
                <w:sz w:val="18"/>
                <w:szCs w:val="18"/>
                <w:lang w:eastAsia="en-US"/>
              </w:rPr>
              <w:t>2014/2015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center"/>
              <w:rPr>
                <w:rFonts w:ascii="Arial" w:hAnsi="Arial" w:cs="Arial"/>
                <w:color w:val="000000"/>
                <w:sz w:val="18"/>
                <w:szCs w:val="18"/>
                <w:lang w:eastAsia="en-US"/>
              </w:rPr>
            </w:pPr>
            <w:r w:rsidRPr="00D73A29">
              <w:rPr>
                <w:rFonts w:ascii="Arial" w:hAnsi="Arial" w:cs="Arial"/>
                <w:color w:val="000000"/>
                <w:sz w:val="18"/>
                <w:szCs w:val="18"/>
                <w:lang w:eastAsia="en-US"/>
              </w:rPr>
              <w:t>2015/2016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center"/>
              <w:rPr>
                <w:rFonts w:ascii="Arial" w:hAnsi="Arial" w:cs="Arial"/>
                <w:color w:val="000000"/>
                <w:sz w:val="18"/>
                <w:szCs w:val="18"/>
                <w:lang w:eastAsia="en-US"/>
              </w:rPr>
            </w:pPr>
            <w:r w:rsidRPr="00D73A29">
              <w:rPr>
                <w:rFonts w:ascii="Arial" w:hAnsi="Arial" w:cs="Arial"/>
                <w:color w:val="000000"/>
                <w:sz w:val="18"/>
                <w:szCs w:val="18"/>
                <w:lang w:eastAsia="en-US"/>
              </w:rPr>
              <w:t>2016/2017</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Eastern Cape</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8,211</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13,421</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16,773</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Free State</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540</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941</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1,307</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Gauteng</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10,079</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13,452</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17,844</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Kwa-Zulu Natal</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6,725</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9,957</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10,292</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Limpopo</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1,197</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1,607</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2,116</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Mpumalanga</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1,459</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2,366</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5,243</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Northern Cape</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174</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343</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1,221</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North West</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34</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856</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1,285</w:t>
            </w:r>
          </w:p>
        </w:tc>
      </w:tr>
      <w:tr w:rsidR="00D539E7" w:rsidRPr="00D73A29"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Western Cape</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193</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182</w:t>
            </w:r>
          </w:p>
        </w:tc>
        <w:tc>
          <w:tcPr>
            <w:tcW w:w="1380" w:type="dxa"/>
            <w:tcBorders>
              <w:top w:val="nil"/>
              <w:left w:val="nil"/>
              <w:bottom w:val="nil"/>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32</w:t>
            </w:r>
          </w:p>
        </w:tc>
      </w:tr>
      <w:tr w:rsidR="00D539E7" w:rsidRPr="00D73A29" w:rsidTr="006D7F36">
        <w:trPr>
          <w:trHeight w:val="288"/>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Total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28,612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43,125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56,113</w:t>
            </w:r>
          </w:p>
        </w:tc>
      </w:tr>
      <w:tr w:rsidR="00D539E7" w:rsidRPr="00D73A29" w:rsidTr="006D7F36">
        <w:trPr>
          <w:trHeight w:val="28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539E7" w:rsidRPr="00D73A29" w:rsidRDefault="00D539E7" w:rsidP="006D7F36">
            <w:pPr>
              <w:rPr>
                <w:rFonts w:ascii="Arial" w:hAnsi="Arial" w:cs="Arial"/>
                <w:color w:val="000000"/>
                <w:sz w:val="18"/>
                <w:szCs w:val="18"/>
                <w:lang w:eastAsia="en-US"/>
              </w:rPr>
            </w:pPr>
            <w:r w:rsidRPr="00D73A29">
              <w:rPr>
                <w:rFonts w:ascii="Arial" w:hAnsi="Arial" w:cs="Arial"/>
                <w:color w:val="000000"/>
                <w:sz w:val="18"/>
                <w:szCs w:val="18"/>
                <w:lang w:eastAsia="en-US"/>
              </w:rPr>
              <w:t xml:space="preserve">Claims lodged </w:t>
            </w:r>
          </w:p>
        </w:tc>
        <w:tc>
          <w:tcPr>
            <w:tcW w:w="1380" w:type="dxa"/>
            <w:tcBorders>
              <w:top w:val="nil"/>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1,562</w:t>
            </w:r>
          </w:p>
        </w:tc>
        <w:tc>
          <w:tcPr>
            <w:tcW w:w="1380" w:type="dxa"/>
            <w:tcBorders>
              <w:top w:val="nil"/>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1,732</w:t>
            </w:r>
          </w:p>
        </w:tc>
        <w:tc>
          <w:tcPr>
            <w:tcW w:w="1380" w:type="dxa"/>
            <w:tcBorders>
              <w:top w:val="nil"/>
              <w:left w:val="nil"/>
              <w:bottom w:val="single" w:sz="4" w:space="0" w:color="auto"/>
              <w:right w:val="single" w:sz="4" w:space="0" w:color="auto"/>
            </w:tcBorders>
            <w:shd w:val="clear" w:color="auto" w:fill="auto"/>
            <w:noWrap/>
            <w:vAlign w:val="bottom"/>
            <w:hideMark/>
          </w:tcPr>
          <w:p w:rsidR="00D539E7" w:rsidRPr="00D73A29" w:rsidRDefault="00D539E7" w:rsidP="006D7F36">
            <w:pPr>
              <w:jc w:val="right"/>
              <w:rPr>
                <w:rFonts w:ascii="Arial" w:hAnsi="Arial" w:cs="Arial"/>
                <w:color w:val="000000"/>
                <w:sz w:val="18"/>
                <w:szCs w:val="18"/>
                <w:lang w:eastAsia="en-US"/>
              </w:rPr>
            </w:pPr>
            <w:r w:rsidRPr="00D73A29">
              <w:rPr>
                <w:rFonts w:ascii="Arial" w:hAnsi="Arial" w:cs="Arial"/>
                <w:color w:val="000000"/>
                <w:sz w:val="18"/>
                <w:szCs w:val="18"/>
                <w:lang w:eastAsia="en-US"/>
              </w:rPr>
              <w:t>1,934</w:t>
            </w:r>
          </w:p>
        </w:tc>
      </w:tr>
    </w:tbl>
    <w:p w:rsidR="00D539E7" w:rsidRDefault="00D539E7">
      <w:pPr>
        <w:rPr>
          <w:rFonts w:ascii="Arial" w:hAnsi="Arial" w:cs="Arial"/>
        </w:rPr>
      </w:pPr>
    </w:p>
    <w:p w:rsidR="00D539E7" w:rsidRDefault="00595EBB" w:rsidP="00D539E7">
      <w:pPr>
        <w:ind w:left="720" w:hanging="720"/>
        <w:jc w:val="both"/>
        <w:rPr>
          <w:rFonts w:ascii="Arial" w:hAnsi="Arial" w:cs="Arial"/>
        </w:rPr>
      </w:pPr>
      <w:r>
        <w:rPr>
          <w:rFonts w:ascii="Arial" w:hAnsi="Arial" w:cs="Arial"/>
        </w:rPr>
        <w:t>4</w:t>
      </w:r>
      <w:r w:rsidR="00D539E7">
        <w:rPr>
          <w:rFonts w:ascii="Arial" w:hAnsi="Arial" w:cs="Arial"/>
        </w:rPr>
        <w:t>.1.2</w:t>
      </w:r>
      <w:r w:rsidR="00D539E7">
        <w:rPr>
          <w:rFonts w:ascii="Arial" w:hAnsi="Arial" w:cs="Arial"/>
        </w:rPr>
        <w:tab/>
      </w:r>
      <w:r w:rsidR="00D539E7">
        <w:rPr>
          <w:rFonts w:ascii="Arial" w:hAnsi="Arial" w:cs="Arial"/>
          <w:u w:val="single"/>
        </w:rPr>
        <w:t>Payments made</w:t>
      </w:r>
    </w:p>
    <w:p w:rsidR="00D539E7" w:rsidRDefault="00D539E7" w:rsidP="00D539E7">
      <w:pPr>
        <w:ind w:left="720" w:hanging="720"/>
        <w:jc w:val="both"/>
        <w:rPr>
          <w:rFonts w:ascii="Arial" w:hAnsi="Arial" w:cs="Arial"/>
        </w:rPr>
      </w:pPr>
    </w:p>
    <w:p w:rsidR="00D539E7" w:rsidRDefault="00D539E7" w:rsidP="00D539E7">
      <w:pPr>
        <w:ind w:left="720" w:hanging="720"/>
        <w:jc w:val="both"/>
        <w:rPr>
          <w:rFonts w:ascii="Arial" w:hAnsi="Arial" w:cs="Arial"/>
        </w:rPr>
      </w:pPr>
      <w:r>
        <w:rPr>
          <w:rFonts w:ascii="Arial" w:hAnsi="Arial" w:cs="Arial"/>
        </w:rPr>
        <w:tab/>
        <w:t>Table 2: Payments made (R’ million)</w:t>
      </w:r>
    </w:p>
    <w:tbl>
      <w:tblPr>
        <w:tblW w:w="6160" w:type="dxa"/>
        <w:tblInd w:w="715" w:type="dxa"/>
        <w:tblLook w:val="04A0"/>
      </w:tblPr>
      <w:tblGrid>
        <w:gridCol w:w="2020"/>
        <w:gridCol w:w="1380"/>
        <w:gridCol w:w="1380"/>
        <w:gridCol w:w="1380"/>
      </w:tblGrid>
      <w:tr w:rsidR="00D539E7" w:rsidRPr="001E64FB" w:rsidTr="006D7F36">
        <w:trPr>
          <w:trHeight w:val="288"/>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Province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center"/>
              <w:rPr>
                <w:rFonts w:ascii="Arial" w:hAnsi="Arial" w:cs="Arial"/>
                <w:color w:val="000000"/>
                <w:sz w:val="18"/>
                <w:szCs w:val="18"/>
                <w:lang w:eastAsia="en-US"/>
              </w:rPr>
            </w:pPr>
            <w:r w:rsidRPr="001E64FB">
              <w:rPr>
                <w:rFonts w:ascii="Arial" w:hAnsi="Arial" w:cs="Arial"/>
                <w:color w:val="000000"/>
                <w:sz w:val="18"/>
                <w:szCs w:val="18"/>
                <w:lang w:eastAsia="en-US"/>
              </w:rPr>
              <w:t>2014/2015</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center"/>
              <w:rPr>
                <w:rFonts w:ascii="Arial" w:hAnsi="Arial" w:cs="Arial"/>
                <w:color w:val="000000"/>
                <w:sz w:val="18"/>
                <w:szCs w:val="18"/>
                <w:lang w:eastAsia="en-US"/>
              </w:rPr>
            </w:pPr>
            <w:r w:rsidRPr="001E64FB">
              <w:rPr>
                <w:rFonts w:ascii="Arial" w:hAnsi="Arial" w:cs="Arial"/>
                <w:color w:val="000000"/>
                <w:sz w:val="18"/>
                <w:szCs w:val="18"/>
                <w:lang w:eastAsia="en-US"/>
              </w:rPr>
              <w:t>2015/2016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center"/>
              <w:rPr>
                <w:rFonts w:ascii="Arial" w:hAnsi="Arial" w:cs="Arial"/>
                <w:color w:val="000000"/>
                <w:sz w:val="18"/>
                <w:szCs w:val="18"/>
                <w:lang w:eastAsia="en-US"/>
              </w:rPr>
            </w:pPr>
            <w:r w:rsidRPr="001E64FB">
              <w:rPr>
                <w:rFonts w:ascii="Arial" w:hAnsi="Arial" w:cs="Arial"/>
                <w:color w:val="000000"/>
                <w:sz w:val="18"/>
                <w:szCs w:val="18"/>
                <w:lang w:eastAsia="en-US"/>
              </w:rPr>
              <w:t>2016/2017</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Eastern Cape</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74.9</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255.6</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208.5</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Free State</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0.2</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1.7</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1.6</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Gauteng</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241.1</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572.8</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531.3</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Kwa-Zulu Natal</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103.5</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90.4</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251.3</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Limpopo</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35.6</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9.6</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74.8</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Mpumalanga</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7.6</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15.2</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34.4</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Northern Cape</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3.8</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4.8</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0.8</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North West</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13.2</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6.4</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29.5</w:t>
            </w:r>
          </w:p>
        </w:tc>
      </w:tr>
      <w:tr w:rsidR="00D539E7" w:rsidRPr="001E64FB" w:rsidTr="006D7F36">
        <w:trPr>
          <w:trHeight w:val="288"/>
        </w:trPr>
        <w:tc>
          <w:tcPr>
            <w:tcW w:w="2020" w:type="dxa"/>
            <w:tcBorders>
              <w:top w:val="nil"/>
              <w:left w:val="single" w:sz="4" w:space="0" w:color="auto"/>
              <w:bottom w:val="nil"/>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Western Cape</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19.3</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28.1</w:t>
            </w:r>
          </w:p>
        </w:tc>
        <w:tc>
          <w:tcPr>
            <w:tcW w:w="1380" w:type="dxa"/>
            <w:tcBorders>
              <w:top w:val="nil"/>
              <w:left w:val="nil"/>
              <w:bottom w:val="nil"/>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38.4</w:t>
            </w:r>
          </w:p>
        </w:tc>
      </w:tr>
      <w:tr w:rsidR="00D539E7" w:rsidRPr="001E64FB" w:rsidTr="006D7F36">
        <w:trPr>
          <w:trHeight w:val="288"/>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9E7" w:rsidRPr="001E64FB" w:rsidRDefault="00D539E7" w:rsidP="006D7F36">
            <w:pPr>
              <w:rPr>
                <w:rFonts w:ascii="Arial" w:hAnsi="Arial" w:cs="Arial"/>
                <w:color w:val="000000"/>
                <w:sz w:val="18"/>
                <w:szCs w:val="18"/>
                <w:lang w:eastAsia="en-US"/>
              </w:rPr>
            </w:pPr>
            <w:r w:rsidRPr="001E64FB">
              <w:rPr>
                <w:rFonts w:ascii="Arial" w:hAnsi="Arial" w:cs="Arial"/>
                <w:color w:val="000000"/>
                <w:sz w:val="18"/>
                <w:szCs w:val="18"/>
                <w:lang w:eastAsia="en-US"/>
              </w:rPr>
              <w:t>Total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499.2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984.6</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539E7" w:rsidRPr="001E64FB" w:rsidRDefault="00D539E7" w:rsidP="006D7F36">
            <w:pPr>
              <w:jc w:val="right"/>
              <w:rPr>
                <w:rFonts w:ascii="Arial" w:hAnsi="Arial" w:cs="Arial"/>
                <w:color w:val="000000"/>
                <w:sz w:val="18"/>
                <w:szCs w:val="18"/>
                <w:lang w:eastAsia="en-US"/>
              </w:rPr>
            </w:pPr>
            <w:r w:rsidRPr="001E64FB">
              <w:rPr>
                <w:rFonts w:ascii="Arial" w:hAnsi="Arial" w:cs="Arial"/>
                <w:color w:val="000000"/>
                <w:sz w:val="18"/>
                <w:szCs w:val="18"/>
                <w:lang w:eastAsia="en-US"/>
              </w:rPr>
              <w:t>1,170.6</w:t>
            </w:r>
          </w:p>
        </w:tc>
      </w:tr>
    </w:tbl>
    <w:p w:rsidR="00D539E7" w:rsidRDefault="00D539E7" w:rsidP="00D539E7">
      <w:pPr>
        <w:ind w:left="720" w:hanging="720"/>
        <w:jc w:val="both"/>
        <w:rPr>
          <w:rFonts w:ascii="Arial" w:hAnsi="Arial" w:cs="Arial"/>
        </w:rPr>
      </w:pPr>
    </w:p>
    <w:p w:rsidR="00E51DDB" w:rsidRDefault="00D32AEE" w:rsidP="00D32AEE">
      <w:pPr>
        <w:ind w:left="720" w:hanging="720"/>
        <w:jc w:val="both"/>
        <w:rPr>
          <w:rFonts w:ascii="Arial" w:hAnsi="Arial" w:cs="Arial"/>
        </w:rPr>
      </w:pPr>
      <w:r w:rsidRPr="00D32AEE">
        <w:rPr>
          <w:rFonts w:ascii="Arial" w:hAnsi="Arial" w:cs="Arial"/>
        </w:rPr>
        <w:t>4.1.3</w:t>
      </w:r>
      <w:r w:rsidR="00E12DC1">
        <w:rPr>
          <w:rFonts w:ascii="Arial" w:hAnsi="Arial" w:cs="Arial"/>
        </w:rPr>
        <w:tab/>
      </w:r>
      <w:r w:rsidR="00D202FC">
        <w:rPr>
          <w:rFonts w:ascii="Arial" w:hAnsi="Arial" w:cs="Arial"/>
        </w:rPr>
        <w:t xml:space="preserve">The value reported in respect of contingent liabilities is misleading as it merely reflects the value of summonses received. </w:t>
      </w:r>
      <w:r w:rsidR="00E12DC1">
        <w:rPr>
          <w:rFonts w:ascii="Arial" w:hAnsi="Arial" w:cs="Arial"/>
        </w:rPr>
        <w:t>An analysis must</w:t>
      </w:r>
      <w:r>
        <w:rPr>
          <w:rFonts w:ascii="Arial" w:hAnsi="Arial" w:cs="Arial"/>
        </w:rPr>
        <w:t xml:space="preserve"> be made linking final settlement values to original summons amounts.</w:t>
      </w:r>
      <w:r w:rsidR="00D202FC">
        <w:rPr>
          <w:rFonts w:ascii="Arial" w:hAnsi="Arial" w:cs="Arial"/>
        </w:rPr>
        <w:t xml:space="preserve"> </w:t>
      </w:r>
      <w:r w:rsidR="00E51DDB">
        <w:rPr>
          <w:rFonts w:ascii="Arial" w:hAnsi="Arial" w:cs="Arial"/>
        </w:rPr>
        <w:t>In certain matters merits fail and claims are nil. In other matters claimants die before the commencement of litigation and claim values are a fraction of the summons value.</w:t>
      </w:r>
    </w:p>
    <w:p w:rsidR="00E51DDB" w:rsidRDefault="00E51DDB" w:rsidP="00D32AEE">
      <w:pPr>
        <w:ind w:left="720" w:hanging="720"/>
        <w:jc w:val="both"/>
        <w:rPr>
          <w:rFonts w:ascii="Arial" w:hAnsi="Arial" w:cs="Arial"/>
        </w:rPr>
      </w:pPr>
    </w:p>
    <w:p w:rsidR="006B7A87" w:rsidRDefault="00E51DDB" w:rsidP="00D32AEE">
      <w:pPr>
        <w:ind w:left="720" w:hanging="720"/>
        <w:jc w:val="both"/>
        <w:rPr>
          <w:rFonts w:ascii="Arial" w:hAnsi="Arial" w:cs="Arial"/>
        </w:rPr>
      </w:pPr>
      <w:r>
        <w:rPr>
          <w:rFonts w:ascii="Arial" w:hAnsi="Arial" w:cs="Arial"/>
        </w:rPr>
        <w:t>4.1.4</w:t>
      </w:r>
      <w:r>
        <w:rPr>
          <w:rFonts w:ascii="Arial" w:hAnsi="Arial" w:cs="Arial"/>
        </w:rPr>
        <w:tab/>
      </w:r>
      <w:r w:rsidR="00F43FF5">
        <w:rPr>
          <w:rFonts w:ascii="Arial" w:hAnsi="Arial" w:cs="Arial"/>
        </w:rPr>
        <w:t xml:space="preserve">By way of </w:t>
      </w:r>
      <w:r w:rsidR="006B7A87">
        <w:rPr>
          <w:rFonts w:ascii="Arial" w:hAnsi="Arial" w:cs="Arial"/>
        </w:rPr>
        <w:t>example, in the Western Cape, the contingent liability decreased by R 150 million from 2015/2016 to 2016/2017 and payments for 2016/2017 amounted to R 38.4 million.</w:t>
      </w:r>
    </w:p>
    <w:p w:rsidR="006B7A87" w:rsidRDefault="006B7A87" w:rsidP="00D32AEE">
      <w:pPr>
        <w:ind w:left="720" w:hanging="720"/>
        <w:jc w:val="both"/>
        <w:rPr>
          <w:rFonts w:ascii="Arial" w:hAnsi="Arial" w:cs="Arial"/>
        </w:rPr>
      </w:pPr>
    </w:p>
    <w:p w:rsidR="00595EBB" w:rsidRPr="00D32AEE" w:rsidRDefault="006B7A87" w:rsidP="00D32AEE">
      <w:pPr>
        <w:ind w:left="720" w:hanging="720"/>
        <w:jc w:val="both"/>
        <w:rPr>
          <w:rFonts w:ascii="Arial" w:hAnsi="Arial" w:cs="Arial"/>
          <w:b/>
        </w:rPr>
      </w:pPr>
      <w:r>
        <w:rPr>
          <w:rFonts w:ascii="Arial" w:hAnsi="Arial" w:cs="Arial"/>
        </w:rPr>
        <w:t>4.1.</w:t>
      </w:r>
      <w:r w:rsidR="00E51DDB">
        <w:rPr>
          <w:rFonts w:ascii="Arial" w:hAnsi="Arial" w:cs="Arial"/>
        </w:rPr>
        <w:t>5</w:t>
      </w:r>
      <w:r>
        <w:rPr>
          <w:rFonts w:ascii="Arial" w:hAnsi="Arial" w:cs="Arial"/>
        </w:rPr>
        <w:tab/>
      </w:r>
      <w:r w:rsidR="00D2485D">
        <w:rPr>
          <w:rFonts w:ascii="Arial" w:hAnsi="Arial" w:cs="Arial"/>
        </w:rPr>
        <w:t>An audit must also be conducted to rule out aspects such as double counting (for example, recording an amended summons amount as 2 claims).</w:t>
      </w:r>
      <w:r w:rsidR="00595EBB" w:rsidRPr="00D32AEE">
        <w:rPr>
          <w:rFonts w:ascii="Arial" w:hAnsi="Arial" w:cs="Arial"/>
          <w:b/>
        </w:rPr>
        <w:br w:type="page"/>
      </w:r>
    </w:p>
    <w:p w:rsidR="00595EBB" w:rsidRDefault="00595EBB" w:rsidP="00595EBB">
      <w:pPr>
        <w:jc w:val="both"/>
        <w:rPr>
          <w:rFonts w:ascii="Arial" w:hAnsi="Arial" w:cs="Arial"/>
          <w:b/>
          <w:u w:val="single"/>
        </w:rPr>
      </w:pPr>
      <w:r>
        <w:rPr>
          <w:rFonts w:ascii="Arial" w:hAnsi="Arial" w:cs="Arial"/>
          <w:b/>
        </w:rPr>
        <w:lastRenderedPageBreak/>
        <w:t>5</w:t>
      </w:r>
      <w:r w:rsidRPr="00E5233C">
        <w:rPr>
          <w:rFonts w:ascii="Arial" w:hAnsi="Arial" w:cs="Arial"/>
          <w:b/>
        </w:rPr>
        <w:t>.</w:t>
      </w:r>
      <w:r w:rsidRPr="00E5233C">
        <w:rPr>
          <w:rFonts w:ascii="Arial" w:hAnsi="Arial" w:cs="Arial"/>
          <w:b/>
        </w:rPr>
        <w:tab/>
      </w:r>
      <w:r>
        <w:rPr>
          <w:rFonts w:ascii="Arial" w:hAnsi="Arial" w:cs="Arial"/>
          <w:b/>
          <w:u w:val="single"/>
        </w:rPr>
        <w:t>The global childbirth litigation industry</w:t>
      </w:r>
    </w:p>
    <w:p w:rsidR="00595EBB" w:rsidRDefault="00595EBB" w:rsidP="00595EBB">
      <w:pPr>
        <w:rPr>
          <w:rFonts w:ascii="Arial" w:hAnsi="Arial" w:cs="Arial"/>
          <w:b/>
        </w:rPr>
      </w:pPr>
    </w:p>
    <w:p w:rsidR="00595EBB" w:rsidRDefault="00595EBB" w:rsidP="00595EBB">
      <w:pPr>
        <w:ind w:left="720" w:hanging="720"/>
        <w:jc w:val="both"/>
        <w:rPr>
          <w:rFonts w:ascii="Arial" w:hAnsi="Arial" w:cs="Arial"/>
        </w:rPr>
      </w:pPr>
      <w:r>
        <w:rPr>
          <w:rFonts w:ascii="Arial" w:hAnsi="Arial" w:cs="Arial"/>
        </w:rPr>
        <w:t>5.1</w:t>
      </w:r>
      <w:r>
        <w:rPr>
          <w:rFonts w:ascii="Arial" w:hAnsi="Arial" w:cs="Arial"/>
        </w:rPr>
        <w:tab/>
        <w:t>The American Congress of Obstetricians and Gynaecologists (ACOG) 2015 Survey on Professional Liability revealed the following:</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5.1.1</w:t>
      </w:r>
      <w:r>
        <w:rPr>
          <w:rFonts w:ascii="Arial" w:hAnsi="Arial" w:cs="Arial"/>
        </w:rPr>
        <w:tab/>
        <w:t>At least one professional liability claim was filed against 73.6% of respondents during their professional careers, with an average of 2.59 claims per ob-gyn.</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5.1.2</w:t>
      </w:r>
      <w:r>
        <w:rPr>
          <w:rFonts w:ascii="Arial" w:hAnsi="Arial" w:cs="Arial"/>
        </w:rPr>
        <w:tab/>
        <w:t>Neurologically impaired infant claims were more likely to be the primary allegation of an obstetric claim (27.4%).</w:t>
      </w:r>
    </w:p>
    <w:p w:rsidR="00595EBB" w:rsidRDefault="00595EBB" w:rsidP="00595EBB">
      <w:pPr>
        <w:ind w:left="720" w:hanging="720"/>
        <w:jc w:val="both"/>
        <w:rPr>
          <w:rFonts w:ascii="Arial" w:hAnsi="Arial" w:cs="Arial"/>
        </w:rPr>
      </w:pPr>
    </w:p>
    <w:p w:rsidR="00595EBB" w:rsidRDefault="00595EBB" w:rsidP="00595EBB">
      <w:pPr>
        <w:ind w:left="720" w:hanging="720"/>
        <w:jc w:val="both"/>
        <w:rPr>
          <w:rFonts w:ascii="Arial" w:hAnsi="Arial" w:cs="Arial"/>
        </w:rPr>
      </w:pPr>
      <w:r>
        <w:rPr>
          <w:rFonts w:ascii="Arial" w:hAnsi="Arial" w:cs="Arial"/>
        </w:rPr>
        <w:t>5.1.3</w:t>
      </w:r>
      <w:r>
        <w:rPr>
          <w:rFonts w:ascii="Arial" w:hAnsi="Arial" w:cs="Arial"/>
        </w:rPr>
        <w:tab/>
        <w:t>Of neurologically impaired infant claims; 55.2% were delivered by caesaren section, 40.5% were delivered vaginally, and 2.0% were delivered by VBAC.</w:t>
      </w:r>
    </w:p>
    <w:p w:rsidR="00595EBB" w:rsidRDefault="00595EBB" w:rsidP="00595EBB">
      <w:pPr>
        <w:ind w:left="720" w:hanging="720"/>
        <w:jc w:val="both"/>
        <w:rPr>
          <w:rFonts w:ascii="Arial" w:hAnsi="Arial" w:cs="Arial"/>
        </w:rPr>
      </w:pPr>
    </w:p>
    <w:p w:rsidR="00201454" w:rsidRDefault="00595EBB" w:rsidP="00595EBB">
      <w:pPr>
        <w:ind w:left="720" w:hanging="720"/>
        <w:jc w:val="both"/>
        <w:rPr>
          <w:rFonts w:ascii="Arial" w:hAnsi="Arial" w:cs="Arial"/>
        </w:rPr>
      </w:pPr>
      <w:r>
        <w:rPr>
          <w:rFonts w:ascii="Arial" w:hAnsi="Arial" w:cs="Arial"/>
        </w:rPr>
        <w:t>5.2</w:t>
      </w:r>
      <w:r>
        <w:rPr>
          <w:rFonts w:ascii="Arial" w:hAnsi="Arial" w:cs="Arial"/>
        </w:rPr>
        <w:tab/>
      </w:r>
      <w:r w:rsidR="00201454">
        <w:rPr>
          <w:rFonts w:ascii="Arial" w:hAnsi="Arial" w:cs="Arial"/>
        </w:rPr>
        <w:t xml:space="preserve">In the United Kingdom, the National Health Service paid </w:t>
      </w:r>
      <w:r w:rsidR="00AC4A2C">
        <w:rPr>
          <w:rFonts w:ascii="Arial" w:hAnsi="Arial" w:cs="Arial"/>
        </w:rPr>
        <w:t>out approximately £ 2</w:t>
      </w:r>
      <w:r w:rsidR="00756837">
        <w:rPr>
          <w:rFonts w:ascii="Arial" w:hAnsi="Arial" w:cs="Arial"/>
        </w:rPr>
        <w:t>.</w:t>
      </w:r>
      <w:r w:rsidR="00AC4A2C">
        <w:rPr>
          <w:rFonts w:ascii="Arial" w:hAnsi="Arial" w:cs="Arial"/>
        </w:rPr>
        <w:t>2 billion in medical negligence claims in 2017/2018. Of that amount, approximately £ 595 million was paid in claimant and defence legal costs – claimant legal costs amounted to approximately 3.6 times defence legal costs.</w:t>
      </w:r>
    </w:p>
    <w:p w:rsidR="00201454" w:rsidRDefault="00201454" w:rsidP="00595EBB">
      <w:pPr>
        <w:ind w:left="720" w:hanging="720"/>
        <w:jc w:val="both"/>
        <w:rPr>
          <w:rFonts w:ascii="Arial" w:hAnsi="Arial" w:cs="Arial"/>
        </w:rPr>
      </w:pPr>
    </w:p>
    <w:p w:rsidR="00A002CF" w:rsidRDefault="00201454" w:rsidP="00595EBB">
      <w:pPr>
        <w:ind w:left="720" w:hanging="720"/>
        <w:jc w:val="both"/>
        <w:rPr>
          <w:rFonts w:ascii="Arial" w:hAnsi="Arial" w:cs="Arial"/>
        </w:rPr>
      </w:pPr>
      <w:r>
        <w:rPr>
          <w:rFonts w:ascii="Arial" w:hAnsi="Arial" w:cs="Arial"/>
        </w:rPr>
        <w:t>5.2.1</w:t>
      </w:r>
      <w:r>
        <w:rPr>
          <w:rFonts w:ascii="Arial" w:hAnsi="Arial" w:cs="Arial"/>
        </w:rPr>
        <w:tab/>
      </w:r>
      <w:r w:rsidR="00595EBB">
        <w:rPr>
          <w:rFonts w:ascii="Arial" w:hAnsi="Arial" w:cs="Arial"/>
        </w:rPr>
        <w:t>In the United Kingdom, the National Health Service has experienced the following in respect of cerebral palsy claims:</w:t>
      </w:r>
    </w:p>
    <w:p w:rsidR="00501670" w:rsidRDefault="00501670" w:rsidP="00595EBB">
      <w:pPr>
        <w:ind w:left="720" w:hanging="720"/>
        <w:jc w:val="both"/>
        <w:rPr>
          <w:rFonts w:ascii="Arial" w:hAnsi="Arial" w:cs="Arial"/>
          <w:b/>
        </w:rPr>
      </w:pPr>
    </w:p>
    <w:p w:rsidR="00501670" w:rsidRDefault="00026456" w:rsidP="00026456">
      <w:pPr>
        <w:ind w:left="720"/>
        <w:jc w:val="both"/>
        <w:rPr>
          <w:rFonts w:ascii="Arial" w:hAnsi="Arial" w:cs="Arial"/>
          <w:b/>
        </w:rPr>
      </w:pPr>
      <w:r w:rsidRPr="00026456">
        <w:rPr>
          <w:noProof/>
          <w:sz w:val="16"/>
          <w:szCs w:val="16"/>
          <w:lang w:val="en-ZA" w:eastAsia="en-ZA"/>
        </w:rPr>
        <w:drawing>
          <wp:inline distT="0" distB="0" distL="0" distR="0">
            <wp:extent cx="4988966" cy="2966720"/>
            <wp:effectExtent l="0" t="0" r="2540" b="508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13267767-8A2D-4C2D-8E69-3095160E9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18A6" w:rsidRDefault="00501670" w:rsidP="00CA31D4">
      <w:pPr>
        <w:ind w:left="720" w:hanging="720"/>
        <w:jc w:val="both"/>
        <w:rPr>
          <w:rFonts w:ascii="Arial" w:hAnsi="Arial" w:cs="Arial"/>
        </w:rPr>
      </w:pPr>
      <w:r w:rsidRPr="00CA31D4">
        <w:rPr>
          <w:rFonts w:ascii="Arial" w:hAnsi="Arial" w:cs="Arial"/>
        </w:rPr>
        <w:t>5.2.2</w:t>
      </w:r>
      <w:r w:rsidRPr="00CA31D4">
        <w:rPr>
          <w:rFonts w:ascii="Arial" w:hAnsi="Arial" w:cs="Arial"/>
        </w:rPr>
        <w:tab/>
      </w:r>
      <w:r w:rsidR="00CA31D4" w:rsidRPr="00CA31D4">
        <w:rPr>
          <w:rFonts w:ascii="Arial" w:hAnsi="Arial" w:cs="Arial"/>
        </w:rPr>
        <w:t>Over the past 14 years</w:t>
      </w:r>
      <w:r w:rsidR="00CA31D4">
        <w:rPr>
          <w:rFonts w:ascii="Arial" w:hAnsi="Arial" w:cs="Arial"/>
        </w:rPr>
        <w:t>, the number of claims ha</w:t>
      </w:r>
      <w:r w:rsidR="00E74E82">
        <w:rPr>
          <w:rFonts w:ascii="Arial" w:hAnsi="Arial" w:cs="Arial"/>
        </w:rPr>
        <w:t>s</w:t>
      </w:r>
      <w:r w:rsidR="00CA31D4">
        <w:rPr>
          <w:rFonts w:ascii="Arial" w:hAnsi="Arial" w:cs="Arial"/>
        </w:rPr>
        <w:t xml:space="preserve"> been between 179 to 255 a year. The total claim value has increased significantly from </w:t>
      </w:r>
      <w:r w:rsidR="00E74E82">
        <w:rPr>
          <w:rFonts w:ascii="Arial" w:hAnsi="Arial" w:cs="Arial"/>
        </w:rPr>
        <w:t>£ 359 million in 2004/2005 to £ 1.861 billion in 2017/2018.</w:t>
      </w:r>
    </w:p>
    <w:p w:rsidR="006818A6" w:rsidRDefault="006818A6" w:rsidP="00CA31D4">
      <w:pPr>
        <w:ind w:left="720" w:hanging="720"/>
        <w:jc w:val="both"/>
        <w:rPr>
          <w:rFonts w:ascii="Arial" w:hAnsi="Arial" w:cs="Arial"/>
        </w:rPr>
      </w:pPr>
    </w:p>
    <w:p w:rsidR="006818A6" w:rsidRDefault="006818A6" w:rsidP="006818A6">
      <w:pPr>
        <w:ind w:left="720" w:hanging="720"/>
        <w:jc w:val="both"/>
        <w:rPr>
          <w:rFonts w:ascii="Arial" w:hAnsi="Arial" w:cs="Arial"/>
        </w:rPr>
      </w:pPr>
      <w:r>
        <w:rPr>
          <w:rFonts w:ascii="Arial" w:hAnsi="Arial" w:cs="Arial"/>
        </w:rPr>
        <w:t>5.3</w:t>
      </w:r>
      <w:r>
        <w:rPr>
          <w:rFonts w:ascii="Arial" w:hAnsi="Arial" w:cs="Arial"/>
        </w:rPr>
        <w:tab/>
        <w:t>Hwang et al. note that with respect to a 12-year analysis of closed medical malpractice claims of the Taiwan civil court that:</w:t>
      </w:r>
    </w:p>
    <w:p w:rsidR="006818A6" w:rsidRPr="006818A6" w:rsidRDefault="006818A6" w:rsidP="006818A6">
      <w:pPr>
        <w:jc w:val="both"/>
        <w:rPr>
          <w:rFonts w:ascii="Arial" w:hAnsi="Arial" w:cs="Arial"/>
          <w:sz w:val="18"/>
          <w:szCs w:val="18"/>
        </w:rPr>
      </w:pPr>
      <w:r w:rsidRPr="006818A6">
        <w:rPr>
          <w:rFonts w:ascii="Arial" w:hAnsi="Arial" w:cs="Arial"/>
          <w:sz w:val="18"/>
          <w:szCs w:val="18"/>
        </w:rPr>
        <w:tab/>
      </w:r>
      <w:r w:rsidRPr="006818A6">
        <w:rPr>
          <w:rFonts w:ascii="Arial" w:hAnsi="Arial" w:cs="Arial"/>
          <w:sz w:val="18"/>
          <w:szCs w:val="18"/>
        </w:rPr>
        <w:tab/>
        <w:t>The most common single specialty involved was obstetrics (10.7%)</w:t>
      </w:r>
      <w:r w:rsidRPr="006818A6">
        <w:rPr>
          <w:rFonts w:ascii="Arial" w:hAnsi="Arial" w:cs="Arial"/>
          <w:sz w:val="18"/>
          <w:szCs w:val="18"/>
        </w:rPr>
        <w:tab/>
      </w:r>
    </w:p>
    <w:p w:rsidR="006818A6" w:rsidRDefault="006818A6" w:rsidP="006818A6">
      <w:pPr>
        <w:jc w:val="both"/>
        <w:rPr>
          <w:rFonts w:ascii="Arial" w:hAnsi="Arial" w:cs="Arial"/>
        </w:rPr>
      </w:pPr>
    </w:p>
    <w:p w:rsidR="00CA2735" w:rsidRDefault="006818A6" w:rsidP="00CA2735">
      <w:pPr>
        <w:ind w:left="1440"/>
        <w:jc w:val="both"/>
        <w:rPr>
          <w:rFonts w:ascii="Arial" w:hAnsi="Arial" w:cs="Arial"/>
          <w:sz w:val="18"/>
          <w:szCs w:val="18"/>
        </w:rPr>
      </w:pPr>
      <w:r w:rsidRPr="00CA2735">
        <w:rPr>
          <w:rFonts w:ascii="Arial" w:hAnsi="Arial" w:cs="Arial"/>
          <w:sz w:val="18"/>
          <w:szCs w:val="18"/>
        </w:rPr>
        <w:t xml:space="preserve">Increased public education to prevent unrealistic expectations among patients is recommended to decrease frivolous lawsuits. Further investigation to improve the lengthy judicial process is also necessary to relieve the stress of medical malpractice claims on clinicians and practitioners, as well as on the judicial system and rightful claimants. </w:t>
      </w:r>
    </w:p>
    <w:p w:rsidR="00595EBB" w:rsidRPr="00CA31D4" w:rsidRDefault="006818A6" w:rsidP="00CA2735">
      <w:pPr>
        <w:ind w:left="1440"/>
        <w:jc w:val="both"/>
        <w:rPr>
          <w:rFonts w:ascii="Arial" w:hAnsi="Arial" w:cs="Arial"/>
        </w:rPr>
      </w:pPr>
      <w:r w:rsidRPr="00CA2735">
        <w:rPr>
          <w:rFonts w:ascii="Arial" w:hAnsi="Arial" w:cs="Arial"/>
          <w:sz w:val="18"/>
          <w:szCs w:val="18"/>
        </w:rPr>
        <w:br/>
      </w:r>
    </w:p>
    <w:p w:rsidR="00CA2735" w:rsidRDefault="00CA2735">
      <w:pPr>
        <w:rPr>
          <w:rFonts w:ascii="Arial" w:hAnsi="Arial" w:cs="Arial"/>
        </w:rPr>
      </w:pPr>
      <w:r>
        <w:rPr>
          <w:rFonts w:ascii="Arial" w:hAnsi="Arial" w:cs="Arial"/>
        </w:rPr>
        <w:br w:type="page"/>
      </w:r>
    </w:p>
    <w:p w:rsidR="00D539E7" w:rsidRPr="00CA2735" w:rsidRDefault="00034406" w:rsidP="00D539E7">
      <w:pPr>
        <w:jc w:val="both"/>
        <w:rPr>
          <w:rFonts w:ascii="Arial" w:hAnsi="Arial" w:cs="Arial"/>
          <w:b/>
          <w:u w:val="single"/>
        </w:rPr>
      </w:pPr>
      <w:r w:rsidRPr="00CA2735">
        <w:rPr>
          <w:rFonts w:ascii="Arial" w:hAnsi="Arial" w:cs="Arial"/>
          <w:b/>
        </w:rPr>
        <w:lastRenderedPageBreak/>
        <w:t>6</w:t>
      </w:r>
      <w:r w:rsidR="00D539E7" w:rsidRPr="00CA2735">
        <w:rPr>
          <w:rFonts w:ascii="Arial" w:hAnsi="Arial" w:cs="Arial"/>
          <w:b/>
        </w:rPr>
        <w:t>.</w:t>
      </w:r>
      <w:r w:rsidR="00D539E7" w:rsidRPr="00CA2735">
        <w:rPr>
          <w:rFonts w:ascii="Arial" w:hAnsi="Arial" w:cs="Arial"/>
          <w:b/>
        </w:rPr>
        <w:tab/>
      </w:r>
      <w:r w:rsidR="00D539E7" w:rsidRPr="00CA2735">
        <w:rPr>
          <w:rFonts w:ascii="Arial" w:hAnsi="Arial" w:cs="Arial"/>
          <w:b/>
          <w:u w:val="single"/>
        </w:rPr>
        <w:t xml:space="preserve">Structured </w:t>
      </w:r>
      <w:r w:rsidR="00B76E4D" w:rsidRPr="00CA2735">
        <w:rPr>
          <w:rFonts w:ascii="Arial" w:hAnsi="Arial" w:cs="Arial"/>
          <w:b/>
          <w:u w:val="single"/>
        </w:rPr>
        <w:t>s</w:t>
      </w:r>
      <w:r w:rsidR="00D539E7" w:rsidRPr="00CA2735">
        <w:rPr>
          <w:rFonts w:ascii="Arial" w:hAnsi="Arial" w:cs="Arial"/>
          <w:b/>
          <w:u w:val="single"/>
        </w:rPr>
        <w:t>ettlements</w:t>
      </w:r>
    </w:p>
    <w:p w:rsidR="00D539E7" w:rsidRDefault="00D539E7">
      <w:pPr>
        <w:rPr>
          <w:rFonts w:ascii="Arial" w:hAnsi="Arial" w:cs="Arial"/>
        </w:rPr>
      </w:pPr>
    </w:p>
    <w:p w:rsidR="007558E6" w:rsidRDefault="00034406" w:rsidP="00E268E9">
      <w:pPr>
        <w:ind w:left="720" w:hanging="720"/>
        <w:jc w:val="both"/>
        <w:rPr>
          <w:rFonts w:ascii="Arial" w:hAnsi="Arial" w:cs="Arial"/>
        </w:rPr>
      </w:pPr>
      <w:r>
        <w:rPr>
          <w:rFonts w:ascii="Arial" w:hAnsi="Arial" w:cs="Arial"/>
        </w:rPr>
        <w:t>6</w:t>
      </w:r>
      <w:r w:rsidR="007558E6">
        <w:rPr>
          <w:rFonts w:ascii="Arial" w:hAnsi="Arial" w:cs="Arial"/>
        </w:rPr>
        <w:t>.</w:t>
      </w:r>
      <w:r w:rsidR="00D539E7">
        <w:rPr>
          <w:rFonts w:ascii="Arial" w:hAnsi="Arial" w:cs="Arial"/>
        </w:rPr>
        <w:t>1</w:t>
      </w:r>
      <w:r w:rsidR="007558E6">
        <w:rPr>
          <w:rFonts w:ascii="Arial" w:hAnsi="Arial" w:cs="Arial"/>
        </w:rPr>
        <w:tab/>
      </w:r>
      <w:r w:rsidR="00E268E9">
        <w:rPr>
          <w:rFonts w:ascii="Arial" w:hAnsi="Arial" w:cs="Arial"/>
        </w:rPr>
        <w:t xml:space="preserve">A </w:t>
      </w:r>
      <w:r w:rsidR="00E268E9" w:rsidRPr="00ED106E">
        <w:rPr>
          <w:rFonts w:ascii="Arial" w:hAnsi="Arial" w:cs="Arial"/>
          <w:u w:val="single"/>
        </w:rPr>
        <w:t>Structured Settlement</w:t>
      </w:r>
      <w:r w:rsidR="00E268E9">
        <w:rPr>
          <w:rFonts w:ascii="Arial" w:hAnsi="Arial" w:cs="Arial"/>
        </w:rPr>
        <w:t xml:space="preserve"> is defined as follows by </w:t>
      </w:r>
      <w:r w:rsidR="00B70F66">
        <w:rPr>
          <w:rFonts w:ascii="Arial" w:hAnsi="Arial" w:cs="Arial"/>
        </w:rPr>
        <w:t>the National Structured Settlement Trade Association of the United States:</w:t>
      </w:r>
    </w:p>
    <w:p w:rsidR="00B70F66" w:rsidRDefault="00B70F66" w:rsidP="00E268E9">
      <w:pPr>
        <w:ind w:left="720" w:hanging="720"/>
        <w:jc w:val="both"/>
        <w:rPr>
          <w:rFonts w:ascii="Arial" w:hAnsi="Arial" w:cs="Arial"/>
        </w:rPr>
      </w:pPr>
    </w:p>
    <w:p w:rsidR="00B70F66" w:rsidRPr="00B70F66" w:rsidRDefault="00B70F66" w:rsidP="00E268E9">
      <w:pPr>
        <w:ind w:left="720" w:hanging="720"/>
        <w:jc w:val="both"/>
        <w:rPr>
          <w:rFonts w:ascii="Arial" w:hAnsi="Arial" w:cs="Arial"/>
          <w:i/>
          <w:sz w:val="18"/>
          <w:szCs w:val="18"/>
        </w:rPr>
      </w:pPr>
      <w:r w:rsidRPr="00B70F66">
        <w:rPr>
          <w:rFonts w:ascii="Arial" w:hAnsi="Arial" w:cs="Arial"/>
          <w:i/>
          <w:sz w:val="18"/>
          <w:szCs w:val="18"/>
        </w:rPr>
        <w:tab/>
        <w:t>“A structured settlement is the payment of money for a personal injury claim where at least part of the settlement calls for future payment.  The payments may be scheduled for any length of time – usually as long as the claimant’s life – and may consist of instalment payments and/or future lump sums.  Payments can be in fixed amounts or they can vary.  The schedule is structured to meet the financial needs of the claimant.”</w:t>
      </w:r>
    </w:p>
    <w:p w:rsidR="00152158" w:rsidRDefault="00152158" w:rsidP="00DF74AA">
      <w:pPr>
        <w:ind w:left="720" w:hanging="720"/>
        <w:jc w:val="both"/>
        <w:rPr>
          <w:rStyle w:val="Strong"/>
          <w:rFonts w:ascii="Arial" w:hAnsi="Arial" w:cs="Arial"/>
          <w:b w:val="0"/>
        </w:rPr>
      </w:pPr>
    </w:p>
    <w:p w:rsidR="00C379AB" w:rsidRDefault="00034406" w:rsidP="00355EBA">
      <w:pPr>
        <w:ind w:left="720" w:hanging="720"/>
        <w:jc w:val="both"/>
        <w:rPr>
          <w:rFonts w:ascii="Arial" w:hAnsi="Arial" w:cs="Arial"/>
          <w:lang w:val="en-GB"/>
        </w:rPr>
      </w:pPr>
      <w:r>
        <w:rPr>
          <w:rStyle w:val="Strong"/>
          <w:rFonts w:ascii="Arial" w:hAnsi="Arial" w:cs="Arial"/>
          <w:b w:val="0"/>
        </w:rPr>
        <w:t>6</w:t>
      </w:r>
      <w:r w:rsidR="00152158">
        <w:rPr>
          <w:rStyle w:val="Strong"/>
          <w:rFonts w:ascii="Arial" w:hAnsi="Arial" w:cs="Arial"/>
          <w:b w:val="0"/>
        </w:rPr>
        <w:t>.</w:t>
      </w:r>
      <w:r w:rsidR="00D539E7">
        <w:rPr>
          <w:rStyle w:val="Strong"/>
          <w:rFonts w:ascii="Arial" w:hAnsi="Arial" w:cs="Arial"/>
          <w:b w:val="0"/>
        </w:rPr>
        <w:t>2</w:t>
      </w:r>
      <w:r w:rsidR="00152158">
        <w:rPr>
          <w:rStyle w:val="Strong"/>
          <w:rFonts w:ascii="Arial" w:hAnsi="Arial" w:cs="Arial"/>
          <w:b w:val="0"/>
        </w:rPr>
        <w:tab/>
      </w:r>
      <w:r w:rsidR="00C379AB">
        <w:rPr>
          <w:rStyle w:val="Strong"/>
          <w:rFonts w:ascii="Arial" w:hAnsi="Arial" w:cs="Arial"/>
          <w:b w:val="0"/>
        </w:rPr>
        <w:t xml:space="preserve">Under SLAB compensation for medical negligence against the State </w:t>
      </w:r>
      <w:r w:rsidR="00C379AB" w:rsidRPr="00C379AB">
        <w:rPr>
          <w:rFonts w:ascii="Arial" w:hAnsi="Arial" w:cs="Arial"/>
          <w:lang w:val="en-GB"/>
        </w:rPr>
        <w:t>can either be in the form of a single lump sum or, alternatively, as a series of regular payments over the remainder of the claimant’s lifetime. Th</w:t>
      </w:r>
      <w:r w:rsidR="00C379AB">
        <w:rPr>
          <w:rFonts w:ascii="Arial" w:hAnsi="Arial" w:cs="Arial"/>
          <w:lang w:val="en-GB"/>
        </w:rPr>
        <w:t>e</w:t>
      </w:r>
      <w:r w:rsidR="00C379AB" w:rsidRPr="00C379AB">
        <w:rPr>
          <w:rFonts w:ascii="Arial" w:hAnsi="Arial" w:cs="Arial"/>
          <w:lang w:val="en-GB"/>
        </w:rPr>
        <w:t xml:space="preserve"> latter is known as a structured settlement, or </w:t>
      </w:r>
      <w:r w:rsidR="00C379AB">
        <w:rPr>
          <w:rFonts w:ascii="Arial" w:hAnsi="Arial" w:cs="Arial"/>
          <w:lang w:val="en-GB"/>
        </w:rPr>
        <w:t xml:space="preserve">a </w:t>
      </w:r>
      <w:r w:rsidR="00465B39">
        <w:rPr>
          <w:rFonts w:ascii="Arial" w:hAnsi="Arial" w:cs="Arial"/>
          <w:lang w:val="en-GB"/>
        </w:rPr>
        <w:t>p</w:t>
      </w:r>
      <w:r w:rsidR="00C379AB">
        <w:rPr>
          <w:rFonts w:ascii="Arial" w:hAnsi="Arial" w:cs="Arial"/>
          <w:lang w:val="en-GB"/>
        </w:rPr>
        <w:t xml:space="preserve">eriodic </w:t>
      </w:r>
      <w:r w:rsidR="00465B39">
        <w:rPr>
          <w:rFonts w:ascii="Arial" w:hAnsi="Arial" w:cs="Arial"/>
          <w:lang w:val="en-GB"/>
        </w:rPr>
        <w:t>p</w:t>
      </w:r>
      <w:r w:rsidR="00C379AB">
        <w:rPr>
          <w:rFonts w:ascii="Arial" w:hAnsi="Arial" w:cs="Arial"/>
          <w:lang w:val="en-GB"/>
        </w:rPr>
        <w:t xml:space="preserve">ayment </w:t>
      </w:r>
      <w:r w:rsidR="00465B39">
        <w:rPr>
          <w:rFonts w:ascii="Arial" w:hAnsi="Arial" w:cs="Arial"/>
          <w:lang w:val="en-GB"/>
        </w:rPr>
        <w:t>o</w:t>
      </w:r>
      <w:r w:rsidR="00C379AB">
        <w:rPr>
          <w:rFonts w:ascii="Arial" w:hAnsi="Arial" w:cs="Arial"/>
          <w:lang w:val="en-GB"/>
        </w:rPr>
        <w:t>rder.</w:t>
      </w:r>
    </w:p>
    <w:p w:rsidR="00B95A04" w:rsidRDefault="00B95A04" w:rsidP="00355EBA">
      <w:pPr>
        <w:ind w:left="720" w:hanging="720"/>
        <w:jc w:val="both"/>
        <w:rPr>
          <w:rFonts w:ascii="Arial" w:hAnsi="Arial" w:cs="Arial"/>
          <w:lang w:val="en-GB"/>
        </w:rPr>
      </w:pPr>
    </w:p>
    <w:p w:rsidR="00507424" w:rsidRDefault="00034406" w:rsidP="00355EBA">
      <w:pPr>
        <w:ind w:left="720" w:hanging="720"/>
        <w:jc w:val="both"/>
        <w:rPr>
          <w:rFonts w:ascii="Arial" w:hAnsi="Arial" w:cs="Arial"/>
          <w:lang w:val="en-GB"/>
        </w:rPr>
      </w:pPr>
      <w:r>
        <w:rPr>
          <w:rFonts w:ascii="Arial" w:hAnsi="Arial" w:cs="Arial"/>
          <w:lang w:val="en-GB"/>
        </w:rPr>
        <w:t>6</w:t>
      </w:r>
      <w:r w:rsidR="00B95A04">
        <w:rPr>
          <w:rFonts w:ascii="Arial" w:hAnsi="Arial" w:cs="Arial"/>
          <w:lang w:val="en-GB"/>
        </w:rPr>
        <w:t>.</w:t>
      </w:r>
      <w:r w:rsidR="00D539E7">
        <w:rPr>
          <w:rFonts w:ascii="Arial" w:hAnsi="Arial" w:cs="Arial"/>
          <w:lang w:val="en-GB"/>
        </w:rPr>
        <w:t>3</w:t>
      </w:r>
      <w:r w:rsidR="00B95A04">
        <w:rPr>
          <w:rFonts w:ascii="Arial" w:hAnsi="Arial" w:cs="Arial"/>
          <w:lang w:val="en-GB"/>
        </w:rPr>
        <w:tab/>
        <w:t xml:space="preserve">SLAB makes provision for payments to be made once a year and are linked to the consumer price index. </w:t>
      </w:r>
      <w:r w:rsidR="002530C4">
        <w:rPr>
          <w:rFonts w:ascii="Arial" w:hAnsi="Arial" w:cs="Arial"/>
          <w:lang w:val="en-GB"/>
        </w:rPr>
        <w:t xml:space="preserve">Linking payments to the consumer price index may be challenged. In the United Kingdom in the case </w:t>
      </w:r>
      <w:r w:rsidR="0096637D">
        <w:rPr>
          <w:rFonts w:ascii="Arial" w:hAnsi="Arial" w:cs="Arial"/>
          <w:lang w:val="en-GB"/>
        </w:rPr>
        <w:t xml:space="preserve">of </w:t>
      </w:r>
      <w:r w:rsidR="0096637D" w:rsidRPr="0096637D">
        <w:rPr>
          <w:rFonts w:ascii="Arial" w:hAnsi="Arial" w:cs="Arial"/>
          <w:i/>
          <w:lang w:val="en-GB"/>
        </w:rPr>
        <w:t>Thompstone v Tameside &amp; Glossop Acute Services NHS Trust</w:t>
      </w:r>
      <w:r w:rsidR="002530C4">
        <w:rPr>
          <w:rFonts w:ascii="Arial" w:hAnsi="Arial" w:cs="Arial"/>
          <w:lang w:val="en-GB"/>
        </w:rPr>
        <w:t>; the Courts ruled that a higher earnings index could be used instead of the consumer price index. This resulted in a substantial increase in the value of periodic payments.</w:t>
      </w:r>
    </w:p>
    <w:p w:rsidR="00507424" w:rsidRDefault="00507424">
      <w:pPr>
        <w:rPr>
          <w:rFonts w:ascii="Arial" w:hAnsi="Arial" w:cs="Arial"/>
          <w:lang w:val="en-GB"/>
        </w:rPr>
      </w:pPr>
    </w:p>
    <w:p w:rsidR="00034E5F" w:rsidRDefault="00034406" w:rsidP="00355EBA">
      <w:pPr>
        <w:ind w:left="720" w:hanging="720"/>
        <w:jc w:val="both"/>
        <w:rPr>
          <w:rFonts w:ascii="Arial" w:hAnsi="Arial" w:cs="Arial"/>
          <w:lang w:val="en-GB"/>
        </w:rPr>
      </w:pPr>
      <w:r>
        <w:rPr>
          <w:rFonts w:ascii="Arial" w:hAnsi="Arial" w:cs="Arial"/>
          <w:lang w:val="en-GB"/>
        </w:rPr>
        <w:t>6</w:t>
      </w:r>
      <w:r w:rsidR="00507424">
        <w:rPr>
          <w:rFonts w:ascii="Arial" w:hAnsi="Arial" w:cs="Arial"/>
          <w:lang w:val="en-GB"/>
        </w:rPr>
        <w:t>.</w:t>
      </w:r>
      <w:r w:rsidR="00D539E7">
        <w:rPr>
          <w:rFonts w:ascii="Arial" w:hAnsi="Arial" w:cs="Arial"/>
          <w:lang w:val="en-GB"/>
        </w:rPr>
        <w:t>4</w:t>
      </w:r>
      <w:r w:rsidR="00507424">
        <w:rPr>
          <w:rFonts w:ascii="Arial" w:hAnsi="Arial" w:cs="Arial"/>
          <w:lang w:val="en-GB"/>
        </w:rPr>
        <w:tab/>
        <w:t>SLAB is silent as to whe</w:t>
      </w:r>
      <w:r w:rsidR="00034E5F">
        <w:rPr>
          <w:rFonts w:ascii="Arial" w:hAnsi="Arial" w:cs="Arial"/>
          <w:lang w:val="en-GB"/>
        </w:rPr>
        <w:t>ther</w:t>
      </w:r>
      <w:r w:rsidR="00507424">
        <w:rPr>
          <w:rFonts w:ascii="Arial" w:hAnsi="Arial" w:cs="Arial"/>
          <w:lang w:val="en-GB"/>
        </w:rPr>
        <w:t xml:space="preserve"> there can be a provision for step changes </w:t>
      </w:r>
      <w:r w:rsidR="00C379AB" w:rsidRPr="00C379AB">
        <w:rPr>
          <w:rFonts w:ascii="Arial" w:hAnsi="Arial" w:cs="Arial"/>
          <w:lang w:val="en-GB"/>
        </w:rPr>
        <w:t xml:space="preserve">in the regular payment amount to be written into a </w:t>
      </w:r>
      <w:r w:rsidR="00465B39">
        <w:rPr>
          <w:rFonts w:ascii="Arial" w:hAnsi="Arial" w:cs="Arial"/>
          <w:lang w:val="en-GB"/>
        </w:rPr>
        <w:t>structured settlement</w:t>
      </w:r>
      <w:r w:rsidR="00C379AB" w:rsidRPr="00C379AB">
        <w:rPr>
          <w:rFonts w:ascii="Arial" w:hAnsi="Arial" w:cs="Arial"/>
          <w:lang w:val="en-GB"/>
        </w:rPr>
        <w:t xml:space="preserve">. These are known as stepped </w:t>
      </w:r>
      <w:r w:rsidR="00465B39">
        <w:rPr>
          <w:rFonts w:ascii="Arial" w:hAnsi="Arial" w:cs="Arial"/>
          <w:lang w:val="en-GB"/>
        </w:rPr>
        <w:t>structured settlements</w:t>
      </w:r>
      <w:r w:rsidR="00C379AB" w:rsidRPr="00C379AB">
        <w:rPr>
          <w:rFonts w:ascii="Arial" w:hAnsi="Arial" w:cs="Arial"/>
          <w:lang w:val="en-GB"/>
        </w:rPr>
        <w:t xml:space="preserve"> and apply at fixed points in time to situations where a specific change in circumstance has already been foreseen at the time of settlement. </w:t>
      </w:r>
      <w:r w:rsidR="00034E5F">
        <w:rPr>
          <w:rFonts w:ascii="Arial" w:hAnsi="Arial" w:cs="Arial"/>
          <w:lang w:val="en-GB"/>
        </w:rPr>
        <w:t xml:space="preserve">For example, care giving costs typically increase after a child attains 18. It is preferable to make provision for stepped </w:t>
      </w:r>
      <w:r w:rsidR="00465B39">
        <w:rPr>
          <w:rFonts w:ascii="Arial" w:hAnsi="Arial" w:cs="Arial"/>
          <w:lang w:val="en-GB"/>
        </w:rPr>
        <w:t xml:space="preserve">structured settlements </w:t>
      </w:r>
      <w:r w:rsidR="00034E5F">
        <w:rPr>
          <w:rFonts w:ascii="Arial" w:hAnsi="Arial" w:cs="Arial"/>
          <w:lang w:val="en-GB"/>
        </w:rPr>
        <w:t>so that Section 2A(4) is not relied upon unnecessarily.</w:t>
      </w:r>
    </w:p>
    <w:p w:rsidR="00034E5F" w:rsidRDefault="00034E5F" w:rsidP="00355EBA">
      <w:pPr>
        <w:ind w:left="720" w:hanging="720"/>
        <w:jc w:val="both"/>
        <w:rPr>
          <w:rFonts w:ascii="Arial" w:hAnsi="Arial" w:cs="Arial"/>
          <w:lang w:val="en-GB"/>
        </w:rPr>
      </w:pPr>
    </w:p>
    <w:p w:rsidR="00D539E7" w:rsidRDefault="00034406" w:rsidP="00D539E7">
      <w:pPr>
        <w:ind w:left="720" w:hanging="720"/>
        <w:jc w:val="both"/>
        <w:rPr>
          <w:rFonts w:ascii="Arial" w:hAnsi="Arial" w:cs="Arial"/>
          <w:lang w:val="en-GB"/>
        </w:rPr>
      </w:pPr>
      <w:r>
        <w:rPr>
          <w:rFonts w:ascii="Arial" w:hAnsi="Arial" w:cs="Arial"/>
          <w:lang w:val="en-GB"/>
        </w:rPr>
        <w:t>6</w:t>
      </w:r>
      <w:r w:rsidR="00D539E7">
        <w:rPr>
          <w:rFonts w:ascii="Arial" w:hAnsi="Arial" w:cs="Arial"/>
          <w:lang w:val="en-GB"/>
        </w:rPr>
        <w:t>.5</w:t>
      </w:r>
      <w:r w:rsidR="00D539E7">
        <w:rPr>
          <w:rFonts w:ascii="Arial" w:hAnsi="Arial" w:cs="Arial"/>
          <w:lang w:val="en-GB"/>
        </w:rPr>
        <w:tab/>
        <w:t>SLAB makes provision for v</w:t>
      </w:r>
      <w:r w:rsidR="00C379AB" w:rsidRPr="00C379AB">
        <w:rPr>
          <w:rFonts w:ascii="Arial" w:hAnsi="Arial" w:cs="Arial"/>
          <w:lang w:val="en-GB"/>
        </w:rPr>
        <w:t xml:space="preserve">ariability orders, whereby the case can return to court in specific circumstances, such as a deterioration in the claimant’s medical condition. For both the stepped and variability orders, the terms under which the increase in payments will be triggered have to be defined clearly at the time of the settlement. </w:t>
      </w:r>
    </w:p>
    <w:p w:rsidR="004F6431" w:rsidRDefault="004F6431">
      <w:pPr>
        <w:rPr>
          <w:rFonts w:ascii="Arial" w:hAnsi="Arial" w:cs="Arial"/>
          <w:lang w:val="en-GB"/>
        </w:rPr>
      </w:pPr>
      <w:r>
        <w:rPr>
          <w:rFonts w:ascii="Arial" w:hAnsi="Arial" w:cs="Arial"/>
          <w:lang w:val="en-GB"/>
        </w:rPr>
        <w:br w:type="page"/>
      </w:r>
    </w:p>
    <w:p w:rsidR="004F6431" w:rsidRDefault="00034406" w:rsidP="004F6431">
      <w:pPr>
        <w:jc w:val="both"/>
        <w:rPr>
          <w:rFonts w:ascii="Arial" w:hAnsi="Arial" w:cs="Arial"/>
          <w:b/>
          <w:u w:val="single"/>
        </w:rPr>
      </w:pPr>
      <w:r>
        <w:rPr>
          <w:rFonts w:ascii="Arial" w:hAnsi="Arial" w:cs="Arial"/>
          <w:b/>
        </w:rPr>
        <w:lastRenderedPageBreak/>
        <w:t>7</w:t>
      </w:r>
      <w:r w:rsidR="004F6431" w:rsidRPr="00E5233C">
        <w:rPr>
          <w:rFonts w:ascii="Arial" w:hAnsi="Arial" w:cs="Arial"/>
          <w:b/>
        </w:rPr>
        <w:t>.</w:t>
      </w:r>
      <w:r w:rsidR="004F6431" w:rsidRPr="00E5233C">
        <w:rPr>
          <w:rFonts w:ascii="Arial" w:hAnsi="Arial" w:cs="Arial"/>
          <w:b/>
        </w:rPr>
        <w:tab/>
      </w:r>
      <w:r w:rsidR="004F6431">
        <w:rPr>
          <w:rFonts w:ascii="Arial" w:hAnsi="Arial" w:cs="Arial"/>
          <w:b/>
          <w:u w:val="single"/>
        </w:rPr>
        <w:t>Comparing lump sum settlements and structured settlements</w:t>
      </w:r>
    </w:p>
    <w:p w:rsidR="004F6431" w:rsidRDefault="004F6431" w:rsidP="004F6431">
      <w:pPr>
        <w:jc w:val="both"/>
        <w:rPr>
          <w:rFonts w:ascii="Arial" w:hAnsi="Arial" w:cs="Arial"/>
          <w:b/>
        </w:rPr>
      </w:pPr>
    </w:p>
    <w:p w:rsidR="004F6431" w:rsidRDefault="00034406" w:rsidP="004F6431">
      <w:pPr>
        <w:ind w:left="720" w:hanging="720"/>
        <w:jc w:val="both"/>
        <w:rPr>
          <w:rFonts w:ascii="Arial" w:hAnsi="Arial" w:cs="Arial"/>
        </w:rPr>
      </w:pPr>
      <w:r>
        <w:rPr>
          <w:rFonts w:ascii="Arial" w:hAnsi="Arial" w:cs="Arial"/>
        </w:rPr>
        <w:t>7</w:t>
      </w:r>
      <w:r w:rsidR="004F6431">
        <w:rPr>
          <w:rFonts w:ascii="Arial" w:hAnsi="Arial" w:cs="Arial"/>
        </w:rPr>
        <w:t>.1</w:t>
      </w:r>
      <w:r w:rsidR="004F6431">
        <w:rPr>
          <w:rFonts w:ascii="Arial" w:hAnsi="Arial" w:cs="Arial"/>
        </w:rPr>
        <w:tab/>
      </w:r>
      <w:r w:rsidR="004F6431" w:rsidRPr="006F36C8">
        <w:rPr>
          <w:rFonts w:ascii="Arial" w:hAnsi="Arial" w:cs="Arial"/>
          <w:u w:val="single"/>
        </w:rPr>
        <w:t>Flexibility</w:t>
      </w:r>
    </w:p>
    <w:p w:rsidR="004F6431" w:rsidRPr="006F36C8" w:rsidRDefault="004F6431" w:rsidP="004F6431">
      <w:pPr>
        <w:ind w:left="720"/>
        <w:jc w:val="both"/>
        <w:rPr>
          <w:rFonts w:ascii="Arial" w:hAnsi="Arial" w:cs="Arial"/>
        </w:rPr>
      </w:pPr>
      <w:r w:rsidRPr="006F36C8">
        <w:rPr>
          <w:rFonts w:ascii="Arial" w:hAnsi="Arial" w:cs="Arial"/>
        </w:rPr>
        <w:t xml:space="preserve">From the claimant’s perspective the main advantage of a lump sum settlement is that it provides an immediate cash benefit for the estimated total loss. This provides the claimant with maximum flexibility.  Under </w:t>
      </w:r>
      <w:r>
        <w:rPr>
          <w:rFonts w:ascii="Arial" w:hAnsi="Arial" w:cs="Arial"/>
        </w:rPr>
        <w:t>a structured settlement this advantage is lost.</w:t>
      </w:r>
    </w:p>
    <w:p w:rsidR="004F6431" w:rsidRDefault="004F6431" w:rsidP="004F6431">
      <w:pPr>
        <w:jc w:val="both"/>
        <w:rPr>
          <w:rFonts w:ascii="Arial" w:hAnsi="Arial" w:cs="Arial"/>
        </w:rPr>
      </w:pPr>
    </w:p>
    <w:p w:rsidR="004F6431" w:rsidRDefault="00034406" w:rsidP="004F6431">
      <w:pPr>
        <w:jc w:val="both"/>
        <w:rPr>
          <w:rFonts w:ascii="Arial" w:hAnsi="Arial" w:cs="Arial"/>
        </w:rPr>
      </w:pPr>
      <w:r>
        <w:rPr>
          <w:rFonts w:ascii="Arial" w:hAnsi="Arial" w:cs="Arial"/>
        </w:rPr>
        <w:t>7</w:t>
      </w:r>
      <w:r w:rsidR="004F6431">
        <w:rPr>
          <w:rFonts w:ascii="Arial" w:hAnsi="Arial" w:cs="Arial"/>
        </w:rPr>
        <w:t>.2</w:t>
      </w:r>
      <w:r w:rsidR="004F6431">
        <w:rPr>
          <w:rFonts w:ascii="Arial" w:hAnsi="Arial" w:cs="Arial"/>
        </w:rPr>
        <w:tab/>
      </w:r>
      <w:r w:rsidR="004F6431">
        <w:rPr>
          <w:rFonts w:ascii="Arial" w:hAnsi="Arial" w:cs="Arial"/>
          <w:u w:val="single"/>
        </w:rPr>
        <w:t>Dissipation risk</w:t>
      </w:r>
    </w:p>
    <w:p w:rsidR="004F6431" w:rsidRDefault="004F6431" w:rsidP="004F6431">
      <w:pPr>
        <w:ind w:left="720"/>
        <w:jc w:val="both"/>
        <w:rPr>
          <w:rFonts w:ascii="Arial" w:hAnsi="Arial" w:cs="Arial"/>
        </w:rPr>
      </w:pPr>
      <w:r w:rsidRPr="006F36C8">
        <w:rPr>
          <w:rFonts w:ascii="Arial" w:hAnsi="Arial" w:cs="Arial"/>
        </w:rPr>
        <w:t xml:space="preserve">Dissipation risk relates to the risk that the claimant dissipates the award well in advance of needs. Alternatively, the claimant could under-spend and unnecessarily compromise quality of life.  In the event of dissipation, the State will end up bearing the additional costs arising from the misjudgment or choice of the claimant.  </w:t>
      </w:r>
      <w:r>
        <w:rPr>
          <w:rFonts w:ascii="Arial" w:hAnsi="Arial" w:cs="Arial"/>
        </w:rPr>
        <w:t>A structured settlement reduces this risk substantially.</w:t>
      </w:r>
    </w:p>
    <w:p w:rsidR="004F6431" w:rsidRDefault="004F6431" w:rsidP="004F6431">
      <w:pPr>
        <w:ind w:left="720"/>
        <w:jc w:val="both"/>
        <w:rPr>
          <w:rFonts w:ascii="Arial" w:hAnsi="Arial" w:cs="Arial"/>
        </w:rPr>
      </w:pPr>
    </w:p>
    <w:p w:rsidR="004F6431" w:rsidRDefault="00034406" w:rsidP="004F6431">
      <w:pPr>
        <w:ind w:left="720" w:hanging="720"/>
        <w:jc w:val="both"/>
        <w:rPr>
          <w:rFonts w:ascii="Arial" w:hAnsi="Arial" w:cs="Arial"/>
        </w:rPr>
      </w:pPr>
      <w:r>
        <w:rPr>
          <w:rFonts w:ascii="Arial" w:hAnsi="Arial" w:cs="Arial"/>
        </w:rPr>
        <w:t>7</w:t>
      </w:r>
      <w:r w:rsidR="004F6431">
        <w:rPr>
          <w:rFonts w:ascii="Arial" w:hAnsi="Arial" w:cs="Arial"/>
        </w:rPr>
        <w:t>.3</w:t>
      </w:r>
      <w:r w:rsidR="004F6431">
        <w:rPr>
          <w:rFonts w:ascii="Arial" w:hAnsi="Arial" w:cs="Arial"/>
        </w:rPr>
        <w:tab/>
      </w:r>
      <w:r w:rsidR="004F6431" w:rsidRPr="00974072">
        <w:rPr>
          <w:rFonts w:ascii="Arial" w:hAnsi="Arial" w:cs="Arial"/>
          <w:u w:val="single"/>
        </w:rPr>
        <w:t>Adequacy risk</w:t>
      </w:r>
      <w:r w:rsidR="004F6431" w:rsidRPr="00974072">
        <w:rPr>
          <w:rFonts w:ascii="Arial" w:hAnsi="Arial" w:cs="Arial"/>
        </w:rPr>
        <w:t xml:space="preserve"> </w:t>
      </w:r>
    </w:p>
    <w:p w:rsidR="004F6431" w:rsidRDefault="004F6431" w:rsidP="004F6431">
      <w:pPr>
        <w:ind w:left="720"/>
        <w:jc w:val="both"/>
        <w:rPr>
          <w:rFonts w:ascii="Arial" w:hAnsi="Arial" w:cs="Arial"/>
        </w:rPr>
      </w:pPr>
      <w:r>
        <w:rPr>
          <w:rFonts w:ascii="Arial" w:hAnsi="Arial" w:cs="Arial"/>
        </w:rPr>
        <w:t xml:space="preserve">This is </w:t>
      </w:r>
      <w:r w:rsidRPr="00974072">
        <w:rPr>
          <w:rFonts w:ascii="Arial" w:hAnsi="Arial" w:cs="Arial"/>
        </w:rPr>
        <w:t xml:space="preserve">the risk that the compensation paid may be more or less than the claimant’s actual needs.  The only way to eliminate this risk is through </w:t>
      </w:r>
      <w:r w:rsidR="00B35CC8">
        <w:rPr>
          <w:rFonts w:ascii="Arial" w:hAnsi="Arial" w:cs="Arial"/>
        </w:rPr>
        <w:t>a structured settlement.</w:t>
      </w:r>
    </w:p>
    <w:p w:rsidR="004F6431" w:rsidRDefault="004F6431" w:rsidP="004F6431">
      <w:pPr>
        <w:ind w:left="720" w:hanging="720"/>
        <w:jc w:val="both"/>
        <w:rPr>
          <w:rFonts w:ascii="Arial" w:hAnsi="Arial" w:cs="Arial"/>
        </w:rPr>
      </w:pPr>
    </w:p>
    <w:p w:rsidR="004F6431" w:rsidRDefault="00034406" w:rsidP="004F6431">
      <w:pPr>
        <w:ind w:left="720" w:hanging="720"/>
        <w:jc w:val="both"/>
        <w:rPr>
          <w:rFonts w:ascii="Arial" w:hAnsi="Arial" w:cs="Arial"/>
        </w:rPr>
      </w:pPr>
      <w:r>
        <w:rPr>
          <w:rFonts w:ascii="Arial" w:hAnsi="Arial" w:cs="Arial"/>
        </w:rPr>
        <w:t>7</w:t>
      </w:r>
      <w:r w:rsidR="004F6431">
        <w:rPr>
          <w:rFonts w:ascii="Arial" w:hAnsi="Arial" w:cs="Arial"/>
        </w:rPr>
        <w:t>.4</w:t>
      </w:r>
      <w:r w:rsidR="004F6431">
        <w:rPr>
          <w:rFonts w:ascii="Arial" w:hAnsi="Arial" w:cs="Arial"/>
        </w:rPr>
        <w:tab/>
      </w:r>
      <w:r w:rsidR="004F6431" w:rsidRPr="00974072">
        <w:rPr>
          <w:rFonts w:ascii="Arial" w:hAnsi="Arial" w:cs="Arial"/>
          <w:u w:val="single"/>
        </w:rPr>
        <w:t>Mortality risk</w:t>
      </w:r>
      <w:r w:rsidR="004F6431" w:rsidRPr="00974072">
        <w:rPr>
          <w:rFonts w:ascii="Arial" w:hAnsi="Arial" w:cs="Arial"/>
        </w:rPr>
        <w:t xml:space="preserve"> </w:t>
      </w:r>
    </w:p>
    <w:p w:rsidR="004F6431" w:rsidRDefault="004F6431" w:rsidP="004F6431">
      <w:pPr>
        <w:ind w:left="720"/>
        <w:jc w:val="both"/>
        <w:rPr>
          <w:rFonts w:ascii="Arial" w:hAnsi="Arial" w:cs="Arial"/>
        </w:rPr>
      </w:pPr>
      <w:r>
        <w:rPr>
          <w:rFonts w:ascii="Arial" w:hAnsi="Arial" w:cs="Arial"/>
        </w:rPr>
        <w:t xml:space="preserve">This is the risk </w:t>
      </w:r>
      <w:r w:rsidRPr="00974072">
        <w:rPr>
          <w:rFonts w:ascii="Arial" w:hAnsi="Arial" w:cs="Arial"/>
        </w:rPr>
        <w:t xml:space="preserve">that the claimant may live for a longer or shorter duration than the basis of the award.  For </w:t>
      </w:r>
      <w:r w:rsidR="00B35CC8">
        <w:rPr>
          <w:rFonts w:ascii="Arial" w:hAnsi="Arial" w:cs="Arial"/>
        </w:rPr>
        <w:t xml:space="preserve">a structured settlement </w:t>
      </w:r>
      <w:r w:rsidRPr="00974072">
        <w:rPr>
          <w:rFonts w:ascii="Arial" w:hAnsi="Arial" w:cs="Arial"/>
        </w:rPr>
        <w:t xml:space="preserve">the risk would stay with the </w:t>
      </w:r>
      <w:r>
        <w:rPr>
          <w:rFonts w:ascii="Arial" w:hAnsi="Arial" w:cs="Arial"/>
        </w:rPr>
        <w:t>State</w:t>
      </w:r>
      <w:r w:rsidRPr="00974072">
        <w:rPr>
          <w:rFonts w:ascii="Arial" w:hAnsi="Arial" w:cs="Arial"/>
        </w:rPr>
        <w:t xml:space="preserve">.  Another aspect of the mortality risk is the return of capital in the event of early death.  </w:t>
      </w:r>
      <w:r>
        <w:rPr>
          <w:rFonts w:ascii="Arial" w:hAnsi="Arial" w:cs="Arial"/>
        </w:rPr>
        <w:t xml:space="preserve">This has </w:t>
      </w:r>
      <w:r w:rsidR="000529D1">
        <w:rPr>
          <w:rFonts w:ascii="Arial" w:hAnsi="Arial" w:cs="Arial"/>
        </w:rPr>
        <w:t xml:space="preserve">been </w:t>
      </w:r>
      <w:r w:rsidR="00917B00">
        <w:rPr>
          <w:rFonts w:ascii="Arial" w:hAnsi="Arial" w:cs="Arial"/>
        </w:rPr>
        <w:t xml:space="preserve">adequately </w:t>
      </w:r>
      <w:r>
        <w:rPr>
          <w:rFonts w:ascii="Arial" w:hAnsi="Arial" w:cs="Arial"/>
        </w:rPr>
        <w:t xml:space="preserve">addressed in the matter of </w:t>
      </w:r>
      <w:r w:rsidRPr="00610FCE">
        <w:rPr>
          <w:rFonts w:ascii="Arial" w:hAnsi="Arial" w:cs="Arial"/>
          <w:bCs/>
          <w:i/>
        </w:rPr>
        <w:t xml:space="preserve">AD and Another v MEC for Health </w:t>
      </w:r>
      <w:r>
        <w:rPr>
          <w:rFonts w:ascii="Arial" w:hAnsi="Arial" w:cs="Arial"/>
          <w:bCs/>
          <w:i/>
        </w:rPr>
        <w:t>a</w:t>
      </w:r>
      <w:r w:rsidRPr="00610FCE">
        <w:rPr>
          <w:rFonts w:ascii="Arial" w:hAnsi="Arial" w:cs="Arial"/>
          <w:bCs/>
          <w:i/>
        </w:rPr>
        <w:t>nd Social Development, Western Cape Provincial Government</w:t>
      </w:r>
      <w:r w:rsidRPr="00610FCE">
        <w:rPr>
          <w:rFonts w:ascii="Arial" w:hAnsi="Arial" w:cs="Arial"/>
          <w:bCs/>
        </w:rPr>
        <w:t xml:space="preserve"> (27428/10) [2016] ZAWCHC 116</w:t>
      </w:r>
      <w:r>
        <w:rPr>
          <w:rFonts w:ascii="Arial" w:hAnsi="Arial" w:cs="Arial"/>
          <w:bCs/>
        </w:rPr>
        <w:t>.</w:t>
      </w:r>
    </w:p>
    <w:p w:rsidR="004F6431" w:rsidRDefault="004F6431" w:rsidP="004F6431">
      <w:pPr>
        <w:jc w:val="both"/>
        <w:rPr>
          <w:rFonts w:ascii="Arial" w:hAnsi="Arial" w:cs="Arial"/>
        </w:rPr>
      </w:pPr>
    </w:p>
    <w:p w:rsidR="004F6431" w:rsidRDefault="00034406" w:rsidP="004F6431">
      <w:pPr>
        <w:jc w:val="both"/>
        <w:rPr>
          <w:rFonts w:ascii="Arial" w:hAnsi="Arial" w:cs="Arial"/>
        </w:rPr>
      </w:pPr>
      <w:r>
        <w:rPr>
          <w:rFonts w:ascii="Arial" w:hAnsi="Arial" w:cs="Arial"/>
        </w:rPr>
        <w:t>7</w:t>
      </w:r>
      <w:r w:rsidR="004F6431">
        <w:rPr>
          <w:rFonts w:ascii="Arial" w:hAnsi="Arial" w:cs="Arial"/>
        </w:rPr>
        <w:t>.5</w:t>
      </w:r>
      <w:r w:rsidR="004F6431">
        <w:rPr>
          <w:rFonts w:ascii="Arial" w:hAnsi="Arial" w:cs="Arial"/>
        </w:rPr>
        <w:tab/>
      </w:r>
      <w:r w:rsidR="004F6431" w:rsidRPr="003E2797">
        <w:rPr>
          <w:rFonts w:ascii="Arial" w:hAnsi="Arial" w:cs="Arial"/>
          <w:u w:val="single"/>
        </w:rPr>
        <w:t>Investment risk</w:t>
      </w:r>
      <w:r w:rsidR="004F6431" w:rsidRPr="006C7458">
        <w:rPr>
          <w:rFonts w:ascii="Arial" w:hAnsi="Arial" w:cs="Arial"/>
        </w:rPr>
        <w:t xml:space="preserve"> </w:t>
      </w:r>
    </w:p>
    <w:p w:rsidR="004F6431" w:rsidRDefault="004F6431" w:rsidP="004F6431">
      <w:pPr>
        <w:ind w:left="720"/>
        <w:jc w:val="both"/>
        <w:rPr>
          <w:rFonts w:ascii="Arial" w:hAnsi="Arial" w:cs="Arial"/>
        </w:rPr>
      </w:pPr>
      <w:r>
        <w:rPr>
          <w:rFonts w:ascii="Arial" w:hAnsi="Arial" w:cs="Arial"/>
        </w:rPr>
        <w:t xml:space="preserve">This is </w:t>
      </w:r>
      <w:r w:rsidRPr="006C7458">
        <w:rPr>
          <w:rFonts w:ascii="Arial" w:hAnsi="Arial" w:cs="Arial"/>
        </w:rPr>
        <w:t xml:space="preserve">the risk that the investment return achieved by the claimant falls below the anticipated basis of the award. </w:t>
      </w:r>
      <w:r>
        <w:rPr>
          <w:rFonts w:ascii="Arial" w:hAnsi="Arial" w:cs="Arial"/>
        </w:rPr>
        <w:t>Currently a Trustee can invest in riskier securities than a Curator.</w:t>
      </w:r>
      <w:r w:rsidRPr="006C7458">
        <w:rPr>
          <w:rFonts w:ascii="Arial" w:hAnsi="Arial" w:cs="Arial"/>
        </w:rPr>
        <w:t xml:space="preserve"> </w:t>
      </w:r>
    </w:p>
    <w:p w:rsidR="004F6431" w:rsidRDefault="004F6431" w:rsidP="004F6431">
      <w:pPr>
        <w:jc w:val="both"/>
        <w:rPr>
          <w:rFonts w:ascii="Arial" w:hAnsi="Arial" w:cs="Arial"/>
        </w:rPr>
      </w:pPr>
    </w:p>
    <w:p w:rsidR="004F6431" w:rsidRDefault="00034406" w:rsidP="004F6431">
      <w:pPr>
        <w:jc w:val="both"/>
        <w:rPr>
          <w:rFonts w:ascii="Arial" w:hAnsi="Arial" w:cs="Arial"/>
        </w:rPr>
      </w:pPr>
      <w:r>
        <w:rPr>
          <w:rFonts w:ascii="Arial" w:hAnsi="Arial" w:cs="Arial"/>
        </w:rPr>
        <w:t>7</w:t>
      </w:r>
      <w:r w:rsidR="004F6431">
        <w:rPr>
          <w:rFonts w:ascii="Arial" w:hAnsi="Arial" w:cs="Arial"/>
        </w:rPr>
        <w:t>.6</w:t>
      </w:r>
      <w:r w:rsidR="004F6431">
        <w:rPr>
          <w:rFonts w:ascii="Arial" w:hAnsi="Arial" w:cs="Arial"/>
        </w:rPr>
        <w:tab/>
      </w:r>
      <w:r w:rsidR="004F6431" w:rsidRPr="00DE5167">
        <w:rPr>
          <w:rFonts w:ascii="Arial" w:hAnsi="Arial" w:cs="Arial"/>
          <w:u w:val="single"/>
        </w:rPr>
        <w:t>Inflation risk</w:t>
      </w:r>
      <w:r w:rsidR="004F6431" w:rsidRPr="006C7458">
        <w:rPr>
          <w:rFonts w:ascii="Arial" w:hAnsi="Arial" w:cs="Arial"/>
        </w:rPr>
        <w:t xml:space="preserve"> </w:t>
      </w:r>
    </w:p>
    <w:p w:rsidR="00F5679D" w:rsidRDefault="004F6431" w:rsidP="004F6431">
      <w:pPr>
        <w:ind w:left="720"/>
        <w:jc w:val="both"/>
        <w:rPr>
          <w:rFonts w:ascii="Arial" w:hAnsi="Arial" w:cs="Arial"/>
        </w:rPr>
      </w:pPr>
      <w:r>
        <w:rPr>
          <w:rFonts w:ascii="Arial" w:hAnsi="Arial" w:cs="Arial"/>
        </w:rPr>
        <w:t xml:space="preserve">This is </w:t>
      </w:r>
      <w:r w:rsidRPr="006C7458">
        <w:rPr>
          <w:rFonts w:ascii="Arial" w:hAnsi="Arial" w:cs="Arial"/>
        </w:rPr>
        <w:t xml:space="preserve">the risk that the escalation of costs may exceed the basis of the award. </w:t>
      </w:r>
      <w:r w:rsidR="00F5679D">
        <w:rPr>
          <w:rFonts w:ascii="Arial" w:hAnsi="Arial" w:cs="Arial"/>
        </w:rPr>
        <w:t>The structured settlement under SLAB provides for increases in line with the consumer price index. However</w:t>
      </w:r>
      <w:r w:rsidR="000B0B2E">
        <w:rPr>
          <w:rFonts w:ascii="Arial" w:hAnsi="Arial" w:cs="Arial"/>
        </w:rPr>
        <w:t>,</w:t>
      </w:r>
      <w:r w:rsidR="00F5679D">
        <w:rPr>
          <w:rFonts w:ascii="Arial" w:hAnsi="Arial" w:cs="Arial"/>
        </w:rPr>
        <w:t xml:space="preserve"> this does not eliminate the risk for the State since actual costs, such as care in a State Institution may inflate at a higher rate.</w:t>
      </w:r>
    </w:p>
    <w:p w:rsidR="00F5679D" w:rsidRDefault="00F5679D" w:rsidP="004F6431">
      <w:pPr>
        <w:ind w:left="720"/>
        <w:jc w:val="both"/>
        <w:rPr>
          <w:rFonts w:ascii="Arial" w:hAnsi="Arial" w:cs="Arial"/>
        </w:rPr>
      </w:pPr>
    </w:p>
    <w:p w:rsidR="004F6431" w:rsidRDefault="00034406" w:rsidP="004F6431">
      <w:pPr>
        <w:jc w:val="both"/>
        <w:rPr>
          <w:rFonts w:ascii="Arial" w:hAnsi="Arial" w:cs="Arial"/>
        </w:rPr>
      </w:pPr>
      <w:r>
        <w:rPr>
          <w:rFonts w:ascii="Arial" w:hAnsi="Arial" w:cs="Arial"/>
        </w:rPr>
        <w:t>7</w:t>
      </w:r>
      <w:r w:rsidR="004F6431">
        <w:rPr>
          <w:rFonts w:ascii="Arial" w:hAnsi="Arial" w:cs="Arial"/>
        </w:rPr>
        <w:t>.7</w:t>
      </w:r>
      <w:r w:rsidR="004F6431">
        <w:rPr>
          <w:rFonts w:ascii="Arial" w:hAnsi="Arial" w:cs="Arial"/>
        </w:rPr>
        <w:tab/>
      </w:r>
      <w:r w:rsidR="004F6431" w:rsidRPr="00DE5167">
        <w:rPr>
          <w:rFonts w:ascii="Arial" w:hAnsi="Arial" w:cs="Arial"/>
          <w:u w:val="single"/>
        </w:rPr>
        <w:t>Default risk</w:t>
      </w:r>
      <w:r w:rsidR="004F6431" w:rsidRPr="006C7458">
        <w:rPr>
          <w:rFonts w:ascii="Arial" w:hAnsi="Arial" w:cs="Arial"/>
        </w:rPr>
        <w:t xml:space="preserve"> </w:t>
      </w:r>
    </w:p>
    <w:p w:rsidR="004F6431" w:rsidRDefault="004F6431" w:rsidP="004F6431">
      <w:pPr>
        <w:ind w:left="720"/>
        <w:jc w:val="both"/>
        <w:rPr>
          <w:rFonts w:ascii="Arial" w:hAnsi="Arial" w:cs="Arial"/>
        </w:rPr>
      </w:pPr>
      <w:r>
        <w:rPr>
          <w:rFonts w:ascii="Arial" w:hAnsi="Arial" w:cs="Arial"/>
        </w:rPr>
        <w:t xml:space="preserve">It is unclear if the </w:t>
      </w:r>
      <w:r w:rsidRPr="006C7458">
        <w:rPr>
          <w:rFonts w:ascii="Arial" w:hAnsi="Arial" w:cs="Arial"/>
        </w:rPr>
        <w:t xml:space="preserve">regulatory regime for </w:t>
      </w:r>
      <w:r w:rsidR="00F5679D">
        <w:rPr>
          <w:rFonts w:ascii="Arial" w:hAnsi="Arial" w:cs="Arial"/>
        </w:rPr>
        <w:t>structured settlements</w:t>
      </w:r>
      <w:r w:rsidRPr="006C7458">
        <w:rPr>
          <w:rFonts w:ascii="Arial" w:hAnsi="Arial" w:cs="Arial"/>
        </w:rPr>
        <w:t xml:space="preserve"> would afford good default risk protection.</w:t>
      </w:r>
      <w:r>
        <w:rPr>
          <w:rFonts w:ascii="Arial" w:hAnsi="Arial" w:cs="Arial"/>
        </w:rPr>
        <w:t xml:space="preserve"> This must be viewed against the decline in South Africa’s credit rating. </w:t>
      </w:r>
    </w:p>
    <w:p w:rsidR="00F07517" w:rsidRDefault="00F07517">
      <w:pPr>
        <w:rPr>
          <w:rFonts w:ascii="Arial" w:hAnsi="Arial" w:cs="Arial"/>
          <w:lang w:val="en-GB"/>
        </w:rPr>
      </w:pPr>
    </w:p>
    <w:p w:rsidR="00F07517" w:rsidRDefault="00034406">
      <w:pPr>
        <w:rPr>
          <w:rFonts w:ascii="Arial" w:hAnsi="Arial" w:cs="Arial"/>
          <w:u w:val="single"/>
          <w:lang w:val="en-GB"/>
        </w:rPr>
      </w:pPr>
      <w:r>
        <w:rPr>
          <w:rFonts w:ascii="Arial" w:hAnsi="Arial" w:cs="Arial"/>
          <w:lang w:val="en-GB"/>
        </w:rPr>
        <w:t>7</w:t>
      </w:r>
      <w:r w:rsidR="00F07517">
        <w:rPr>
          <w:rFonts w:ascii="Arial" w:hAnsi="Arial" w:cs="Arial"/>
          <w:lang w:val="en-GB"/>
        </w:rPr>
        <w:t>.8</w:t>
      </w:r>
      <w:r w:rsidR="00F07517">
        <w:rPr>
          <w:rFonts w:ascii="Arial" w:hAnsi="Arial" w:cs="Arial"/>
          <w:lang w:val="en-GB"/>
        </w:rPr>
        <w:tab/>
      </w:r>
      <w:r w:rsidR="00F07517" w:rsidRPr="00F07517">
        <w:rPr>
          <w:rFonts w:ascii="Arial" w:hAnsi="Arial" w:cs="Arial"/>
          <w:u w:val="single"/>
          <w:lang w:val="en-GB"/>
        </w:rPr>
        <w:t>In summary</w:t>
      </w:r>
    </w:p>
    <w:p w:rsidR="00465B39" w:rsidRPr="009B35CE" w:rsidRDefault="00F07517" w:rsidP="005B1549">
      <w:pPr>
        <w:ind w:left="720"/>
        <w:jc w:val="both"/>
        <w:rPr>
          <w:rFonts w:ascii="Arial" w:hAnsi="Arial" w:cs="Arial"/>
          <w:lang w:val="en-GB"/>
        </w:rPr>
      </w:pPr>
      <w:r w:rsidRPr="009B35CE">
        <w:rPr>
          <w:rFonts w:ascii="Arial" w:hAnsi="Arial" w:cs="Arial"/>
          <w:szCs w:val="18"/>
          <w:lang w:val="en-GB"/>
        </w:rPr>
        <w:t xml:space="preserve">Even though claimants have historically tended to prefer a settlement in the form of a lump sum, it is widely argued that it is in the claimant’s best interest to receive compensation in the form of regular payments instead. The primary reason for this (other than the possibility that a claimant may choose to spend most of the money up front) is that a structured settlement takes away most of the risks that are inherent in a lump sum. </w:t>
      </w:r>
      <w:r w:rsidR="00465B39" w:rsidRPr="009B35CE">
        <w:rPr>
          <w:rFonts w:ascii="Arial" w:hAnsi="Arial" w:cs="Arial"/>
          <w:lang w:val="en-GB"/>
        </w:rPr>
        <w:t xml:space="preserve">For example, should the claimant live longer than was anticipated at the time of the settlement, there is the potential for the funds from a lump sum to run out, whereas, by definition, a </w:t>
      </w:r>
      <w:r w:rsidR="005B1549" w:rsidRPr="009B35CE">
        <w:rPr>
          <w:rFonts w:ascii="Arial" w:hAnsi="Arial" w:cs="Arial"/>
          <w:lang w:val="en-GB"/>
        </w:rPr>
        <w:t xml:space="preserve">structured settlement will continue to pay out for the remainder of the claimant’s lifetime. </w:t>
      </w:r>
      <w:r w:rsidR="00465B39" w:rsidRPr="009B35CE">
        <w:rPr>
          <w:rFonts w:ascii="Arial" w:hAnsi="Arial" w:cs="Arial"/>
          <w:lang w:val="en-GB"/>
        </w:rPr>
        <w:t xml:space="preserve">Changes in the economic environment can also affect the value of a lump sum; for example, if inflation proves to be higher than was expected at the time of settlement then the value of the lump sum will be eroded. Similarly, if investment returns are lower than anticipated at the time of the award then there is a risk that the lump sum will not be sufficient to cover the claimant’s costs. </w:t>
      </w:r>
    </w:p>
    <w:p w:rsidR="00B557C6" w:rsidRDefault="00B557C6" w:rsidP="00FE7B48">
      <w:pPr>
        <w:ind w:left="720" w:hanging="720"/>
        <w:jc w:val="both"/>
        <w:rPr>
          <w:rFonts w:ascii="Arial" w:hAnsi="Arial" w:cs="Arial"/>
          <w:lang w:val="en-GB"/>
        </w:rPr>
      </w:pPr>
    </w:p>
    <w:p w:rsidR="00FE7B48" w:rsidRDefault="00FE7B48" w:rsidP="00FE7B48">
      <w:pPr>
        <w:ind w:left="720" w:hanging="720"/>
        <w:jc w:val="both"/>
        <w:rPr>
          <w:rFonts w:ascii="Arial" w:hAnsi="Arial" w:cs="Arial"/>
          <w:b/>
        </w:rPr>
      </w:pPr>
    </w:p>
    <w:p w:rsidR="000E5E7A" w:rsidRPr="00E5233C" w:rsidRDefault="00034406" w:rsidP="000E5E7A">
      <w:pPr>
        <w:jc w:val="both"/>
        <w:rPr>
          <w:rFonts w:ascii="Arial" w:hAnsi="Arial" w:cs="Arial"/>
          <w:b/>
        </w:rPr>
      </w:pPr>
      <w:r>
        <w:rPr>
          <w:rFonts w:ascii="Arial" w:hAnsi="Arial" w:cs="Arial"/>
          <w:b/>
        </w:rPr>
        <w:lastRenderedPageBreak/>
        <w:t>8</w:t>
      </w:r>
      <w:r w:rsidR="000E5E7A" w:rsidRPr="00E5233C">
        <w:rPr>
          <w:rFonts w:ascii="Arial" w:hAnsi="Arial" w:cs="Arial"/>
          <w:b/>
        </w:rPr>
        <w:t>.</w:t>
      </w:r>
      <w:r w:rsidR="000E5E7A" w:rsidRPr="00E5233C">
        <w:rPr>
          <w:rFonts w:ascii="Arial" w:hAnsi="Arial" w:cs="Arial"/>
          <w:b/>
        </w:rPr>
        <w:tab/>
      </w:r>
      <w:r w:rsidR="000E5E7A">
        <w:rPr>
          <w:rFonts w:ascii="Arial" w:hAnsi="Arial" w:cs="Arial"/>
          <w:b/>
          <w:u w:val="single"/>
        </w:rPr>
        <w:t>Caregiving</w:t>
      </w:r>
    </w:p>
    <w:p w:rsidR="000E5E7A" w:rsidRDefault="000E5E7A" w:rsidP="000E5E7A">
      <w:pPr>
        <w:ind w:left="720" w:hanging="720"/>
        <w:jc w:val="both"/>
        <w:rPr>
          <w:rFonts w:ascii="Arial" w:hAnsi="Arial" w:cs="Arial"/>
          <w:lang w:val="en-GB"/>
        </w:rPr>
      </w:pPr>
    </w:p>
    <w:p w:rsidR="000E5E7A" w:rsidRDefault="00034406" w:rsidP="000E5E7A">
      <w:pPr>
        <w:ind w:left="720" w:hanging="720"/>
        <w:jc w:val="both"/>
        <w:rPr>
          <w:rFonts w:ascii="Arial" w:hAnsi="Arial" w:cs="Arial"/>
          <w:lang w:val="en-GB"/>
        </w:rPr>
      </w:pPr>
      <w:r>
        <w:rPr>
          <w:rFonts w:ascii="Arial" w:hAnsi="Arial" w:cs="Arial"/>
          <w:lang w:val="en-GB"/>
        </w:rPr>
        <w:t>8</w:t>
      </w:r>
      <w:r w:rsidR="000E5E7A">
        <w:rPr>
          <w:rFonts w:ascii="Arial" w:hAnsi="Arial" w:cs="Arial"/>
          <w:lang w:val="en-GB"/>
        </w:rPr>
        <w:t>.1</w:t>
      </w:r>
      <w:r w:rsidR="000E5E7A">
        <w:rPr>
          <w:rFonts w:ascii="Arial" w:hAnsi="Arial" w:cs="Arial"/>
          <w:lang w:val="en-GB"/>
        </w:rPr>
        <w:tab/>
        <w:t xml:space="preserve">The largest cost driver of medical negligence claims in birth injuries is the cost of future caregiving. </w:t>
      </w:r>
      <w:r w:rsidR="00E53DF4">
        <w:rPr>
          <w:rFonts w:ascii="Arial" w:hAnsi="Arial" w:cs="Arial"/>
          <w:lang w:val="en-GB"/>
        </w:rPr>
        <w:t>SLAB does not address this.</w:t>
      </w:r>
    </w:p>
    <w:p w:rsidR="000E5E7A" w:rsidRDefault="000E5E7A" w:rsidP="000E5E7A">
      <w:pPr>
        <w:ind w:left="720" w:hanging="720"/>
        <w:jc w:val="both"/>
        <w:rPr>
          <w:rFonts w:ascii="Arial" w:hAnsi="Arial" w:cs="Arial"/>
          <w:lang w:val="en-GB"/>
        </w:rPr>
      </w:pPr>
    </w:p>
    <w:p w:rsidR="000E5E7A" w:rsidRDefault="00034406" w:rsidP="000E5E7A">
      <w:pPr>
        <w:ind w:left="720" w:hanging="720"/>
        <w:jc w:val="both"/>
        <w:rPr>
          <w:rFonts w:ascii="Arial" w:hAnsi="Arial" w:cs="Arial"/>
          <w:lang w:val="en-GB"/>
        </w:rPr>
      </w:pPr>
      <w:r>
        <w:rPr>
          <w:rFonts w:ascii="Arial" w:hAnsi="Arial" w:cs="Arial"/>
          <w:lang w:val="en-GB"/>
        </w:rPr>
        <w:t>8</w:t>
      </w:r>
      <w:r w:rsidR="000E5E7A">
        <w:rPr>
          <w:rFonts w:ascii="Arial" w:hAnsi="Arial" w:cs="Arial"/>
          <w:lang w:val="en-GB"/>
        </w:rPr>
        <w:t>.2</w:t>
      </w:r>
      <w:r w:rsidR="000E5E7A">
        <w:rPr>
          <w:rFonts w:ascii="Arial" w:hAnsi="Arial" w:cs="Arial"/>
          <w:lang w:val="en-GB"/>
        </w:rPr>
        <w:tab/>
        <w:t xml:space="preserve">With respect to the total claim for future medical and related expenses, the cost of future care giving and assistance (including the cost of training care givers, domestic assistance and the costs of an </w:t>
      </w:r>
      <w:r w:rsidR="000E5E7A" w:rsidRPr="003B2DE9">
        <w:rPr>
          <w:rFonts w:ascii="Arial" w:hAnsi="Arial" w:cs="Arial"/>
          <w:i/>
          <w:lang w:val="en-GB"/>
        </w:rPr>
        <w:t>au pair</w:t>
      </w:r>
      <w:r w:rsidR="000E5E7A">
        <w:rPr>
          <w:rFonts w:ascii="Arial" w:hAnsi="Arial" w:cs="Arial"/>
          <w:lang w:val="en-GB"/>
        </w:rPr>
        <w:t>) constituted the following proportion of the total claim for future medical and related expenses in various matters:</w:t>
      </w:r>
    </w:p>
    <w:p w:rsidR="000E5E7A" w:rsidRDefault="000E5E7A" w:rsidP="000E5E7A">
      <w:pPr>
        <w:ind w:left="720" w:hanging="720"/>
        <w:jc w:val="both"/>
        <w:rPr>
          <w:rFonts w:ascii="Arial" w:hAnsi="Arial" w:cs="Arial"/>
          <w:lang w:val="en-GB"/>
        </w:rPr>
      </w:pPr>
    </w:p>
    <w:p w:rsidR="000E5E7A" w:rsidRDefault="00034406" w:rsidP="000E5E7A">
      <w:pPr>
        <w:jc w:val="both"/>
        <w:rPr>
          <w:rFonts w:ascii="Arial" w:hAnsi="Arial" w:cs="Arial"/>
          <w:bCs/>
        </w:rPr>
      </w:pPr>
      <w:r>
        <w:rPr>
          <w:rFonts w:ascii="Arial" w:hAnsi="Arial" w:cs="Arial"/>
          <w:lang w:val="en-GB"/>
        </w:rPr>
        <w:t>8</w:t>
      </w:r>
      <w:r w:rsidR="000E5E7A">
        <w:rPr>
          <w:rFonts w:ascii="Arial" w:hAnsi="Arial" w:cs="Arial"/>
          <w:lang w:val="en-GB"/>
        </w:rPr>
        <w:t>.2.</w:t>
      </w:r>
      <w:r w:rsidR="00C15628">
        <w:rPr>
          <w:rFonts w:ascii="Arial" w:hAnsi="Arial" w:cs="Arial"/>
          <w:lang w:val="en-GB"/>
        </w:rPr>
        <w:t>1</w:t>
      </w:r>
      <w:r w:rsidR="000E5E7A">
        <w:rPr>
          <w:rFonts w:ascii="Arial" w:hAnsi="Arial" w:cs="Arial"/>
          <w:lang w:val="en-GB"/>
        </w:rPr>
        <w:tab/>
        <w:t xml:space="preserve">36.7% in </w:t>
      </w:r>
      <w:r w:rsidR="000E5E7A" w:rsidRPr="00E77E04">
        <w:rPr>
          <w:rFonts w:ascii="Arial" w:hAnsi="Arial" w:cs="Arial"/>
          <w:bCs/>
          <w:i/>
        </w:rPr>
        <w:t>Singh and Another v Ebrahim</w:t>
      </w:r>
      <w:r w:rsidR="000E5E7A" w:rsidRPr="00E77E04">
        <w:rPr>
          <w:rFonts w:ascii="Arial" w:hAnsi="Arial" w:cs="Arial"/>
          <w:bCs/>
        </w:rPr>
        <w:t xml:space="preserve"> (413/09) [2010] ZASCA 145</w:t>
      </w:r>
      <w:r w:rsidR="000E5E7A">
        <w:rPr>
          <w:rFonts w:ascii="Arial" w:hAnsi="Arial" w:cs="Arial"/>
          <w:bCs/>
        </w:rPr>
        <w:t>.</w:t>
      </w:r>
    </w:p>
    <w:p w:rsidR="000E5E7A" w:rsidRDefault="000E5E7A" w:rsidP="000E5E7A">
      <w:pPr>
        <w:jc w:val="both"/>
        <w:rPr>
          <w:rFonts w:ascii="Arial" w:hAnsi="Arial" w:cs="Arial"/>
          <w:bCs/>
        </w:rPr>
      </w:pPr>
    </w:p>
    <w:p w:rsidR="003E23E7" w:rsidRDefault="00034406" w:rsidP="003E23E7">
      <w:pPr>
        <w:ind w:left="720" w:hanging="720"/>
        <w:jc w:val="both"/>
        <w:rPr>
          <w:rFonts w:ascii="Arial" w:hAnsi="Arial" w:cs="Arial"/>
        </w:rPr>
      </w:pPr>
      <w:r>
        <w:rPr>
          <w:rFonts w:ascii="Arial" w:hAnsi="Arial" w:cs="Arial"/>
          <w:bCs/>
        </w:rPr>
        <w:t>8</w:t>
      </w:r>
      <w:r w:rsidR="003E23E7">
        <w:rPr>
          <w:rFonts w:ascii="Arial" w:hAnsi="Arial" w:cs="Arial"/>
          <w:bCs/>
        </w:rPr>
        <w:t>.2.</w:t>
      </w:r>
      <w:r w:rsidR="00C15628">
        <w:rPr>
          <w:rFonts w:ascii="Arial" w:hAnsi="Arial" w:cs="Arial"/>
          <w:bCs/>
        </w:rPr>
        <w:t>2</w:t>
      </w:r>
      <w:r w:rsidR="003E23E7">
        <w:rPr>
          <w:rFonts w:ascii="Arial" w:hAnsi="Arial" w:cs="Arial"/>
          <w:bCs/>
        </w:rPr>
        <w:tab/>
      </w:r>
      <w:r w:rsidR="003E23E7">
        <w:rPr>
          <w:rFonts w:ascii="Arial" w:hAnsi="Arial" w:cs="Arial"/>
          <w:lang w:val="en-GB"/>
        </w:rPr>
        <w:t xml:space="preserve">53.5% in </w:t>
      </w:r>
      <w:r w:rsidR="003E23E7" w:rsidRPr="002819ED">
        <w:rPr>
          <w:rFonts w:ascii="Arial" w:hAnsi="Arial" w:cs="Arial"/>
          <w:i/>
        </w:rPr>
        <w:t>Lochner v MEC for Health and Social Development, Mpumalanga</w:t>
      </w:r>
      <w:r w:rsidR="003E23E7" w:rsidRPr="002819ED">
        <w:rPr>
          <w:rFonts w:ascii="Arial" w:hAnsi="Arial" w:cs="Arial"/>
        </w:rPr>
        <w:t xml:space="preserve"> (2012/25934) [2013] ZAGPPHC 388</w:t>
      </w:r>
      <w:r w:rsidR="003E23E7">
        <w:rPr>
          <w:rFonts w:ascii="Arial" w:hAnsi="Arial" w:cs="Arial"/>
        </w:rPr>
        <w:t>.</w:t>
      </w:r>
    </w:p>
    <w:p w:rsidR="003E23E7" w:rsidRDefault="003E23E7" w:rsidP="003E23E7">
      <w:pPr>
        <w:ind w:left="720" w:hanging="720"/>
        <w:jc w:val="both"/>
        <w:rPr>
          <w:rFonts w:ascii="Arial" w:hAnsi="Arial" w:cs="Arial"/>
          <w:bCs/>
        </w:rPr>
      </w:pPr>
    </w:p>
    <w:p w:rsidR="000E5E7A" w:rsidRDefault="00034406" w:rsidP="000E5E7A">
      <w:pPr>
        <w:ind w:left="720" w:hanging="720"/>
        <w:jc w:val="both"/>
        <w:rPr>
          <w:rFonts w:ascii="Arial" w:hAnsi="Arial" w:cs="Arial"/>
          <w:szCs w:val="18"/>
        </w:rPr>
      </w:pPr>
      <w:r>
        <w:rPr>
          <w:rFonts w:ascii="Arial" w:hAnsi="Arial" w:cs="Arial"/>
          <w:bCs/>
        </w:rPr>
        <w:t>8</w:t>
      </w:r>
      <w:r w:rsidR="003E23E7">
        <w:rPr>
          <w:rFonts w:ascii="Arial" w:hAnsi="Arial" w:cs="Arial"/>
          <w:bCs/>
        </w:rPr>
        <w:t>.2.</w:t>
      </w:r>
      <w:r w:rsidR="007705B2">
        <w:rPr>
          <w:rFonts w:ascii="Arial" w:hAnsi="Arial" w:cs="Arial"/>
          <w:bCs/>
        </w:rPr>
        <w:t>3</w:t>
      </w:r>
      <w:r w:rsidR="003E23E7">
        <w:rPr>
          <w:rFonts w:ascii="Arial" w:hAnsi="Arial" w:cs="Arial"/>
          <w:bCs/>
        </w:rPr>
        <w:tab/>
      </w:r>
      <w:r w:rsidR="000E5E7A">
        <w:rPr>
          <w:rFonts w:ascii="Arial" w:hAnsi="Arial" w:cs="Arial"/>
          <w:bCs/>
        </w:rPr>
        <w:t xml:space="preserve">48.3% in </w:t>
      </w:r>
      <w:r w:rsidR="000E5E7A" w:rsidRPr="00610FCE">
        <w:rPr>
          <w:rFonts w:ascii="Arial" w:hAnsi="Arial" w:cs="Arial"/>
          <w:bCs/>
          <w:i/>
        </w:rPr>
        <w:t xml:space="preserve">AD and Another v MEC for Health </w:t>
      </w:r>
      <w:r w:rsidR="000E5E7A">
        <w:rPr>
          <w:rFonts w:ascii="Arial" w:hAnsi="Arial" w:cs="Arial"/>
          <w:bCs/>
          <w:i/>
        </w:rPr>
        <w:t>a</w:t>
      </w:r>
      <w:r w:rsidR="000E5E7A" w:rsidRPr="00610FCE">
        <w:rPr>
          <w:rFonts w:ascii="Arial" w:hAnsi="Arial" w:cs="Arial"/>
          <w:bCs/>
          <w:i/>
        </w:rPr>
        <w:t>nd Social Development, Western Cape Provincial Government</w:t>
      </w:r>
      <w:r w:rsidR="000E5E7A" w:rsidRPr="00610FCE">
        <w:rPr>
          <w:rFonts w:ascii="Arial" w:hAnsi="Arial" w:cs="Arial"/>
          <w:bCs/>
        </w:rPr>
        <w:t xml:space="preserve"> (27428/10) [2016] ZAWCHC 116</w:t>
      </w:r>
      <w:r w:rsidR="000E5E7A">
        <w:rPr>
          <w:rFonts w:ascii="Arial" w:hAnsi="Arial" w:cs="Arial"/>
          <w:bCs/>
        </w:rPr>
        <w:t>.</w:t>
      </w:r>
    </w:p>
    <w:p w:rsidR="007B7C6F" w:rsidRDefault="007B7C6F" w:rsidP="000E5E7A">
      <w:pPr>
        <w:ind w:left="720" w:hanging="720"/>
        <w:jc w:val="both"/>
        <w:rPr>
          <w:rFonts w:ascii="Arial" w:hAnsi="Arial" w:cs="Arial"/>
          <w:lang w:val="en-GB"/>
        </w:rPr>
      </w:pPr>
    </w:p>
    <w:p w:rsidR="006D03FD" w:rsidRDefault="00034406" w:rsidP="000E5E7A">
      <w:pPr>
        <w:ind w:left="720" w:hanging="720"/>
        <w:jc w:val="both"/>
        <w:rPr>
          <w:rFonts w:ascii="Arial" w:hAnsi="Arial" w:cs="Arial"/>
          <w:lang w:val="en-GB"/>
        </w:rPr>
      </w:pPr>
      <w:r>
        <w:rPr>
          <w:rFonts w:ascii="Arial" w:hAnsi="Arial" w:cs="Arial"/>
          <w:lang w:val="en-GB"/>
        </w:rPr>
        <w:t>8</w:t>
      </w:r>
      <w:r w:rsidR="004C2FD1">
        <w:rPr>
          <w:rFonts w:ascii="Arial" w:hAnsi="Arial" w:cs="Arial"/>
          <w:lang w:val="en-GB"/>
        </w:rPr>
        <w:t>.</w:t>
      </w:r>
      <w:r w:rsidR="00E53DF4">
        <w:rPr>
          <w:rFonts w:ascii="Arial" w:hAnsi="Arial" w:cs="Arial"/>
          <w:lang w:val="en-GB"/>
        </w:rPr>
        <w:t>3</w:t>
      </w:r>
      <w:r w:rsidR="004C2FD1">
        <w:rPr>
          <w:rFonts w:ascii="Arial" w:hAnsi="Arial" w:cs="Arial"/>
          <w:lang w:val="en-GB"/>
        </w:rPr>
        <w:tab/>
      </w:r>
      <w:r w:rsidR="00861577">
        <w:rPr>
          <w:rFonts w:ascii="Arial" w:hAnsi="Arial" w:cs="Arial"/>
          <w:lang w:val="en-GB"/>
        </w:rPr>
        <w:t>Set out in the graph below is a comparison of a lump</w:t>
      </w:r>
      <w:r w:rsidR="00436396">
        <w:rPr>
          <w:rFonts w:ascii="Arial" w:hAnsi="Arial" w:cs="Arial"/>
          <w:lang w:val="en-GB"/>
        </w:rPr>
        <w:t xml:space="preserve"> sum, periodic payments that have not been discounted and periodic payments that have been discounted.</w:t>
      </w:r>
    </w:p>
    <w:p w:rsidR="00CF1775" w:rsidRDefault="00CF1775" w:rsidP="006D03FD">
      <w:pPr>
        <w:ind w:left="720" w:hanging="720"/>
        <w:jc w:val="both"/>
        <w:rPr>
          <w:rFonts w:ascii="Arial" w:hAnsi="Arial" w:cs="Arial"/>
          <w:lang w:val="en-GB"/>
        </w:rPr>
      </w:pPr>
    </w:p>
    <w:p w:rsidR="00976189" w:rsidRDefault="007F3B6D" w:rsidP="00976189">
      <w:pPr>
        <w:ind w:left="720"/>
        <w:jc w:val="both"/>
        <w:rPr>
          <w:rFonts w:ascii="Arial" w:hAnsi="Arial" w:cs="Arial"/>
          <w:lang w:val="en-GB"/>
        </w:rPr>
      </w:pPr>
      <w:r w:rsidRPr="00F81B79">
        <w:rPr>
          <w:noProof/>
          <w:color w:val="FFC000"/>
          <w:lang w:val="en-ZA" w:eastAsia="en-ZA"/>
        </w:rPr>
        <w:drawing>
          <wp:inline distT="0" distB="0" distL="0" distR="0">
            <wp:extent cx="4930140" cy="3044190"/>
            <wp:effectExtent l="0" t="0" r="3810" b="381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0953339B-7A3F-4659-B769-B1CD67A91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2799" w:rsidRDefault="00822799" w:rsidP="00976189">
      <w:pPr>
        <w:ind w:left="720"/>
        <w:jc w:val="both"/>
        <w:rPr>
          <w:rFonts w:ascii="Arial" w:hAnsi="Arial" w:cs="Arial"/>
          <w:lang w:val="en-GB"/>
        </w:rPr>
      </w:pPr>
    </w:p>
    <w:p w:rsidR="002D32FF" w:rsidRDefault="00034406" w:rsidP="00130DED">
      <w:pPr>
        <w:ind w:left="720" w:hanging="720"/>
        <w:jc w:val="both"/>
        <w:rPr>
          <w:rFonts w:ascii="Arial" w:hAnsi="Arial" w:cs="Arial"/>
          <w:lang w:val="en-GB"/>
        </w:rPr>
      </w:pPr>
      <w:r>
        <w:rPr>
          <w:rFonts w:ascii="Arial" w:hAnsi="Arial" w:cs="Arial"/>
          <w:lang w:val="en-GB"/>
        </w:rPr>
        <w:t>8</w:t>
      </w:r>
      <w:r w:rsidR="00130DED">
        <w:rPr>
          <w:rFonts w:ascii="Arial" w:hAnsi="Arial" w:cs="Arial"/>
          <w:lang w:val="en-GB"/>
        </w:rPr>
        <w:t>.3.1</w:t>
      </w:r>
      <w:r w:rsidR="00130DED">
        <w:rPr>
          <w:rFonts w:ascii="Arial" w:hAnsi="Arial" w:cs="Arial"/>
          <w:lang w:val="en-GB"/>
        </w:rPr>
        <w:tab/>
        <w:t xml:space="preserve">The </w:t>
      </w:r>
      <w:r w:rsidR="00130DED" w:rsidRPr="00C03BA3">
        <w:rPr>
          <w:rFonts w:ascii="Arial" w:hAnsi="Arial" w:cs="Arial"/>
          <w:b/>
          <w:color w:val="00B050"/>
          <w:lang w:val="en-GB"/>
        </w:rPr>
        <w:t>lump sum</w:t>
      </w:r>
      <w:r w:rsidR="00130DED">
        <w:rPr>
          <w:rFonts w:ascii="Arial" w:hAnsi="Arial" w:cs="Arial"/>
          <w:lang w:val="en-GB"/>
        </w:rPr>
        <w:t xml:space="preserve"> is indicated in </w:t>
      </w:r>
      <w:r w:rsidR="00130DED">
        <w:rPr>
          <w:rFonts w:ascii="Arial" w:hAnsi="Arial" w:cs="Arial"/>
          <w:b/>
          <w:color w:val="00B050"/>
          <w:lang w:val="en-GB"/>
        </w:rPr>
        <w:t>green</w:t>
      </w:r>
      <w:r w:rsidR="00130DED">
        <w:rPr>
          <w:rFonts w:ascii="Arial" w:hAnsi="Arial" w:cs="Arial"/>
          <w:lang w:val="en-GB"/>
        </w:rPr>
        <w:t>. It has been calculated on the basis that a caregiver would be required at a cost of R 240,000 per annum for life. The injury party is assumed to be a male child aged 10 years old with a life expectancy of an additional 20 years. Future caregiving costs have been inflated at an assumed 6% per annum compound and have been discounted at 8.65% per annum compound (a net discount rate of 2.5% per annum compound is therefore assumed).</w:t>
      </w:r>
      <w:r w:rsidR="00CC3D71">
        <w:rPr>
          <w:rFonts w:ascii="Arial" w:hAnsi="Arial" w:cs="Arial"/>
          <w:lang w:val="en-GB"/>
        </w:rPr>
        <w:t xml:space="preserve"> The underlying mortality table is taken as the same as used for the cases in paragraph </w:t>
      </w:r>
      <w:r w:rsidR="007D543B">
        <w:rPr>
          <w:rFonts w:ascii="Arial" w:hAnsi="Arial" w:cs="Arial"/>
          <w:lang w:val="en-GB"/>
        </w:rPr>
        <w:t>8</w:t>
      </w:r>
      <w:r w:rsidR="00CC3D71">
        <w:rPr>
          <w:rFonts w:ascii="Arial" w:hAnsi="Arial" w:cs="Arial"/>
          <w:lang w:val="en-GB"/>
        </w:rPr>
        <w:t>.</w:t>
      </w:r>
      <w:r w:rsidR="007D543B">
        <w:rPr>
          <w:rFonts w:ascii="Arial" w:hAnsi="Arial" w:cs="Arial"/>
          <w:lang w:val="en-GB"/>
        </w:rPr>
        <w:t>2.</w:t>
      </w:r>
      <w:r w:rsidR="00CC3D71">
        <w:rPr>
          <w:rFonts w:ascii="Arial" w:hAnsi="Arial" w:cs="Arial"/>
          <w:lang w:val="en-GB"/>
        </w:rPr>
        <w:t xml:space="preserve">1 to </w:t>
      </w:r>
      <w:r w:rsidR="007D543B">
        <w:rPr>
          <w:rFonts w:ascii="Arial" w:hAnsi="Arial" w:cs="Arial"/>
          <w:lang w:val="en-GB"/>
        </w:rPr>
        <w:t>8</w:t>
      </w:r>
      <w:r w:rsidR="00CC3D71">
        <w:rPr>
          <w:rFonts w:ascii="Arial" w:hAnsi="Arial" w:cs="Arial"/>
          <w:lang w:val="en-GB"/>
        </w:rPr>
        <w:t>.</w:t>
      </w:r>
      <w:r w:rsidR="007D543B">
        <w:rPr>
          <w:rFonts w:ascii="Arial" w:hAnsi="Arial" w:cs="Arial"/>
          <w:lang w:val="en-GB"/>
        </w:rPr>
        <w:t>2</w:t>
      </w:r>
      <w:r w:rsidR="00CC3D71">
        <w:rPr>
          <w:rFonts w:ascii="Arial" w:hAnsi="Arial" w:cs="Arial"/>
          <w:lang w:val="en-GB"/>
        </w:rPr>
        <w:t>.3 above; adjusted so as to allow for a future life expectancy of 20 additional years.</w:t>
      </w:r>
    </w:p>
    <w:p w:rsidR="00FD302B" w:rsidRDefault="00FD302B" w:rsidP="00436396">
      <w:pPr>
        <w:ind w:left="720" w:hanging="720"/>
        <w:jc w:val="both"/>
        <w:rPr>
          <w:rFonts w:ascii="Arial" w:hAnsi="Arial" w:cs="Arial"/>
          <w:lang w:val="en-GB"/>
        </w:rPr>
      </w:pPr>
    </w:p>
    <w:p w:rsidR="00436396" w:rsidRDefault="00034406" w:rsidP="00436396">
      <w:pPr>
        <w:ind w:left="720" w:hanging="720"/>
        <w:jc w:val="both"/>
        <w:rPr>
          <w:rFonts w:ascii="Arial" w:hAnsi="Arial" w:cs="Arial"/>
          <w:lang w:val="en-GB"/>
        </w:rPr>
      </w:pPr>
      <w:r>
        <w:rPr>
          <w:rFonts w:ascii="Arial" w:hAnsi="Arial" w:cs="Arial"/>
          <w:lang w:val="en-GB"/>
        </w:rPr>
        <w:t>8</w:t>
      </w:r>
      <w:r w:rsidR="00436396">
        <w:rPr>
          <w:rFonts w:ascii="Arial" w:hAnsi="Arial" w:cs="Arial"/>
          <w:lang w:val="en-GB"/>
        </w:rPr>
        <w:t>.3.2</w:t>
      </w:r>
      <w:r w:rsidR="00436396">
        <w:rPr>
          <w:rFonts w:ascii="Arial" w:hAnsi="Arial" w:cs="Arial"/>
          <w:lang w:val="en-GB"/>
        </w:rPr>
        <w:tab/>
      </w:r>
      <w:r w:rsidR="00436396" w:rsidRPr="00976189">
        <w:rPr>
          <w:rFonts w:ascii="Arial" w:hAnsi="Arial" w:cs="Arial"/>
          <w:lang w:val="en-GB"/>
        </w:rPr>
        <w:t xml:space="preserve">The </w:t>
      </w:r>
      <w:r w:rsidR="00436396" w:rsidRPr="00A0310C">
        <w:rPr>
          <w:rFonts w:ascii="Arial" w:hAnsi="Arial" w:cs="Arial"/>
          <w:b/>
          <w:color w:val="00B0F0"/>
          <w:lang w:val="en-GB"/>
        </w:rPr>
        <w:t>blue</w:t>
      </w:r>
      <w:r w:rsidR="00436396" w:rsidRPr="00976189">
        <w:rPr>
          <w:rFonts w:ascii="Arial" w:hAnsi="Arial" w:cs="Arial"/>
          <w:lang w:val="en-GB"/>
        </w:rPr>
        <w:t xml:space="preserve"> bars illustrate the </w:t>
      </w:r>
      <w:r w:rsidR="00436396">
        <w:rPr>
          <w:rFonts w:ascii="Arial" w:hAnsi="Arial" w:cs="Arial"/>
          <w:lang w:val="en-GB"/>
        </w:rPr>
        <w:t xml:space="preserve">cumulative </w:t>
      </w:r>
      <w:r w:rsidR="00436396" w:rsidRPr="00976189">
        <w:rPr>
          <w:rFonts w:ascii="Arial" w:hAnsi="Arial" w:cs="Arial"/>
          <w:lang w:val="en-GB"/>
        </w:rPr>
        <w:t xml:space="preserve">total </w:t>
      </w:r>
      <w:r w:rsidR="00436396" w:rsidRPr="00A0310C">
        <w:rPr>
          <w:rFonts w:ascii="Arial" w:hAnsi="Arial" w:cs="Arial"/>
          <w:b/>
          <w:color w:val="00B0F0"/>
          <w:lang w:val="en-GB"/>
        </w:rPr>
        <w:t>undiscounted structured settlement claim</w:t>
      </w:r>
      <w:r w:rsidR="00436396" w:rsidRPr="00976189">
        <w:rPr>
          <w:rFonts w:ascii="Arial" w:hAnsi="Arial" w:cs="Arial"/>
          <w:lang w:val="en-GB"/>
        </w:rPr>
        <w:t xml:space="preserve"> should the claimant survive </w:t>
      </w:r>
      <w:r w:rsidR="00436396">
        <w:rPr>
          <w:rFonts w:ascii="Arial" w:hAnsi="Arial" w:cs="Arial"/>
          <w:lang w:val="en-GB"/>
        </w:rPr>
        <w:t xml:space="preserve">a further </w:t>
      </w:r>
      <w:r w:rsidR="00FD302B">
        <w:rPr>
          <w:rFonts w:ascii="Arial" w:hAnsi="Arial" w:cs="Arial"/>
          <w:lang w:val="en-GB"/>
        </w:rPr>
        <w:t xml:space="preserve">0, </w:t>
      </w:r>
      <w:r w:rsidR="00436396">
        <w:rPr>
          <w:rFonts w:ascii="Arial" w:hAnsi="Arial" w:cs="Arial"/>
          <w:lang w:val="en-GB"/>
        </w:rPr>
        <w:t xml:space="preserve">1, 2, 3,…,25 years. </w:t>
      </w:r>
      <w:r w:rsidR="00436396" w:rsidRPr="00976189">
        <w:rPr>
          <w:rFonts w:ascii="Arial" w:hAnsi="Arial" w:cs="Arial"/>
          <w:lang w:val="en-GB"/>
        </w:rPr>
        <w:t xml:space="preserve">Although life expectancy is estimated at </w:t>
      </w:r>
      <w:r w:rsidR="00436396">
        <w:rPr>
          <w:rFonts w:ascii="Arial" w:hAnsi="Arial" w:cs="Arial"/>
          <w:lang w:val="en-GB"/>
        </w:rPr>
        <w:t>2</w:t>
      </w:r>
      <w:r w:rsidR="00436396" w:rsidRPr="00976189">
        <w:rPr>
          <w:rFonts w:ascii="Arial" w:hAnsi="Arial" w:cs="Arial"/>
          <w:lang w:val="en-GB"/>
        </w:rPr>
        <w:t xml:space="preserve">0 years the claimant could die sooner or live longer.  The graph illustrates this by indicating the amount payable should the claimant die 0 to </w:t>
      </w:r>
      <w:r w:rsidR="00436396">
        <w:rPr>
          <w:rFonts w:ascii="Arial" w:hAnsi="Arial" w:cs="Arial"/>
          <w:lang w:val="en-GB"/>
        </w:rPr>
        <w:t>25</w:t>
      </w:r>
      <w:r w:rsidR="00436396" w:rsidRPr="00976189">
        <w:rPr>
          <w:rFonts w:ascii="Arial" w:hAnsi="Arial" w:cs="Arial"/>
          <w:lang w:val="en-GB"/>
        </w:rPr>
        <w:t xml:space="preserve"> years after the date of trial (though </w:t>
      </w:r>
      <w:r w:rsidR="00436396">
        <w:rPr>
          <w:rFonts w:ascii="Arial" w:hAnsi="Arial" w:cs="Arial"/>
          <w:lang w:val="en-GB"/>
        </w:rPr>
        <w:t xml:space="preserve">it </w:t>
      </w:r>
      <w:r w:rsidR="00436396" w:rsidRPr="00976189">
        <w:rPr>
          <w:rFonts w:ascii="Arial" w:hAnsi="Arial" w:cs="Arial"/>
          <w:lang w:val="en-GB"/>
        </w:rPr>
        <w:t xml:space="preserve">could be longer).  </w:t>
      </w:r>
    </w:p>
    <w:p w:rsidR="006D03FD" w:rsidRDefault="00034406" w:rsidP="002D32FF">
      <w:pPr>
        <w:ind w:left="720" w:hanging="720"/>
        <w:jc w:val="both"/>
        <w:rPr>
          <w:rFonts w:ascii="Arial" w:hAnsi="Arial" w:cs="Arial"/>
        </w:rPr>
      </w:pPr>
      <w:r>
        <w:rPr>
          <w:rFonts w:ascii="Arial" w:hAnsi="Arial" w:cs="Arial"/>
          <w:lang w:val="en-GB"/>
        </w:rPr>
        <w:lastRenderedPageBreak/>
        <w:t>8</w:t>
      </w:r>
      <w:r w:rsidR="002D32FF">
        <w:rPr>
          <w:rFonts w:ascii="Arial" w:hAnsi="Arial" w:cs="Arial"/>
          <w:lang w:val="en-GB"/>
        </w:rPr>
        <w:t>.</w:t>
      </w:r>
      <w:r w:rsidR="00291F1B">
        <w:rPr>
          <w:rFonts w:ascii="Arial" w:hAnsi="Arial" w:cs="Arial"/>
          <w:lang w:val="en-GB"/>
        </w:rPr>
        <w:t>3</w:t>
      </w:r>
      <w:r w:rsidR="002D32FF">
        <w:rPr>
          <w:rFonts w:ascii="Arial" w:hAnsi="Arial" w:cs="Arial"/>
          <w:lang w:val="en-GB"/>
        </w:rPr>
        <w:t>.3</w:t>
      </w:r>
      <w:r w:rsidR="002D32FF">
        <w:rPr>
          <w:rFonts w:ascii="Arial" w:hAnsi="Arial" w:cs="Arial"/>
          <w:lang w:val="en-GB"/>
        </w:rPr>
        <w:tab/>
      </w:r>
      <w:r w:rsidR="0009748C">
        <w:rPr>
          <w:rFonts w:ascii="Arial" w:hAnsi="Arial" w:cs="Arial"/>
        </w:rPr>
        <w:t>The cost of care giving is taken as R 240,000 initially. It is assumed that this will be paid at the beginning of each year and escalate at 6% per annum compound.</w:t>
      </w:r>
    </w:p>
    <w:p w:rsidR="0009748C" w:rsidRDefault="0009748C" w:rsidP="0009748C">
      <w:pPr>
        <w:ind w:left="720" w:hanging="720"/>
        <w:jc w:val="both"/>
        <w:rPr>
          <w:rFonts w:ascii="Arial" w:hAnsi="Arial" w:cs="Arial"/>
        </w:rPr>
      </w:pPr>
    </w:p>
    <w:p w:rsidR="0009748C" w:rsidRDefault="009D2EEA" w:rsidP="0009748C">
      <w:pPr>
        <w:ind w:left="720" w:hanging="720"/>
        <w:jc w:val="both"/>
        <w:rPr>
          <w:rFonts w:ascii="Arial" w:hAnsi="Arial" w:cs="Arial"/>
          <w:lang w:val="en-GB"/>
        </w:rPr>
      </w:pPr>
      <w:r>
        <w:rPr>
          <w:rFonts w:ascii="Arial" w:hAnsi="Arial" w:cs="Arial"/>
        </w:rPr>
        <w:t>8</w:t>
      </w:r>
      <w:r w:rsidR="0009748C">
        <w:rPr>
          <w:rFonts w:ascii="Arial" w:hAnsi="Arial" w:cs="Arial"/>
        </w:rPr>
        <w:t>.</w:t>
      </w:r>
      <w:r w:rsidR="00291F1B">
        <w:rPr>
          <w:rFonts w:ascii="Arial" w:hAnsi="Arial" w:cs="Arial"/>
        </w:rPr>
        <w:t>3</w:t>
      </w:r>
      <w:r w:rsidR="0009748C">
        <w:rPr>
          <w:rFonts w:ascii="Arial" w:hAnsi="Arial" w:cs="Arial"/>
        </w:rPr>
        <w:t>.4</w:t>
      </w:r>
      <w:r w:rsidR="0009748C">
        <w:rPr>
          <w:rFonts w:ascii="Arial" w:hAnsi="Arial" w:cs="Arial"/>
        </w:rPr>
        <w:tab/>
        <w:t>T</w:t>
      </w:r>
      <w:r w:rsidR="0009748C" w:rsidRPr="00B66612">
        <w:rPr>
          <w:rFonts w:ascii="Arial" w:hAnsi="Arial" w:cs="Arial"/>
          <w:lang w:val="en-GB"/>
        </w:rPr>
        <w:t xml:space="preserve">he total estimated amount paid is materially larger under a </w:t>
      </w:r>
      <w:r w:rsidR="0009748C">
        <w:rPr>
          <w:rFonts w:ascii="Arial" w:hAnsi="Arial" w:cs="Arial"/>
          <w:lang w:val="en-GB"/>
        </w:rPr>
        <w:t xml:space="preserve">structured settlement </w:t>
      </w:r>
      <w:r w:rsidR="0009748C" w:rsidRPr="00B66612">
        <w:rPr>
          <w:rFonts w:ascii="Arial" w:hAnsi="Arial" w:cs="Arial"/>
          <w:lang w:val="en-GB"/>
        </w:rPr>
        <w:t xml:space="preserve">award since </w:t>
      </w:r>
      <w:r w:rsidR="0009748C">
        <w:rPr>
          <w:rFonts w:ascii="Arial" w:hAnsi="Arial" w:cs="Arial"/>
          <w:lang w:val="en-GB"/>
        </w:rPr>
        <w:t xml:space="preserve">structured settlement </w:t>
      </w:r>
      <w:r w:rsidR="0009748C" w:rsidRPr="00B66612">
        <w:rPr>
          <w:rFonts w:ascii="Arial" w:hAnsi="Arial" w:cs="Arial"/>
          <w:lang w:val="en-GB"/>
        </w:rPr>
        <w:t xml:space="preserve">payments are undiscounted whilst the lump sum award already includes an allowance for discounting.  </w:t>
      </w:r>
    </w:p>
    <w:p w:rsidR="0009748C" w:rsidRDefault="0009748C" w:rsidP="0009748C">
      <w:pPr>
        <w:ind w:left="720" w:hanging="720"/>
        <w:jc w:val="both"/>
        <w:rPr>
          <w:rFonts w:ascii="Arial" w:hAnsi="Arial" w:cs="Arial"/>
          <w:lang w:val="en-GB"/>
        </w:rPr>
      </w:pPr>
    </w:p>
    <w:p w:rsidR="006474CD" w:rsidRPr="006474CD" w:rsidRDefault="00034406" w:rsidP="006474CD">
      <w:pPr>
        <w:ind w:left="720" w:hanging="720"/>
        <w:jc w:val="both"/>
        <w:rPr>
          <w:rFonts w:ascii="Arial" w:hAnsi="Arial" w:cs="Arial"/>
          <w:lang w:val="en-GB"/>
        </w:rPr>
      </w:pPr>
      <w:r>
        <w:rPr>
          <w:rFonts w:ascii="Arial" w:hAnsi="Arial" w:cs="Arial"/>
          <w:lang w:val="en-GB"/>
        </w:rPr>
        <w:t>8</w:t>
      </w:r>
      <w:r w:rsidR="0009748C">
        <w:rPr>
          <w:rFonts w:ascii="Arial" w:hAnsi="Arial" w:cs="Arial"/>
          <w:lang w:val="en-GB"/>
        </w:rPr>
        <w:t>.</w:t>
      </w:r>
      <w:r w:rsidR="00590C74">
        <w:rPr>
          <w:rFonts w:ascii="Arial" w:hAnsi="Arial" w:cs="Arial"/>
          <w:lang w:val="en-GB"/>
        </w:rPr>
        <w:t>3</w:t>
      </w:r>
      <w:r w:rsidR="0009748C">
        <w:rPr>
          <w:rFonts w:ascii="Arial" w:hAnsi="Arial" w:cs="Arial"/>
          <w:lang w:val="en-GB"/>
        </w:rPr>
        <w:t>.5</w:t>
      </w:r>
      <w:r w:rsidR="0009748C">
        <w:rPr>
          <w:rFonts w:ascii="Arial" w:hAnsi="Arial" w:cs="Arial"/>
          <w:lang w:val="en-GB"/>
        </w:rPr>
        <w:tab/>
      </w:r>
      <w:r w:rsidR="001C3222">
        <w:rPr>
          <w:rFonts w:ascii="Arial" w:hAnsi="Arial" w:cs="Arial"/>
          <w:lang w:val="en-GB"/>
        </w:rPr>
        <w:t xml:space="preserve">The </w:t>
      </w:r>
      <w:r w:rsidR="001C3222" w:rsidRPr="007E5B23">
        <w:rPr>
          <w:rFonts w:ascii="Arial" w:hAnsi="Arial" w:cs="Arial"/>
          <w:b/>
          <w:color w:val="FF0000"/>
          <w:lang w:val="en-GB"/>
        </w:rPr>
        <w:t>re</w:t>
      </w:r>
      <w:r w:rsidR="007E5B23">
        <w:rPr>
          <w:rFonts w:ascii="Arial" w:hAnsi="Arial" w:cs="Arial"/>
          <w:b/>
          <w:color w:val="FF0000"/>
          <w:lang w:val="en-GB"/>
        </w:rPr>
        <w:t xml:space="preserve">d </w:t>
      </w:r>
      <w:r w:rsidR="001C3222">
        <w:rPr>
          <w:rFonts w:ascii="Arial" w:hAnsi="Arial" w:cs="Arial"/>
          <w:lang w:val="en-GB"/>
        </w:rPr>
        <w:t xml:space="preserve">bars show the effect of </w:t>
      </w:r>
      <w:r w:rsidR="001C3222" w:rsidRPr="007E5B23">
        <w:rPr>
          <w:rFonts w:ascii="Arial" w:hAnsi="Arial" w:cs="Arial"/>
          <w:b/>
          <w:color w:val="FF0000"/>
          <w:lang w:val="en-GB"/>
        </w:rPr>
        <w:t>d</w:t>
      </w:r>
      <w:r w:rsidR="006474CD" w:rsidRPr="007E5B23">
        <w:rPr>
          <w:rFonts w:ascii="Arial" w:hAnsi="Arial" w:cs="Arial"/>
          <w:b/>
          <w:color w:val="FF0000"/>
          <w:lang w:val="en-GB"/>
        </w:rPr>
        <w:t xml:space="preserve">iscounting the </w:t>
      </w:r>
      <w:r w:rsidR="001C3222" w:rsidRPr="007E5B23">
        <w:rPr>
          <w:rFonts w:ascii="Arial" w:hAnsi="Arial" w:cs="Arial"/>
          <w:b/>
          <w:color w:val="FF0000"/>
          <w:lang w:val="en-GB"/>
        </w:rPr>
        <w:t>structured settlement</w:t>
      </w:r>
      <w:r w:rsidR="001C3222">
        <w:rPr>
          <w:rFonts w:ascii="Arial" w:hAnsi="Arial" w:cs="Arial"/>
          <w:lang w:val="en-GB"/>
        </w:rPr>
        <w:t xml:space="preserve"> cash flows </w:t>
      </w:r>
      <w:r w:rsidR="00743AAA">
        <w:rPr>
          <w:rFonts w:ascii="Arial" w:hAnsi="Arial" w:cs="Arial"/>
          <w:lang w:val="en-GB"/>
        </w:rPr>
        <w:t xml:space="preserve">at a net discount rate of 2.5% per annum compound. </w:t>
      </w:r>
      <w:r w:rsidR="006474CD" w:rsidRPr="006474CD">
        <w:rPr>
          <w:rFonts w:ascii="Arial" w:hAnsi="Arial" w:cs="Arial"/>
          <w:lang w:val="en-GB"/>
        </w:rPr>
        <w:t xml:space="preserve">The difference between the values at each age is less pronounced than on an undiscounted basis. </w:t>
      </w:r>
    </w:p>
    <w:p w:rsidR="005232ED" w:rsidRDefault="005232ED">
      <w:pPr>
        <w:rPr>
          <w:rFonts w:ascii="Arial" w:hAnsi="Arial" w:cs="Arial"/>
          <w:b/>
        </w:rPr>
      </w:pPr>
    </w:p>
    <w:p w:rsidR="0080084E" w:rsidRDefault="00682D23" w:rsidP="0080084E">
      <w:pPr>
        <w:jc w:val="both"/>
        <w:rPr>
          <w:rFonts w:ascii="Arial" w:hAnsi="Arial" w:cs="Arial"/>
          <w:b/>
          <w:u w:val="single"/>
        </w:rPr>
      </w:pPr>
      <w:r>
        <w:rPr>
          <w:rFonts w:ascii="Arial" w:hAnsi="Arial" w:cs="Arial"/>
          <w:b/>
        </w:rPr>
        <w:t>9</w:t>
      </w:r>
      <w:r w:rsidR="0080084E" w:rsidRPr="00E5233C">
        <w:rPr>
          <w:rFonts w:ascii="Arial" w:hAnsi="Arial" w:cs="Arial"/>
          <w:b/>
        </w:rPr>
        <w:t>.</w:t>
      </w:r>
      <w:r w:rsidR="0080084E" w:rsidRPr="00E5233C">
        <w:rPr>
          <w:rFonts w:ascii="Arial" w:hAnsi="Arial" w:cs="Arial"/>
          <w:b/>
        </w:rPr>
        <w:tab/>
      </w:r>
      <w:r>
        <w:rPr>
          <w:rFonts w:ascii="Arial" w:hAnsi="Arial" w:cs="Arial"/>
          <w:b/>
          <w:u w:val="single"/>
        </w:rPr>
        <w:t>Placental pathology</w:t>
      </w:r>
    </w:p>
    <w:p w:rsidR="0080084E" w:rsidRDefault="0080084E">
      <w:pPr>
        <w:rPr>
          <w:rFonts w:ascii="Arial" w:hAnsi="Arial" w:cs="Arial"/>
          <w:b/>
        </w:rPr>
      </w:pPr>
    </w:p>
    <w:p w:rsidR="00FF3D84" w:rsidRDefault="00FF3D84" w:rsidP="00D5334B">
      <w:pPr>
        <w:ind w:left="720" w:hanging="720"/>
        <w:jc w:val="both"/>
        <w:rPr>
          <w:rFonts w:ascii="Arial" w:hAnsi="Arial" w:cs="Arial"/>
        </w:rPr>
      </w:pPr>
      <w:r>
        <w:rPr>
          <w:rFonts w:ascii="Arial" w:hAnsi="Arial" w:cs="Arial"/>
        </w:rPr>
        <w:t>9.1</w:t>
      </w:r>
      <w:r>
        <w:rPr>
          <w:rFonts w:ascii="Arial" w:hAnsi="Arial" w:cs="Arial"/>
        </w:rPr>
        <w:tab/>
        <w:t xml:space="preserve">As noted by </w:t>
      </w:r>
      <w:r w:rsidR="00C65752">
        <w:rPr>
          <w:rFonts w:ascii="Arial" w:hAnsi="Arial" w:cs="Arial"/>
        </w:rPr>
        <w:t>Roescher, et al.:</w:t>
      </w:r>
    </w:p>
    <w:p w:rsidR="00D45EE1" w:rsidRDefault="00D45EE1" w:rsidP="00D5334B">
      <w:pPr>
        <w:ind w:left="720" w:hanging="720"/>
        <w:jc w:val="both"/>
        <w:rPr>
          <w:rFonts w:ascii="Arial" w:hAnsi="Arial" w:cs="Arial"/>
        </w:rPr>
      </w:pPr>
    </w:p>
    <w:p w:rsidR="00FF3D84" w:rsidRDefault="00FF3D84" w:rsidP="00D45EE1">
      <w:pPr>
        <w:ind w:left="1440"/>
        <w:jc w:val="both"/>
        <w:rPr>
          <w:rFonts w:ascii="Arial" w:hAnsi="Arial" w:cs="Arial"/>
          <w:sz w:val="18"/>
          <w:szCs w:val="18"/>
        </w:rPr>
      </w:pPr>
      <w:r w:rsidRPr="00FF3D84">
        <w:rPr>
          <w:rFonts w:ascii="Arial" w:hAnsi="Arial" w:cs="Arial"/>
          <w:sz w:val="18"/>
          <w:szCs w:val="18"/>
        </w:rPr>
        <w:t>It is thought that the pathogenesis of neurological impairment has an antenatal as well as an intra-partum component. An event weeks before delivery can result in a non-optimal fetal environment. This might result in lowering the threshold required for more recent events to cause brain injury. Placental lesions can be such an antenatal event</w:t>
      </w:r>
      <w:r w:rsidR="00863824">
        <w:rPr>
          <w:rFonts w:ascii="Arial" w:hAnsi="Arial" w:cs="Arial"/>
          <w:sz w:val="18"/>
          <w:szCs w:val="18"/>
        </w:rPr>
        <w:t>.</w:t>
      </w:r>
    </w:p>
    <w:p w:rsidR="00D45EE1" w:rsidRDefault="00D45EE1" w:rsidP="00D45EE1">
      <w:pPr>
        <w:ind w:left="1440"/>
        <w:jc w:val="both"/>
        <w:rPr>
          <w:rFonts w:ascii="Arial" w:hAnsi="Arial" w:cs="Arial"/>
          <w:sz w:val="18"/>
          <w:szCs w:val="18"/>
        </w:rPr>
      </w:pPr>
    </w:p>
    <w:p w:rsidR="00D45EE1" w:rsidRPr="00FF3D84" w:rsidRDefault="00D45EE1" w:rsidP="00D45EE1">
      <w:pPr>
        <w:ind w:left="1440"/>
        <w:jc w:val="both"/>
        <w:rPr>
          <w:rFonts w:ascii="Arial" w:hAnsi="Arial" w:cs="Arial"/>
          <w:sz w:val="18"/>
          <w:szCs w:val="18"/>
        </w:rPr>
      </w:pPr>
      <w:r w:rsidRPr="00D45EE1">
        <w:rPr>
          <w:rFonts w:ascii="Arial" w:hAnsi="Arial" w:cs="Arial"/>
          <w:sz w:val="18"/>
          <w:szCs w:val="18"/>
        </w:rPr>
        <w:t>In summary, despite the difficulties in studying the relation between placental lesions and neurological morbidity, and the inconsistent results, some conclusions can be drawn. For those studies finding a relation with poor neurological outcome, the placental lesion is ascending intrauterine infection with a fetal response. Furthermore, in term infants a larger variety of placental lesions seem to be associated with poor neurological outcome compared to preterm infants. Knowledge on the pathophysiological mechanisms leading to long-term neurological deficits may lead to possible interventions to improve outcome. The fact that the placenta is available for histological examination immediately after birth and that it may reveal valuable information for pediatricians, leads to an early opportunity to intervene to the benefit, hopefully, of ill neonates.</w:t>
      </w:r>
    </w:p>
    <w:p w:rsidR="00043C25" w:rsidRDefault="00043C25" w:rsidP="00D5334B">
      <w:pPr>
        <w:ind w:left="720" w:hanging="720"/>
        <w:jc w:val="both"/>
        <w:rPr>
          <w:rFonts w:ascii="Arial" w:hAnsi="Arial" w:cs="Arial"/>
        </w:rPr>
      </w:pPr>
    </w:p>
    <w:p w:rsidR="00880100" w:rsidRDefault="00682D23" w:rsidP="00D5334B">
      <w:pPr>
        <w:ind w:left="720" w:hanging="720"/>
        <w:jc w:val="both"/>
        <w:rPr>
          <w:rFonts w:ascii="Arial" w:hAnsi="Arial" w:cs="Arial"/>
        </w:rPr>
      </w:pPr>
      <w:r>
        <w:rPr>
          <w:rFonts w:ascii="Arial" w:hAnsi="Arial" w:cs="Arial"/>
        </w:rPr>
        <w:t>9</w:t>
      </w:r>
      <w:r w:rsidR="0080084E">
        <w:rPr>
          <w:rFonts w:ascii="Arial" w:hAnsi="Arial" w:cs="Arial"/>
        </w:rPr>
        <w:t>.</w:t>
      </w:r>
      <w:r w:rsidR="00863824">
        <w:rPr>
          <w:rFonts w:ascii="Arial" w:hAnsi="Arial" w:cs="Arial"/>
        </w:rPr>
        <w:t>2</w:t>
      </w:r>
      <w:r w:rsidR="0080084E">
        <w:rPr>
          <w:rFonts w:ascii="Arial" w:hAnsi="Arial" w:cs="Arial"/>
        </w:rPr>
        <w:tab/>
      </w:r>
      <w:r w:rsidR="00880100">
        <w:rPr>
          <w:rFonts w:ascii="Arial" w:hAnsi="Arial" w:cs="Arial"/>
        </w:rPr>
        <w:t>As noted by Baergen:</w:t>
      </w:r>
    </w:p>
    <w:p w:rsidR="00880100" w:rsidRDefault="00880100" w:rsidP="00D5334B">
      <w:pPr>
        <w:ind w:left="720" w:hanging="720"/>
        <w:jc w:val="both"/>
        <w:rPr>
          <w:rFonts w:ascii="Arial" w:hAnsi="Arial" w:cs="Arial"/>
        </w:rPr>
      </w:pPr>
    </w:p>
    <w:p w:rsidR="00880100" w:rsidRDefault="00880100" w:rsidP="00880100">
      <w:pPr>
        <w:ind w:left="1440"/>
        <w:jc w:val="both"/>
        <w:rPr>
          <w:rFonts w:ascii="Arial" w:hAnsi="Arial" w:cs="Arial"/>
          <w:sz w:val="18"/>
          <w:szCs w:val="18"/>
        </w:rPr>
      </w:pPr>
      <w:r w:rsidRPr="00880100">
        <w:rPr>
          <w:rFonts w:ascii="Arial" w:hAnsi="Arial" w:cs="Arial"/>
          <w:sz w:val="18"/>
          <w:szCs w:val="18"/>
        </w:rPr>
        <w:t xml:space="preserve">The placenta not only "records" and reflects the intrauterine environment, it also provides valuable information on the cause and timing of many adverse events and conditions. The placenta may be useful in several ways. It may be the cause of injury due to an inherent abnormality, it may "malfunction" because of disease processes that are not primarily placental in origin, or it may merely reflect an abnormal intrauterine environment. Not only may the etiology of the injury be ascertained from placental examination, but also a time frame during which the abnormal condition has been operating. Acute lesions may be associated with sudden catastrophic events, whereas other, more chronic lesions lead to decreased placental reserves. Markedly depleted reserves will render the infant susceptible to other, sometimes more acute, events and thus are also associated with significant injury or even death. </w:t>
      </w:r>
    </w:p>
    <w:p w:rsidR="00347DF6" w:rsidRDefault="00347DF6" w:rsidP="00347DF6">
      <w:pPr>
        <w:jc w:val="both"/>
        <w:rPr>
          <w:rFonts w:ascii="Arial" w:hAnsi="Arial" w:cs="Arial"/>
          <w:sz w:val="18"/>
          <w:szCs w:val="18"/>
        </w:rPr>
      </w:pPr>
    </w:p>
    <w:p w:rsidR="00347DF6" w:rsidRPr="007C59BD" w:rsidRDefault="00347DF6" w:rsidP="00347DF6">
      <w:pPr>
        <w:jc w:val="both"/>
        <w:rPr>
          <w:rFonts w:ascii="Arial" w:hAnsi="Arial" w:cs="Arial"/>
        </w:rPr>
      </w:pPr>
      <w:r w:rsidRPr="007C59BD">
        <w:rPr>
          <w:rFonts w:ascii="Arial" w:hAnsi="Arial" w:cs="Arial"/>
        </w:rPr>
        <w:t>9.</w:t>
      </w:r>
      <w:r w:rsidR="00863824">
        <w:rPr>
          <w:rFonts w:ascii="Arial" w:hAnsi="Arial" w:cs="Arial"/>
        </w:rPr>
        <w:t>3</w:t>
      </w:r>
      <w:r w:rsidRPr="007C59BD">
        <w:rPr>
          <w:rFonts w:ascii="Arial" w:hAnsi="Arial" w:cs="Arial"/>
        </w:rPr>
        <w:tab/>
        <w:t>As noted by</w:t>
      </w:r>
      <w:r w:rsidR="00924000" w:rsidRPr="007C59BD">
        <w:rPr>
          <w:rFonts w:ascii="Arial" w:hAnsi="Arial" w:cs="Arial"/>
        </w:rPr>
        <w:t xml:space="preserve"> Kos:</w:t>
      </w:r>
    </w:p>
    <w:p w:rsidR="00EC349B" w:rsidRDefault="00EC349B" w:rsidP="00EC349B">
      <w:pPr>
        <w:ind w:left="1440"/>
        <w:jc w:val="both"/>
        <w:rPr>
          <w:rFonts w:ascii="Arial" w:hAnsi="Arial" w:cs="Arial"/>
          <w:sz w:val="18"/>
          <w:szCs w:val="18"/>
        </w:rPr>
      </w:pPr>
    </w:p>
    <w:p w:rsidR="00924000" w:rsidRDefault="00EC349B" w:rsidP="00EC349B">
      <w:pPr>
        <w:ind w:left="1440"/>
        <w:jc w:val="both"/>
        <w:rPr>
          <w:rFonts w:ascii="Arial" w:hAnsi="Arial" w:cs="Arial"/>
          <w:sz w:val="18"/>
          <w:szCs w:val="18"/>
        </w:rPr>
      </w:pPr>
      <w:r w:rsidRPr="00EC349B">
        <w:rPr>
          <w:rFonts w:ascii="Arial" w:hAnsi="Arial" w:cs="Arial"/>
          <w:sz w:val="18"/>
          <w:szCs w:val="18"/>
        </w:rPr>
        <w:t xml:space="preserve">In all the surveys, neurological impair is the leading cause of the reasons for liability claim, with the cerebral palsy being the most serious damage. The possible etiologies have been discussed for years, and although the damage to neural tissue is undebatable, there is still no agreement upon the timing of the damage. </w:t>
      </w:r>
      <w:r w:rsidR="00CE5E0F">
        <w:rPr>
          <w:rFonts w:ascii="Arial" w:hAnsi="Arial" w:cs="Arial"/>
          <w:sz w:val="18"/>
          <w:szCs w:val="18"/>
        </w:rPr>
        <w:t>S</w:t>
      </w:r>
      <w:r w:rsidRPr="00EC349B">
        <w:rPr>
          <w:rFonts w:ascii="Arial" w:hAnsi="Arial" w:cs="Arial"/>
          <w:sz w:val="18"/>
          <w:szCs w:val="18"/>
        </w:rPr>
        <w:t>ome authors think that 90% of the cases of cerebral palsy are not due to intrapartum events, while in the opinion of others most of the devastating events occurred in the perinatal period. It is still impossible to firmly determine in each single case whether the hypoxic insult has developed during delivery, in the first few hours after birth, or was already present before the labor began, as a consequence of long lasting hypoxia during pregnancy.</w:t>
      </w:r>
    </w:p>
    <w:p w:rsidR="00D33B61" w:rsidRDefault="00D33B61" w:rsidP="00EC349B">
      <w:pPr>
        <w:ind w:left="1440"/>
        <w:jc w:val="both"/>
        <w:rPr>
          <w:rFonts w:ascii="Arial" w:hAnsi="Arial" w:cs="Arial"/>
          <w:sz w:val="18"/>
          <w:szCs w:val="18"/>
        </w:rPr>
      </w:pPr>
    </w:p>
    <w:p w:rsidR="00043C25" w:rsidRDefault="00043C25">
      <w:pPr>
        <w:rPr>
          <w:rFonts w:ascii="Arial" w:hAnsi="Arial" w:cs="Arial"/>
          <w:sz w:val="18"/>
          <w:szCs w:val="18"/>
        </w:rPr>
      </w:pPr>
      <w:r>
        <w:rPr>
          <w:rFonts w:ascii="Arial" w:hAnsi="Arial" w:cs="Arial"/>
          <w:sz w:val="18"/>
          <w:szCs w:val="18"/>
        </w:rPr>
        <w:br w:type="page"/>
      </w:r>
    </w:p>
    <w:p w:rsidR="00D33B61" w:rsidRDefault="00D33B61" w:rsidP="00EC349B">
      <w:pPr>
        <w:ind w:left="1440"/>
        <w:jc w:val="both"/>
        <w:rPr>
          <w:rFonts w:ascii="Arial" w:hAnsi="Arial" w:cs="Arial"/>
          <w:sz w:val="18"/>
          <w:szCs w:val="18"/>
        </w:rPr>
      </w:pPr>
      <w:r w:rsidRPr="00D33B61">
        <w:rPr>
          <w:rFonts w:ascii="Arial" w:hAnsi="Arial" w:cs="Arial"/>
          <w:sz w:val="18"/>
          <w:szCs w:val="18"/>
        </w:rPr>
        <w:lastRenderedPageBreak/>
        <w:t>The basis of litigation claims against obstetricians, anesthesiologists and neonatologists is the notion that fetal death or neurological disabilities are the result of failure or delay in intervention or inappropriate management of injuries believed to have occurred during the process of delivery. The intense fetal monitoring and changes in methods of delivery have decreased the incidence of cerebral palsy, but not substantially</w:t>
      </w:r>
      <w:r>
        <w:rPr>
          <w:rFonts w:ascii="Arial" w:hAnsi="Arial" w:cs="Arial"/>
          <w:sz w:val="18"/>
          <w:szCs w:val="18"/>
        </w:rPr>
        <w:t>.</w:t>
      </w:r>
    </w:p>
    <w:p w:rsidR="00AD0C33" w:rsidRDefault="00AD0C33" w:rsidP="00EC349B">
      <w:pPr>
        <w:ind w:left="1440"/>
        <w:jc w:val="both"/>
        <w:rPr>
          <w:rFonts w:ascii="Arial" w:hAnsi="Arial" w:cs="Arial"/>
          <w:sz w:val="18"/>
          <w:szCs w:val="18"/>
        </w:rPr>
      </w:pPr>
    </w:p>
    <w:p w:rsidR="00AD0C33" w:rsidRDefault="00AD0C33" w:rsidP="00EC349B">
      <w:pPr>
        <w:ind w:left="1440"/>
        <w:jc w:val="both"/>
        <w:rPr>
          <w:rFonts w:ascii="Arial" w:hAnsi="Arial" w:cs="Arial"/>
          <w:sz w:val="18"/>
          <w:szCs w:val="18"/>
        </w:rPr>
      </w:pPr>
      <w:r w:rsidRPr="00AD0C33">
        <w:rPr>
          <w:rFonts w:ascii="Arial" w:hAnsi="Arial" w:cs="Arial"/>
          <w:sz w:val="18"/>
          <w:szCs w:val="18"/>
        </w:rPr>
        <w:t>The placenta is an easily available specimen and the costs of a routine pathological examination are moderate, so in all doubtful cases, the clinicians should not hesitate to ask for a pathological analysis and opinion.</w:t>
      </w:r>
    </w:p>
    <w:p w:rsidR="00924000" w:rsidRDefault="00924000" w:rsidP="00347DF6">
      <w:pPr>
        <w:jc w:val="both"/>
        <w:rPr>
          <w:rFonts w:ascii="Arial" w:hAnsi="Arial" w:cs="Arial"/>
          <w:sz w:val="18"/>
          <w:szCs w:val="18"/>
        </w:rPr>
      </w:pPr>
    </w:p>
    <w:p w:rsidR="00AD0C33" w:rsidRPr="003E530F" w:rsidRDefault="00AD0C33" w:rsidP="00347DF6">
      <w:pPr>
        <w:jc w:val="both"/>
        <w:rPr>
          <w:rFonts w:ascii="Arial" w:hAnsi="Arial" w:cs="Arial"/>
        </w:rPr>
      </w:pPr>
      <w:r w:rsidRPr="003E530F">
        <w:rPr>
          <w:rFonts w:ascii="Arial" w:hAnsi="Arial" w:cs="Arial"/>
        </w:rPr>
        <w:t>9.</w:t>
      </w:r>
      <w:r w:rsidR="001C00E8">
        <w:rPr>
          <w:rFonts w:ascii="Arial" w:hAnsi="Arial" w:cs="Arial"/>
        </w:rPr>
        <w:t>4</w:t>
      </w:r>
      <w:r w:rsidRPr="003E530F">
        <w:rPr>
          <w:rFonts w:ascii="Arial" w:hAnsi="Arial" w:cs="Arial"/>
        </w:rPr>
        <w:tab/>
        <w:t xml:space="preserve">As noted by </w:t>
      </w:r>
      <w:r w:rsidR="00A2241A" w:rsidRPr="003E530F">
        <w:rPr>
          <w:rFonts w:ascii="Arial" w:hAnsi="Arial" w:cs="Arial"/>
        </w:rPr>
        <w:t>Bateman:</w:t>
      </w:r>
    </w:p>
    <w:p w:rsidR="00A2241A" w:rsidRDefault="00A2241A" w:rsidP="00347DF6">
      <w:pPr>
        <w:jc w:val="both"/>
        <w:rPr>
          <w:rFonts w:ascii="Arial" w:hAnsi="Arial" w:cs="Arial"/>
          <w:sz w:val="18"/>
          <w:szCs w:val="18"/>
        </w:rPr>
      </w:pPr>
    </w:p>
    <w:p w:rsidR="00A2241A" w:rsidRDefault="00A2241A" w:rsidP="00A2241A">
      <w:pPr>
        <w:ind w:left="1440"/>
        <w:jc w:val="both"/>
        <w:rPr>
          <w:rFonts w:ascii="Arial" w:hAnsi="Arial" w:cs="Arial"/>
          <w:sz w:val="18"/>
          <w:szCs w:val="18"/>
        </w:rPr>
      </w:pPr>
      <w:r w:rsidRPr="00A2241A">
        <w:rPr>
          <w:rFonts w:ascii="Arial" w:hAnsi="Arial" w:cs="Arial"/>
          <w:sz w:val="18"/>
          <w:szCs w:val="18"/>
        </w:rPr>
        <w:t>Wright said numerous studies had shown that babies who had ‘an event’ during the course of their mother’s pregnancy went into labour already compromised. The placenta was normally ‘relegated to the sink’. Her experience at Tygerberg Hospital in the year 2000 was that she saw just six placentas from an ‘excellent’ and extremely busy neonatal unit that year. Through her advocacy and that of her colleagues, this improved to 848 placentas a year (still just 15% of deliveries) by 2004/5, when there were only 30 cases of clinically suspected intrapartum hypoxia. On examination, the placenta was normal in only one of these 30 cases, the remainder all showing some degree of pathology unsuspected by the attending clinician.</w:t>
      </w:r>
    </w:p>
    <w:p w:rsidR="00AD0C33" w:rsidRDefault="00AD0C33" w:rsidP="00347DF6">
      <w:pPr>
        <w:jc w:val="both"/>
        <w:rPr>
          <w:rFonts w:ascii="Arial" w:hAnsi="Arial" w:cs="Arial"/>
          <w:sz w:val="18"/>
          <w:szCs w:val="18"/>
        </w:rPr>
      </w:pPr>
    </w:p>
    <w:p w:rsidR="002B44DE" w:rsidRPr="0030466B" w:rsidRDefault="003B73E4" w:rsidP="002B44DE">
      <w:pPr>
        <w:ind w:left="720" w:hanging="720"/>
        <w:jc w:val="both"/>
        <w:rPr>
          <w:rFonts w:ascii="Arial" w:hAnsi="Arial" w:cs="Arial"/>
        </w:rPr>
      </w:pPr>
      <w:r w:rsidRPr="0030466B">
        <w:rPr>
          <w:rFonts w:ascii="Arial" w:hAnsi="Arial" w:cs="Arial"/>
        </w:rPr>
        <w:t>9.</w:t>
      </w:r>
      <w:r w:rsidR="001C00E8">
        <w:rPr>
          <w:rFonts w:ascii="Arial" w:hAnsi="Arial" w:cs="Arial"/>
        </w:rPr>
        <w:t>5</w:t>
      </w:r>
      <w:r w:rsidRPr="0030466B">
        <w:rPr>
          <w:rFonts w:ascii="Arial" w:hAnsi="Arial" w:cs="Arial"/>
        </w:rPr>
        <w:tab/>
      </w:r>
      <w:r w:rsidR="00735695" w:rsidRPr="0030466B">
        <w:rPr>
          <w:rFonts w:ascii="Arial" w:hAnsi="Arial" w:cs="Arial"/>
        </w:rPr>
        <w:t xml:space="preserve">The State is urged to </w:t>
      </w:r>
      <w:r w:rsidR="002B44DE" w:rsidRPr="0030466B">
        <w:rPr>
          <w:rFonts w:ascii="Arial" w:hAnsi="Arial" w:cs="Arial"/>
        </w:rPr>
        <w:t xml:space="preserve">conduct a cost-benefit analysis of setting up </w:t>
      </w:r>
      <w:r w:rsidR="00FC1B75" w:rsidRPr="0030466B">
        <w:rPr>
          <w:rFonts w:ascii="Arial" w:hAnsi="Arial" w:cs="Arial"/>
        </w:rPr>
        <w:t xml:space="preserve">a </w:t>
      </w:r>
      <w:r w:rsidR="003716AC">
        <w:rPr>
          <w:rFonts w:ascii="Arial" w:hAnsi="Arial" w:cs="Arial"/>
        </w:rPr>
        <w:t xml:space="preserve">fully functional </w:t>
      </w:r>
      <w:r w:rsidR="007A7507">
        <w:rPr>
          <w:rFonts w:ascii="Arial" w:hAnsi="Arial" w:cs="Arial"/>
        </w:rPr>
        <w:t xml:space="preserve">placental </w:t>
      </w:r>
      <w:r w:rsidR="002B44DE" w:rsidRPr="0030466B">
        <w:rPr>
          <w:rFonts w:ascii="Arial" w:hAnsi="Arial" w:cs="Arial"/>
        </w:rPr>
        <w:t xml:space="preserve">pathology </w:t>
      </w:r>
      <w:r w:rsidR="00FC1B75" w:rsidRPr="0030466B">
        <w:rPr>
          <w:rFonts w:ascii="Arial" w:hAnsi="Arial" w:cs="Arial"/>
        </w:rPr>
        <w:t xml:space="preserve">unit. </w:t>
      </w:r>
      <w:r w:rsidR="002B44DE" w:rsidRPr="0030466B">
        <w:rPr>
          <w:rFonts w:ascii="Arial" w:hAnsi="Arial" w:cs="Arial"/>
        </w:rPr>
        <w:t xml:space="preserve">Thereafter, norms and standards for referral criteria can be established. </w:t>
      </w:r>
      <w:r w:rsidR="003716AC">
        <w:rPr>
          <w:rFonts w:ascii="Arial" w:hAnsi="Arial" w:cs="Arial"/>
        </w:rPr>
        <w:br/>
      </w:r>
      <w:r w:rsidR="003E7CF4" w:rsidRPr="0030466B">
        <w:rPr>
          <w:rFonts w:ascii="Arial" w:hAnsi="Arial" w:cs="Arial"/>
        </w:rPr>
        <w:t>As noted in Bateman:</w:t>
      </w:r>
    </w:p>
    <w:p w:rsidR="003E7CF4" w:rsidRDefault="003E7CF4" w:rsidP="002B44DE">
      <w:pPr>
        <w:ind w:left="720" w:hanging="720"/>
        <w:jc w:val="both"/>
        <w:rPr>
          <w:rFonts w:ascii="Arial" w:hAnsi="Arial" w:cs="Arial"/>
          <w:sz w:val="18"/>
          <w:szCs w:val="18"/>
        </w:rPr>
      </w:pPr>
    </w:p>
    <w:p w:rsidR="003E7CF4" w:rsidRPr="002B44DE" w:rsidRDefault="00570277" w:rsidP="00570277">
      <w:pPr>
        <w:ind w:left="1440"/>
        <w:jc w:val="both"/>
        <w:rPr>
          <w:rFonts w:ascii="Arial" w:hAnsi="Arial" w:cs="Arial"/>
          <w:sz w:val="18"/>
          <w:szCs w:val="18"/>
        </w:rPr>
      </w:pPr>
      <w:r w:rsidRPr="00570277">
        <w:rPr>
          <w:rFonts w:ascii="Arial" w:hAnsi="Arial" w:cs="Arial"/>
          <w:sz w:val="18"/>
          <w:szCs w:val="18"/>
        </w:rPr>
        <w:t>Wright said that the commonest causes of intrapartum hypoxia were placental abruption and cord accidents (i.e. cord prolapse), both sudden and unpredictable events. Where she was now working (Dora Nginza Regional Hospital in Port Elizabeth), nearly every baby delivered with a low Apgar score was labelled as having birth hypoxia. ‘If that’s seen by a lawyer, it’s a field day because you then have to prove it was not,’ she warned.</w:t>
      </w:r>
    </w:p>
    <w:p w:rsidR="00697025" w:rsidRDefault="00697025" w:rsidP="00F26CB2">
      <w:pPr>
        <w:jc w:val="both"/>
        <w:rPr>
          <w:rFonts w:ascii="Arial" w:hAnsi="Arial" w:cs="Arial"/>
          <w:b/>
        </w:rPr>
      </w:pPr>
    </w:p>
    <w:p w:rsidR="00F26CB2" w:rsidRDefault="00682D23" w:rsidP="00F26CB2">
      <w:pPr>
        <w:jc w:val="both"/>
        <w:rPr>
          <w:rFonts w:ascii="Arial" w:hAnsi="Arial" w:cs="Arial"/>
          <w:b/>
          <w:u w:val="single"/>
        </w:rPr>
      </w:pPr>
      <w:r>
        <w:rPr>
          <w:rFonts w:ascii="Arial" w:hAnsi="Arial" w:cs="Arial"/>
          <w:b/>
        </w:rPr>
        <w:t>10</w:t>
      </w:r>
      <w:r w:rsidR="00F26CB2" w:rsidRPr="00E5233C">
        <w:rPr>
          <w:rFonts w:ascii="Arial" w:hAnsi="Arial" w:cs="Arial"/>
          <w:b/>
        </w:rPr>
        <w:t>.</w:t>
      </w:r>
      <w:r w:rsidR="00F26CB2" w:rsidRPr="00E5233C">
        <w:rPr>
          <w:rFonts w:ascii="Arial" w:hAnsi="Arial" w:cs="Arial"/>
          <w:b/>
        </w:rPr>
        <w:tab/>
      </w:r>
      <w:r>
        <w:rPr>
          <w:rFonts w:ascii="Arial" w:hAnsi="Arial" w:cs="Arial"/>
          <w:b/>
          <w:u w:val="single"/>
        </w:rPr>
        <w:t>Life expectancy</w:t>
      </w:r>
    </w:p>
    <w:p w:rsidR="00F26CB2" w:rsidRDefault="00F26CB2" w:rsidP="00D5334B">
      <w:pPr>
        <w:ind w:left="720" w:hanging="720"/>
        <w:jc w:val="both"/>
        <w:rPr>
          <w:rFonts w:ascii="Arial" w:hAnsi="Arial" w:cs="Arial"/>
        </w:rPr>
      </w:pPr>
    </w:p>
    <w:p w:rsidR="00212C2C" w:rsidRDefault="00682D23" w:rsidP="00212C2C">
      <w:pPr>
        <w:ind w:left="720" w:hanging="720"/>
        <w:jc w:val="both"/>
        <w:rPr>
          <w:rFonts w:ascii="Arial" w:hAnsi="Arial" w:cs="Arial"/>
          <w:lang w:val="en-GB"/>
        </w:rPr>
      </w:pPr>
      <w:r>
        <w:rPr>
          <w:rFonts w:ascii="Arial" w:hAnsi="Arial" w:cs="Arial"/>
        </w:rPr>
        <w:t>10</w:t>
      </w:r>
      <w:r w:rsidR="00F26CB2">
        <w:rPr>
          <w:rFonts w:ascii="Arial" w:hAnsi="Arial" w:cs="Arial"/>
        </w:rPr>
        <w:t>.1</w:t>
      </w:r>
      <w:r w:rsidR="00F26CB2">
        <w:rPr>
          <w:rFonts w:ascii="Arial" w:hAnsi="Arial" w:cs="Arial"/>
        </w:rPr>
        <w:tab/>
      </w:r>
      <w:r w:rsidR="000D453F">
        <w:rPr>
          <w:rFonts w:ascii="Arial" w:hAnsi="Arial" w:cs="Arial"/>
        </w:rPr>
        <w:t xml:space="preserve">A key assumption affecting quantum is life expectancy. </w:t>
      </w:r>
      <w:r w:rsidR="00212C2C" w:rsidRPr="00212C2C">
        <w:rPr>
          <w:rFonts w:ascii="Arial" w:hAnsi="Arial" w:cs="Arial"/>
          <w:lang w:val="en-GB"/>
        </w:rPr>
        <w:t xml:space="preserve">This key assumption is complicated by the fact that usually there are two sets of experts arguing a different value. </w:t>
      </w:r>
    </w:p>
    <w:p w:rsidR="00212C2C" w:rsidRDefault="00212C2C" w:rsidP="00212C2C">
      <w:pPr>
        <w:ind w:left="720" w:hanging="720"/>
        <w:jc w:val="both"/>
        <w:rPr>
          <w:rFonts w:ascii="Arial" w:hAnsi="Arial" w:cs="Arial"/>
          <w:lang w:val="en-GB"/>
        </w:rPr>
      </w:pPr>
    </w:p>
    <w:p w:rsidR="00212C2C" w:rsidRDefault="00682D23" w:rsidP="00212C2C">
      <w:pPr>
        <w:ind w:left="720" w:hanging="720"/>
        <w:jc w:val="both"/>
        <w:rPr>
          <w:rFonts w:ascii="Arial" w:hAnsi="Arial" w:cs="Arial"/>
          <w:lang w:val="en-GB"/>
        </w:rPr>
      </w:pPr>
      <w:r>
        <w:rPr>
          <w:rFonts w:ascii="Arial" w:hAnsi="Arial" w:cs="Arial"/>
          <w:lang w:val="en-GB"/>
        </w:rPr>
        <w:t>10</w:t>
      </w:r>
      <w:r w:rsidR="00212C2C">
        <w:rPr>
          <w:rFonts w:ascii="Arial" w:hAnsi="Arial" w:cs="Arial"/>
          <w:lang w:val="en-GB"/>
        </w:rPr>
        <w:t>.</w:t>
      </w:r>
      <w:r w:rsidR="00DB1396">
        <w:rPr>
          <w:rFonts w:ascii="Arial" w:hAnsi="Arial" w:cs="Arial"/>
          <w:lang w:val="en-GB"/>
        </w:rPr>
        <w:t>2</w:t>
      </w:r>
      <w:r w:rsidR="00212C2C">
        <w:rPr>
          <w:rFonts w:ascii="Arial" w:hAnsi="Arial" w:cs="Arial"/>
          <w:lang w:val="en-GB"/>
        </w:rPr>
        <w:tab/>
      </w:r>
      <w:r w:rsidR="000D453F">
        <w:rPr>
          <w:rFonts w:ascii="Arial" w:hAnsi="Arial" w:cs="Arial"/>
          <w:lang w:val="en-GB"/>
        </w:rPr>
        <w:t>How accurate a</w:t>
      </w:r>
      <w:r w:rsidR="00280AD3">
        <w:rPr>
          <w:rFonts w:ascii="Arial" w:hAnsi="Arial" w:cs="Arial"/>
          <w:lang w:val="en-GB"/>
        </w:rPr>
        <w:t>re life expectancy assumptions?</w:t>
      </w:r>
    </w:p>
    <w:p w:rsidR="00CE3C16" w:rsidRDefault="00CE3C16" w:rsidP="00212C2C">
      <w:pPr>
        <w:ind w:left="720" w:hanging="720"/>
        <w:jc w:val="both"/>
        <w:rPr>
          <w:rFonts w:ascii="Arial" w:hAnsi="Arial" w:cs="Arial"/>
          <w:lang w:val="en-GB"/>
        </w:rPr>
      </w:pPr>
    </w:p>
    <w:p w:rsidR="00280AD3" w:rsidRDefault="00682D23" w:rsidP="00CE3C16">
      <w:pPr>
        <w:ind w:left="720" w:hanging="720"/>
        <w:jc w:val="both"/>
        <w:rPr>
          <w:rFonts w:ascii="Arial" w:hAnsi="Arial" w:cs="Arial"/>
          <w:lang w:val="en-GB"/>
        </w:rPr>
      </w:pPr>
      <w:r>
        <w:rPr>
          <w:rFonts w:ascii="Arial" w:hAnsi="Arial" w:cs="Arial"/>
          <w:lang w:val="en-GB"/>
        </w:rPr>
        <w:t>10</w:t>
      </w:r>
      <w:r w:rsidR="00280AD3">
        <w:rPr>
          <w:rFonts w:ascii="Arial" w:hAnsi="Arial" w:cs="Arial"/>
          <w:lang w:val="en-GB"/>
        </w:rPr>
        <w:t>.</w:t>
      </w:r>
      <w:r w:rsidR="00DB1396">
        <w:rPr>
          <w:rFonts w:ascii="Arial" w:hAnsi="Arial" w:cs="Arial"/>
          <w:lang w:val="en-GB"/>
        </w:rPr>
        <w:t>2</w:t>
      </w:r>
      <w:r w:rsidR="00280AD3">
        <w:rPr>
          <w:rFonts w:ascii="Arial" w:hAnsi="Arial" w:cs="Arial"/>
          <w:lang w:val="en-GB"/>
        </w:rPr>
        <w:t>.1</w:t>
      </w:r>
      <w:r w:rsidR="00280AD3">
        <w:rPr>
          <w:rFonts w:ascii="Arial" w:hAnsi="Arial" w:cs="Arial"/>
          <w:lang w:val="en-GB"/>
        </w:rPr>
        <w:tab/>
      </w:r>
      <w:r w:rsidR="00CE3C16" w:rsidRPr="00CE3C16">
        <w:rPr>
          <w:rFonts w:ascii="Arial" w:hAnsi="Arial" w:cs="Arial"/>
          <w:lang w:val="en-GB"/>
        </w:rPr>
        <w:t>There are a number of factors that may lead to over-estimation of the life expectancy. These include plaintiff lawyers pushing up life expectancy, courts wanting to ensure sufficient funds, suicide or drug use by claimants</w:t>
      </w:r>
      <w:r w:rsidR="00EA3073">
        <w:rPr>
          <w:rFonts w:ascii="Arial" w:hAnsi="Arial" w:cs="Arial"/>
          <w:lang w:val="en-GB"/>
        </w:rPr>
        <w:t xml:space="preserve"> and</w:t>
      </w:r>
      <w:r w:rsidR="00CE3C16" w:rsidRPr="00CE3C16">
        <w:rPr>
          <w:rFonts w:ascii="Arial" w:hAnsi="Arial" w:cs="Arial"/>
          <w:lang w:val="en-GB"/>
        </w:rPr>
        <w:t xml:space="preserve"> reducing care to save money.  </w:t>
      </w:r>
    </w:p>
    <w:p w:rsidR="00280AD3" w:rsidRDefault="00280AD3" w:rsidP="00CE3C16">
      <w:pPr>
        <w:ind w:left="720" w:hanging="720"/>
        <w:jc w:val="both"/>
        <w:rPr>
          <w:rFonts w:ascii="Arial" w:hAnsi="Arial" w:cs="Arial"/>
          <w:lang w:val="en-GB"/>
        </w:rPr>
      </w:pPr>
    </w:p>
    <w:p w:rsidR="00CE3C16" w:rsidRDefault="00682D23" w:rsidP="00CE3C16">
      <w:pPr>
        <w:ind w:left="720" w:hanging="720"/>
        <w:jc w:val="both"/>
        <w:rPr>
          <w:rFonts w:ascii="Arial" w:hAnsi="Arial" w:cs="Arial"/>
          <w:lang w:val="en-GB"/>
        </w:rPr>
      </w:pPr>
      <w:r>
        <w:rPr>
          <w:rFonts w:ascii="Arial" w:hAnsi="Arial" w:cs="Arial"/>
          <w:lang w:val="en-GB"/>
        </w:rPr>
        <w:t>10</w:t>
      </w:r>
      <w:r w:rsidR="00280AD3">
        <w:rPr>
          <w:rFonts w:ascii="Arial" w:hAnsi="Arial" w:cs="Arial"/>
          <w:lang w:val="en-GB"/>
        </w:rPr>
        <w:t>.</w:t>
      </w:r>
      <w:r w:rsidR="00DB1396">
        <w:rPr>
          <w:rFonts w:ascii="Arial" w:hAnsi="Arial" w:cs="Arial"/>
          <w:lang w:val="en-GB"/>
        </w:rPr>
        <w:t>2</w:t>
      </w:r>
      <w:r w:rsidR="00280AD3">
        <w:rPr>
          <w:rFonts w:ascii="Arial" w:hAnsi="Arial" w:cs="Arial"/>
          <w:lang w:val="en-GB"/>
        </w:rPr>
        <w:t>.2</w:t>
      </w:r>
      <w:r w:rsidR="00280AD3">
        <w:rPr>
          <w:rFonts w:ascii="Arial" w:hAnsi="Arial" w:cs="Arial"/>
          <w:lang w:val="en-GB"/>
        </w:rPr>
        <w:tab/>
      </w:r>
      <w:r w:rsidR="00CE3C16" w:rsidRPr="00CE3C16">
        <w:rPr>
          <w:rFonts w:ascii="Arial" w:hAnsi="Arial" w:cs="Arial"/>
          <w:lang w:val="en-GB"/>
        </w:rPr>
        <w:t xml:space="preserve">There are a number of factors that may lead to under-estimation of the life expectancy. These include the impacts of full time care (for example, picking up tumours or medical needs sooner) and </w:t>
      </w:r>
      <w:r w:rsidR="00F507DF">
        <w:rPr>
          <w:rFonts w:ascii="Arial" w:hAnsi="Arial" w:cs="Arial"/>
          <w:lang w:val="en-GB"/>
        </w:rPr>
        <w:t xml:space="preserve">the </w:t>
      </w:r>
      <w:r w:rsidR="00CE3C16" w:rsidRPr="00CE3C16">
        <w:rPr>
          <w:rFonts w:ascii="Arial" w:hAnsi="Arial" w:cs="Arial"/>
          <w:lang w:val="en-GB"/>
        </w:rPr>
        <w:t>removal of a number of risk factors (driving, extreme sports).</w:t>
      </w:r>
    </w:p>
    <w:p w:rsidR="00DB1396" w:rsidRDefault="00DB1396" w:rsidP="00CE3C16">
      <w:pPr>
        <w:ind w:left="720" w:hanging="720"/>
        <w:jc w:val="both"/>
        <w:rPr>
          <w:rFonts w:ascii="Arial" w:hAnsi="Arial" w:cs="Arial"/>
          <w:lang w:val="en-GB"/>
        </w:rPr>
      </w:pPr>
    </w:p>
    <w:p w:rsidR="00DB1396" w:rsidRDefault="00DB1396" w:rsidP="00CE3C16">
      <w:pPr>
        <w:ind w:left="720" w:hanging="720"/>
        <w:jc w:val="both"/>
        <w:rPr>
          <w:rFonts w:ascii="Arial" w:hAnsi="Arial" w:cs="Arial"/>
          <w:lang w:val="en-GB"/>
        </w:rPr>
      </w:pPr>
      <w:r>
        <w:rPr>
          <w:rFonts w:ascii="Arial" w:hAnsi="Arial" w:cs="Arial"/>
          <w:lang w:val="en-GB"/>
        </w:rPr>
        <w:t>10.3</w:t>
      </w:r>
      <w:r>
        <w:rPr>
          <w:rFonts w:ascii="Arial" w:hAnsi="Arial" w:cs="Arial"/>
          <w:lang w:val="en-GB"/>
        </w:rPr>
        <w:tab/>
        <w:t xml:space="preserve">The State needs to establish a centralized database of cerebral palsy claims and conduct a complete mortality analysis so that claims can be settled on local experience. </w:t>
      </w:r>
      <w:r w:rsidR="00F74E8D">
        <w:rPr>
          <w:rFonts w:ascii="Arial" w:hAnsi="Arial" w:cs="Arial"/>
          <w:lang w:val="en-GB"/>
        </w:rPr>
        <w:t>At present there is no feedback loop.</w:t>
      </w:r>
    </w:p>
    <w:p w:rsidR="001C00E8" w:rsidRDefault="001C00E8" w:rsidP="00CE3C16">
      <w:pPr>
        <w:ind w:left="720" w:hanging="720"/>
        <w:jc w:val="both"/>
        <w:rPr>
          <w:rFonts w:ascii="Arial" w:hAnsi="Arial" w:cs="Arial"/>
          <w:lang w:val="en-GB"/>
        </w:rPr>
      </w:pPr>
    </w:p>
    <w:p w:rsidR="001C00E8" w:rsidRDefault="001C00E8" w:rsidP="00CE3C16">
      <w:pPr>
        <w:ind w:left="720" w:hanging="720"/>
        <w:jc w:val="both"/>
        <w:rPr>
          <w:rFonts w:ascii="Arial" w:hAnsi="Arial" w:cs="Arial"/>
          <w:lang w:val="en-GB"/>
        </w:rPr>
      </w:pPr>
      <w:r>
        <w:rPr>
          <w:rFonts w:ascii="Arial" w:hAnsi="Arial" w:cs="Arial"/>
          <w:lang w:val="en-GB"/>
        </w:rPr>
        <w:t>10.4</w:t>
      </w:r>
      <w:r>
        <w:rPr>
          <w:rFonts w:ascii="Arial" w:hAnsi="Arial" w:cs="Arial"/>
          <w:lang w:val="en-GB"/>
        </w:rPr>
        <w:tab/>
        <w:t>We are in the process of analysing around 200 cerebral palsy claims and will report with our first findings in July 2019.</w:t>
      </w:r>
    </w:p>
    <w:p w:rsidR="007B0B13" w:rsidRDefault="007B0B13" w:rsidP="00CE3C16">
      <w:pPr>
        <w:ind w:left="720" w:hanging="720"/>
        <w:jc w:val="both"/>
        <w:rPr>
          <w:rFonts w:ascii="Arial" w:hAnsi="Arial" w:cs="Arial"/>
          <w:lang w:val="en-GB"/>
        </w:rPr>
      </w:pPr>
    </w:p>
    <w:p w:rsidR="007B0B13" w:rsidRDefault="007B0B13" w:rsidP="00CE3C16">
      <w:pPr>
        <w:ind w:left="720" w:hanging="720"/>
        <w:jc w:val="both"/>
        <w:rPr>
          <w:rFonts w:ascii="Arial" w:hAnsi="Arial" w:cs="Arial"/>
          <w:lang w:val="en-GB"/>
        </w:rPr>
      </w:pPr>
    </w:p>
    <w:p w:rsidR="00682D23" w:rsidRDefault="00682D23">
      <w:pPr>
        <w:rPr>
          <w:rFonts w:ascii="Arial" w:hAnsi="Arial" w:cs="Arial"/>
          <w:b/>
        </w:rPr>
      </w:pPr>
      <w:r>
        <w:rPr>
          <w:rFonts w:ascii="Arial" w:hAnsi="Arial" w:cs="Arial"/>
          <w:b/>
        </w:rPr>
        <w:br w:type="page"/>
      </w:r>
    </w:p>
    <w:p w:rsidR="00682D23" w:rsidRDefault="00682D23" w:rsidP="00682D23">
      <w:pPr>
        <w:jc w:val="both"/>
        <w:rPr>
          <w:rFonts w:ascii="Arial" w:hAnsi="Arial" w:cs="Arial"/>
          <w:b/>
          <w:u w:val="single"/>
        </w:rPr>
      </w:pPr>
      <w:r>
        <w:rPr>
          <w:rFonts w:ascii="Arial" w:hAnsi="Arial" w:cs="Arial"/>
          <w:b/>
        </w:rPr>
        <w:lastRenderedPageBreak/>
        <w:t>11</w:t>
      </w:r>
      <w:r w:rsidRPr="00E5233C">
        <w:rPr>
          <w:rFonts w:ascii="Arial" w:hAnsi="Arial" w:cs="Arial"/>
          <w:b/>
        </w:rPr>
        <w:t>.</w:t>
      </w:r>
      <w:r w:rsidRPr="00E5233C">
        <w:rPr>
          <w:rFonts w:ascii="Arial" w:hAnsi="Arial" w:cs="Arial"/>
          <w:b/>
        </w:rPr>
        <w:tab/>
      </w:r>
      <w:r>
        <w:rPr>
          <w:rFonts w:ascii="Arial" w:hAnsi="Arial" w:cs="Arial"/>
          <w:b/>
          <w:u w:val="single"/>
        </w:rPr>
        <w:t>Conclusion</w:t>
      </w:r>
    </w:p>
    <w:p w:rsidR="00682D23" w:rsidRDefault="00682D23" w:rsidP="00682D23">
      <w:pPr>
        <w:jc w:val="both"/>
        <w:rPr>
          <w:rFonts w:ascii="Arial" w:hAnsi="Arial" w:cs="Arial"/>
        </w:rPr>
      </w:pPr>
    </w:p>
    <w:p w:rsidR="00682D23" w:rsidRDefault="00682D23" w:rsidP="00682D23">
      <w:pPr>
        <w:ind w:left="720" w:hanging="720"/>
        <w:jc w:val="both"/>
        <w:rPr>
          <w:rFonts w:ascii="Arial" w:hAnsi="Arial" w:cs="Arial"/>
        </w:rPr>
      </w:pPr>
      <w:r>
        <w:rPr>
          <w:rFonts w:ascii="Arial" w:hAnsi="Arial" w:cs="Arial"/>
        </w:rPr>
        <w:t>11.1</w:t>
      </w:r>
      <w:r>
        <w:rPr>
          <w:rFonts w:ascii="Arial" w:hAnsi="Arial" w:cs="Arial"/>
        </w:rPr>
        <w:tab/>
      </w:r>
      <w:r w:rsidRPr="00DC7FB1">
        <w:rPr>
          <w:rFonts w:ascii="Arial" w:hAnsi="Arial" w:cs="Arial"/>
        </w:rPr>
        <w:t xml:space="preserve">Whether or not there </w:t>
      </w:r>
      <w:r>
        <w:rPr>
          <w:rFonts w:ascii="Arial" w:hAnsi="Arial" w:cs="Arial"/>
        </w:rPr>
        <w:t>will be</w:t>
      </w:r>
      <w:r w:rsidRPr="00DC7FB1">
        <w:rPr>
          <w:rFonts w:ascii="Arial" w:hAnsi="Arial" w:cs="Arial"/>
        </w:rPr>
        <w:t xml:space="preserve"> savings under the </w:t>
      </w:r>
      <w:r>
        <w:rPr>
          <w:rFonts w:ascii="Arial" w:hAnsi="Arial" w:cs="Arial"/>
        </w:rPr>
        <w:t xml:space="preserve">structured settlement </w:t>
      </w:r>
      <w:r w:rsidRPr="00DC7FB1">
        <w:rPr>
          <w:rFonts w:ascii="Arial" w:hAnsi="Arial" w:cs="Arial"/>
        </w:rPr>
        <w:t xml:space="preserve">basis is difficult to establish. </w:t>
      </w:r>
      <w:r>
        <w:rPr>
          <w:rFonts w:ascii="Arial" w:hAnsi="Arial" w:cs="Arial"/>
        </w:rPr>
        <w:t>The intention is to ease cash flow concerns but the liability still remains.</w:t>
      </w:r>
      <w:r w:rsidRPr="00DC7FB1">
        <w:rPr>
          <w:rFonts w:ascii="Arial" w:hAnsi="Arial" w:cs="Arial"/>
        </w:rPr>
        <w:t xml:space="preserve"> </w:t>
      </w:r>
    </w:p>
    <w:p w:rsidR="00682D23" w:rsidRDefault="00682D23" w:rsidP="00682D23">
      <w:pPr>
        <w:ind w:left="720" w:hanging="720"/>
        <w:jc w:val="both"/>
        <w:rPr>
          <w:rFonts w:ascii="Arial" w:hAnsi="Arial" w:cs="Arial"/>
        </w:rPr>
      </w:pPr>
    </w:p>
    <w:p w:rsidR="00682D23" w:rsidRPr="00DC7FB1" w:rsidRDefault="00682D23" w:rsidP="00682D23">
      <w:pPr>
        <w:ind w:left="720" w:hanging="720"/>
        <w:jc w:val="both"/>
        <w:rPr>
          <w:rFonts w:ascii="Arial" w:hAnsi="Arial" w:cs="Arial"/>
        </w:rPr>
      </w:pPr>
      <w:r>
        <w:rPr>
          <w:rFonts w:ascii="Arial" w:hAnsi="Arial" w:cs="Arial"/>
        </w:rPr>
        <w:t>11.2</w:t>
      </w:r>
      <w:r>
        <w:rPr>
          <w:rFonts w:ascii="Arial" w:hAnsi="Arial" w:cs="Arial"/>
        </w:rPr>
        <w:tab/>
      </w:r>
      <w:r w:rsidRPr="00DC7FB1">
        <w:rPr>
          <w:rFonts w:ascii="Arial" w:hAnsi="Arial" w:cs="Arial"/>
        </w:rPr>
        <w:t xml:space="preserve">The lump sum approach readily accommodates reductions in settlements for contributory negligence.  This is potentially impossible under a </w:t>
      </w:r>
      <w:r>
        <w:rPr>
          <w:rFonts w:ascii="Arial" w:hAnsi="Arial" w:cs="Arial"/>
        </w:rPr>
        <w:t>structured settlement</w:t>
      </w:r>
      <w:r w:rsidRPr="00DC7FB1">
        <w:rPr>
          <w:rFonts w:ascii="Arial" w:hAnsi="Arial" w:cs="Arial"/>
        </w:rPr>
        <w:t xml:space="preserve"> unless for example care costs were to be made exempt and/or damages under other heads of </w:t>
      </w:r>
      <w:r>
        <w:rPr>
          <w:rFonts w:ascii="Arial" w:hAnsi="Arial" w:cs="Arial"/>
        </w:rPr>
        <w:t xml:space="preserve">damage </w:t>
      </w:r>
      <w:r w:rsidRPr="00DC7FB1">
        <w:rPr>
          <w:rFonts w:ascii="Arial" w:hAnsi="Arial" w:cs="Arial"/>
        </w:rPr>
        <w:t xml:space="preserve">could be used to fund the shortfall.  </w:t>
      </w:r>
    </w:p>
    <w:p w:rsidR="00682D23" w:rsidRDefault="00682D23" w:rsidP="00682D23">
      <w:pPr>
        <w:jc w:val="both"/>
        <w:rPr>
          <w:rFonts w:ascii="Arial" w:hAnsi="Arial" w:cs="Arial"/>
          <w:b/>
        </w:rPr>
      </w:pPr>
    </w:p>
    <w:p w:rsidR="00682D23" w:rsidRPr="00B557C6" w:rsidRDefault="00682D23" w:rsidP="00682D23">
      <w:pPr>
        <w:ind w:left="720" w:hanging="720"/>
        <w:jc w:val="both"/>
        <w:rPr>
          <w:rStyle w:val="Strong"/>
          <w:rFonts w:ascii="Arial" w:hAnsi="Arial" w:cs="Arial"/>
          <w:b w:val="0"/>
        </w:rPr>
      </w:pPr>
      <w:r>
        <w:rPr>
          <w:rStyle w:val="Strong"/>
          <w:rFonts w:ascii="Arial" w:hAnsi="Arial" w:cs="Arial"/>
          <w:b w:val="0"/>
        </w:rPr>
        <w:t>11</w:t>
      </w:r>
      <w:r w:rsidRPr="00B557C6">
        <w:rPr>
          <w:rStyle w:val="Strong"/>
          <w:rFonts w:ascii="Arial" w:hAnsi="Arial" w:cs="Arial"/>
          <w:b w:val="0"/>
        </w:rPr>
        <w:t>.</w:t>
      </w:r>
      <w:r>
        <w:rPr>
          <w:rStyle w:val="Strong"/>
          <w:rFonts w:ascii="Arial" w:hAnsi="Arial" w:cs="Arial"/>
          <w:b w:val="0"/>
        </w:rPr>
        <w:t>3</w:t>
      </w:r>
      <w:r w:rsidRPr="00B557C6">
        <w:rPr>
          <w:rStyle w:val="Strong"/>
          <w:rFonts w:ascii="Arial" w:hAnsi="Arial" w:cs="Arial"/>
          <w:b w:val="0"/>
        </w:rPr>
        <w:tab/>
        <w:t xml:space="preserve">We consider </w:t>
      </w:r>
      <w:r>
        <w:rPr>
          <w:rStyle w:val="Strong"/>
          <w:rFonts w:ascii="Arial" w:hAnsi="Arial" w:cs="Arial"/>
          <w:b w:val="0"/>
        </w:rPr>
        <w:t xml:space="preserve">structured </w:t>
      </w:r>
      <w:r w:rsidRPr="00B557C6">
        <w:rPr>
          <w:rStyle w:val="Strong"/>
          <w:rFonts w:ascii="Arial" w:hAnsi="Arial" w:cs="Arial"/>
          <w:b w:val="0"/>
        </w:rPr>
        <w:t>settlements impractical for the following reasons:</w:t>
      </w:r>
    </w:p>
    <w:p w:rsidR="00682D23" w:rsidRPr="00B557C6" w:rsidRDefault="00682D23" w:rsidP="00682D23">
      <w:pPr>
        <w:ind w:left="720" w:hanging="720"/>
        <w:jc w:val="both"/>
        <w:rPr>
          <w:rStyle w:val="Strong"/>
          <w:rFonts w:ascii="Arial" w:hAnsi="Arial" w:cs="Arial"/>
          <w:b w:val="0"/>
        </w:rPr>
      </w:pPr>
    </w:p>
    <w:p w:rsidR="00682D23" w:rsidRPr="00B557C6" w:rsidRDefault="00682D23" w:rsidP="00682D23">
      <w:pPr>
        <w:ind w:left="720" w:hanging="720"/>
        <w:jc w:val="both"/>
        <w:rPr>
          <w:rFonts w:ascii="Arial" w:hAnsi="Arial" w:cs="Arial"/>
        </w:rPr>
      </w:pPr>
      <w:r>
        <w:rPr>
          <w:rStyle w:val="Strong"/>
          <w:rFonts w:ascii="Arial" w:hAnsi="Arial" w:cs="Arial"/>
          <w:b w:val="0"/>
        </w:rPr>
        <w:t>11</w:t>
      </w:r>
      <w:r w:rsidRPr="00B557C6">
        <w:rPr>
          <w:rStyle w:val="Strong"/>
          <w:rFonts w:ascii="Arial" w:hAnsi="Arial" w:cs="Arial"/>
          <w:b w:val="0"/>
        </w:rPr>
        <w:t>.</w:t>
      </w:r>
      <w:r>
        <w:rPr>
          <w:rStyle w:val="Strong"/>
          <w:rFonts w:ascii="Arial" w:hAnsi="Arial" w:cs="Arial"/>
          <w:b w:val="0"/>
        </w:rPr>
        <w:t>3</w:t>
      </w:r>
      <w:r w:rsidRPr="00B557C6">
        <w:rPr>
          <w:rStyle w:val="Strong"/>
          <w:rFonts w:ascii="Arial" w:hAnsi="Arial" w:cs="Arial"/>
          <w:b w:val="0"/>
        </w:rPr>
        <w:t>.1</w:t>
      </w:r>
      <w:r w:rsidRPr="00B557C6">
        <w:rPr>
          <w:rStyle w:val="Strong"/>
          <w:rFonts w:ascii="Arial" w:hAnsi="Arial" w:cs="Arial"/>
          <w:b w:val="0"/>
        </w:rPr>
        <w:tab/>
      </w:r>
      <w:r w:rsidRPr="00B557C6">
        <w:rPr>
          <w:rFonts w:ascii="Arial" w:hAnsi="Arial" w:cs="Arial"/>
        </w:rPr>
        <w:t>The State’s liability is significantly more variable. This would increase the uncertainty affecting the State’s financial position and has implications for its credit rating.</w:t>
      </w:r>
      <w:r>
        <w:rPr>
          <w:rFonts w:ascii="Arial" w:hAnsi="Arial" w:cs="Arial"/>
        </w:rPr>
        <w:t xml:space="preserve"> It is unclear how the unfunded liability will be accounted for by Treasury</w:t>
      </w:r>
      <w:r w:rsidR="00107BBF">
        <w:rPr>
          <w:rFonts w:ascii="Arial" w:hAnsi="Arial" w:cs="Arial"/>
        </w:rPr>
        <w:t>.</w:t>
      </w:r>
    </w:p>
    <w:p w:rsidR="00682D23" w:rsidRDefault="00682D23" w:rsidP="00682D23">
      <w:pPr>
        <w:ind w:left="720" w:hanging="720"/>
        <w:jc w:val="both"/>
        <w:rPr>
          <w:rFonts w:ascii="Arial" w:hAnsi="Arial" w:cs="Arial"/>
        </w:rPr>
      </w:pPr>
    </w:p>
    <w:p w:rsidR="00682D23" w:rsidRPr="00170355" w:rsidRDefault="00682D23" w:rsidP="00682D23">
      <w:pPr>
        <w:ind w:left="720" w:hanging="720"/>
        <w:jc w:val="both"/>
        <w:rPr>
          <w:rFonts w:ascii="Arial" w:hAnsi="Arial" w:cs="Arial"/>
        </w:rPr>
      </w:pPr>
      <w:r>
        <w:rPr>
          <w:rFonts w:ascii="Arial" w:hAnsi="Arial" w:cs="Arial"/>
        </w:rPr>
        <w:t>11.3</w:t>
      </w:r>
      <w:r w:rsidRPr="00170355">
        <w:rPr>
          <w:rFonts w:ascii="Arial" w:hAnsi="Arial" w:cs="Arial"/>
        </w:rPr>
        <w:t>.2</w:t>
      </w:r>
      <w:r w:rsidRPr="00170355">
        <w:rPr>
          <w:rFonts w:ascii="Arial" w:hAnsi="Arial" w:cs="Arial"/>
        </w:rPr>
        <w:tab/>
        <w:t xml:space="preserve">The physical consequences of an injury suffered may change over time.  This suggests that any system based on </w:t>
      </w:r>
      <w:r>
        <w:rPr>
          <w:rFonts w:ascii="Arial" w:hAnsi="Arial" w:cs="Arial"/>
        </w:rPr>
        <w:t>structured settlements</w:t>
      </w:r>
      <w:r w:rsidRPr="00170355">
        <w:rPr>
          <w:rFonts w:ascii="Arial" w:hAnsi="Arial" w:cs="Arial"/>
        </w:rPr>
        <w:t xml:space="preserve"> would require regular reviews of individual cases.  This </w:t>
      </w:r>
      <w:r>
        <w:rPr>
          <w:rFonts w:ascii="Arial" w:hAnsi="Arial" w:cs="Arial"/>
        </w:rPr>
        <w:t>will</w:t>
      </w:r>
      <w:r w:rsidRPr="00170355">
        <w:rPr>
          <w:rFonts w:ascii="Arial" w:hAnsi="Arial" w:cs="Arial"/>
        </w:rPr>
        <w:t xml:space="preserve"> prove </w:t>
      </w:r>
      <w:r>
        <w:rPr>
          <w:rFonts w:ascii="Arial" w:hAnsi="Arial" w:cs="Arial"/>
        </w:rPr>
        <w:t xml:space="preserve">costly </w:t>
      </w:r>
      <w:r w:rsidRPr="00170355">
        <w:rPr>
          <w:rFonts w:ascii="Arial" w:hAnsi="Arial" w:cs="Arial"/>
        </w:rPr>
        <w:t xml:space="preserve">for both </w:t>
      </w:r>
      <w:r>
        <w:rPr>
          <w:rFonts w:ascii="Arial" w:hAnsi="Arial" w:cs="Arial"/>
        </w:rPr>
        <w:t xml:space="preserve">the State </w:t>
      </w:r>
      <w:r w:rsidRPr="00170355">
        <w:rPr>
          <w:rFonts w:ascii="Arial" w:hAnsi="Arial" w:cs="Arial"/>
        </w:rPr>
        <w:t xml:space="preserve">and claimants and result in continuing disputes. </w:t>
      </w:r>
    </w:p>
    <w:p w:rsidR="00682D23" w:rsidRDefault="00682D23" w:rsidP="00682D23">
      <w:pPr>
        <w:ind w:left="720" w:hanging="720"/>
        <w:jc w:val="both"/>
        <w:rPr>
          <w:rFonts w:ascii="Arial" w:hAnsi="Arial" w:cs="Arial"/>
        </w:rPr>
      </w:pPr>
    </w:p>
    <w:p w:rsidR="00BC5BD1" w:rsidRDefault="00682D23" w:rsidP="00682D23">
      <w:pPr>
        <w:ind w:left="720" w:hanging="720"/>
        <w:jc w:val="both"/>
        <w:rPr>
          <w:rFonts w:ascii="Arial" w:hAnsi="Arial" w:cs="Arial"/>
        </w:rPr>
      </w:pPr>
      <w:r>
        <w:rPr>
          <w:rFonts w:ascii="Arial" w:hAnsi="Arial" w:cs="Arial"/>
        </w:rPr>
        <w:t>11.3.3</w:t>
      </w:r>
      <w:r>
        <w:rPr>
          <w:rFonts w:ascii="Arial" w:hAnsi="Arial" w:cs="Arial"/>
        </w:rPr>
        <w:tab/>
      </w:r>
      <w:r w:rsidRPr="00B557C6">
        <w:rPr>
          <w:rFonts w:ascii="Arial" w:hAnsi="Arial" w:cs="Arial"/>
        </w:rPr>
        <w:t xml:space="preserve">The costs of administering a </w:t>
      </w:r>
      <w:r>
        <w:rPr>
          <w:rFonts w:ascii="Arial" w:hAnsi="Arial" w:cs="Arial"/>
        </w:rPr>
        <w:t>structured</w:t>
      </w:r>
      <w:r w:rsidRPr="00B557C6">
        <w:rPr>
          <w:rFonts w:ascii="Arial" w:hAnsi="Arial" w:cs="Arial"/>
        </w:rPr>
        <w:t xml:space="preserve"> settlement would be much higher than a lump-sum settlement. </w:t>
      </w:r>
      <w:r>
        <w:rPr>
          <w:rFonts w:ascii="Arial" w:hAnsi="Arial" w:cs="Arial"/>
        </w:rPr>
        <w:t>In addition, t</w:t>
      </w:r>
      <w:r w:rsidRPr="00B557C6">
        <w:rPr>
          <w:rFonts w:ascii="Arial" w:hAnsi="Arial" w:cs="Arial"/>
        </w:rPr>
        <w:t>here are regulation, cost and implementation implications that would have to be overcome.</w:t>
      </w:r>
      <w:r>
        <w:rPr>
          <w:rFonts w:ascii="Arial" w:hAnsi="Arial" w:cs="Arial"/>
        </w:rPr>
        <w:t xml:space="preserve"> </w:t>
      </w:r>
      <w:r w:rsidR="005E79C7">
        <w:rPr>
          <w:rFonts w:ascii="Arial" w:hAnsi="Arial" w:cs="Arial"/>
        </w:rPr>
        <w:t>Accord</w:t>
      </w:r>
      <w:r w:rsidR="00EE58DF">
        <w:rPr>
          <w:rFonts w:ascii="Arial" w:hAnsi="Arial" w:cs="Arial"/>
        </w:rPr>
        <w:t>i</w:t>
      </w:r>
      <w:r w:rsidR="005E79C7">
        <w:rPr>
          <w:rFonts w:ascii="Arial" w:hAnsi="Arial" w:cs="Arial"/>
        </w:rPr>
        <w:t xml:space="preserve">ng to </w:t>
      </w:r>
      <w:r w:rsidR="00147434">
        <w:rPr>
          <w:rFonts w:ascii="Arial" w:hAnsi="Arial" w:cs="Arial"/>
        </w:rPr>
        <w:t>the Office of Health Standards Compliance Annual Inspection Report for 2016/2017</w:t>
      </w:r>
      <w:r w:rsidR="00EE58DF">
        <w:rPr>
          <w:rFonts w:ascii="Arial" w:hAnsi="Arial" w:cs="Arial"/>
        </w:rPr>
        <w:t>, South Africa has 3,816 public health establishments (</w:t>
      </w:r>
      <w:r w:rsidR="000E1A8C">
        <w:rPr>
          <w:rFonts w:ascii="Arial" w:hAnsi="Arial" w:cs="Arial"/>
        </w:rPr>
        <w:t xml:space="preserve">clinics, community health centres and hospitals combined). An inspection of </w:t>
      </w:r>
      <w:r w:rsidR="005445CC">
        <w:rPr>
          <w:rFonts w:ascii="Arial" w:hAnsi="Arial" w:cs="Arial"/>
        </w:rPr>
        <w:t xml:space="preserve">696 of these establishments revealed that only </w:t>
      </w:r>
      <w:r w:rsidR="00E043A5">
        <w:rPr>
          <w:rFonts w:ascii="Arial" w:hAnsi="Arial" w:cs="Arial"/>
        </w:rPr>
        <w:t>5</w:t>
      </w:r>
      <w:r w:rsidR="00417815">
        <w:rPr>
          <w:rFonts w:ascii="Arial" w:hAnsi="Arial" w:cs="Arial"/>
        </w:rPr>
        <w:t xml:space="preserve"> were compliant with </w:t>
      </w:r>
      <w:r w:rsidR="00E043A5">
        <w:rPr>
          <w:rFonts w:ascii="Arial" w:hAnsi="Arial" w:cs="Arial"/>
        </w:rPr>
        <w:t>a score of more than 80%.</w:t>
      </w:r>
      <w:r w:rsidR="009B222E">
        <w:rPr>
          <w:rFonts w:ascii="Arial" w:hAnsi="Arial" w:cs="Arial"/>
        </w:rPr>
        <w:t xml:space="preserve"> No public health establishments in the Eastern Cape or Kwa-Zulu Natal were fully compliant </w:t>
      </w:r>
      <w:r w:rsidR="00F9153C">
        <w:rPr>
          <w:rFonts w:ascii="Arial" w:hAnsi="Arial" w:cs="Arial"/>
        </w:rPr>
        <w:t>– these 2 provinces accounting for around 48% of the total contingent liability faced by the State in the entire country.</w:t>
      </w:r>
      <w:r w:rsidR="00415981">
        <w:rPr>
          <w:rFonts w:ascii="Arial" w:hAnsi="Arial" w:cs="Arial"/>
        </w:rPr>
        <w:t xml:space="preserve"> We therefore support Section 27’s contention that</w:t>
      </w:r>
      <w:r w:rsidR="00BC5BD1">
        <w:rPr>
          <w:rFonts w:ascii="Arial" w:hAnsi="Arial" w:cs="Arial"/>
        </w:rPr>
        <w:t>:</w:t>
      </w:r>
    </w:p>
    <w:p w:rsidR="00BC5BD1" w:rsidRDefault="00BC5BD1" w:rsidP="00BC5BD1">
      <w:pPr>
        <w:ind w:left="1440" w:firstLine="5"/>
        <w:jc w:val="both"/>
        <w:rPr>
          <w:rFonts w:ascii="Arial" w:hAnsi="Arial" w:cs="Arial"/>
          <w:sz w:val="18"/>
          <w:szCs w:val="18"/>
          <w:shd w:val="clear" w:color="auto" w:fill="FFFFFF"/>
        </w:rPr>
      </w:pPr>
    </w:p>
    <w:p w:rsidR="00BC5BD1" w:rsidRPr="00BC5BD1" w:rsidRDefault="00BC5BD1" w:rsidP="00BC5BD1">
      <w:pPr>
        <w:ind w:left="1440" w:firstLine="5"/>
        <w:jc w:val="both"/>
        <w:rPr>
          <w:rFonts w:ascii="Arial" w:hAnsi="Arial" w:cs="Arial"/>
          <w:sz w:val="18"/>
          <w:szCs w:val="18"/>
          <w:shd w:val="clear" w:color="auto" w:fill="FFFFFF"/>
        </w:rPr>
      </w:pPr>
      <w:r w:rsidRPr="00BC5BD1">
        <w:rPr>
          <w:rFonts w:ascii="Arial" w:hAnsi="Arial" w:cs="Arial"/>
          <w:sz w:val="18"/>
          <w:szCs w:val="18"/>
          <w:shd w:val="clear" w:color="auto" w:fill="FFFFFF"/>
        </w:rPr>
        <w:t xml:space="preserve">This state of affairs cannot be fixed by changing the legal framework in which medical negligence claims are adjudicated. Rather, the solution lies in strengthening health systems by investing in more and appropriately trained health care workers, ensuring that health care workers are appropriately equipped and keeping proper records. </w:t>
      </w:r>
    </w:p>
    <w:p w:rsidR="00BC5BD1" w:rsidRDefault="00415981" w:rsidP="00682D23">
      <w:pPr>
        <w:ind w:left="720" w:hanging="720"/>
        <w:jc w:val="both"/>
        <w:rPr>
          <w:rFonts w:ascii="Arial" w:hAnsi="Arial" w:cs="Arial"/>
          <w:sz w:val="18"/>
          <w:szCs w:val="18"/>
        </w:rPr>
      </w:pPr>
      <w:r w:rsidRPr="00BC5BD1">
        <w:rPr>
          <w:rFonts w:ascii="Arial" w:hAnsi="Arial" w:cs="Arial"/>
          <w:sz w:val="18"/>
          <w:szCs w:val="18"/>
        </w:rPr>
        <w:t xml:space="preserve"> </w:t>
      </w:r>
    </w:p>
    <w:p w:rsidR="00682D23" w:rsidRDefault="00682D23" w:rsidP="00682D23">
      <w:pPr>
        <w:ind w:left="720" w:hanging="720"/>
        <w:jc w:val="both"/>
        <w:rPr>
          <w:rFonts w:ascii="Arial" w:hAnsi="Arial" w:cs="Arial"/>
        </w:rPr>
      </w:pPr>
      <w:r>
        <w:rPr>
          <w:rFonts w:ascii="Arial" w:hAnsi="Arial" w:cs="Arial"/>
          <w:lang w:val="en-GB"/>
        </w:rPr>
        <w:t>11.4</w:t>
      </w:r>
      <w:r>
        <w:rPr>
          <w:rFonts w:ascii="Arial" w:hAnsi="Arial" w:cs="Arial"/>
          <w:lang w:val="en-GB"/>
        </w:rPr>
        <w:tab/>
      </w:r>
      <w:r w:rsidRPr="00E9101D">
        <w:rPr>
          <w:rFonts w:ascii="Arial" w:hAnsi="Arial" w:cs="Arial"/>
          <w:lang w:val="en-GB"/>
        </w:rPr>
        <w:t xml:space="preserve">The payments made in respect of </w:t>
      </w:r>
      <w:r>
        <w:rPr>
          <w:rFonts w:ascii="Arial" w:hAnsi="Arial" w:cs="Arial"/>
          <w:lang w:val="en-GB"/>
        </w:rPr>
        <w:t xml:space="preserve">structured settlements </w:t>
      </w:r>
      <w:r w:rsidRPr="00E9101D">
        <w:rPr>
          <w:rFonts w:ascii="Arial" w:hAnsi="Arial" w:cs="Arial"/>
          <w:lang w:val="en-GB"/>
        </w:rPr>
        <w:t>will build over time.  Ultimately annual payments will increase to meaningful levels, many of these payments relating to claims settled many years previously.   The burden of administrating these claims will add a significant cost element in addition to the original claim amounts</w:t>
      </w:r>
      <w:r>
        <w:rPr>
          <w:rFonts w:ascii="Arial" w:hAnsi="Arial" w:cs="Arial"/>
          <w:lang w:val="en-GB"/>
        </w:rPr>
        <w:t>.</w:t>
      </w:r>
      <w:r w:rsidRPr="00E9101D">
        <w:rPr>
          <w:rFonts w:ascii="Arial" w:hAnsi="Arial" w:cs="Arial"/>
          <w:lang w:val="en-GB"/>
        </w:rPr>
        <w:t xml:space="preserve"> </w:t>
      </w:r>
      <w:r w:rsidR="004F5DFD">
        <w:rPr>
          <w:rFonts w:ascii="Arial" w:hAnsi="Arial" w:cs="Arial"/>
        </w:rPr>
        <w:t>Before implementing a system such as SLAB, it is critical to obtain a proper estimate of administrative costs. By way of example, the Compensation Fund is administratively expensive at 17.8% of benefit payments.</w:t>
      </w:r>
      <w:r w:rsidR="00A4239C">
        <w:rPr>
          <w:rFonts w:ascii="Arial" w:hAnsi="Arial" w:cs="Arial"/>
        </w:rPr>
        <w:t xml:space="preserve"> Accounting for the liability arising out of claims is an extremely complex exercise and one that is the subject of ongoing debate among insurance and reinsurance actuaries.</w:t>
      </w:r>
    </w:p>
    <w:p w:rsidR="00003855" w:rsidRDefault="00003855" w:rsidP="00682D23">
      <w:pPr>
        <w:ind w:left="720" w:hanging="720"/>
        <w:jc w:val="both"/>
        <w:rPr>
          <w:rFonts w:ascii="Arial" w:hAnsi="Arial" w:cs="Arial"/>
          <w:lang w:val="en-GB"/>
        </w:rPr>
      </w:pPr>
    </w:p>
    <w:p w:rsidR="00003855" w:rsidRDefault="00003855" w:rsidP="00682D23">
      <w:pPr>
        <w:ind w:left="720" w:hanging="720"/>
        <w:jc w:val="both"/>
        <w:rPr>
          <w:rFonts w:ascii="Arial" w:hAnsi="Arial" w:cs="Arial"/>
          <w:lang w:val="en-GB"/>
        </w:rPr>
      </w:pPr>
      <w:r>
        <w:rPr>
          <w:rFonts w:ascii="Arial" w:hAnsi="Arial" w:cs="Arial"/>
          <w:lang w:val="en-GB"/>
        </w:rPr>
        <w:t>11.5</w:t>
      </w:r>
      <w:r>
        <w:rPr>
          <w:rFonts w:ascii="Arial" w:hAnsi="Arial" w:cs="Arial"/>
          <w:lang w:val="en-GB"/>
        </w:rPr>
        <w:tab/>
        <w:t xml:space="preserve">SLAB does nothing to limit the State’s </w:t>
      </w:r>
      <w:r w:rsidRPr="00003855">
        <w:rPr>
          <w:rFonts w:ascii="Arial" w:hAnsi="Arial" w:cs="Arial"/>
          <w:u w:val="single"/>
          <w:lang w:val="en-GB"/>
        </w:rPr>
        <w:t>liability</w:t>
      </w:r>
      <w:r>
        <w:rPr>
          <w:rFonts w:ascii="Arial" w:hAnsi="Arial" w:cs="Arial"/>
          <w:lang w:val="en-GB"/>
        </w:rPr>
        <w:t xml:space="preserve"> which should be the core focus in the medical negligence arena. We are in agreement with Section 27 that SLAB is not the answer.</w:t>
      </w:r>
    </w:p>
    <w:p w:rsidR="004072A2" w:rsidRDefault="004072A2" w:rsidP="00735400">
      <w:pPr>
        <w:ind w:left="720" w:hanging="720"/>
        <w:jc w:val="both"/>
        <w:rPr>
          <w:rFonts w:ascii="Arial" w:hAnsi="Arial" w:cs="Arial"/>
          <w:lang w:val="en-GB"/>
        </w:rPr>
      </w:pPr>
    </w:p>
    <w:sectPr w:rsidR="004072A2" w:rsidSect="001A4F42">
      <w:headerReference w:type="default" r:id="rId10"/>
      <w:footerReference w:type="default" r:id="rId11"/>
      <w:headerReference w:type="first" r:id="rId12"/>
      <w:footerReference w:type="first" r:id="rId13"/>
      <w:pgSz w:w="12240" w:h="15840"/>
      <w:pgMar w:top="1440" w:right="1752" w:bottom="1304" w:left="179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85" w:rsidRDefault="00067E85">
      <w:r>
        <w:separator/>
      </w:r>
    </w:p>
  </w:endnote>
  <w:endnote w:type="continuationSeparator" w:id="0">
    <w:p w:rsidR="00067E85" w:rsidRDefault="0006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5" w:rsidRDefault="00A509E5">
    <w:pPr>
      <w:pStyle w:val="Footer"/>
      <w:pBdr>
        <w:top w:val="single" w:sz="4" w:space="1" w:color="auto"/>
      </w:pBdr>
      <w:jc w:val="center"/>
      <w:rPr>
        <w:rFonts w:ascii="Arial" w:hAnsi="Arial" w:cs="Arial"/>
        <w:sz w:val="16"/>
        <w:szCs w:val="16"/>
      </w:rPr>
    </w:pPr>
    <w:r>
      <w:rPr>
        <w:rFonts w:ascii="Arial" w:hAnsi="Arial" w:cs="Arial"/>
        <w:sz w:val="16"/>
        <w:szCs w:val="16"/>
      </w:rPr>
      <w:t xml:space="preserve">Page </w:t>
    </w:r>
    <w:r w:rsidR="005032D7">
      <w:rPr>
        <w:rFonts w:ascii="Arial" w:hAnsi="Arial" w:cs="Arial"/>
        <w:sz w:val="16"/>
        <w:szCs w:val="16"/>
      </w:rPr>
      <w:fldChar w:fldCharType="begin"/>
    </w:r>
    <w:r>
      <w:rPr>
        <w:rFonts w:ascii="Arial" w:hAnsi="Arial" w:cs="Arial"/>
        <w:sz w:val="16"/>
        <w:szCs w:val="16"/>
      </w:rPr>
      <w:instrText xml:space="preserve"> PAGE </w:instrText>
    </w:r>
    <w:r w:rsidR="005032D7">
      <w:rPr>
        <w:rFonts w:ascii="Arial" w:hAnsi="Arial" w:cs="Arial"/>
        <w:sz w:val="16"/>
        <w:szCs w:val="16"/>
      </w:rPr>
      <w:fldChar w:fldCharType="separate"/>
    </w:r>
    <w:r w:rsidR="00444EDB">
      <w:rPr>
        <w:rFonts w:ascii="Arial" w:hAnsi="Arial" w:cs="Arial"/>
        <w:noProof/>
        <w:sz w:val="16"/>
        <w:szCs w:val="16"/>
      </w:rPr>
      <w:t>8</w:t>
    </w:r>
    <w:r w:rsidR="005032D7">
      <w:rPr>
        <w:rFonts w:ascii="Arial" w:hAnsi="Arial" w:cs="Arial"/>
        <w:sz w:val="16"/>
        <w:szCs w:val="16"/>
      </w:rPr>
      <w:fldChar w:fldCharType="end"/>
    </w:r>
    <w:r>
      <w:rPr>
        <w:rFonts w:ascii="Arial" w:hAnsi="Arial" w:cs="Arial"/>
        <w:sz w:val="16"/>
        <w:szCs w:val="16"/>
      </w:rPr>
      <w:t xml:space="preserve"> of </w:t>
    </w:r>
    <w:r w:rsidR="005032D7">
      <w:rPr>
        <w:rFonts w:ascii="Arial" w:hAnsi="Arial" w:cs="Arial"/>
        <w:sz w:val="16"/>
        <w:szCs w:val="16"/>
      </w:rPr>
      <w:fldChar w:fldCharType="begin"/>
    </w:r>
    <w:r>
      <w:rPr>
        <w:rFonts w:ascii="Arial" w:hAnsi="Arial" w:cs="Arial"/>
        <w:sz w:val="16"/>
        <w:szCs w:val="16"/>
      </w:rPr>
      <w:instrText xml:space="preserve"> NUMPAGES </w:instrText>
    </w:r>
    <w:r w:rsidR="005032D7">
      <w:rPr>
        <w:rFonts w:ascii="Arial" w:hAnsi="Arial" w:cs="Arial"/>
        <w:sz w:val="16"/>
        <w:szCs w:val="16"/>
      </w:rPr>
      <w:fldChar w:fldCharType="separate"/>
    </w:r>
    <w:r w:rsidR="00444EDB">
      <w:rPr>
        <w:rFonts w:ascii="Arial" w:hAnsi="Arial" w:cs="Arial"/>
        <w:noProof/>
        <w:sz w:val="16"/>
        <w:szCs w:val="16"/>
      </w:rPr>
      <w:t>10</w:t>
    </w:r>
    <w:r w:rsidR="005032D7">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5" w:rsidRPr="00CA65D2" w:rsidRDefault="00A509E5" w:rsidP="005F1BC1">
    <w:pPr>
      <w:pStyle w:val="Footer"/>
      <w:jc w:val="center"/>
      <w:rPr>
        <w:rFonts w:asciiTheme="minorHAnsi" w:hAnsiTheme="minorHAnsi"/>
        <w:b/>
        <w:color w:val="595B5A"/>
        <w:sz w:val="18"/>
        <w:szCs w:val="18"/>
      </w:rPr>
    </w:pPr>
    <w:r w:rsidRPr="00CA65D2">
      <w:rPr>
        <w:rFonts w:asciiTheme="minorHAnsi" w:hAnsiTheme="minorHAnsi"/>
        <w:b/>
        <w:color w:val="595B5A"/>
        <w:sz w:val="18"/>
        <w:szCs w:val="18"/>
      </w:rPr>
      <w:t>Gauteng North</w:t>
    </w:r>
  </w:p>
  <w:p w:rsidR="00A509E5" w:rsidRPr="00CA65D2" w:rsidRDefault="00A509E5" w:rsidP="005F1BC1">
    <w:pPr>
      <w:pStyle w:val="Footer"/>
      <w:jc w:val="center"/>
      <w:rPr>
        <w:rFonts w:asciiTheme="minorHAnsi" w:hAnsiTheme="minorHAnsi"/>
        <w:color w:val="595B5A"/>
        <w:sz w:val="18"/>
        <w:szCs w:val="18"/>
      </w:rPr>
    </w:pPr>
    <w:r w:rsidRPr="00CA65D2">
      <w:rPr>
        <w:rFonts w:asciiTheme="minorHAnsi" w:hAnsiTheme="minorHAnsi"/>
        <w:b/>
        <w:color w:val="595B5A"/>
        <w:sz w:val="18"/>
        <w:szCs w:val="18"/>
      </w:rPr>
      <w:t>Physical:</w:t>
    </w:r>
    <w:r w:rsidRPr="00CA65D2">
      <w:rPr>
        <w:rFonts w:asciiTheme="minorHAnsi" w:hAnsiTheme="minorHAnsi"/>
        <w:color w:val="595B5A"/>
        <w:sz w:val="18"/>
        <w:szCs w:val="18"/>
      </w:rPr>
      <w:t xml:space="preserve"> U</w:t>
    </w:r>
    <w:r>
      <w:rPr>
        <w:rFonts w:asciiTheme="minorHAnsi" w:hAnsiTheme="minorHAnsi"/>
        <w:color w:val="595B5A"/>
        <w:sz w:val="18"/>
        <w:szCs w:val="18"/>
      </w:rPr>
      <w:t>nit 5, Block E, Morningside Close Office Park, 222 Rivonia Road, Morningside,</w:t>
    </w:r>
    <w:r w:rsidRPr="00CA65D2">
      <w:rPr>
        <w:rFonts w:asciiTheme="minorHAnsi" w:hAnsiTheme="minorHAnsi"/>
        <w:color w:val="595B5A"/>
        <w:sz w:val="18"/>
        <w:szCs w:val="18"/>
      </w:rPr>
      <w:t xml:space="preserve"> 2196   </w:t>
    </w:r>
  </w:p>
  <w:p w:rsidR="00A509E5" w:rsidRPr="00CA65D2" w:rsidRDefault="00A509E5" w:rsidP="005F1BC1">
    <w:pPr>
      <w:pStyle w:val="Footer"/>
      <w:tabs>
        <w:tab w:val="clear" w:pos="4153"/>
      </w:tabs>
      <w:jc w:val="center"/>
      <w:rPr>
        <w:rFonts w:asciiTheme="minorHAnsi" w:hAnsiTheme="minorHAnsi"/>
        <w:color w:val="595B5A"/>
        <w:sz w:val="18"/>
        <w:szCs w:val="18"/>
      </w:rPr>
    </w:pPr>
    <w:r w:rsidRPr="00CA65D2">
      <w:rPr>
        <w:rFonts w:asciiTheme="minorHAnsi" w:hAnsiTheme="minorHAnsi"/>
        <w:b/>
        <w:color w:val="595B5A"/>
        <w:sz w:val="18"/>
        <w:szCs w:val="18"/>
      </w:rPr>
      <w:t>Email:</w:t>
    </w:r>
    <w:r w:rsidRPr="00CA65D2">
      <w:rPr>
        <w:rFonts w:asciiTheme="minorHAnsi" w:hAnsiTheme="minorHAnsi"/>
        <w:color w:val="595B5A"/>
        <w:sz w:val="18"/>
        <w:szCs w:val="18"/>
      </w:rPr>
      <w:t xml:space="preserve"> gregory@algorithm-ca.com   | </w:t>
    </w:r>
    <w:r w:rsidRPr="00CA65D2">
      <w:rPr>
        <w:rFonts w:asciiTheme="minorHAnsi" w:hAnsiTheme="minorHAnsi"/>
        <w:b/>
        <w:color w:val="595B5A"/>
        <w:sz w:val="18"/>
        <w:szCs w:val="18"/>
      </w:rPr>
      <w:t>Tel:</w:t>
    </w:r>
    <w:r w:rsidRPr="00CA65D2">
      <w:rPr>
        <w:rFonts w:asciiTheme="minorHAnsi" w:hAnsiTheme="minorHAnsi"/>
        <w:color w:val="595B5A"/>
        <w:sz w:val="18"/>
        <w:szCs w:val="18"/>
      </w:rPr>
      <w:t xml:space="preserve"> (011) 8</w:t>
    </w:r>
    <w:r>
      <w:rPr>
        <w:rFonts w:asciiTheme="minorHAnsi" w:hAnsiTheme="minorHAnsi"/>
        <w:color w:val="595B5A"/>
        <w:sz w:val="18"/>
        <w:szCs w:val="18"/>
      </w:rPr>
      <w:t>02</w:t>
    </w:r>
    <w:r w:rsidRPr="00CA65D2">
      <w:rPr>
        <w:rFonts w:asciiTheme="minorHAnsi" w:hAnsiTheme="minorHAnsi"/>
        <w:color w:val="595B5A"/>
        <w:sz w:val="18"/>
        <w:szCs w:val="18"/>
      </w:rPr>
      <w:t>-</w:t>
    </w:r>
    <w:r>
      <w:rPr>
        <w:rFonts w:asciiTheme="minorHAnsi" w:hAnsiTheme="minorHAnsi"/>
        <w:color w:val="595B5A"/>
        <w:sz w:val="18"/>
        <w:szCs w:val="18"/>
      </w:rPr>
      <w:t>0263</w:t>
    </w:r>
    <w:r w:rsidRPr="00CA65D2">
      <w:rPr>
        <w:rFonts w:asciiTheme="minorHAnsi" w:hAnsiTheme="minorHAnsi"/>
        <w:color w:val="595B5A"/>
        <w:sz w:val="18"/>
        <w:szCs w:val="18"/>
      </w:rPr>
      <w:t xml:space="preserve">   | </w:t>
    </w:r>
    <w:r w:rsidRPr="00CA65D2">
      <w:rPr>
        <w:rFonts w:asciiTheme="minorHAnsi" w:hAnsiTheme="minorHAnsi"/>
        <w:b/>
        <w:color w:val="595B5A"/>
        <w:sz w:val="18"/>
        <w:szCs w:val="18"/>
      </w:rPr>
      <w:t>Fax2Email:</w:t>
    </w:r>
    <w:r w:rsidRPr="00CA65D2">
      <w:rPr>
        <w:rFonts w:asciiTheme="minorHAnsi" w:hAnsiTheme="minorHAnsi"/>
        <w:color w:val="595B5A"/>
        <w:sz w:val="18"/>
        <w:szCs w:val="18"/>
      </w:rPr>
      <w:t xml:space="preserve"> 086-</w:t>
    </w:r>
    <w:r>
      <w:rPr>
        <w:rFonts w:asciiTheme="minorHAnsi" w:hAnsiTheme="minorHAnsi"/>
        <w:color w:val="595B5A"/>
        <w:sz w:val="18"/>
        <w:szCs w:val="18"/>
      </w:rPr>
      <w:t>428</w:t>
    </w:r>
    <w:r w:rsidRPr="00CA65D2">
      <w:rPr>
        <w:rFonts w:asciiTheme="minorHAnsi" w:hAnsiTheme="minorHAnsi"/>
        <w:color w:val="595B5A"/>
        <w:sz w:val="18"/>
        <w:szCs w:val="18"/>
      </w:rPr>
      <w:t>-</w:t>
    </w:r>
    <w:r>
      <w:rPr>
        <w:rFonts w:asciiTheme="minorHAnsi" w:hAnsiTheme="minorHAnsi"/>
        <w:color w:val="595B5A"/>
        <w:sz w:val="18"/>
        <w:szCs w:val="18"/>
      </w:rPr>
      <w:t>1353</w:t>
    </w:r>
  </w:p>
  <w:p w:rsidR="00A509E5" w:rsidRPr="00CA65D2" w:rsidRDefault="00A509E5" w:rsidP="005F1BC1">
    <w:pPr>
      <w:pStyle w:val="Footer"/>
      <w:jc w:val="center"/>
      <w:rPr>
        <w:rFonts w:asciiTheme="minorHAnsi" w:hAnsiTheme="minorHAnsi"/>
        <w:b/>
        <w:color w:val="595B5A"/>
        <w:sz w:val="18"/>
        <w:szCs w:val="18"/>
      </w:rPr>
    </w:pPr>
  </w:p>
  <w:p w:rsidR="00A509E5" w:rsidRPr="00CA65D2" w:rsidRDefault="00A509E5" w:rsidP="005F1BC1">
    <w:pPr>
      <w:pStyle w:val="Footer"/>
      <w:jc w:val="center"/>
      <w:rPr>
        <w:rFonts w:asciiTheme="minorHAnsi" w:hAnsiTheme="minorHAnsi"/>
        <w:b/>
        <w:color w:val="595B5A"/>
        <w:sz w:val="18"/>
        <w:szCs w:val="18"/>
      </w:rPr>
    </w:pPr>
    <w:r w:rsidRPr="00CA65D2">
      <w:rPr>
        <w:rFonts w:asciiTheme="minorHAnsi" w:hAnsiTheme="minorHAnsi"/>
        <w:b/>
        <w:color w:val="595B5A"/>
        <w:sz w:val="18"/>
        <w:szCs w:val="18"/>
      </w:rPr>
      <w:t>Gauteng South</w:t>
    </w:r>
  </w:p>
  <w:p w:rsidR="00A509E5" w:rsidRPr="00CA65D2" w:rsidRDefault="00A509E5" w:rsidP="005F1BC1">
    <w:pPr>
      <w:pStyle w:val="Footer"/>
      <w:jc w:val="center"/>
      <w:rPr>
        <w:rFonts w:asciiTheme="minorHAnsi" w:hAnsiTheme="minorHAnsi"/>
        <w:color w:val="595B5A"/>
        <w:sz w:val="18"/>
        <w:szCs w:val="18"/>
      </w:rPr>
    </w:pPr>
    <w:r w:rsidRPr="00CA65D2">
      <w:rPr>
        <w:rFonts w:asciiTheme="minorHAnsi" w:hAnsiTheme="minorHAnsi"/>
        <w:b/>
        <w:color w:val="595B5A"/>
        <w:sz w:val="18"/>
        <w:szCs w:val="18"/>
      </w:rPr>
      <w:t>Email:</w:t>
    </w:r>
    <w:r w:rsidRPr="00CA65D2">
      <w:rPr>
        <w:rFonts w:asciiTheme="minorHAnsi" w:hAnsiTheme="minorHAnsi"/>
        <w:color w:val="595B5A"/>
        <w:sz w:val="18"/>
        <w:szCs w:val="18"/>
      </w:rPr>
      <w:t xml:space="preserve"> tracy@algorithm-ca.com   | </w:t>
    </w:r>
    <w:r w:rsidRPr="00CA65D2">
      <w:rPr>
        <w:rFonts w:asciiTheme="minorHAnsi" w:hAnsiTheme="minorHAnsi"/>
        <w:b/>
        <w:color w:val="595B5A"/>
        <w:sz w:val="18"/>
        <w:szCs w:val="18"/>
      </w:rPr>
      <w:t>Tel:</w:t>
    </w:r>
    <w:r w:rsidRPr="00CA65D2">
      <w:rPr>
        <w:rFonts w:asciiTheme="minorHAnsi" w:hAnsiTheme="minorHAnsi"/>
        <w:color w:val="595B5A"/>
        <w:sz w:val="18"/>
        <w:szCs w:val="18"/>
      </w:rPr>
      <w:t xml:space="preserve"> (011) 867-0814   | </w:t>
    </w:r>
    <w:r w:rsidRPr="00CA65D2">
      <w:rPr>
        <w:rFonts w:asciiTheme="minorHAnsi" w:hAnsiTheme="minorHAnsi"/>
        <w:b/>
        <w:color w:val="595B5A"/>
        <w:sz w:val="18"/>
        <w:szCs w:val="18"/>
      </w:rPr>
      <w:t>Fax2Email:</w:t>
    </w:r>
    <w:r w:rsidRPr="00CA65D2">
      <w:rPr>
        <w:rFonts w:asciiTheme="minorHAnsi" w:hAnsiTheme="minorHAnsi"/>
        <w:color w:val="595B5A"/>
        <w:sz w:val="18"/>
        <w:szCs w:val="18"/>
      </w:rPr>
      <w:t xml:space="preserve"> 086-</w:t>
    </w:r>
    <w:r>
      <w:rPr>
        <w:rFonts w:asciiTheme="minorHAnsi" w:hAnsiTheme="minorHAnsi"/>
        <w:color w:val="595B5A"/>
        <w:sz w:val="18"/>
        <w:szCs w:val="18"/>
      </w:rPr>
      <w:t>428</w:t>
    </w:r>
    <w:r w:rsidRPr="00CA65D2">
      <w:rPr>
        <w:rFonts w:asciiTheme="minorHAnsi" w:hAnsiTheme="minorHAnsi"/>
        <w:color w:val="595B5A"/>
        <w:sz w:val="18"/>
        <w:szCs w:val="18"/>
      </w:rPr>
      <w:t>-</w:t>
    </w:r>
    <w:r>
      <w:rPr>
        <w:rFonts w:asciiTheme="minorHAnsi" w:hAnsiTheme="minorHAnsi"/>
        <w:color w:val="595B5A"/>
        <w:sz w:val="18"/>
        <w:szCs w:val="18"/>
      </w:rPr>
      <w:t>1354</w:t>
    </w:r>
  </w:p>
  <w:p w:rsidR="00A509E5" w:rsidRPr="00CA65D2" w:rsidRDefault="00A509E5" w:rsidP="005F1BC1">
    <w:pPr>
      <w:pStyle w:val="Footer"/>
      <w:jc w:val="center"/>
      <w:rPr>
        <w:rFonts w:asciiTheme="minorHAnsi" w:hAnsiTheme="minorHAnsi"/>
        <w:color w:val="595B5A"/>
        <w:sz w:val="18"/>
        <w:szCs w:val="18"/>
      </w:rPr>
    </w:pPr>
  </w:p>
  <w:p w:rsidR="00A509E5" w:rsidRPr="00CA65D2" w:rsidRDefault="00A509E5" w:rsidP="005F1BC1">
    <w:pPr>
      <w:pStyle w:val="Footer"/>
      <w:jc w:val="center"/>
      <w:rPr>
        <w:rFonts w:asciiTheme="minorHAnsi" w:hAnsiTheme="minorHAnsi"/>
        <w:color w:val="595B5A"/>
        <w:sz w:val="18"/>
        <w:szCs w:val="18"/>
      </w:rPr>
    </w:pPr>
    <w:r>
      <w:rPr>
        <w:rFonts w:asciiTheme="minorHAnsi" w:hAnsiTheme="minorHAnsi"/>
        <w:noProof/>
        <w:color w:val="595B5A"/>
        <w:sz w:val="18"/>
        <w:szCs w:val="18"/>
        <w:lang w:val="en-ZA" w:eastAsia="en-ZA"/>
      </w:rPr>
      <w:drawing>
        <wp:inline distT="0" distB="0" distL="0" distR="0">
          <wp:extent cx="419100" cy="123825"/>
          <wp:effectExtent l="19050" t="0" r="0" b="0"/>
          <wp:docPr id="5" name="Picture 4" descr="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s.jpg"/>
                  <pic:cNvPicPr>
                    <a:picLocks noChangeAspect="1" noChangeArrowheads="1"/>
                  </pic:cNvPicPr>
                </pic:nvPicPr>
                <pic:blipFill>
                  <a:blip r:embed="rId1"/>
                  <a:srcRect/>
                  <a:stretch>
                    <a:fillRect/>
                  </a:stretch>
                </pic:blipFill>
                <pic:spPr bwMode="auto">
                  <a:xfrm>
                    <a:off x="0" y="0"/>
                    <a:ext cx="419100" cy="123825"/>
                  </a:xfrm>
                  <a:prstGeom prst="rect">
                    <a:avLst/>
                  </a:prstGeom>
                  <a:noFill/>
                  <a:ln w="9525">
                    <a:noFill/>
                    <a:miter lim="800000"/>
                    <a:headEnd/>
                    <a:tailEnd/>
                  </a:ln>
                </pic:spPr>
              </pic:pic>
            </a:graphicData>
          </a:graphic>
        </wp:inline>
      </w:drawing>
    </w:r>
  </w:p>
  <w:p w:rsidR="00A509E5" w:rsidRPr="00CA65D2" w:rsidRDefault="00A509E5" w:rsidP="005F1BC1">
    <w:pPr>
      <w:pStyle w:val="Footer"/>
      <w:jc w:val="center"/>
      <w:rPr>
        <w:rFonts w:asciiTheme="minorHAnsi" w:hAnsiTheme="minorHAnsi"/>
        <w:color w:val="595B5A"/>
        <w:sz w:val="18"/>
        <w:szCs w:val="18"/>
      </w:rPr>
    </w:pPr>
  </w:p>
  <w:p w:rsidR="00A509E5" w:rsidRPr="00CA65D2" w:rsidRDefault="00A509E5" w:rsidP="005F1BC1">
    <w:pPr>
      <w:pStyle w:val="Footer"/>
      <w:jc w:val="center"/>
      <w:rPr>
        <w:rFonts w:asciiTheme="minorHAnsi" w:hAnsiTheme="minorHAnsi"/>
        <w:color w:val="595B5A"/>
        <w:sz w:val="18"/>
        <w:szCs w:val="18"/>
      </w:rPr>
    </w:pPr>
    <w:r w:rsidRPr="00CA65D2">
      <w:rPr>
        <w:rFonts w:asciiTheme="minorHAnsi" w:hAnsiTheme="minorHAnsi"/>
        <w:b/>
        <w:color w:val="595B5A"/>
        <w:sz w:val="18"/>
        <w:szCs w:val="18"/>
      </w:rPr>
      <w:t>Members:</w:t>
    </w:r>
    <w:r w:rsidRPr="00CA65D2">
      <w:rPr>
        <w:rFonts w:asciiTheme="minorHAnsi" w:hAnsiTheme="minorHAnsi"/>
        <w:color w:val="595B5A"/>
        <w:sz w:val="18"/>
        <w:szCs w:val="18"/>
      </w:rPr>
      <w:t xml:space="preserve"> Gregory Whittaker </w:t>
    </w:r>
    <w:r w:rsidRPr="00FE7B3B">
      <w:rPr>
        <w:rFonts w:asciiTheme="minorHAnsi" w:hAnsiTheme="minorHAnsi"/>
        <w:i/>
        <w:color w:val="595B5A"/>
        <w:sz w:val="16"/>
        <w:szCs w:val="16"/>
      </w:rPr>
      <w:t>B.Econ.Sc., M.A.A.A., F.S.A., F.A.S.S.A.</w:t>
    </w:r>
    <w:r w:rsidRPr="00CA65D2">
      <w:rPr>
        <w:rFonts w:asciiTheme="minorHAnsi" w:hAnsiTheme="minorHAnsi"/>
        <w:color w:val="595B5A"/>
        <w:sz w:val="18"/>
        <w:szCs w:val="18"/>
      </w:rPr>
      <w:t xml:space="preserve"> | Tracy Kotzé</w:t>
    </w:r>
  </w:p>
  <w:p w:rsidR="00A509E5" w:rsidRPr="00FE7B3B" w:rsidRDefault="00A509E5" w:rsidP="005F1BC1">
    <w:pPr>
      <w:jc w:val="center"/>
      <w:rPr>
        <w:rFonts w:asciiTheme="minorHAnsi" w:hAnsiTheme="minorHAnsi" w:cs="Arial"/>
        <w:sz w:val="18"/>
        <w:szCs w:val="18"/>
      </w:rPr>
    </w:pPr>
    <w:r w:rsidRPr="00CA65D2">
      <w:rPr>
        <w:rFonts w:asciiTheme="minorHAnsi" w:hAnsiTheme="minorHAnsi"/>
        <w:b/>
        <w:color w:val="595B5A"/>
        <w:sz w:val="18"/>
        <w:szCs w:val="18"/>
      </w:rPr>
      <w:t xml:space="preserve">Assisted by: </w:t>
    </w:r>
    <w:r>
      <w:rPr>
        <w:rFonts w:asciiTheme="minorHAnsi" w:hAnsiTheme="minorHAnsi"/>
        <w:color w:val="595B5A"/>
        <w:sz w:val="18"/>
        <w:szCs w:val="18"/>
      </w:rPr>
      <w:t>T</w:t>
    </w:r>
    <w:r w:rsidRPr="00CA65D2">
      <w:rPr>
        <w:rFonts w:asciiTheme="minorHAnsi" w:hAnsiTheme="minorHAnsi"/>
        <w:color w:val="595B5A"/>
        <w:sz w:val="18"/>
        <w:szCs w:val="18"/>
      </w:rPr>
      <w:t xml:space="preserve">anya Sheasby </w:t>
    </w:r>
    <w:r w:rsidRPr="00FE7B3B">
      <w:rPr>
        <w:rFonts w:asciiTheme="minorHAnsi" w:hAnsiTheme="minorHAnsi"/>
        <w:i/>
        <w:color w:val="595B5A"/>
        <w:sz w:val="16"/>
        <w:szCs w:val="16"/>
      </w:rPr>
      <w:t>B.Sc., A.I.I.S.A.</w:t>
    </w:r>
    <w:r w:rsidRPr="00CA65D2">
      <w:rPr>
        <w:rFonts w:asciiTheme="minorHAnsi" w:hAnsiTheme="minorHAnsi"/>
        <w:color w:val="595B5A"/>
        <w:sz w:val="18"/>
        <w:szCs w:val="18"/>
      </w:rPr>
      <w:t xml:space="preserve"> </w:t>
    </w:r>
    <w:r>
      <w:rPr>
        <w:rFonts w:asciiTheme="minorHAnsi" w:hAnsiTheme="minorHAnsi"/>
        <w:color w:val="595B5A"/>
        <w:sz w:val="18"/>
        <w:szCs w:val="18"/>
      </w:rPr>
      <w:t xml:space="preserve">| Marinel Jacobs </w:t>
    </w:r>
    <w:r w:rsidRPr="00FE7B3B">
      <w:rPr>
        <w:rFonts w:asciiTheme="minorHAnsi" w:hAnsiTheme="minorHAnsi"/>
        <w:i/>
        <w:color w:val="595B5A"/>
        <w:sz w:val="16"/>
        <w:szCs w:val="16"/>
      </w:rPr>
      <w:t>B.Sc</w:t>
    </w:r>
    <w:r>
      <w:rPr>
        <w:rFonts w:asciiTheme="minorHAnsi" w:hAnsiTheme="minorHAnsi"/>
        <w:i/>
        <w:color w:val="595B5A"/>
        <w:sz w:val="16"/>
        <w:szCs w:val="16"/>
      </w:rPr>
      <w:t>.(Hons)</w:t>
    </w:r>
    <w:r>
      <w:rPr>
        <w:rFonts w:asciiTheme="minorHAnsi" w:hAnsiTheme="minorHAnsi"/>
        <w:color w:val="595B5A"/>
        <w:sz w:val="18"/>
        <w:szCs w:val="18"/>
      </w:rPr>
      <w:t xml:space="preserve"> | David Bornman </w:t>
    </w:r>
    <w:r w:rsidRPr="00FE7B3B">
      <w:rPr>
        <w:rFonts w:asciiTheme="minorHAnsi" w:hAnsiTheme="minorHAnsi"/>
        <w:i/>
        <w:color w:val="595B5A"/>
        <w:sz w:val="16"/>
        <w:szCs w:val="16"/>
      </w:rPr>
      <w:t>B.Sc</w:t>
    </w:r>
    <w:r>
      <w:rPr>
        <w:rFonts w:asciiTheme="minorHAnsi" w:hAnsiTheme="minorHAnsi"/>
        <w:i/>
        <w:color w:val="595B5A"/>
        <w:sz w:val="16"/>
        <w:szCs w:val="16"/>
      </w:rPr>
      <w:t xml:space="preserve">. </w:t>
    </w:r>
    <w:r>
      <w:rPr>
        <w:rFonts w:asciiTheme="minorHAnsi" w:hAnsiTheme="minorHAnsi"/>
        <w:color w:val="595B5A"/>
        <w:sz w:val="18"/>
        <w:szCs w:val="18"/>
      </w:rPr>
      <w:t>| Shawn Welgemoed</w:t>
    </w:r>
  </w:p>
  <w:p w:rsidR="00A509E5" w:rsidRPr="00C74E46" w:rsidRDefault="00A509E5" w:rsidP="00F56B74">
    <w:pPr>
      <w:pStyle w:val="Footer"/>
      <w:jc w:val="center"/>
      <w:rPr>
        <w:rFonts w:ascii="Calibri" w:hAnsi="Calibri"/>
        <w:color w:val="595B5A"/>
        <w:sz w:val="16"/>
        <w:lang w:val="en-ZA"/>
      </w:rPr>
    </w:pPr>
  </w:p>
  <w:p w:rsidR="00A509E5" w:rsidRPr="00F56B74" w:rsidRDefault="00A509E5" w:rsidP="00145B59">
    <w:pPr>
      <w:pStyle w:val="Footer"/>
      <w:jc w:val="center"/>
      <w:rPr>
        <w:rFonts w:ascii="Calibri" w:hAnsi="Calibri" w:cs="Arial"/>
        <w: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85" w:rsidRDefault="00067E85">
      <w:r>
        <w:separator/>
      </w:r>
    </w:p>
  </w:footnote>
  <w:footnote w:type="continuationSeparator" w:id="0">
    <w:p w:rsidR="00067E85" w:rsidRDefault="00067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5" w:rsidRDefault="00A509E5">
    <w:pPr>
      <w:pStyle w:val="Header"/>
      <w:pBdr>
        <w:bottom w:val="single" w:sz="4" w:space="1" w:color="auto"/>
      </w:pBdr>
      <w:rPr>
        <w:rFonts w:ascii="Arial" w:hAnsi="Arial" w:cs="Arial"/>
        <w:sz w:val="16"/>
        <w:szCs w:val="16"/>
      </w:rPr>
    </w:pPr>
    <w:r>
      <w:rPr>
        <w:rFonts w:ascii="Arial" w:hAnsi="Arial" w:cs="Arial"/>
        <w:sz w:val="16"/>
        <w:szCs w:val="16"/>
      </w:rPr>
      <w:t xml:space="preserve">Algorithm Consultants &amp; Actuaries CC – </w:t>
    </w:r>
    <w:r w:rsidR="00A73E7F">
      <w:rPr>
        <w:rFonts w:ascii="Arial" w:hAnsi="Arial" w:cs="Arial"/>
        <w:sz w:val="16"/>
        <w:szCs w:val="16"/>
      </w:rPr>
      <w:t>0</w:t>
    </w:r>
    <w:r w:rsidR="009F1D48">
      <w:rPr>
        <w:rFonts w:ascii="Arial" w:hAnsi="Arial" w:cs="Arial"/>
        <w:sz w:val="16"/>
        <w:szCs w:val="16"/>
      </w:rPr>
      <w:t>3</w:t>
    </w:r>
    <w:r>
      <w:rPr>
        <w:rFonts w:ascii="Arial" w:hAnsi="Arial" w:cs="Arial"/>
        <w:sz w:val="16"/>
        <w:szCs w:val="16"/>
      </w:rPr>
      <w:t>.0</w:t>
    </w:r>
    <w:r w:rsidR="00A73E7F">
      <w:rPr>
        <w:rFonts w:ascii="Arial" w:hAnsi="Arial" w:cs="Arial"/>
        <w:sz w:val="16"/>
        <w:szCs w:val="16"/>
      </w:rPr>
      <w:t>9</w:t>
    </w:r>
    <w:r>
      <w:rPr>
        <w:rFonts w:ascii="Arial" w:hAnsi="Arial" w:cs="Arial"/>
        <w:sz w:val="16"/>
        <w:szCs w:val="16"/>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E5" w:rsidRDefault="00A509E5" w:rsidP="00453D60">
    <w:pPr>
      <w:pStyle w:val="Header"/>
      <w:jc w:val="center"/>
    </w:pPr>
    <w:r>
      <w:rPr>
        <w:noProof/>
        <w:lang w:val="en-ZA" w:eastAsia="en-ZA"/>
      </w:rPr>
      <w:drawing>
        <wp:inline distT="0" distB="0" distL="0" distR="0">
          <wp:extent cx="2514600" cy="838200"/>
          <wp:effectExtent l="19050" t="0" r="0" b="0"/>
          <wp:docPr id="1" name="Picture 2" descr="Algorithm_LOGO_300dpi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rithm_LOGO_300dpi_large.jpg"/>
                  <pic:cNvPicPr>
                    <a:picLocks noChangeAspect="1" noChangeArrowheads="1"/>
                  </pic:cNvPicPr>
                </pic:nvPicPr>
                <pic:blipFill>
                  <a:blip r:embed="rId1"/>
                  <a:srcRect/>
                  <a:stretch>
                    <a:fillRect/>
                  </a:stretch>
                </pic:blipFill>
                <pic:spPr bwMode="auto">
                  <a:xfrm>
                    <a:off x="0" y="0"/>
                    <a:ext cx="2514600" cy="838200"/>
                  </a:xfrm>
                  <a:prstGeom prst="rect">
                    <a:avLst/>
                  </a:prstGeom>
                  <a:noFill/>
                  <a:ln w="9525">
                    <a:noFill/>
                    <a:miter lim="800000"/>
                    <a:headEnd/>
                    <a:tailEnd/>
                  </a:ln>
                </pic:spPr>
              </pic:pic>
            </a:graphicData>
          </a:graphic>
        </wp:inline>
      </w:drawing>
    </w:r>
  </w:p>
  <w:p w:rsidR="00A509E5" w:rsidRPr="00CA65D2" w:rsidRDefault="00A509E5" w:rsidP="00453D60">
    <w:pPr>
      <w:pStyle w:val="Header"/>
      <w:jc w:val="center"/>
      <w:rPr>
        <w:rFonts w:asciiTheme="minorHAnsi" w:hAnsiTheme="minorHAnsi"/>
        <w:color w:val="595B5A"/>
        <w:sz w:val="18"/>
        <w:szCs w:val="18"/>
      </w:rPr>
    </w:pPr>
    <w:r w:rsidRPr="00CA65D2">
      <w:rPr>
        <w:rFonts w:asciiTheme="minorHAnsi" w:hAnsiTheme="minorHAnsi"/>
        <w:b/>
        <w:color w:val="595B5A"/>
        <w:sz w:val="18"/>
        <w:szCs w:val="18"/>
      </w:rPr>
      <w:t>Algorithm Consultants &amp; Actuaries CC     Reg. No.:</w:t>
    </w:r>
    <w:r w:rsidRPr="00CA65D2">
      <w:rPr>
        <w:rFonts w:asciiTheme="minorHAnsi" w:hAnsiTheme="minorHAnsi"/>
        <w:color w:val="595B5A"/>
        <w:sz w:val="18"/>
        <w:szCs w:val="18"/>
      </w:rPr>
      <w:t xml:space="preserve"> 2006/043759/23     </w:t>
    </w:r>
    <w:r w:rsidRPr="00CA65D2">
      <w:rPr>
        <w:rFonts w:asciiTheme="minorHAnsi" w:hAnsiTheme="minorHAnsi"/>
        <w:b/>
        <w:color w:val="595B5A"/>
        <w:sz w:val="18"/>
        <w:szCs w:val="18"/>
      </w:rPr>
      <w:t>VAT No.:</w:t>
    </w:r>
    <w:r w:rsidRPr="00CA65D2">
      <w:rPr>
        <w:rFonts w:asciiTheme="minorHAnsi" w:hAnsiTheme="minorHAnsi"/>
        <w:color w:val="595B5A"/>
        <w:sz w:val="18"/>
        <w:szCs w:val="18"/>
      </w:rPr>
      <w:t xml:space="preserve"> 4100228164</w:t>
    </w:r>
  </w:p>
  <w:p w:rsidR="00A509E5" w:rsidRPr="00CA65D2" w:rsidRDefault="00A509E5" w:rsidP="00453D60">
    <w:pPr>
      <w:pStyle w:val="Header"/>
      <w:jc w:val="center"/>
      <w:rPr>
        <w:rFonts w:asciiTheme="minorHAnsi" w:hAnsiTheme="minorHAnsi"/>
        <w:color w:val="595B5A"/>
        <w:sz w:val="18"/>
        <w:szCs w:val="18"/>
      </w:rPr>
    </w:pPr>
    <w:r w:rsidRPr="00CA65D2">
      <w:rPr>
        <w:rFonts w:asciiTheme="minorHAnsi" w:hAnsiTheme="minorHAnsi"/>
        <w:b/>
        <w:color w:val="595B5A"/>
        <w:sz w:val="18"/>
        <w:szCs w:val="18"/>
      </w:rPr>
      <w:t>Website:</w:t>
    </w:r>
    <w:r w:rsidRPr="00CA65D2">
      <w:rPr>
        <w:rFonts w:asciiTheme="minorHAnsi" w:hAnsiTheme="minorHAnsi"/>
        <w:color w:val="595B5A"/>
        <w:sz w:val="18"/>
        <w:szCs w:val="18"/>
      </w:rPr>
      <w:t xml:space="preserve"> www.algorithm-ca.com    </w:t>
    </w:r>
    <w:r w:rsidRPr="00CA65D2">
      <w:rPr>
        <w:rFonts w:asciiTheme="minorHAnsi" w:hAnsiTheme="minorHAnsi"/>
        <w:b/>
        <w:color w:val="595B5A"/>
        <w:sz w:val="18"/>
        <w:szCs w:val="18"/>
      </w:rPr>
      <w:t>Twitter:</w:t>
    </w:r>
    <w:r w:rsidRPr="00CA65D2">
      <w:rPr>
        <w:rFonts w:asciiTheme="minorHAnsi" w:hAnsiTheme="minorHAnsi"/>
        <w:color w:val="595B5A"/>
        <w:sz w:val="18"/>
        <w:szCs w:val="18"/>
      </w:rPr>
      <w:t xml:space="preserve"> @expertactuary</w:t>
    </w:r>
  </w:p>
  <w:p w:rsidR="00A509E5" w:rsidRDefault="00A509E5" w:rsidP="00453D60">
    <w:pPr>
      <w:pStyle w:val="Header"/>
      <w:jc w:val="center"/>
      <w:rPr>
        <w:rFonts w:ascii="Helvetica Neue" w:hAnsi="Helvetica Neue"/>
        <w:color w:val="595B5A"/>
        <w:sz w:val="16"/>
      </w:rPr>
    </w:pPr>
  </w:p>
  <w:p w:rsidR="00A509E5" w:rsidRDefault="00A509E5" w:rsidP="00453D60">
    <w:pPr>
      <w:jc w:val="center"/>
      <w:rPr>
        <w:rFonts w:ascii="Arial" w:hAnsi="Arial" w:cs="Arial"/>
        <w:sz w:val="16"/>
        <w:szCs w:val="16"/>
      </w:rPr>
    </w:pPr>
    <w:r>
      <w:rPr>
        <w:rFonts w:ascii="Helvetica Neue" w:hAnsi="Helvetica Neue"/>
        <w:noProof/>
        <w:color w:val="595B5A"/>
        <w:sz w:val="16"/>
        <w:lang w:val="en-ZA" w:eastAsia="en-ZA"/>
      </w:rPr>
      <w:drawing>
        <wp:inline distT="0" distB="0" distL="0" distR="0">
          <wp:extent cx="419100" cy="123825"/>
          <wp:effectExtent l="19050" t="0" r="0" b="0"/>
          <wp:docPr id="2" name="Picture 3" descr="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s.jpg"/>
                  <pic:cNvPicPr>
                    <a:picLocks noChangeAspect="1" noChangeArrowheads="1"/>
                  </pic:cNvPicPr>
                </pic:nvPicPr>
                <pic:blipFill>
                  <a:blip r:embed="rId2"/>
                  <a:srcRect/>
                  <a:stretch>
                    <a:fillRect/>
                  </a:stretch>
                </pic:blipFill>
                <pic:spPr bwMode="auto">
                  <a:xfrm>
                    <a:off x="0" y="0"/>
                    <a:ext cx="419100" cy="123825"/>
                  </a:xfrm>
                  <a:prstGeom prst="rect">
                    <a:avLst/>
                  </a:prstGeom>
                  <a:noFill/>
                  <a:ln w="9525">
                    <a:noFill/>
                    <a:miter lim="800000"/>
                    <a:headEnd/>
                    <a:tailEnd/>
                  </a:ln>
                </pic:spPr>
              </pic:pic>
            </a:graphicData>
          </a:graphic>
        </wp:inline>
      </w:drawing>
    </w:r>
  </w:p>
  <w:p w:rsidR="00A509E5" w:rsidRDefault="00A50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7A3"/>
    <w:multiLevelType w:val="multilevel"/>
    <w:tmpl w:val="5FA6C3F0"/>
    <w:lvl w:ilvl="0">
      <w:start w:val="1"/>
      <w:numFmt w:val="decimal"/>
      <w:lvlText w:val="%1."/>
      <w:lvlJc w:val="left"/>
      <w:pPr>
        <w:tabs>
          <w:tab w:val="num" w:pos="720"/>
        </w:tabs>
        <w:ind w:left="720" w:hanging="720"/>
      </w:pPr>
      <w:rPr>
        <w:rFonts w:hint="default"/>
        <w:u w:val="none"/>
      </w:rPr>
    </w:lvl>
    <w:lvl w:ilvl="1">
      <w:start w:val="2"/>
      <w:numFmt w:val="decimal"/>
      <w:isLgl/>
      <w:lvlText w:val="%1.%2"/>
      <w:lvlJc w:val="left"/>
      <w:pPr>
        <w:tabs>
          <w:tab w:val="num" w:pos="360"/>
        </w:tabs>
        <w:ind w:left="360" w:hanging="360"/>
      </w:pPr>
      <w:rPr>
        <w:rFonts w:hint="default"/>
        <w:sz w:val="22"/>
        <w:u w:val="none"/>
      </w:rPr>
    </w:lvl>
    <w:lvl w:ilvl="2">
      <w:start w:val="1"/>
      <w:numFmt w:val="decimal"/>
      <w:isLgl/>
      <w:lvlText w:val="%1.%2.%3"/>
      <w:lvlJc w:val="left"/>
      <w:pPr>
        <w:tabs>
          <w:tab w:val="num" w:pos="720"/>
        </w:tabs>
        <w:ind w:left="720" w:hanging="720"/>
      </w:pPr>
      <w:rPr>
        <w:rFonts w:hint="default"/>
        <w:sz w:val="22"/>
        <w:u w:val="none"/>
      </w:rPr>
    </w:lvl>
    <w:lvl w:ilvl="3">
      <w:start w:val="1"/>
      <w:numFmt w:val="decimal"/>
      <w:isLgl/>
      <w:lvlText w:val="%1.%2.%3.%4"/>
      <w:lvlJc w:val="left"/>
      <w:pPr>
        <w:tabs>
          <w:tab w:val="num" w:pos="1080"/>
        </w:tabs>
        <w:ind w:left="1080" w:hanging="1080"/>
      </w:pPr>
      <w:rPr>
        <w:rFonts w:hint="default"/>
        <w:sz w:val="22"/>
        <w:u w:val="none"/>
      </w:rPr>
    </w:lvl>
    <w:lvl w:ilvl="4">
      <w:start w:val="1"/>
      <w:numFmt w:val="decimal"/>
      <w:isLgl/>
      <w:lvlText w:val="%1.%2.%3.%4.%5"/>
      <w:lvlJc w:val="left"/>
      <w:pPr>
        <w:tabs>
          <w:tab w:val="num" w:pos="1080"/>
        </w:tabs>
        <w:ind w:left="1080" w:hanging="1080"/>
      </w:pPr>
      <w:rPr>
        <w:rFonts w:hint="default"/>
        <w:sz w:val="22"/>
        <w:u w:val="none"/>
      </w:rPr>
    </w:lvl>
    <w:lvl w:ilvl="5">
      <w:start w:val="1"/>
      <w:numFmt w:val="decimal"/>
      <w:isLgl/>
      <w:lvlText w:val="%1.%2.%3.%4.%5.%6"/>
      <w:lvlJc w:val="left"/>
      <w:pPr>
        <w:tabs>
          <w:tab w:val="num" w:pos="1440"/>
        </w:tabs>
        <w:ind w:left="1440" w:hanging="1440"/>
      </w:pPr>
      <w:rPr>
        <w:rFonts w:hint="default"/>
        <w:sz w:val="22"/>
        <w:u w:val="none"/>
      </w:rPr>
    </w:lvl>
    <w:lvl w:ilvl="6">
      <w:start w:val="1"/>
      <w:numFmt w:val="decimal"/>
      <w:isLgl/>
      <w:lvlText w:val="%1.%2.%3.%4.%5.%6.%7"/>
      <w:lvlJc w:val="left"/>
      <w:pPr>
        <w:tabs>
          <w:tab w:val="num" w:pos="1440"/>
        </w:tabs>
        <w:ind w:left="1440" w:hanging="1440"/>
      </w:pPr>
      <w:rPr>
        <w:rFonts w:hint="default"/>
        <w:sz w:val="22"/>
        <w:u w:val="none"/>
      </w:rPr>
    </w:lvl>
    <w:lvl w:ilvl="7">
      <w:start w:val="1"/>
      <w:numFmt w:val="decimal"/>
      <w:isLgl/>
      <w:lvlText w:val="%1.%2.%3.%4.%5.%6.%7.%8"/>
      <w:lvlJc w:val="left"/>
      <w:pPr>
        <w:tabs>
          <w:tab w:val="num" w:pos="1800"/>
        </w:tabs>
        <w:ind w:left="1800" w:hanging="1800"/>
      </w:pPr>
      <w:rPr>
        <w:rFonts w:hint="default"/>
        <w:sz w:val="22"/>
        <w:u w:val="none"/>
      </w:rPr>
    </w:lvl>
    <w:lvl w:ilvl="8">
      <w:start w:val="1"/>
      <w:numFmt w:val="decimal"/>
      <w:isLgl/>
      <w:lvlText w:val="%1.%2.%3.%4.%5.%6.%7.%8.%9"/>
      <w:lvlJc w:val="left"/>
      <w:pPr>
        <w:tabs>
          <w:tab w:val="num" w:pos="1800"/>
        </w:tabs>
        <w:ind w:left="1800" w:hanging="1800"/>
      </w:pPr>
      <w:rPr>
        <w:rFonts w:hint="default"/>
        <w:sz w:val="22"/>
        <w:u w:val="none"/>
      </w:rPr>
    </w:lvl>
  </w:abstractNum>
  <w:abstractNum w:abstractNumId="1">
    <w:nsid w:val="140E2382"/>
    <w:multiLevelType w:val="hybridMultilevel"/>
    <w:tmpl w:val="5B1CAD9C"/>
    <w:lvl w:ilvl="0" w:tplc="D96C864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5F286E"/>
    <w:multiLevelType w:val="multilevel"/>
    <w:tmpl w:val="94EEDD78"/>
    <w:lvl w:ilvl="0">
      <w:start w:val="2"/>
      <w:numFmt w:val="decimal"/>
      <w:lvlText w:val="%1"/>
      <w:lvlJc w:val="left"/>
      <w:pPr>
        <w:tabs>
          <w:tab w:val="num" w:pos="480"/>
        </w:tabs>
        <w:ind w:left="480" w:hanging="480"/>
      </w:pPr>
      <w:rPr>
        <w:rFonts w:hint="default"/>
        <w:sz w:val="22"/>
        <w:u w:val="none"/>
      </w:rPr>
    </w:lvl>
    <w:lvl w:ilvl="1">
      <w:start w:val="2"/>
      <w:numFmt w:val="decimal"/>
      <w:lvlText w:val="%1.%2"/>
      <w:lvlJc w:val="left"/>
      <w:pPr>
        <w:tabs>
          <w:tab w:val="num" w:pos="480"/>
        </w:tabs>
        <w:ind w:left="480" w:hanging="480"/>
      </w:pPr>
      <w:rPr>
        <w:rFonts w:hint="default"/>
        <w:sz w:val="22"/>
        <w:u w:val="none"/>
      </w:rPr>
    </w:lvl>
    <w:lvl w:ilvl="2">
      <w:start w:val="2"/>
      <w:numFmt w:val="decimal"/>
      <w:lvlText w:val="%1.%2.%3"/>
      <w:lvlJc w:val="left"/>
      <w:pPr>
        <w:tabs>
          <w:tab w:val="num" w:pos="720"/>
        </w:tabs>
        <w:ind w:left="720" w:hanging="720"/>
      </w:pPr>
      <w:rPr>
        <w:rFonts w:hint="default"/>
        <w:sz w:val="22"/>
        <w:u w:val="none"/>
      </w:rPr>
    </w:lvl>
    <w:lvl w:ilvl="3">
      <w:start w:val="1"/>
      <w:numFmt w:val="decimal"/>
      <w:lvlText w:val="%1.%2.%3.%4"/>
      <w:lvlJc w:val="left"/>
      <w:pPr>
        <w:tabs>
          <w:tab w:val="num" w:pos="1080"/>
        </w:tabs>
        <w:ind w:left="1080" w:hanging="1080"/>
      </w:pPr>
      <w:rPr>
        <w:rFonts w:hint="default"/>
        <w:sz w:val="22"/>
        <w:u w:val="none"/>
      </w:rPr>
    </w:lvl>
    <w:lvl w:ilvl="4">
      <w:start w:val="1"/>
      <w:numFmt w:val="decimal"/>
      <w:lvlText w:val="%1.%2.%3.%4.%5"/>
      <w:lvlJc w:val="left"/>
      <w:pPr>
        <w:tabs>
          <w:tab w:val="num" w:pos="1080"/>
        </w:tabs>
        <w:ind w:left="1080" w:hanging="1080"/>
      </w:pPr>
      <w:rPr>
        <w:rFonts w:hint="default"/>
        <w:sz w:val="22"/>
        <w:u w:val="none"/>
      </w:rPr>
    </w:lvl>
    <w:lvl w:ilvl="5">
      <w:start w:val="1"/>
      <w:numFmt w:val="decimal"/>
      <w:lvlText w:val="%1.%2.%3.%4.%5.%6"/>
      <w:lvlJc w:val="left"/>
      <w:pPr>
        <w:tabs>
          <w:tab w:val="num" w:pos="1440"/>
        </w:tabs>
        <w:ind w:left="1440" w:hanging="1440"/>
      </w:pPr>
      <w:rPr>
        <w:rFonts w:hint="default"/>
        <w:sz w:val="22"/>
        <w:u w:val="none"/>
      </w:rPr>
    </w:lvl>
    <w:lvl w:ilvl="6">
      <w:start w:val="1"/>
      <w:numFmt w:val="decimal"/>
      <w:lvlText w:val="%1.%2.%3.%4.%5.%6.%7"/>
      <w:lvlJc w:val="left"/>
      <w:pPr>
        <w:tabs>
          <w:tab w:val="num" w:pos="1440"/>
        </w:tabs>
        <w:ind w:left="1440" w:hanging="1440"/>
      </w:pPr>
      <w:rPr>
        <w:rFonts w:hint="default"/>
        <w:sz w:val="22"/>
        <w:u w:val="none"/>
      </w:rPr>
    </w:lvl>
    <w:lvl w:ilvl="7">
      <w:start w:val="1"/>
      <w:numFmt w:val="decimal"/>
      <w:lvlText w:val="%1.%2.%3.%4.%5.%6.%7.%8"/>
      <w:lvlJc w:val="left"/>
      <w:pPr>
        <w:tabs>
          <w:tab w:val="num" w:pos="1800"/>
        </w:tabs>
        <w:ind w:left="1800" w:hanging="1800"/>
      </w:pPr>
      <w:rPr>
        <w:rFonts w:hint="default"/>
        <w:sz w:val="22"/>
        <w:u w:val="none"/>
      </w:rPr>
    </w:lvl>
    <w:lvl w:ilvl="8">
      <w:start w:val="1"/>
      <w:numFmt w:val="decimal"/>
      <w:lvlText w:val="%1.%2.%3.%4.%5.%6.%7.%8.%9"/>
      <w:lvlJc w:val="left"/>
      <w:pPr>
        <w:tabs>
          <w:tab w:val="num" w:pos="1800"/>
        </w:tabs>
        <w:ind w:left="1800" w:hanging="1800"/>
      </w:pPr>
      <w:rPr>
        <w:rFonts w:hint="default"/>
        <w:sz w:val="22"/>
        <w:u w:val="none"/>
      </w:rPr>
    </w:lvl>
  </w:abstractNum>
  <w:abstractNum w:abstractNumId="3">
    <w:nsid w:val="317A6152"/>
    <w:multiLevelType w:val="multilevel"/>
    <w:tmpl w:val="88D2494A"/>
    <w:lvl w:ilvl="0">
      <w:start w:val="5"/>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4">
    <w:nsid w:val="3850123F"/>
    <w:multiLevelType w:val="singleLevel"/>
    <w:tmpl w:val="537AF9CA"/>
    <w:lvl w:ilvl="0">
      <w:start w:val="1"/>
      <w:numFmt w:val="lowerRoman"/>
      <w:lvlText w:val="(%1)"/>
      <w:lvlJc w:val="left"/>
      <w:pPr>
        <w:tabs>
          <w:tab w:val="num" w:pos="2160"/>
        </w:tabs>
        <w:ind w:left="2160" w:hanging="720"/>
      </w:pPr>
      <w:rPr>
        <w:rFonts w:hint="default"/>
      </w:rPr>
    </w:lvl>
  </w:abstractNum>
  <w:abstractNum w:abstractNumId="5">
    <w:nsid w:val="3B795F66"/>
    <w:multiLevelType w:val="singleLevel"/>
    <w:tmpl w:val="1B168F8C"/>
    <w:lvl w:ilvl="0">
      <w:start w:val="1"/>
      <w:numFmt w:val="decimal"/>
      <w:lvlText w:val="(%1)"/>
      <w:lvlJc w:val="left"/>
      <w:pPr>
        <w:tabs>
          <w:tab w:val="num" w:pos="1440"/>
        </w:tabs>
        <w:ind w:left="1440" w:hanging="720"/>
      </w:pPr>
      <w:rPr>
        <w:rFonts w:hint="default"/>
      </w:rPr>
    </w:lvl>
  </w:abstractNum>
  <w:abstractNum w:abstractNumId="6">
    <w:nsid w:val="3E371683"/>
    <w:multiLevelType w:val="hybridMultilevel"/>
    <w:tmpl w:val="9174AF4A"/>
    <w:lvl w:ilvl="0" w:tplc="5F92C6CE">
      <w:start w:val="1"/>
      <w:numFmt w:val="bullet"/>
      <w:lvlText w:val=" "/>
      <w:lvlJc w:val="left"/>
      <w:pPr>
        <w:tabs>
          <w:tab w:val="num" w:pos="720"/>
        </w:tabs>
        <w:ind w:left="720" w:hanging="360"/>
      </w:pPr>
      <w:rPr>
        <w:rFonts w:ascii="Times New Roman" w:hAnsi="Times New Roman" w:hint="default"/>
      </w:rPr>
    </w:lvl>
    <w:lvl w:ilvl="1" w:tplc="76481804" w:tentative="1">
      <w:start w:val="1"/>
      <w:numFmt w:val="bullet"/>
      <w:lvlText w:val=" "/>
      <w:lvlJc w:val="left"/>
      <w:pPr>
        <w:tabs>
          <w:tab w:val="num" w:pos="1440"/>
        </w:tabs>
        <w:ind w:left="1440" w:hanging="360"/>
      </w:pPr>
      <w:rPr>
        <w:rFonts w:ascii="Times New Roman" w:hAnsi="Times New Roman" w:hint="default"/>
      </w:rPr>
    </w:lvl>
    <w:lvl w:ilvl="2" w:tplc="B518F3EE" w:tentative="1">
      <w:start w:val="1"/>
      <w:numFmt w:val="bullet"/>
      <w:lvlText w:val=" "/>
      <w:lvlJc w:val="left"/>
      <w:pPr>
        <w:tabs>
          <w:tab w:val="num" w:pos="2160"/>
        </w:tabs>
        <w:ind w:left="2160" w:hanging="360"/>
      </w:pPr>
      <w:rPr>
        <w:rFonts w:ascii="Times New Roman" w:hAnsi="Times New Roman" w:hint="default"/>
      </w:rPr>
    </w:lvl>
    <w:lvl w:ilvl="3" w:tplc="807A6E52" w:tentative="1">
      <w:start w:val="1"/>
      <w:numFmt w:val="bullet"/>
      <w:lvlText w:val=" "/>
      <w:lvlJc w:val="left"/>
      <w:pPr>
        <w:tabs>
          <w:tab w:val="num" w:pos="2880"/>
        </w:tabs>
        <w:ind w:left="2880" w:hanging="360"/>
      </w:pPr>
      <w:rPr>
        <w:rFonts w:ascii="Times New Roman" w:hAnsi="Times New Roman" w:hint="default"/>
      </w:rPr>
    </w:lvl>
    <w:lvl w:ilvl="4" w:tplc="BC4E86A8" w:tentative="1">
      <w:start w:val="1"/>
      <w:numFmt w:val="bullet"/>
      <w:lvlText w:val=" "/>
      <w:lvlJc w:val="left"/>
      <w:pPr>
        <w:tabs>
          <w:tab w:val="num" w:pos="3600"/>
        </w:tabs>
        <w:ind w:left="3600" w:hanging="360"/>
      </w:pPr>
      <w:rPr>
        <w:rFonts w:ascii="Times New Roman" w:hAnsi="Times New Roman" w:hint="default"/>
      </w:rPr>
    </w:lvl>
    <w:lvl w:ilvl="5" w:tplc="802CA530" w:tentative="1">
      <w:start w:val="1"/>
      <w:numFmt w:val="bullet"/>
      <w:lvlText w:val=" "/>
      <w:lvlJc w:val="left"/>
      <w:pPr>
        <w:tabs>
          <w:tab w:val="num" w:pos="4320"/>
        </w:tabs>
        <w:ind w:left="4320" w:hanging="360"/>
      </w:pPr>
      <w:rPr>
        <w:rFonts w:ascii="Times New Roman" w:hAnsi="Times New Roman" w:hint="default"/>
      </w:rPr>
    </w:lvl>
    <w:lvl w:ilvl="6" w:tplc="A1F48426" w:tentative="1">
      <w:start w:val="1"/>
      <w:numFmt w:val="bullet"/>
      <w:lvlText w:val=" "/>
      <w:lvlJc w:val="left"/>
      <w:pPr>
        <w:tabs>
          <w:tab w:val="num" w:pos="5040"/>
        </w:tabs>
        <w:ind w:left="5040" w:hanging="360"/>
      </w:pPr>
      <w:rPr>
        <w:rFonts w:ascii="Times New Roman" w:hAnsi="Times New Roman" w:hint="default"/>
      </w:rPr>
    </w:lvl>
    <w:lvl w:ilvl="7" w:tplc="0AC8E052" w:tentative="1">
      <w:start w:val="1"/>
      <w:numFmt w:val="bullet"/>
      <w:lvlText w:val=" "/>
      <w:lvlJc w:val="left"/>
      <w:pPr>
        <w:tabs>
          <w:tab w:val="num" w:pos="5760"/>
        </w:tabs>
        <w:ind w:left="5760" w:hanging="360"/>
      </w:pPr>
      <w:rPr>
        <w:rFonts w:ascii="Times New Roman" w:hAnsi="Times New Roman" w:hint="default"/>
      </w:rPr>
    </w:lvl>
    <w:lvl w:ilvl="8" w:tplc="5FAE1D48" w:tentative="1">
      <w:start w:val="1"/>
      <w:numFmt w:val="bullet"/>
      <w:lvlText w:val=" "/>
      <w:lvlJc w:val="left"/>
      <w:pPr>
        <w:tabs>
          <w:tab w:val="num" w:pos="6480"/>
        </w:tabs>
        <w:ind w:left="6480" w:hanging="360"/>
      </w:pPr>
      <w:rPr>
        <w:rFonts w:ascii="Times New Roman" w:hAnsi="Times New Roman" w:hint="default"/>
      </w:rPr>
    </w:lvl>
  </w:abstractNum>
  <w:abstractNum w:abstractNumId="7">
    <w:nsid w:val="3E7378B3"/>
    <w:multiLevelType w:val="multilevel"/>
    <w:tmpl w:val="6F64CA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F116D5"/>
    <w:multiLevelType w:val="multilevel"/>
    <w:tmpl w:val="30CED4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023BF4"/>
    <w:multiLevelType w:val="hybridMultilevel"/>
    <w:tmpl w:val="E1449148"/>
    <w:lvl w:ilvl="0" w:tplc="DEECA16C">
      <w:start w:val="1"/>
      <w:numFmt w:val="decimal"/>
      <w:lvlText w:val="%1."/>
      <w:lvlJc w:val="left"/>
      <w:pPr>
        <w:ind w:left="1070" w:hanging="360"/>
      </w:pPr>
      <w:rPr>
        <w:rFonts w:asciiTheme="minorHAnsi" w:hAnsiTheme="minorHAnsi" w:cstheme="minorHAnsi"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64410F"/>
    <w:multiLevelType w:val="hybridMultilevel"/>
    <w:tmpl w:val="13CE4886"/>
    <w:lvl w:ilvl="0" w:tplc="BAF618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F11160"/>
    <w:multiLevelType w:val="hybridMultilevel"/>
    <w:tmpl w:val="47F6F4DA"/>
    <w:lvl w:ilvl="0" w:tplc="67FA4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831BD3"/>
    <w:multiLevelType w:val="multilevel"/>
    <w:tmpl w:val="5AB8DD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717A1A"/>
    <w:multiLevelType w:val="multilevel"/>
    <w:tmpl w:val="2D72B326"/>
    <w:lvl w:ilvl="0">
      <w:start w:val="4"/>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77D32D35"/>
    <w:multiLevelType w:val="multilevel"/>
    <w:tmpl w:val="0BC4CDDE"/>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79824535"/>
    <w:multiLevelType w:val="singleLevel"/>
    <w:tmpl w:val="6A6C494C"/>
    <w:lvl w:ilvl="0">
      <w:start w:val="1"/>
      <w:numFmt w:val="decimal"/>
      <w:lvlText w:val="(%1)"/>
      <w:lvlJc w:val="left"/>
      <w:pPr>
        <w:tabs>
          <w:tab w:val="num" w:pos="1440"/>
        </w:tabs>
        <w:ind w:left="1440" w:hanging="720"/>
      </w:pPr>
      <w:rPr>
        <w:rFonts w:hint="default"/>
      </w:rPr>
    </w:lvl>
  </w:abstractNum>
  <w:num w:numId="1">
    <w:abstractNumId w:val="3"/>
  </w:num>
  <w:num w:numId="2">
    <w:abstractNumId w:val="15"/>
  </w:num>
  <w:num w:numId="3">
    <w:abstractNumId w:val="4"/>
  </w:num>
  <w:num w:numId="4">
    <w:abstractNumId w:val="0"/>
  </w:num>
  <w:num w:numId="5">
    <w:abstractNumId w:val="2"/>
  </w:num>
  <w:num w:numId="6">
    <w:abstractNumId w:val="5"/>
  </w:num>
  <w:num w:numId="7">
    <w:abstractNumId w:val="13"/>
  </w:num>
  <w:num w:numId="8">
    <w:abstractNumId w:val="10"/>
  </w:num>
  <w:num w:numId="9">
    <w:abstractNumId w:val="1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7"/>
  </w:num>
  <w:num w:numId="15">
    <w:abstractNumId w:val="12"/>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P1KUOyfaPK5uP4Axl15sGC66VK3MoYbhnrvmrdVnvuBbbp0OC2HtOwIH4Ca3MWPHKCO6QsbkE/Hs&#10;qaOQM0gkeA==" w:salt="NXjzNHPxZq4Xeb+ehaCEjQ=="/>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842D51"/>
    <w:rsid w:val="00003855"/>
    <w:rsid w:val="00004D4B"/>
    <w:rsid w:val="00005CB1"/>
    <w:rsid w:val="00005FAE"/>
    <w:rsid w:val="00006F5A"/>
    <w:rsid w:val="00007939"/>
    <w:rsid w:val="0001020B"/>
    <w:rsid w:val="00011EDF"/>
    <w:rsid w:val="000138DD"/>
    <w:rsid w:val="000207DE"/>
    <w:rsid w:val="00020818"/>
    <w:rsid w:val="000222A8"/>
    <w:rsid w:val="00024A84"/>
    <w:rsid w:val="00026456"/>
    <w:rsid w:val="00027119"/>
    <w:rsid w:val="00032094"/>
    <w:rsid w:val="0003382D"/>
    <w:rsid w:val="00034406"/>
    <w:rsid w:val="00034AF5"/>
    <w:rsid w:val="00034E5F"/>
    <w:rsid w:val="000360A5"/>
    <w:rsid w:val="00036C8D"/>
    <w:rsid w:val="00036F45"/>
    <w:rsid w:val="00037BED"/>
    <w:rsid w:val="00040507"/>
    <w:rsid w:val="0004060E"/>
    <w:rsid w:val="000411E3"/>
    <w:rsid w:val="00043C25"/>
    <w:rsid w:val="0004485B"/>
    <w:rsid w:val="00045760"/>
    <w:rsid w:val="000458AD"/>
    <w:rsid w:val="00045FDA"/>
    <w:rsid w:val="00051651"/>
    <w:rsid w:val="000529D1"/>
    <w:rsid w:val="00052BA7"/>
    <w:rsid w:val="00053EA4"/>
    <w:rsid w:val="000549FC"/>
    <w:rsid w:val="00054E94"/>
    <w:rsid w:val="0005518A"/>
    <w:rsid w:val="000554C2"/>
    <w:rsid w:val="00055E3C"/>
    <w:rsid w:val="00056D40"/>
    <w:rsid w:val="0006227D"/>
    <w:rsid w:val="000623F0"/>
    <w:rsid w:val="00064DA7"/>
    <w:rsid w:val="00065B8A"/>
    <w:rsid w:val="00067E85"/>
    <w:rsid w:val="000702ED"/>
    <w:rsid w:val="0007043E"/>
    <w:rsid w:val="00073516"/>
    <w:rsid w:val="0007666C"/>
    <w:rsid w:val="0007796A"/>
    <w:rsid w:val="00080BD7"/>
    <w:rsid w:val="00081232"/>
    <w:rsid w:val="00085FE1"/>
    <w:rsid w:val="00090EE1"/>
    <w:rsid w:val="0009194A"/>
    <w:rsid w:val="00091BBD"/>
    <w:rsid w:val="000921BB"/>
    <w:rsid w:val="000933C5"/>
    <w:rsid w:val="00093B68"/>
    <w:rsid w:val="00095ECC"/>
    <w:rsid w:val="0009748C"/>
    <w:rsid w:val="000A30BE"/>
    <w:rsid w:val="000A4A25"/>
    <w:rsid w:val="000A6888"/>
    <w:rsid w:val="000A703B"/>
    <w:rsid w:val="000B0B2E"/>
    <w:rsid w:val="000B1E98"/>
    <w:rsid w:val="000B3BE4"/>
    <w:rsid w:val="000B4A97"/>
    <w:rsid w:val="000B6FA8"/>
    <w:rsid w:val="000C303F"/>
    <w:rsid w:val="000C6FDB"/>
    <w:rsid w:val="000D117E"/>
    <w:rsid w:val="000D453F"/>
    <w:rsid w:val="000D4812"/>
    <w:rsid w:val="000D5BA6"/>
    <w:rsid w:val="000D614D"/>
    <w:rsid w:val="000E1A8C"/>
    <w:rsid w:val="000E2176"/>
    <w:rsid w:val="000E2271"/>
    <w:rsid w:val="000E2396"/>
    <w:rsid w:val="000E37FF"/>
    <w:rsid w:val="000E3844"/>
    <w:rsid w:val="000E3F51"/>
    <w:rsid w:val="000E4786"/>
    <w:rsid w:val="000E5E7A"/>
    <w:rsid w:val="000E6258"/>
    <w:rsid w:val="000F0D95"/>
    <w:rsid w:val="000F60A7"/>
    <w:rsid w:val="00100D44"/>
    <w:rsid w:val="0010108A"/>
    <w:rsid w:val="00101F15"/>
    <w:rsid w:val="00104AC9"/>
    <w:rsid w:val="00107BBF"/>
    <w:rsid w:val="00110F47"/>
    <w:rsid w:val="00111ABE"/>
    <w:rsid w:val="00112515"/>
    <w:rsid w:val="0011271A"/>
    <w:rsid w:val="00112B70"/>
    <w:rsid w:val="00112FCF"/>
    <w:rsid w:val="00115B5E"/>
    <w:rsid w:val="00116034"/>
    <w:rsid w:val="001164D5"/>
    <w:rsid w:val="001201FF"/>
    <w:rsid w:val="00120571"/>
    <w:rsid w:val="00123E45"/>
    <w:rsid w:val="00124F6C"/>
    <w:rsid w:val="00130DED"/>
    <w:rsid w:val="001313D2"/>
    <w:rsid w:val="001321BA"/>
    <w:rsid w:val="00134755"/>
    <w:rsid w:val="00136F32"/>
    <w:rsid w:val="00140CAE"/>
    <w:rsid w:val="00142F83"/>
    <w:rsid w:val="00143037"/>
    <w:rsid w:val="00145960"/>
    <w:rsid w:val="00145B59"/>
    <w:rsid w:val="00146A52"/>
    <w:rsid w:val="00147434"/>
    <w:rsid w:val="00147D6D"/>
    <w:rsid w:val="00151023"/>
    <w:rsid w:val="00151A80"/>
    <w:rsid w:val="00152158"/>
    <w:rsid w:val="00153ACD"/>
    <w:rsid w:val="00155711"/>
    <w:rsid w:val="00155A7B"/>
    <w:rsid w:val="00155FF8"/>
    <w:rsid w:val="0015638F"/>
    <w:rsid w:val="00160259"/>
    <w:rsid w:val="001616DC"/>
    <w:rsid w:val="0016405D"/>
    <w:rsid w:val="0016675E"/>
    <w:rsid w:val="00170355"/>
    <w:rsid w:val="00171742"/>
    <w:rsid w:val="00172DF1"/>
    <w:rsid w:val="00173195"/>
    <w:rsid w:val="00175507"/>
    <w:rsid w:val="00181A67"/>
    <w:rsid w:val="00181AFA"/>
    <w:rsid w:val="00181C21"/>
    <w:rsid w:val="001820A8"/>
    <w:rsid w:val="001826DC"/>
    <w:rsid w:val="00182BA3"/>
    <w:rsid w:val="00182CDC"/>
    <w:rsid w:val="00184CEA"/>
    <w:rsid w:val="00192DBE"/>
    <w:rsid w:val="00195971"/>
    <w:rsid w:val="00197378"/>
    <w:rsid w:val="001A45BB"/>
    <w:rsid w:val="001A4DA4"/>
    <w:rsid w:val="001A4F42"/>
    <w:rsid w:val="001B0B92"/>
    <w:rsid w:val="001B0FFD"/>
    <w:rsid w:val="001B1372"/>
    <w:rsid w:val="001B1B8A"/>
    <w:rsid w:val="001B4736"/>
    <w:rsid w:val="001B7E3F"/>
    <w:rsid w:val="001C00E8"/>
    <w:rsid w:val="001C0B52"/>
    <w:rsid w:val="001C1773"/>
    <w:rsid w:val="001C2FCD"/>
    <w:rsid w:val="001C3222"/>
    <w:rsid w:val="001C3346"/>
    <w:rsid w:val="001C392C"/>
    <w:rsid w:val="001C5B97"/>
    <w:rsid w:val="001C6B16"/>
    <w:rsid w:val="001D63D6"/>
    <w:rsid w:val="001D7838"/>
    <w:rsid w:val="001E10C2"/>
    <w:rsid w:val="001E1F53"/>
    <w:rsid w:val="001E2169"/>
    <w:rsid w:val="001E241E"/>
    <w:rsid w:val="001E3F8A"/>
    <w:rsid w:val="001E5738"/>
    <w:rsid w:val="001E5D03"/>
    <w:rsid w:val="001E644F"/>
    <w:rsid w:val="001E64FB"/>
    <w:rsid w:val="001E7C73"/>
    <w:rsid w:val="001F02C3"/>
    <w:rsid w:val="001F2843"/>
    <w:rsid w:val="001F379F"/>
    <w:rsid w:val="001F746B"/>
    <w:rsid w:val="001F7CA8"/>
    <w:rsid w:val="002001E2"/>
    <w:rsid w:val="00201454"/>
    <w:rsid w:val="00201B56"/>
    <w:rsid w:val="00204600"/>
    <w:rsid w:val="00212A42"/>
    <w:rsid w:val="00212C2C"/>
    <w:rsid w:val="00212D05"/>
    <w:rsid w:val="00215D50"/>
    <w:rsid w:val="00217453"/>
    <w:rsid w:val="00224E2F"/>
    <w:rsid w:val="00224FB4"/>
    <w:rsid w:val="0022599E"/>
    <w:rsid w:val="00230E72"/>
    <w:rsid w:val="00231470"/>
    <w:rsid w:val="00234C60"/>
    <w:rsid w:val="00234E4D"/>
    <w:rsid w:val="00237AC6"/>
    <w:rsid w:val="00237B92"/>
    <w:rsid w:val="00240FF0"/>
    <w:rsid w:val="002419E3"/>
    <w:rsid w:val="00244DA4"/>
    <w:rsid w:val="00246460"/>
    <w:rsid w:val="00247151"/>
    <w:rsid w:val="002509D5"/>
    <w:rsid w:val="00251B4E"/>
    <w:rsid w:val="00252360"/>
    <w:rsid w:val="002530C4"/>
    <w:rsid w:val="002539A5"/>
    <w:rsid w:val="00255FE1"/>
    <w:rsid w:val="0026015D"/>
    <w:rsid w:val="00261F8D"/>
    <w:rsid w:val="00262127"/>
    <w:rsid w:val="0026300C"/>
    <w:rsid w:val="00272327"/>
    <w:rsid w:val="002730F3"/>
    <w:rsid w:val="0027367E"/>
    <w:rsid w:val="00274638"/>
    <w:rsid w:val="00275D41"/>
    <w:rsid w:val="00280AD3"/>
    <w:rsid w:val="00280F4E"/>
    <w:rsid w:val="00281037"/>
    <w:rsid w:val="002819ED"/>
    <w:rsid w:val="002834AA"/>
    <w:rsid w:val="0028497F"/>
    <w:rsid w:val="00285E9C"/>
    <w:rsid w:val="00285EE5"/>
    <w:rsid w:val="00286C9D"/>
    <w:rsid w:val="00287195"/>
    <w:rsid w:val="00291F1B"/>
    <w:rsid w:val="00293729"/>
    <w:rsid w:val="00295F89"/>
    <w:rsid w:val="002A05EE"/>
    <w:rsid w:val="002A1D25"/>
    <w:rsid w:val="002A2808"/>
    <w:rsid w:val="002A3701"/>
    <w:rsid w:val="002B44DE"/>
    <w:rsid w:val="002B4538"/>
    <w:rsid w:val="002B49D2"/>
    <w:rsid w:val="002B4D6A"/>
    <w:rsid w:val="002B53F2"/>
    <w:rsid w:val="002B5545"/>
    <w:rsid w:val="002B6216"/>
    <w:rsid w:val="002B6E34"/>
    <w:rsid w:val="002B70B9"/>
    <w:rsid w:val="002B7E1B"/>
    <w:rsid w:val="002C08C2"/>
    <w:rsid w:val="002C37BB"/>
    <w:rsid w:val="002C61A3"/>
    <w:rsid w:val="002C696E"/>
    <w:rsid w:val="002C7485"/>
    <w:rsid w:val="002C7554"/>
    <w:rsid w:val="002D32FF"/>
    <w:rsid w:val="002D5808"/>
    <w:rsid w:val="002D6DBA"/>
    <w:rsid w:val="002D7AA1"/>
    <w:rsid w:val="002E0A40"/>
    <w:rsid w:val="002E7F05"/>
    <w:rsid w:val="002F35A1"/>
    <w:rsid w:val="002F61A0"/>
    <w:rsid w:val="002F78B1"/>
    <w:rsid w:val="002F78C7"/>
    <w:rsid w:val="00303128"/>
    <w:rsid w:val="00303A3D"/>
    <w:rsid w:val="0030466B"/>
    <w:rsid w:val="0030599E"/>
    <w:rsid w:val="00310B57"/>
    <w:rsid w:val="00310C49"/>
    <w:rsid w:val="0031253A"/>
    <w:rsid w:val="00323156"/>
    <w:rsid w:val="00323BE2"/>
    <w:rsid w:val="00323FF8"/>
    <w:rsid w:val="0032448B"/>
    <w:rsid w:val="00326EFC"/>
    <w:rsid w:val="00327881"/>
    <w:rsid w:val="00332A4B"/>
    <w:rsid w:val="0033420C"/>
    <w:rsid w:val="00336979"/>
    <w:rsid w:val="00336D00"/>
    <w:rsid w:val="00341740"/>
    <w:rsid w:val="00341C11"/>
    <w:rsid w:val="0034355D"/>
    <w:rsid w:val="00343597"/>
    <w:rsid w:val="0034392D"/>
    <w:rsid w:val="00343CAF"/>
    <w:rsid w:val="00343D85"/>
    <w:rsid w:val="00345AF1"/>
    <w:rsid w:val="00346BBD"/>
    <w:rsid w:val="00347DF6"/>
    <w:rsid w:val="003515C8"/>
    <w:rsid w:val="00355EBA"/>
    <w:rsid w:val="003572D0"/>
    <w:rsid w:val="003576E3"/>
    <w:rsid w:val="003605D2"/>
    <w:rsid w:val="0036094F"/>
    <w:rsid w:val="00361C7B"/>
    <w:rsid w:val="00366A9D"/>
    <w:rsid w:val="00366D86"/>
    <w:rsid w:val="0036702F"/>
    <w:rsid w:val="00367AD5"/>
    <w:rsid w:val="0037149C"/>
    <w:rsid w:val="003716AC"/>
    <w:rsid w:val="00372DCB"/>
    <w:rsid w:val="00380069"/>
    <w:rsid w:val="003820D5"/>
    <w:rsid w:val="003838F5"/>
    <w:rsid w:val="0038397B"/>
    <w:rsid w:val="003920BE"/>
    <w:rsid w:val="00393A81"/>
    <w:rsid w:val="00394793"/>
    <w:rsid w:val="00394BE4"/>
    <w:rsid w:val="003A097B"/>
    <w:rsid w:val="003A2908"/>
    <w:rsid w:val="003A49B7"/>
    <w:rsid w:val="003A763B"/>
    <w:rsid w:val="003A7FE9"/>
    <w:rsid w:val="003B2DE9"/>
    <w:rsid w:val="003B4BF3"/>
    <w:rsid w:val="003B4C41"/>
    <w:rsid w:val="003B73E4"/>
    <w:rsid w:val="003C0439"/>
    <w:rsid w:val="003C068B"/>
    <w:rsid w:val="003C2568"/>
    <w:rsid w:val="003C73B4"/>
    <w:rsid w:val="003C777A"/>
    <w:rsid w:val="003D0AE2"/>
    <w:rsid w:val="003D1876"/>
    <w:rsid w:val="003D4B75"/>
    <w:rsid w:val="003D535F"/>
    <w:rsid w:val="003E23E7"/>
    <w:rsid w:val="003E2797"/>
    <w:rsid w:val="003E36C9"/>
    <w:rsid w:val="003E402E"/>
    <w:rsid w:val="003E530F"/>
    <w:rsid w:val="003E6613"/>
    <w:rsid w:val="003E7708"/>
    <w:rsid w:val="003E7CF4"/>
    <w:rsid w:val="003F1D1D"/>
    <w:rsid w:val="003F2D3B"/>
    <w:rsid w:val="003F42AF"/>
    <w:rsid w:val="003F4EE1"/>
    <w:rsid w:val="003F6CE8"/>
    <w:rsid w:val="003F7DF2"/>
    <w:rsid w:val="004014EB"/>
    <w:rsid w:val="00404216"/>
    <w:rsid w:val="00404FBA"/>
    <w:rsid w:val="004059E7"/>
    <w:rsid w:val="0040688D"/>
    <w:rsid w:val="004072A2"/>
    <w:rsid w:val="004104DE"/>
    <w:rsid w:val="0041512F"/>
    <w:rsid w:val="00415981"/>
    <w:rsid w:val="004160C9"/>
    <w:rsid w:val="0041737B"/>
    <w:rsid w:val="00417815"/>
    <w:rsid w:val="004229E3"/>
    <w:rsid w:val="00423018"/>
    <w:rsid w:val="00430B8C"/>
    <w:rsid w:val="00430BC1"/>
    <w:rsid w:val="00432234"/>
    <w:rsid w:val="0043224F"/>
    <w:rsid w:val="00432497"/>
    <w:rsid w:val="00435E09"/>
    <w:rsid w:val="00436192"/>
    <w:rsid w:val="00436396"/>
    <w:rsid w:val="0043725E"/>
    <w:rsid w:val="00437578"/>
    <w:rsid w:val="00437A60"/>
    <w:rsid w:val="004404B1"/>
    <w:rsid w:val="00442999"/>
    <w:rsid w:val="00443B9E"/>
    <w:rsid w:val="00444EDB"/>
    <w:rsid w:val="004478DE"/>
    <w:rsid w:val="00450E91"/>
    <w:rsid w:val="0045128E"/>
    <w:rsid w:val="00453D60"/>
    <w:rsid w:val="004557A7"/>
    <w:rsid w:val="0045734D"/>
    <w:rsid w:val="00457446"/>
    <w:rsid w:val="004606D6"/>
    <w:rsid w:val="00464D05"/>
    <w:rsid w:val="00465B39"/>
    <w:rsid w:val="00465B4D"/>
    <w:rsid w:val="00471325"/>
    <w:rsid w:val="00471367"/>
    <w:rsid w:val="0047327E"/>
    <w:rsid w:val="00475FEC"/>
    <w:rsid w:val="004760C8"/>
    <w:rsid w:val="00476AE9"/>
    <w:rsid w:val="0048147A"/>
    <w:rsid w:val="00481B89"/>
    <w:rsid w:val="0048365E"/>
    <w:rsid w:val="004854DF"/>
    <w:rsid w:val="00486A0A"/>
    <w:rsid w:val="00486CC2"/>
    <w:rsid w:val="00491BD8"/>
    <w:rsid w:val="0049577C"/>
    <w:rsid w:val="004A0EC0"/>
    <w:rsid w:val="004A10C6"/>
    <w:rsid w:val="004A471B"/>
    <w:rsid w:val="004B2A71"/>
    <w:rsid w:val="004B3F61"/>
    <w:rsid w:val="004B5908"/>
    <w:rsid w:val="004B5C7C"/>
    <w:rsid w:val="004C2FD1"/>
    <w:rsid w:val="004C30C3"/>
    <w:rsid w:val="004C65F3"/>
    <w:rsid w:val="004C6DE9"/>
    <w:rsid w:val="004C7BEE"/>
    <w:rsid w:val="004D0725"/>
    <w:rsid w:val="004D0AEF"/>
    <w:rsid w:val="004D1F9E"/>
    <w:rsid w:val="004D5A27"/>
    <w:rsid w:val="004D5AD0"/>
    <w:rsid w:val="004D6F39"/>
    <w:rsid w:val="004D7078"/>
    <w:rsid w:val="004D7ACF"/>
    <w:rsid w:val="004E175E"/>
    <w:rsid w:val="004E5B78"/>
    <w:rsid w:val="004E6719"/>
    <w:rsid w:val="004E6FF5"/>
    <w:rsid w:val="004F0761"/>
    <w:rsid w:val="004F3815"/>
    <w:rsid w:val="004F4666"/>
    <w:rsid w:val="004F5319"/>
    <w:rsid w:val="004F5DFD"/>
    <w:rsid w:val="004F6431"/>
    <w:rsid w:val="004F71ED"/>
    <w:rsid w:val="00500483"/>
    <w:rsid w:val="005015D4"/>
    <w:rsid w:val="00501670"/>
    <w:rsid w:val="00503021"/>
    <w:rsid w:val="005032D7"/>
    <w:rsid w:val="00504E81"/>
    <w:rsid w:val="00505575"/>
    <w:rsid w:val="00505F4C"/>
    <w:rsid w:val="005062DA"/>
    <w:rsid w:val="00507424"/>
    <w:rsid w:val="00507DCB"/>
    <w:rsid w:val="0051095F"/>
    <w:rsid w:val="005118DF"/>
    <w:rsid w:val="00513F52"/>
    <w:rsid w:val="005152B3"/>
    <w:rsid w:val="005232ED"/>
    <w:rsid w:val="00523AA1"/>
    <w:rsid w:val="00523BFF"/>
    <w:rsid w:val="0052436D"/>
    <w:rsid w:val="00524498"/>
    <w:rsid w:val="005249FC"/>
    <w:rsid w:val="00524C04"/>
    <w:rsid w:val="00532EFD"/>
    <w:rsid w:val="0054264A"/>
    <w:rsid w:val="005445CC"/>
    <w:rsid w:val="00545E02"/>
    <w:rsid w:val="00545F45"/>
    <w:rsid w:val="005477D0"/>
    <w:rsid w:val="00550B91"/>
    <w:rsid w:val="005512E3"/>
    <w:rsid w:val="00554E6E"/>
    <w:rsid w:val="0055720B"/>
    <w:rsid w:val="00560891"/>
    <w:rsid w:val="0056329B"/>
    <w:rsid w:val="0056337B"/>
    <w:rsid w:val="005642E3"/>
    <w:rsid w:val="00565075"/>
    <w:rsid w:val="00570277"/>
    <w:rsid w:val="00571F82"/>
    <w:rsid w:val="00572208"/>
    <w:rsid w:val="00574006"/>
    <w:rsid w:val="00575F5B"/>
    <w:rsid w:val="005775B5"/>
    <w:rsid w:val="00577A90"/>
    <w:rsid w:val="00580F83"/>
    <w:rsid w:val="005817BC"/>
    <w:rsid w:val="005827AB"/>
    <w:rsid w:val="00583F96"/>
    <w:rsid w:val="00584CB9"/>
    <w:rsid w:val="005907C4"/>
    <w:rsid w:val="00590C74"/>
    <w:rsid w:val="005928B5"/>
    <w:rsid w:val="00593AEB"/>
    <w:rsid w:val="005941A4"/>
    <w:rsid w:val="0059436D"/>
    <w:rsid w:val="005955C5"/>
    <w:rsid w:val="00595EBB"/>
    <w:rsid w:val="005A32E9"/>
    <w:rsid w:val="005A5CC7"/>
    <w:rsid w:val="005B1549"/>
    <w:rsid w:val="005B6912"/>
    <w:rsid w:val="005B752B"/>
    <w:rsid w:val="005C259D"/>
    <w:rsid w:val="005C4AC0"/>
    <w:rsid w:val="005C4DE4"/>
    <w:rsid w:val="005C7425"/>
    <w:rsid w:val="005D487F"/>
    <w:rsid w:val="005D678A"/>
    <w:rsid w:val="005E1B43"/>
    <w:rsid w:val="005E3E8B"/>
    <w:rsid w:val="005E4F7D"/>
    <w:rsid w:val="005E5964"/>
    <w:rsid w:val="005E79C7"/>
    <w:rsid w:val="005E7F5E"/>
    <w:rsid w:val="005F1BC1"/>
    <w:rsid w:val="005F2160"/>
    <w:rsid w:val="005F2E8C"/>
    <w:rsid w:val="005F2FF9"/>
    <w:rsid w:val="005F5301"/>
    <w:rsid w:val="00602220"/>
    <w:rsid w:val="00603771"/>
    <w:rsid w:val="0060418E"/>
    <w:rsid w:val="006046A8"/>
    <w:rsid w:val="006063FE"/>
    <w:rsid w:val="00610715"/>
    <w:rsid w:val="006109CF"/>
    <w:rsid w:val="00616C46"/>
    <w:rsid w:val="0062097A"/>
    <w:rsid w:val="00621AC5"/>
    <w:rsid w:val="00627763"/>
    <w:rsid w:val="00627852"/>
    <w:rsid w:val="00630325"/>
    <w:rsid w:val="00630EB2"/>
    <w:rsid w:val="00633DDC"/>
    <w:rsid w:val="00634704"/>
    <w:rsid w:val="00634D1A"/>
    <w:rsid w:val="00637769"/>
    <w:rsid w:val="0064069D"/>
    <w:rsid w:val="00641362"/>
    <w:rsid w:val="00642A59"/>
    <w:rsid w:val="0064378E"/>
    <w:rsid w:val="006438A8"/>
    <w:rsid w:val="006474CD"/>
    <w:rsid w:val="00651582"/>
    <w:rsid w:val="006549C4"/>
    <w:rsid w:val="0065635A"/>
    <w:rsid w:val="00660282"/>
    <w:rsid w:val="00661741"/>
    <w:rsid w:val="0066661D"/>
    <w:rsid w:val="0067187A"/>
    <w:rsid w:val="00671C44"/>
    <w:rsid w:val="006732AA"/>
    <w:rsid w:val="0067576E"/>
    <w:rsid w:val="00675812"/>
    <w:rsid w:val="006760D5"/>
    <w:rsid w:val="0068104B"/>
    <w:rsid w:val="006818A6"/>
    <w:rsid w:val="00682D23"/>
    <w:rsid w:val="00693D83"/>
    <w:rsid w:val="00694B25"/>
    <w:rsid w:val="00695128"/>
    <w:rsid w:val="00697025"/>
    <w:rsid w:val="006A0B1E"/>
    <w:rsid w:val="006A143B"/>
    <w:rsid w:val="006A339B"/>
    <w:rsid w:val="006B090E"/>
    <w:rsid w:val="006B234A"/>
    <w:rsid w:val="006B3085"/>
    <w:rsid w:val="006B385B"/>
    <w:rsid w:val="006B50D1"/>
    <w:rsid w:val="006B715D"/>
    <w:rsid w:val="006B7A87"/>
    <w:rsid w:val="006C13F4"/>
    <w:rsid w:val="006C1EF3"/>
    <w:rsid w:val="006C2E1F"/>
    <w:rsid w:val="006C4D05"/>
    <w:rsid w:val="006C6C91"/>
    <w:rsid w:val="006C7458"/>
    <w:rsid w:val="006D03FD"/>
    <w:rsid w:val="006D1116"/>
    <w:rsid w:val="006D3EC0"/>
    <w:rsid w:val="006D454E"/>
    <w:rsid w:val="006D5DFA"/>
    <w:rsid w:val="006E0ADF"/>
    <w:rsid w:val="006E1F5B"/>
    <w:rsid w:val="006E5D35"/>
    <w:rsid w:val="006F033B"/>
    <w:rsid w:val="006F20D6"/>
    <w:rsid w:val="006F36C8"/>
    <w:rsid w:val="006F6B10"/>
    <w:rsid w:val="006F7860"/>
    <w:rsid w:val="006F7F23"/>
    <w:rsid w:val="00702150"/>
    <w:rsid w:val="007038FE"/>
    <w:rsid w:val="007039F6"/>
    <w:rsid w:val="00703F09"/>
    <w:rsid w:val="00707EF1"/>
    <w:rsid w:val="0071017E"/>
    <w:rsid w:val="00711A85"/>
    <w:rsid w:val="00715A14"/>
    <w:rsid w:val="007204F2"/>
    <w:rsid w:val="00721FFE"/>
    <w:rsid w:val="0073116B"/>
    <w:rsid w:val="00731308"/>
    <w:rsid w:val="00732DAE"/>
    <w:rsid w:val="00732EB5"/>
    <w:rsid w:val="00735400"/>
    <w:rsid w:val="00735637"/>
    <w:rsid w:val="00735695"/>
    <w:rsid w:val="00740BA4"/>
    <w:rsid w:val="00743AAA"/>
    <w:rsid w:val="007450AF"/>
    <w:rsid w:val="00745149"/>
    <w:rsid w:val="00746AC9"/>
    <w:rsid w:val="0075117C"/>
    <w:rsid w:val="007544C2"/>
    <w:rsid w:val="00754D9D"/>
    <w:rsid w:val="007555C0"/>
    <w:rsid w:val="007558E6"/>
    <w:rsid w:val="00756837"/>
    <w:rsid w:val="0075693F"/>
    <w:rsid w:val="00756F49"/>
    <w:rsid w:val="00757B46"/>
    <w:rsid w:val="00761655"/>
    <w:rsid w:val="007623DE"/>
    <w:rsid w:val="007627D3"/>
    <w:rsid w:val="00763B98"/>
    <w:rsid w:val="00764445"/>
    <w:rsid w:val="0076653A"/>
    <w:rsid w:val="007705B2"/>
    <w:rsid w:val="00773A5D"/>
    <w:rsid w:val="00774AEF"/>
    <w:rsid w:val="007776B0"/>
    <w:rsid w:val="007777B8"/>
    <w:rsid w:val="00777963"/>
    <w:rsid w:val="007811BE"/>
    <w:rsid w:val="007863E7"/>
    <w:rsid w:val="0078644E"/>
    <w:rsid w:val="007878FC"/>
    <w:rsid w:val="00790301"/>
    <w:rsid w:val="0079150C"/>
    <w:rsid w:val="00791524"/>
    <w:rsid w:val="007943FB"/>
    <w:rsid w:val="00796341"/>
    <w:rsid w:val="00796F0D"/>
    <w:rsid w:val="007A0F5F"/>
    <w:rsid w:val="007A340D"/>
    <w:rsid w:val="007A38A3"/>
    <w:rsid w:val="007A3C05"/>
    <w:rsid w:val="007A4D9E"/>
    <w:rsid w:val="007A4ED8"/>
    <w:rsid w:val="007A7507"/>
    <w:rsid w:val="007B0B13"/>
    <w:rsid w:val="007B4AB6"/>
    <w:rsid w:val="007B588A"/>
    <w:rsid w:val="007B5FC8"/>
    <w:rsid w:val="007B6F9B"/>
    <w:rsid w:val="007B7C6F"/>
    <w:rsid w:val="007C3D8E"/>
    <w:rsid w:val="007C5061"/>
    <w:rsid w:val="007C59BD"/>
    <w:rsid w:val="007D47C7"/>
    <w:rsid w:val="007D543B"/>
    <w:rsid w:val="007D59E3"/>
    <w:rsid w:val="007D7076"/>
    <w:rsid w:val="007E110E"/>
    <w:rsid w:val="007E2F29"/>
    <w:rsid w:val="007E5B23"/>
    <w:rsid w:val="007E5CE3"/>
    <w:rsid w:val="007E675D"/>
    <w:rsid w:val="007F3B6D"/>
    <w:rsid w:val="007F3E17"/>
    <w:rsid w:val="007F607C"/>
    <w:rsid w:val="007F6153"/>
    <w:rsid w:val="007F7563"/>
    <w:rsid w:val="007F7A04"/>
    <w:rsid w:val="007F7B7B"/>
    <w:rsid w:val="008007B1"/>
    <w:rsid w:val="0080084E"/>
    <w:rsid w:val="00813ECE"/>
    <w:rsid w:val="00815698"/>
    <w:rsid w:val="00815C2C"/>
    <w:rsid w:val="0081675D"/>
    <w:rsid w:val="008178E6"/>
    <w:rsid w:val="00820619"/>
    <w:rsid w:val="00820BF4"/>
    <w:rsid w:val="00822799"/>
    <w:rsid w:val="00822AD8"/>
    <w:rsid w:val="00826ECD"/>
    <w:rsid w:val="00827519"/>
    <w:rsid w:val="0083220A"/>
    <w:rsid w:val="008323A0"/>
    <w:rsid w:val="008332B2"/>
    <w:rsid w:val="00834A07"/>
    <w:rsid w:val="00835F54"/>
    <w:rsid w:val="00841191"/>
    <w:rsid w:val="00842D51"/>
    <w:rsid w:val="00845725"/>
    <w:rsid w:val="008520CD"/>
    <w:rsid w:val="00857601"/>
    <w:rsid w:val="00857CAE"/>
    <w:rsid w:val="00861577"/>
    <w:rsid w:val="00863824"/>
    <w:rsid w:val="00866F7A"/>
    <w:rsid w:val="00875A98"/>
    <w:rsid w:val="00876183"/>
    <w:rsid w:val="00876C8C"/>
    <w:rsid w:val="0087745E"/>
    <w:rsid w:val="00880100"/>
    <w:rsid w:val="00883645"/>
    <w:rsid w:val="0088437F"/>
    <w:rsid w:val="008845EB"/>
    <w:rsid w:val="00884892"/>
    <w:rsid w:val="008857CB"/>
    <w:rsid w:val="00885A2E"/>
    <w:rsid w:val="00885D61"/>
    <w:rsid w:val="0088636A"/>
    <w:rsid w:val="00887998"/>
    <w:rsid w:val="00890E82"/>
    <w:rsid w:val="008926B4"/>
    <w:rsid w:val="00892A2B"/>
    <w:rsid w:val="0089413A"/>
    <w:rsid w:val="00895537"/>
    <w:rsid w:val="00897052"/>
    <w:rsid w:val="00897354"/>
    <w:rsid w:val="008A586E"/>
    <w:rsid w:val="008A5FEB"/>
    <w:rsid w:val="008B0905"/>
    <w:rsid w:val="008B0B85"/>
    <w:rsid w:val="008B0EB7"/>
    <w:rsid w:val="008B0F3E"/>
    <w:rsid w:val="008B1277"/>
    <w:rsid w:val="008B2AB6"/>
    <w:rsid w:val="008B4C76"/>
    <w:rsid w:val="008B5ED7"/>
    <w:rsid w:val="008B6187"/>
    <w:rsid w:val="008B71DF"/>
    <w:rsid w:val="008B71FF"/>
    <w:rsid w:val="008C45D7"/>
    <w:rsid w:val="008C6189"/>
    <w:rsid w:val="008D0F42"/>
    <w:rsid w:val="008D2B30"/>
    <w:rsid w:val="008D416C"/>
    <w:rsid w:val="008D49B8"/>
    <w:rsid w:val="008D543E"/>
    <w:rsid w:val="008D7890"/>
    <w:rsid w:val="008E0CB3"/>
    <w:rsid w:val="008E1256"/>
    <w:rsid w:val="008E29CB"/>
    <w:rsid w:val="008E2EBA"/>
    <w:rsid w:val="008F1F85"/>
    <w:rsid w:val="008F7AD5"/>
    <w:rsid w:val="00900DBA"/>
    <w:rsid w:val="0090232A"/>
    <w:rsid w:val="00903172"/>
    <w:rsid w:val="00903E81"/>
    <w:rsid w:val="0090408B"/>
    <w:rsid w:val="0090794D"/>
    <w:rsid w:val="00912C24"/>
    <w:rsid w:val="00913F4C"/>
    <w:rsid w:val="00915CAD"/>
    <w:rsid w:val="00915FDD"/>
    <w:rsid w:val="00917B00"/>
    <w:rsid w:val="00920E2A"/>
    <w:rsid w:val="009211D1"/>
    <w:rsid w:val="0092310C"/>
    <w:rsid w:val="00924000"/>
    <w:rsid w:val="009245DB"/>
    <w:rsid w:val="009261F4"/>
    <w:rsid w:val="00926C19"/>
    <w:rsid w:val="00932B84"/>
    <w:rsid w:val="00934319"/>
    <w:rsid w:val="00935621"/>
    <w:rsid w:val="0094036C"/>
    <w:rsid w:val="00940B65"/>
    <w:rsid w:val="009447D2"/>
    <w:rsid w:val="00951871"/>
    <w:rsid w:val="0095241D"/>
    <w:rsid w:val="00961353"/>
    <w:rsid w:val="00961AF7"/>
    <w:rsid w:val="00962052"/>
    <w:rsid w:val="0096637D"/>
    <w:rsid w:val="00974072"/>
    <w:rsid w:val="009755E9"/>
    <w:rsid w:val="009757B0"/>
    <w:rsid w:val="009758D3"/>
    <w:rsid w:val="00976189"/>
    <w:rsid w:val="009765F3"/>
    <w:rsid w:val="00977A3C"/>
    <w:rsid w:val="00982092"/>
    <w:rsid w:val="00982FEA"/>
    <w:rsid w:val="009835D0"/>
    <w:rsid w:val="0098636E"/>
    <w:rsid w:val="009876E3"/>
    <w:rsid w:val="009878B2"/>
    <w:rsid w:val="00987D77"/>
    <w:rsid w:val="00987DC7"/>
    <w:rsid w:val="00994765"/>
    <w:rsid w:val="00997F04"/>
    <w:rsid w:val="009A2844"/>
    <w:rsid w:val="009A582C"/>
    <w:rsid w:val="009A66D5"/>
    <w:rsid w:val="009A7539"/>
    <w:rsid w:val="009B1B0B"/>
    <w:rsid w:val="009B222E"/>
    <w:rsid w:val="009B35CE"/>
    <w:rsid w:val="009B46E5"/>
    <w:rsid w:val="009B4AE9"/>
    <w:rsid w:val="009C15AE"/>
    <w:rsid w:val="009C1AA4"/>
    <w:rsid w:val="009C2075"/>
    <w:rsid w:val="009C3055"/>
    <w:rsid w:val="009C35D3"/>
    <w:rsid w:val="009C3E2B"/>
    <w:rsid w:val="009C661C"/>
    <w:rsid w:val="009D2EEA"/>
    <w:rsid w:val="009D455F"/>
    <w:rsid w:val="009D4BE0"/>
    <w:rsid w:val="009D75AD"/>
    <w:rsid w:val="009D7EE6"/>
    <w:rsid w:val="009E0243"/>
    <w:rsid w:val="009E0F29"/>
    <w:rsid w:val="009E2025"/>
    <w:rsid w:val="009E3178"/>
    <w:rsid w:val="009E3456"/>
    <w:rsid w:val="009E5B1E"/>
    <w:rsid w:val="009E67FB"/>
    <w:rsid w:val="009E7977"/>
    <w:rsid w:val="009F1D48"/>
    <w:rsid w:val="009F393E"/>
    <w:rsid w:val="009F748F"/>
    <w:rsid w:val="00A002CF"/>
    <w:rsid w:val="00A00D1F"/>
    <w:rsid w:val="00A01B28"/>
    <w:rsid w:val="00A0310C"/>
    <w:rsid w:val="00A05899"/>
    <w:rsid w:val="00A05CF0"/>
    <w:rsid w:val="00A067F3"/>
    <w:rsid w:val="00A11C92"/>
    <w:rsid w:val="00A138B4"/>
    <w:rsid w:val="00A14663"/>
    <w:rsid w:val="00A1517E"/>
    <w:rsid w:val="00A16F5D"/>
    <w:rsid w:val="00A174B3"/>
    <w:rsid w:val="00A21092"/>
    <w:rsid w:val="00A2241A"/>
    <w:rsid w:val="00A25620"/>
    <w:rsid w:val="00A310FF"/>
    <w:rsid w:val="00A34375"/>
    <w:rsid w:val="00A3570E"/>
    <w:rsid w:val="00A36832"/>
    <w:rsid w:val="00A3788A"/>
    <w:rsid w:val="00A4239C"/>
    <w:rsid w:val="00A44615"/>
    <w:rsid w:val="00A473B7"/>
    <w:rsid w:val="00A50374"/>
    <w:rsid w:val="00A509E5"/>
    <w:rsid w:val="00A5312C"/>
    <w:rsid w:val="00A555A2"/>
    <w:rsid w:val="00A55EA7"/>
    <w:rsid w:val="00A5786A"/>
    <w:rsid w:val="00A605D4"/>
    <w:rsid w:val="00A624BC"/>
    <w:rsid w:val="00A62B51"/>
    <w:rsid w:val="00A63BA7"/>
    <w:rsid w:val="00A6457A"/>
    <w:rsid w:val="00A652A7"/>
    <w:rsid w:val="00A70303"/>
    <w:rsid w:val="00A72EB7"/>
    <w:rsid w:val="00A73531"/>
    <w:rsid w:val="00A73E7F"/>
    <w:rsid w:val="00A75277"/>
    <w:rsid w:val="00A7593F"/>
    <w:rsid w:val="00A75EAA"/>
    <w:rsid w:val="00A76EBC"/>
    <w:rsid w:val="00A80A13"/>
    <w:rsid w:val="00A81C59"/>
    <w:rsid w:val="00A81EEF"/>
    <w:rsid w:val="00A81F63"/>
    <w:rsid w:val="00A83B44"/>
    <w:rsid w:val="00A87535"/>
    <w:rsid w:val="00A9210C"/>
    <w:rsid w:val="00A94B9C"/>
    <w:rsid w:val="00A967FC"/>
    <w:rsid w:val="00A97552"/>
    <w:rsid w:val="00AA2899"/>
    <w:rsid w:val="00AA5EEE"/>
    <w:rsid w:val="00AB719C"/>
    <w:rsid w:val="00AC027F"/>
    <w:rsid w:val="00AC445C"/>
    <w:rsid w:val="00AC4A2C"/>
    <w:rsid w:val="00AC4B1D"/>
    <w:rsid w:val="00AC7510"/>
    <w:rsid w:val="00AD0315"/>
    <w:rsid w:val="00AD0C33"/>
    <w:rsid w:val="00AD3608"/>
    <w:rsid w:val="00AD4839"/>
    <w:rsid w:val="00AD4B65"/>
    <w:rsid w:val="00AE6384"/>
    <w:rsid w:val="00AE6DC1"/>
    <w:rsid w:val="00AF4546"/>
    <w:rsid w:val="00AF5E77"/>
    <w:rsid w:val="00AF64B8"/>
    <w:rsid w:val="00B0189B"/>
    <w:rsid w:val="00B025F5"/>
    <w:rsid w:val="00B05234"/>
    <w:rsid w:val="00B05E9A"/>
    <w:rsid w:val="00B170B9"/>
    <w:rsid w:val="00B2185B"/>
    <w:rsid w:val="00B23F41"/>
    <w:rsid w:val="00B24E1F"/>
    <w:rsid w:val="00B27BC5"/>
    <w:rsid w:val="00B30882"/>
    <w:rsid w:val="00B32BB9"/>
    <w:rsid w:val="00B35CC8"/>
    <w:rsid w:val="00B3625C"/>
    <w:rsid w:val="00B377BA"/>
    <w:rsid w:val="00B415AF"/>
    <w:rsid w:val="00B454D4"/>
    <w:rsid w:val="00B51512"/>
    <w:rsid w:val="00B543D5"/>
    <w:rsid w:val="00B54C66"/>
    <w:rsid w:val="00B550B0"/>
    <w:rsid w:val="00B557C6"/>
    <w:rsid w:val="00B56346"/>
    <w:rsid w:val="00B6149B"/>
    <w:rsid w:val="00B63380"/>
    <w:rsid w:val="00B64FB5"/>
    <w:rsid w:val="00B66612"/>
    <w:rsid w:val="00B668BF"/>
    <w:rsid w:val="00B67165"/>
    <w:rsid w:val="00B70F66"/>
    <w:rsid w:val="00B731BB"/>
    <w:rsid w:val="00B7413B"/>
    <w:rsid w:val="00B76E4D"/>
    <w:rsid w:val="00B775B6"/>
    <w:rsid w:val="00B77913"/>
    <w:rsid w:val="00B82080"/>
    <w:rsid w:val="00B82738"/>
    <w:rsid w:val="00B84810"/>
    <w:rsid w:val="00B85411"/>
    <w:rsid w:val="00B85959"/>
    <w:rsid w:val="00B9077F"/>
    <w:rsid w:val="00B91A77"/>
    <w:rsid w:val="00B95A04"/>
    <w:rsid w:val="00B96617"/>
    <w:rsid w:val="00BA1738"/>
    <w:rsid w:val="00BA1E59"/>
    <w:rsid w:val="00BA2945"/>
    <w:rsid w:val="00BA3F6B"/>
    <w:rsid w:val="00BB280B"/>
    <w:rsid w:val="00BB3205"/>
    <w:rsid w:val="00BB3237"/>
    <w:rsid w:val="00BB5DE7"/>
    <w:rsid w:val="00BB73D1"/>
    <w:rsid w:val="00BB7EDB"/>
    <w:rsid w:val="00BC295E"/>
    <w:rsid w:val="00BC5BD1"/>
    <w:rsid w:val="00BC662C"/>
    <w:rsid w:val="00BC7D75"/>
    <w:rsid w:val="00BD128F"/>
    <w:rsid w:val="00BD4D62"/>
    <w:rsid w:val="00BE015E"/>
    <w:rsid w:val="00BE0F29"/>
    <w:rsid w:val="00BE5C15"/>
    <w:rsid w:val="00BE6E7A"/>
    <w:rsid w:val="00BE6FB8"/>
    <w:rsid w:val="00BF0C02"/>
    <w:rsid w:val="00BF0E27"/>
    <w:rsid w:val="00BF45AB"/>
    <w:rsid w:val="00BF4BD0"/>
    <w:rsid w:val="00C03BA3"/>
    <w:rsid w:val="00C075EB"/>
    <w:rsid w:val="00C10466"/>
    <w:rsid w:val="00C1063C"/>
    <w:rsid w:val="00C11483"/>
    <w:rsid w:val="00C15628"/>
    <w:rsid w:val="00C1682D"/>
    <w:rsid w:val="00C170E4"/>
    <w:rsid w:val="00C171AB"/>
    <w:rsid w:val="00C221FF"/>
    <w:rsid w:val="00C23096"/>
    <w:rsid w:val="00C24987"/>
    <w:rsid w:val="00C26BAD"/>
    <w:rsid w:val="00C2701C"/>
    <w:rsid w:val="00C306D9"/>
    <w:rsid w:val="00C31557"/>
    <w:rsid w:val="00C319D8"/>
    <w:rsid w:val="00C34534"/>
    <w:rsid w:val="00C34655"/>
    <w:rsid w:val="00C379AB"/>
    <w:rsid w:val="00C41C92"/>
    <w:rsid w:val="00C445C5"/>
    <w:rsid w:val="00C4731C"/>
    <w:rsid w:val="00C47FC4"/>
    <w:rsid w:val="00C5164F"/>
    <w:rsid w:val="00C520F1"/>
    <w:rsid w:val="00C52A54"/>
    <w:rsid w:val="00C545B7"/>
    <w:rsid w:val="00C64965"/>
    <w:rsid w:val="00C65752"/>
    <w:rsid w:val="00C67D62"/>
    <w:rsid w:val="00C74E46"/>
    <w:rsid w:val="00C75027"/>
    <w:rsid w:val="00C75119"/>
    <w:rsid w:val="00C81285"/>
    <w:rsid w:val="00C81E27"/>
    <w:rsid w:val="00C8385C"/>
    <w:rsid w:val="00C85D5D"/>
    <w:rsid w:val="00C864CC"/>
    <w:rsid w:val="00C922EE"/>
    <w:rsid w:val="00C92F7D"/>
    <w:rsid w:val="00C930C3"/>
    <w:rsid w:val="00C93447"/>
    <w:rsid w:val="00C96BB7"/>
    <w:rsid w:val="00C97423"/>
    <w:rsid w:val="00C97D96"/>
    <w:rsid w:val="00CA1E3F"/>
    <w:rsid w:val="00CA2187"/>
    <w:rsid w:val="00CA2735"/>
    <w:rsid w:val="00CA2BF5"/>
    <w:rsid w:val="00CA31D4"/>
    <w:rsid w:val="00CA47B7"/>
    <w:rsid w:val="00CA565A"/>
    <w:rsid w:val="00CA65D2"/>
    <w:rsid w:val="00CA665B"/>
    <w:rsid w:val="00CB074F"/>
    <w:rsid w:val="00CB0A3D"/>
    <w:rsid w:val="00CB0CD9"/>
    <w:rsid w:val="00CB11BF"/>
    <w:rsid w:val="00CB1478"/>
    <w:rsid w:val="00CB2C79"/>
    <w:rsid w:val="00CB2D53"/>
    <w:rsid w:val="00CB3238"/>
    <w:rsid w:val="00CB5D0E"/>
    <w:rsid w:val="00CB640C"/>
    <w:rsid w:val="00CC16EE"/>
    <w:rsid w:val="00CC2BE5"/>
    <w:rsid w:val="00CC3D71"/>
    <w:rsid w:val="00CC3E1C"/>
    <w:rsid w:val="00CC4978"/>
    <w:rsid w:val="00CC5A85"/>
    <w:rsid w:val="00CD0ECC"/>
    <w:rsid w:val="00CD2301"/>
    <w:rsid w:val="00CE10AB"/>
    <w:rsid w:val="00CE11C5"/>
    <w:rsid w:val="00CE3B4B"/>
    <w:rsid w:val="00CE3C16"/>
    <w:rsid w:val="00CE43E1"/>
    <w:rsid w:val="00CE5E0F"/>
    <w:rsid w:val="00CE5F8D"/>
    <w:rsid w:val="00CE61B0"/>
    <w:rsid w:val="00CE65E6"/>
    <w:rsid w:val="00CF1775"/>
    <w:rsid w:val="00CF1CD6"/>
    <w:rsid w:val="00CF204D"/>
    <w:rsid w:val="00CF227E"/>
    <w:rsid w:val="00CF6786"/>
    <w:rsid w:val="00D00FA4"/>
    <w:rsid w:val="00D025D6"/>
    <w:rsid w:val="00D03A21"/>
    <w:rsid w:val="00D03EB4"/>
    <w:rsid w:val="00D04F7A"/>
    <w:rsid w:val="00D11280"/>
    <w:rsid w:val="00D12432"/>
    <w:rsid w:val="00D202FC"/>
    <w:rsid w:val="00D205BA"/>
    <w:rsid w:val="00D20684"/>
    <w:rsid w:val="00D21631"/>
    <w:rsid w:val="00D2485D"/>
    <w:rsid w:val="00D2545B"/>
    <w:rsid w:val="00D32AEE"/>
    <w:rsid w:val="00D336E7"/>
    <w:rsid w:val="00D33B61"/>
    <w:rsid w:val="00D35905"/>
    <w:rsid w:val="00D36D73"/>
    <w:rsid w:val="00D379D7"/>
    <w:rsid w:val="00D4023F"/>
    <w:rsid w:val="00D40290"/>
    <w:rsid w:val="00D42563"/>
    <w:rsid w:val="00D43A42"/>
    <w:rsid w:val="00D45EE1"/>
    <w:rsid w:val="00D473AF"/>
    <w:rsid w:val="00D5334B"/>
    <w:rsid w:val="00D539D6"/>
    <w:rsid w:val="00D539E7"/>
    <w:rsid w:val="00D55E26"/>
    <w:rsid w:val="00D57074"/>
    <w:rsid w:val="00D6071A"/>
    <w:rsid w:val="00D60FD4"/>
    <w:rsid w:val="00D61753"/>
    <w:rsid w:val="00D627C6"/>
    <w:rsid w:val="00D67218"/>
    <w:rsid w:val="00D73A29"/>
    <w:rsid w:val="00D7558B"/>
    <w:rsid w:val="00D766D5"/>
    <w:rsid w:val="00D76B3A"/>
    <w:rsid w:val="00D81A7C"/>
    <w:rsid w:val="00D81B7B"/>
    <w:rsid w:val="00D90E21"/>
    <w:rsid w:val="00D9576A"/>
    <w:rsid w:val="00D971FC"/>
    <w:rsid w:val="00DA0824"/>
    <w:rsid w:val="00DA0915"/>
    <w:rsid w:val="00DA0942"/>
    <w:rsid w:val="00DA17E6"/>
    <w:rsid w:val="00DB1396"/>
    <w:rsid w:val="00DB1B78"/>
    <w:rsid w:val="00DB44C3"/>
    <w:rsid w:val="00DB6C6F"/>
    <w:rsid w:val="00DC2705"/>
    <w:rsid w:val="00DC38B9"/>
    <w:rsid w:val="00DC60D1"/>
    <w:rsid w:val="00DC7238"/>
    <w:rsid w:val="00DC7FB1"/>
    <w:rsid w:val="00DD004A"/>
    <w:rsid w:val="00DD45F3"/>
    <w:rsid w:val="00DE0B65"/>
    <w:rsid w:val="00DE1742"/>
    <w:rsid w:val="00DE1955"/>
    <w:rsid w:val="00DE5167"/>
    <w:rsid w:val="00DE6BF6"/>
    <w:rsid w:val="00DF1706"/>
    <w:rsid w:val="00DF74AA"/>
    <w:rsid w:val="00DF784E"/>
    <w:rsid w:val="00DF7DAE"/>
    <w:rsid w:val="00E0008C"/>
    <w:rsid w:val="00E03FBA"/>
    <w:rsid w:val="00E043A5"/>
    <w:rsid w:val="00E0474F"/>
    <w:rsid w:val="00E107D1"/>
    <w:rsid w:val="00E11E4F"/>
    <w:rsid w:val="00E12DC1"/>
    <w:rsid w:val="00E12F7C"/>
    <w:rsid w:val="00E13F2C"/>
    <w:rsid w:val="00E15654"/>
    <w:rsid w:val="00E16D00"/>
    <w:rsid w:val="00E17106"/>
    <w:rsid w:val="00E21330"/>
    <w:rsid w:val="00E21699"/>
    <w:rsid w:val="00E21A77"/>
    <w:rsid w:val="00E268E9"/>
    <w:rsid w:val="00E26BD3"/>
    <w:rsid w:val="00E30DA1"/>
    <w:rsid w:val="00E30FCB"/>
    <w:rsid w:val="00E31FC5"/>
    <w:rsid w:val="00E377E5"/>
    <w:rsid w:val="00E442F6"/>
    <w:rsid w:val="00E4706F"/>
    <w:rsid w:val="00E51DDB"/>
    <w:rsid w:val="00E5233C"/>
    <w:rsid w:val="00E52C7F"/>
    <w:rsid w:val="00E53DF4"/>
    <w:rsid w:val="00E5449F"/>
    <w:rsid w:val="00E5479F"/>
    <w:rsid w:val="00E558BE"/>
    <w:rsid w:val="00E57818"/>
    <w:rsid w:val="00E607BC"/>
    <w:rsid w:val="00E615FE"/>
    <w:rsid w:val="00E61989"/>
    <w:rsid w:val="00E62738"/>
    <w:rsid w:val="00E64C2C"/>
    <w:rsid w:val="00E671AD"/>
    <w:rsid w:val="00E67449"/>
    <w:rsid w:val="00E67949"/>
    <w:rsid w:val="00E7128F"/>
    <w:rsid w:val="00E7180D"/>
    <w:rsid w:val="00E71AF7"/>
    <w:rsid w:val="00E74E82"/>
    <w:rsid w:val="00E764EB"/>
    <w:rsid w:val="00E80A72"/>
    <w:rsid w:val="00E814F1"/>
    <w:rsid w:val="00E82278"/>
    <w:rsid w:val="00E8334E"/>
    <w:rsid w:val="00E83771"/>
    <w:rsid w:val="00E84092"/>
    <w:rsid w:val="00E84146"/>
    <w:rsid w:val="00E84A23"/>
    <w:rsid w:val="00E84FE0"/>
    <w:rsid w:val="00E86638"/>
    <w:rsid w:val="00E87FE0"/>
    <w:rsid w:val="00E903BA"/>
    <w:rsid w:val="00E908FF"/>
    <w:rsid w:val="00E9101D"/>
    <w:rsid w:val="00E96C94"/>
    <w:rsid w:val="00E97DF0"/>
    <w:rsid w:val="00EA139B"/>
    <w:rsid w:val="00EA3073"/>
    <w:rsid w:val="00EA4C3E"/>
    <w:rsid w:val="00EA768C"/>
    <w:rsid w:val="00EA7A8A"/>
    <w:rsid w:val="00EB4F74"/>
    <w:rsid w:val="00EC1794"/>
    <w:rsid w:val="00EC349B"/>
    <w:rsid w:val="00ED106E"/>
    <w:rsid w:val="00ED4178"/>
    <w:rsid w:val="00ED4718"/>
    <w:rsid w:val="00ED5700"/>
    <w:rsid w:val="00EE0BE5"/>
    <w:rsid w:val="00EE20AE"/>
    <w:rsid w:val="00EE3AEF"/>
    <w:rsid w:val="00EE4420"/>
    <w:rsid w:val="00EE58DF"/>
    <w:rsid w:val="00EE62D3"/>
    <w:rsid w:val="00EF0F74"/>
    <w:rsid w:val="00EF1655"/>
    <w:rsid w:val="00EF3241"/>
    <w:rsid w:val="00EF3546"/>
    <w:rsid w:val="00EF3D0B"/>
    <w:rsid w:val="00EF3F6A"/>
    <w:rsid w:val="00EF53EC"/>
    <w:rsid w:val="00F004E2"/>
    <w:rsid w:val="00F01CD8"/>
    <w:rsid w:val="00F0509E"/>
    <w:rsid w:val="00F0516D"/>
    <w:rsid w:val="00F06145"/>
    <w:rsid w:val="00F07517"/>
    <w:rsid w:val="00F079AF"/>
    <w:rsid w:val="00F07A87"/>
    <w:rsid w:val="00F11014"/>
    <w:rsid w:val="00F1303C"/>
    <w:rsid w:val="00F13FFF"/>
    <w:rsid w:val="00F154E2"/>
    <w:rsid w:val="00F15859"/>
    <w:rsid w:val="00F1608A"/>
    <w:rsid w:val="00F2015C"/>
    <w:rsid w:val="00F23627"/>
    <w:rsid w:val="00F23FB9"/>
    <w:rsid w:val="00F24A8B"/>
    <w:rsid w:val="00F26243"/>
    <w:rsid w:val="00F26CB2"/>
    <w:rsid w:val="00F27528"/>
    <w:rsid w:val="00F275C2"/>
    <w:rsid w:val="00F31569"/>
    <w:rsid w:val="00F33B3B"/>
    <w:rsid w:val="00F43FF5"/>
    <w:rsid w:val="00F45442"/>
    <w:rsid w:val="00F46130"/>
    <w:rsid w:val="00F46C5F"/>
    <w:rsid w:val="00F47E12"/>
    <w:rsid w:val="00F507DF"/>
    <w:rsid w:val="00F5133E"/>
    <w:rsid w:val="00F51A88"/>
    <w:rsid w:val="00F52076"/>
    <w:rsid w:val="00F525E1"/>
    <w:rsid w:val="00F53B4F"/>
    <w:rsid w:val="00F5679D"/>
    <w:rsid w:val="00F56B74"/>
    <w:rsid w:val="00F570A8"/>
    <w:rsid w:val="00F57FA1"/>
    <w:rsid w:val="00F67527"/>
    <w:rsid w:val="00F73835"/>
    <w:rsid w:val="00F74791"/>
    <w:rsid w:val="00F74E8D"/>
    <w:rsid w:val="00F758C4"/>
    <w:rsid w:val="00F75FE6"/>
    <w:rsid w:val="00F76581"/>
    <w:rsid w:val="00F767FB"/>
    <w:rsid w:val="00F76F10"/>
    <w:rsid w:val="00F7752D"/>
    <w:rsid w:val="00F80C07"/>
    <w:rsid w:val="00F81B79"/>
    <w:rsid w:val="00F85AA0"/>
    <w:rsid w:val="00F87359"/>
    <w:rsid w:val="00F9101A"/>
    <w:rsid w:val="00F9153C"/>
    <w:rsid w:val="00F92A10"/>
    <w:rsid w:val="00F934FF"/>
    <w:rsid w:val="00F94440"/>
    <w:rsid w:val="00F94D2C"/>
    <w:rsid w:val="00F955D0"/>
    <w:rsid w:val="00FA041B"/>
    <w:rsid w:val="00FA20EF"/>
    <w:rsid w:val="00FA27C9"/>
    <w:rsid w:val="00FA70BF"/>
    <w:rsid w:val="00FA79EA"/>
    <w:rsid w:val="00FB1579"/>
    <w:rsid w:val="00FB1C84"/>
    <w:rsid w:val="00FB25DE"/>
    <w:rsid w:val="00FB4469"/>
    <w:rsid w:val="00FB5377"/>
    <w:rsid w:val="00FB67FF"/>
    <w:rsid w:val="00FC1B75"/>
    <w:rsid w:val="00FC2669"/>
    <w:rsid w:val="00FC40C2"/>
    <w:rsid w:val="00FC5814"/>
    <w:rsid w:val="00FC6B5F"/>
    <w:rsid w:val="00FD0193"/>
    <w:rsid w:val="00FD291C"/>
    <w:rsid w:val="00FD302B"/>
    <w:rsid w:val="00FD3AC5"/>
    <w:rsid w:val="00FD4307"/>
    <w:rsid w:val="00FE2B82"/>
    <w:rsid w:val="00FE6DF7"/>
    <w:rsid w:val="00FE6F45"/>
    <w:rsid w:val="00FE7B3B"/>
    <w:rsid w:val="00FE7B48"/>
    <w:rsid w:val="00FF29C9"/>
    <w:rsid w:val="00FF3D84"/>
    <w:rsid w:val="00FF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79"/>
    <w:rPr>
      <w:lang w:eastAsia="en-GB"/>
    </w:rPr>
  </w:style>
  <w:style w:type="paragraph" w:styleId="Heading1">
    <w:name w:val="heading 1"/>
    <w:basedOn w:val="Normal"/>
    <w:next w:val="Normal"/>
    <w:qFormat/>
    <w:rsid w:val="00CB2C79"/>
    <w:pPr>
      <w:keepNext/>
      <w:outlineLvl w:val="0"/>
    </w:pPr>
    <w:rPr>
      <w:rFonts w:ascii="Arial" w:hAnsi="Arial"/>
      <w:b/>
      <w:sz w:val="22"/>
    </w:rPr>
  </w:style>
  <w:style w:type="paragraph" w:styleId="Heading2">
    <w:name w:val="heading 2"/>
    <w:basedOn w:val="Normal"/>
    <w:next w:val="Normal"/>
    <w:link w:val="Heading2Char"/>
    <w:qFormat/>
    <w:rsid w:val="00CB2C79"/>
    <w:pPr>
      <w:keepNext/>
      <w:jc w:val="center"/>
      <w:outlineLvl w:val="1"/>
    </w:pPr>
    <w:rPr>
      <w:rFonts w:ascii="Arial" w:hAnsi="Arial"/>
      <w:b/>
      <w:sz w:val="22"/>
      <w:u w:val="single"/>
    </w:rPr>
  </w:style>
  <w:style w:type="paragraph" w:styleId="Heading3">
    <w:name w:val="heading 3"/>
    <w:basedOn w:val="Normal"/>
    <w:next w:val="Normal"/>
    <w:qFormat/>
    <w:rsid w:val="00CB2C79"/>
    <w:pPr>
      <w:keepNext/>
      <w:ind w:right="-138"/>
      <w:jc w:val="center"/>
      <w:outlineLvl w:val="2"/>
    </w:pPr>
    <w:rPr>
      <w:rFonts w:ascii="Arial" w:hAnsi="Arial"/>
      <w:b/>
      <w:sz w:val="22"/>
    </w:rPr>
  </w:style>
  <w:style w:type="paragraph" w:styleId="Heading4">
    <w:name w:val="heading 4"/>
    <w:basedOn w:val="Normal"/>
    <w:next w:val="Normal"/>
    <w:qFormat/>
    <w:rsid w:val="00CB2C79"/>
    <w:pPr>
      <w:keepNext/>
      <w:ind w:right="-108"/>
      <w:jc w:val="center"/>
      <w:outlineLvl w:val="3"/>
    </w:pPr>
    <w:rPr>
      <w:rFonts w:ascii="Arial" w:hAnsi="Arial"/>
      <w:b/>
      <w:sz w:val="22"/>
    </w:rPr>
  </w:style>
  <w:style w:type="paragraph" w:styleId="Heading5">
    <w:name w:val="heading 5"/>
    <w:basedOn w:val="Normal"/>
    <w:next w:val="Normal"/>
    <w:link w:val="Heading5Char"/>
    <w:uiPriority w:val="9"/>
    <w:semiHidden/>
    <w:unhideWhenUsed/>
    <w:qFormat/>
    <w:rsid w:val="004D6F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B2C79"/>
    <w:pPr>
      <w:ind w:left="720"/>
      <w:jc w:val="both"/>
    </w:pPr>
    <w:rPr>
      <w:rFonts w:ascii="Arial" w:hAnsi="Arial"/>
      <w:sz w:val="22"/>
    </w:rPr>
  </w:style>
  <w:style w:type="paragraph" w:styleId="Title">
    <w:name w:val="Title"/>
    <w:basedOn w:val="Normal"/>
    <w:qFormat/>
    <w:rsid w:val="00CB2C79"/>
    <w:pPr>
      <w:jc w:val="center"/>
    </w:pPr>
    <w:rPr>
      <w:rFonts w:ascii="Arial" w:hAnsi="Arial"/>
      <w:b/>
      <w:sz w:val="22"/>
      <w:u w:val="single"/>
    </w:rPr>
  </w:style>
  <w:style w:type="paragraph" w:styleId="Header">
    <w:name w:val="header"/>
    <w:basedOn w:val="Normal"/>
    <w:link w:val="HeaderChar"/>
    <w:uiPriority w:val="99"/>
    <w:rsid w:val="00CB2C79"/>
    <w:pPr>
      <w:tabs>
        <w:tab w:val="center" w:pos="4153"/>
        <w:tab w:val="right" w:pos="8306"/>
      </w:tabs>
    </w:pPr>
  </w:style>
  <w:style w:type="paragraph" w:styleId="Footer">
    <w:name w:val="footer"/>
    <w:basedOn w:val="Normal"/>
    <w:link w:val="FooterChar"/>
    <w:semiHidden/>
    <w:rsid w:val="00CB2C79"/>
    <w:pPr>
      <w:tabs>
        <w:tab w:val="center" w:pos="4153"/>
        <w:tab w:val="right" w:pos="8306"/>
      </w:tabs>
    </w:pPr>
  </w:style>
  <w:style w:type="paragraph" w:styleId="BalloonText">
    <w:name w:val="Balloon Text"/>
    <w:basedOn w:val="Normal"/>
    <w:rsid w:val="00CB2C79"/>
    <w:rPr>
      <w:rFonts w:ascii="Tahoma" w:hAnsi="Tahoma" w:cs="Tahoma"/>
      <w:sz w:val="16"/>
      <w:szCs w:val="16"/>
    </w:rPr>
  </w:style>
  <w:style w:type="character" w:customStyle="1" w:styleId="BalloonTextChar">
    <w:name w:val="Balloon Text Char"/>
    <w:rsid w:val="00CB2C79"/>
    <w:rPr>
      <w:rFonts w:ascii="Tahoma" w:hAnsi="Tahoma" w:cs="Tahoma"/>
      <w:sz w:val="16"/>
      <w:szCs w:val="16"/>
      <w:lang w:eastAsia="en-GB"/>
    </w:rPr>
  </w:style>
  <w:style w:type="character" w:styleId="PlaceholderText">
    <w:name w:val="Placeholder Text"/>
    <w:uiPriority w:val="99"/>
    <w:semiHidden/>
    <w:rsid w:val="00C445C5"/>
    <w:rPr>
      <w:color w:val="808080"/>
    </w:rPr>
  </w:style>
  <w:style w:type="character" w:customStyle="1" w:styleId="HeaderChar">
    <w:name w:val="Header Char"/>
    <w:link w:val="Header"/>
    <w:uiPriority w:val="99"/>
    <w:rsid w:val="008D416C"/>
    <w:rPr>
      <w:lang w:eastAsia="en-GB"/>
    </w:rPr>
  </w:style>
  <w:style w:type="paragraph" w:styleId="NoSpacing">
    <w:name w:val="No Spacing"/>
    <w:link w:val="NoSpacingChar"/>
    <w:uiPriority w:val="1"/>
    <w:qFormat/>
    <w:rsid w:val="008D416C"/>
    <w:rPr>
      <w:rFonts w:ascii="Calibri" w:hAnsi="Calibri"/>
      <w:sz w:val="22"/>
      <w:szCs w:val="22"/>
    </w:rPr>
  </w:style>
  <w:style w:type="character" w:customStyle="1" w:styleId="NoSpacingChar">
    <w:name w:val="No Spacing Char"/>
    <w:link w:val="NoSpacing"/>
    <w:uiPriority w:val="1"/>
    <w:rsid w:val="008D416C"/>
    <w:rPr>
      <w:rFonts w:ascii="Calibri" w:hAnsi="Calibri"/>
      <w:sz w:val="22"/>
      <w:szCs w:val="22"/>
      <w:lang w:val="en-US" w:eastAsia="en-US" w:bidi="ar-SA"/>
    </w:rPr>
  </w:style>
  <w:style w:type="paragraph" w:styleId="ListParagraph">
    <w:name w:val="List Paragraph"/>
    <w:basedOn w:val="Normal"/>
    <w:uiPriority w:val="34"/>
    <w:qFormat/>
    <w:rsid w:val="004557A7"/>
    <w:pPr>
      <w:ind w:left="720"/>
      <w:contextualSpacing/>
    </w:pPr>
  </w:style>
  <w:style w:type="character" w:customStyle="1" w:styleId="FooterChar">
    <w:name w:val="Footer Char"/>
    <w:link w:val="Footer"/>
    <w:semiHidden/>
    <w:rsid w:val="009F393E"/>
    <w:rPr>
      <w:lang w:eastAsia="en-GB"/>
    </w:rPr>
  </w:style>
  <w:style w:type="character" w:styleId="Emphasis">
    <w:name w:val="Emphasis"/>
    <w:uiPriority w:val="20"/>
    <w:qFormat/>
    <w:rsid w:val="001A4F42"/>
    <w:rPr>
      <w:i/>
      <w:iCs/>
    </w:rPr>
  </w:style>
  <w:style w:type="character" w:styleId="Hyperlink">
    <w:name w:val="Hyperlink"/>
    <w:basedOn w:val="DefaultParagraphFont"/>
    <w:uiPriority w:val="99"/>
    <w:unhideWhenUsed/>
    <w:rsid w:val="00C2701C"/>
    <w:rPr>
      <w:color w:val="0000FF" w:themeColor="hyperlink"/>
      <w:u w:val="single"/>
    </w:rPr>
  </w:style>
  <w:style w:type="paragraph" w:styleId="NormalWeb">
    <w:name w:val="Normal (Web)"/>
    <w:basedOn w:val="Normal"/>
    <w:uiPriority w:val="99"/>
    <w:unhideWhenUsed/>
    <w:rsid w:val="00476AE9"/>
    <w:pPr>
      <w:spacing w:before="100" w:beforeAutospacing="1" w:after="100" w:afterAutospacing="1"/>
    </w:pPr>
    <w:rPr>
      <w:sz w:val="24"/>
      <w:szCs w:val="24"/>
      <w:lang w:eastAsia="en-US"/>
    </w:rPr>
  </w:style>
  <w:style w:type="character" w:customStyle="1" w:styleId="Heading2Char">
    <w:name w:val="Heading 2 Char"/>
    <w:link w:val="Heading2"/>
    <w:rsid w:val="003605D2"/>
    <w:rPr>
      <w:rFonts w:ascii="Arial" w:hAnsi="Arial"/>
      <w:b/>
      <w:sz w:val="22"/>
      <w:u w:val="single"/>
      <w:lang w:eastAsia="en-GB"/>
    </w:rPr>
  </w:style>
  <w:style w:type="character" w:customStyle="1" w:styleId="UnresolvedMention">
    <w:name w:val="Unresolved Mention"/>
    <w:basedOn w:val="DefaultParagraphFont"/>
    <w:uiPriority w:val="99"/>
    <w:semiHidden/>
    <w:unhideWhenUsed/>
    <w:rsid w:val="006F6B10"/>
    <w:rPr>
      <w:color w:val="808080"/>
      <w:shd w:val="clear" w:color="auto" w:fill="E6E6E6"/>
    </w:rPr>
  </w:style>
  <w:style w:type="character" w:customStyle="1" w:styleId="Heading5Char">
    <w:name w:val="Heading 5 Char"/>
    <w:basedOn w:val="DefaultParagraphFont"/>
    <w:link w:val="Heading5"/>
    <w:uiPriority w:val="9"/>
    <w:semiHidden/>
    <w:rsid w:val="004D6F39"/>
    <w:rPr>
      <w:rFonts w:ascii="Calibri" w:hAnsi="Calibri"/>
      <w:b/>
      <w:bCs/>
      <w:i/>
      <w:iCs/>
      <w:sz w:val="26"/>
      <w:szCs w:val="26"/>
      <w:lang w:eastAsia="en-GB"/>
    </w:rPr>
  </w:style>
  <w:style w:type="character" w:customStyle="1" w:styleId="BodyTextIndentChar">
    <w:name w:val="Body Text Indent Char"/>
    <w:basedOn w:val="DefaultParagraphFont"/>
    <w:link w:val="BodyTextIndent"/>
    <w:semiHidden/>
    <w:rsid w:val="00B63380"/>
    <w:rPr>
      <w:rFonts w:ascii="Arial" w:hAnsi="Arial"/>
      <w:sz w:val="22"/>
      <w:lang w:eastAsia="en-GB"/>
    </w:rPr>
  </w:style>
  <w:style w:type="character" w:styleId="Strong">
    <w:name w:val="Strong"/>
    <w:basedOn w:val="DefaultParagraphFont"/>
    <w:uiPriority w:val="22"/>
    <w:qFormat/>
    <w:rsid w:val="00583F96"/>
    <w:rPr>
      <w:b/>
      <w:bCs/>
    </w:rPr>
  </w:style>
</w:styles>
</file>

<file path=word/webSettings.xml><?xml version="1.0" encoding="utf-8"?>
<w:webSettings xmlns:r="http://schemas.openxmlformats.org/officeDocument/2006/relationships" xmlns:w="http://schemas.openxmlformats.org/wordprocessingml/2006/main">
  <w:divs>
    <w:div w:id="207492187">
      <w:bodyDiv w:val="1"/>
      <w:marLeft w:val="0"/>
      <w:marRight w:val="0"/>
      <w:marTop w:val="0"/>
      <w:marBottom w:val="0"/>
      <w:divBdr>
        <w:top w:val="none" w:sz="0" w:space="0" w:color="auto"/>
        <w:left w:val="none" w:sz="0" w:space="0" w:color="auto"/>
        <w:bottom w:val="none" w:sz="0" w:space="0" w:color="auto"/>
        <w:right w:val="none" w:sz="0" w:space="0" w:color="auto"/>
      </w:divBdr>
    </w:div>
    <w:div w:id="327102497">
      <w:bodyDiv w:val="1"/>
      <w:marLeft w:val="0"/>
      <w:marRight w:val="0"/>
      <w:marTop w:val="0"/>
      <w:marBottom w:val="0"/>
      <w:divBdr>
        <w:top w:val="none" w:sz="0" w:space="0" w:color="auto"/>
        <w:left w:val="none" w:sz="0" w:space="0" w:color="auto"/>
        <w:bottom w:val="none" w:sz="0" w:space="0" w:color="auto"/>
        <w:right w:val="none" w:sz="0" w:space="0" w:color="auto"/>
      </w:divBdr>
    </w:div>
    <w:div w:id="377047008">
      <w:bodyDiv w:val="1"/>
      <w:marLeft w:val="0"/>
      <w:marRight w:val="0"/>
      <w:marTop w:val="0"/>
      <w:marBottom w:val="0"/>
      <w:divBdr>
        <w:top w:val="none" w:sz="0" w:space="0" w:color="auto"/>
        <w:left w:val="none" w:sz="0" w:space="0" w:color="auto"/>
        <w:bottom w:val="none" w:sz="0" w:space="0" w:color="auto"/>
        <w:right w:val="none" w:sz="0" w:space="0" w:color="auto"/>
      </w:divBdr>
    </w:div>
    <w:div w:id="688259706">
      <w:bodyDiv w:val="1"/>
      <w:marLeft w:val="0"/>
      <w:marRight w:val="0"/>
      <w:marTop w:val="0"/>
      <w:marBottom w:val="0"/>
      <w:divBdr>
        <w:top w:val="none" w:sz="0" w:space="0" w:color="auto"/>
        <w:left w:val="none" w:sz="0" w:space="0" w:color="auto"/>
        <w:bottom w:val="none" w:sz="0" w:space="0" w:color="auto"/>
        <w:right w:val="none" w:sz="0" w:space="0" w:color="auto"/>
      </w:divBdr>
    </w:div>
    <w:div w:id="731856234">
      <w:bodyDiv w:val="1"/>
      <w:marLeft w:val="0"/>
      <w:marRight w:val="0"/>
      <w:marTop w:val="0"/>
      <w:marBottom w:val="0"/>
      <w:divBdr>
        <w:top w:val="none" w:sz="0" w:space="0" w:color="auto"/>
        <w:left w:val="none" w:sz="0" w:space="0" w:color="auto"/>
        <w:bottom w:val="none" w:sz="0" w:space="0" w:color="auto"/>
        <w:right w:val="none" w:sz="0" w:space="0" w:color="auto"/>
      </w:divBdr>
    </w:div>
    <w:div w:id="844904520">
      <w:bodyDiv w:val="1"/>
      <w:marLeft w:val="0"/>
      <w:marRight w:val="0"/>
      <w:marTop w:val="0"/>
      <w:marBottom w:val="0"/>
      <w:divBdr>
        <w:top w:val="none" w:sz="0" w:space="0" w:color="auto"/>
        <w:left w:val="none" w:sz="0" w:space="0" w:color="auto"/>
        <w:bottom w:val="none" w:sz="0" w:space="0" w:color="auto"/>
        <w:right w:val="none" w:sz="0" w:space="0" w:color="auto"/>
      </w:divBdr>
    </w:div>
    <w:div w:id="874081245">
      <w:bodyDiv w:val="1"/>
      <w:marLeft w:val="0"/>
      <w:marRight w:val="0"/>
      <w:marTop w:val="0"/>
      <w:marBottom w:val="0"/>
      <w:divBdr>
        <w:top w:val="none" w:sz="0" w:space="0" w:color="auto"/>
        <w:left w:val="none" w:sz="0" w:space="0" w:color="auto"/>
        <w:bottom w:val="none" w:sz="0" w:space="0" w:color="auto"/>
        <w:right w:val="none" w:sz="0" w:space="0" w:color="auto"/>
      </w:divBdr>
    </w:div>
    <w:div w:id="954681065">
      <w:bodyDiv w:val="1"/>
      <w:marLeft w:val="0"/>
      <w:marRight w:val="0"/>
      <w:marTop w:val="0"/>
      <w:marBottom w:val="0"/>
      <w:divBdr>
        <w:top w:val="none" w:sz="0" w:space="0" w:color="auto"/>
        <w:left w:val="none" w:sz="0" w:space="0" w:color="auto"/>
        <w:bottom w:val="none" w:sz="0" w:space="0" w:color="auto"/>
        <w:right w:val="none" w:sz="0" w:space="0" w:color="auto"/>
      </w:divBdr>
    </w:div>
    <w:div w:id="1039623715">
      <w:bodyDiv w:val="1"/>
      <w:marLeft w:val="0"/>
      <w:marRight w:val="0"/>
      <w:marTop w:val="0"/>
      <w:marBottom w:val="0"/>
      <w:divBdr>
        <w:top w:val="none" w:sz="0" w:space="0" w:color="auto"/>
        <w:left w:val="none" w:sz="0" w:space="0" w:color="auto"/>
        <w:bottom w:val="none" w:sz="0" w:space="0" w:color="auto"/>
        <w:right w:val="none" w:sz="0" w:space="0" w:color="auto"/>
      </w:divBdr>
    </w:div>
    <w:div w:id="1058671019">
      <w:bodyDiv w:val="1"/>
      <w:marLeft w:val="0"/>
      <w:marRight w:val="0"/>
      <w:marTop w:val="0"/>
      <w:marBottom w:val="0"/>
      <w:divBdr>
        <w:top w:val="none" w:sz="0" w:space="0" w:color="auto"/>
        <w:left w:val="none" w:sz="0" w:space="0" w:color="auto"/>
        <w:bottom w:val="none" w:sz="0" w:space="0" w:color="auto"/>
        <w:right w:val="none" w:sz="0" w:space="0" w:color="auto"/>
      </w:divBdr>
    </w:div>
    <w:div w:id="1112166160">
      <w:bodyDiv w:val="1"/>
      <w:marLeft w:val="0"/>
      <w:marRight w:val="0"/>
      <w:marTop w:val="0"/>
      <w:marBottom w:val="0"/>
      <w:divBdr>
        <w:top w:val="none" w:sz="0" w:space="0" w:color="auto"/>
        <w:left w:val="none" w:sz="0" w:space="0" w:color="auto"/>
        <w:bottom w:val="none" w:sz="0" w:space="0" w:color="auto"/>
        <w:right w:val="none" w:sz="0" w:space="0" w:color="auto"/>
      </w:divBdr>
    </w:div>
    <w:div w:id="1208641771">
      <w:bodyDiv w:val="1"/>
      <w:marLeft w:val="0"/>
      <w:marRight w:val="0"/>
      <w:marTop w:val="0"/>
      <w:marBottom w:val="0"/>
      <w:divBdr>
        <w:top w:val="none" w:sz="0" w:space="0" w:color="auto"/>
        <w:left w:val="none" w:sz="0" w:space="0" w:color="auto"/>
        <w:bottom w:val="none" w:sz="0" w:space="0" w:color="auto"/>
        <w:right w:val="none" w:sz="0" w:space="0" w:color="auto"/>
      </w:divBdr>
    </w:div>
    <w:div w:id="1507092723">
      <w:bodyDiv w:val="1"/>
      <w:marLeft w:val="0"/>
      <w:marRight w:val="0"/>
      <w:marTop w:val="0"/>
      <w:marBottom w:val="0"/>
      <w:divBdr>
        <w:top w:val="none" w:sz="0" w:space="0" w:color="auto"/>
        <w:left w:val="none" w:sz="0" w:space="0" w:color="auto"/>
        <w:bottom w:val="none" w:sz="0" w:space="0" w:color="auto"/>
        <w:right w:val="none" w:sz="0" w:space="0" w:color="auto"/>
      </w:divBdr>
    </w:div>
    <w:div w:id="1552812799">
      <w:bodyDiv w:val="1"/>
      <w:marLeft w:val="0"/>
      <w:marRight w:val="0"/>
      <w:marTop w:val="0"/>
      <w:marBottom w:val="0"/>
      <w:divBdr>
        <w:top w:val="none" w:sz="0" w:space="0" w:color="auto"/>
        <w:left w:val="none" w:sz="0" w:space="0" w:color="auto"/>
        <w:bottom w:val="none" w:sz="0" w:space="0" w:color="auto"/>
        <w:right w:val="none" w:sz="0" w:space="0" w:color="auto"/>
      </w:divBdr>
    </w:div>
    <w:div w:id="1559708979">
      <w:bodyDiv w:val="1"/>
      <w:marLeft w:val="0"/>
      <w:marRight w:val="0"/>
      <w:marTop w:val="0"/>
      <w:marBottom w:val="0"/>
      <w:divBdr>
        <w:top w:val="none" w:sz="0" w:space="0" w:color="auto"/>
        <w:left w:val="none" w:sz="0" w:space="0" w:color="auto"/>
        <w:bottom w:val="none" w:sz="0" w:space="0" w:color="auto"/>
        <w:right w:val="none" w:sz="0" w:space="0" w:color="auto"/>
      </w:divBdr>
      <w:divsChild>
        <w:div w:id="2088066560">
          <w:marLeft w:val="0"/>
          <w:marRight w:val="0"/>
          <w:marTop w:val="360"/>
          <w:marBottom w:val="0"/>
          <w:divBdr>
            <w:top w:val="none" w:sz="0" w:space="0" w:color="auto"/>
            <w:left w:val="none" w:sz="0" w:space="0" w:color="auto"/>
            <w:bottom w:val="none" w:sz="0" w:space="0" w:color="auto"/>
            <w:right w:val="none" w:sz="0" w:space="0" w:color="auto"/>
          </w:divBdr>
          <w:divsChild>
            <w:div w:id="596981283">
              <w:marLeft w:val="0"/>
              <w:marRight w:val="0"/>
              <w:marTop w:val="360"/>
              <w:marBottom w:val="0"/>
              <w:divBdr>
                <w:top w:val="none" w:sz="0" w:space="0" w:color="auto"/>
                <w:left w:val="none" w:sz="0" w:space="0" w:color="auto"/>
                <w:bottom w:val="none" w:sz="0" w:space="0" w:color="auto"/>
                <w:right w:val="none" w:sz="0" w:space="0" w:color="auto"/>
              </w:divBdr>
              <w:divsChild>
                <w:div w:id="665670149">
                  <w:marLeft w:val="0"/>
                  <w:marRight w:val="0"/>
                  <w:marTop w:val="0"/>
                  <w:marBottom w:val="0"/>
                  <w:divBdr>
                    <w:top w:val="none" w:sz="0" w:space="0" w:color="auto"/>
                    <w:left w:val="none" w:sz="0" w:space="0" w:color="auto"/>
                    <w:bottom w:val="none" w:sz="0" w:space="0" w:color="auto"/>
                    <w:right w:val="none" w:sz="0" w:space="0" w:color="auto"/>
                  </w:divBdr>
                  <w:divsChild>
                    <w:div w:id="95639372">
                      <w:marLeft w:val="0"/>
                      <w:marRight w:val="0"/>
                      <w:marTop w:val="0"/>
                      <w:marBottom w:val="300"/>
                      <w:divBdr>
                        <w:top w:val="none" w:sz="0" w:space="0" w:color="auto"/>
                        <w:left w:val="none" w:sz="0" w:space="0" w:color="auto"/>
                        <w:bottom w:val="none" w:sz="0" w:space="0" w:color="auto"/>
                        <w:right w:val="none" w:sz="0" w:space="0" w:color="auto"/>
                      </w:divBdr>
                      <w:divsChild>
                        <w:div w:id="1756125984">
                          <w:marLeft w:val="0"/>
                          <w:marRight w:val="0"/>
                          <w:marTop w:val="0"/>
                          <w:marBottom w:val="0"/>
                          <w:divBdr>
                            <w:top w:val="none" w:sz="0" w:space="0" w:color="auto"/>
                            <w:left w:val="none" w:sz="0" w:space="0" w:color="auto"/>
                            <w:bottom w:val="none" w:sz="0" w:space="0" w:color="auto"/>
                            <w:right w:val="none" w:sz="0" w:space="0" w:color="auto"/>
                          </w:divBdr>
                          <w:divsChild>
                            <w:div w:id="326443880">
                              <w:marLeft w:val="0"/>
                              <w:marRight w:val="0"/>
                              <w:marTop w:val="0"/>
                              <w:marBottom w:val="0"/>
                              <w:divBdr>
                                <w:top w:val="none" w:sz="0" w:space="0" w:color="auto"/>
                                <w:left w:val="none" w:sz="0" w:space="0" w:color="auto"/>
                                <w:bottom w:val="none" w:sz="0" w:space="0" w:color="auto"/>
                                <w:right w:val="none" w:sz="0" w:space="0" w:color="auto"/>
                              </w:divBdr>
                              <w:divsChild>
                                <w:div w:id="1619290920">
                                  <w:marLeft w:val="0"/>
                                  <w:marRight w:val="0"/>
                                  <w:marTop w:val="0"/>
                                  <w:marBottom w:val="0"/>
                                  <w:divBdr>
                                    <w:top w:val="none" w:sz="0" w:space="0" w:color="auto"/>
                                    <w:left w:val="none" w:sz="0" w:space="0" w:color="auto"/>
                                    <w:bottom w:val="none" w:sz="0" w:space="0" w:color="auto"/>
                                    <w:right w:val="none" w:sz="0" w:space="0" w:color="auto"/>
                                  </w:divBdr>
                                  <w:divsChild>
                                    <w:div w:id="1374385923">
                                      <w:marLeft w:val="0"/>
                                      <w:marRight w:val="0"/>
                                      <w:marTop w:val="0"/>
                                      <w:marBottom w:val="0"/>
                                      <w:divBdr>
                                        <w:top w:val="none" w:sz="0" w:space="0" w:color="auto"/>
                                        <w:left w:val="none" w:sz="0" w:space="0" w:color="auto"/>
                                        <w:bottom w:val="none" w:sz="0" w:space="0" w:color="auto"/>
                                        <w:right w:val="none" w:sz="0" w:space="0" w:color="auto"/>
                                      </w:divBdr>
                                      <w:divsChild>
                                        <w:div w:id="18474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289195">
      <w:bodyDiv w:val="1"/>
      <w:marLeft w:val="0"/>
      <w:marRight w:val="0"/>
      <w:marTop w:val="0"/>
      <w:marBottom w:val="0"/>
      <w:divBdr>
        <w:top w:val="none" w:sz="0" w:space="0" w:color="auto"/>
        <w:left w:val="none" w:sz="0" w:space="0" w:color="auto"/>
        <w:bottom w:val="none" w:sz="0" w:space="0" w:color="auto"/>
        <w:right w:val="none" w:sz="0" w:space="0" w:color="auto"/>
      </w:divBdr>
    </w:div>
    <w:div w:id="1668904821">
      <w:bodyDiv w:val="1"/>
      <w:marLeft w:val="0"/>
      <w:marRight w:val="0"/>
      <w:marTop w:val="0"/>
      <w:marBottom w:val="0"/>
      <w:divBdr>
        <w:top w:val="none" w:sz="0" w:space="0" w:color="auto"/>
        <w:left w:val="none" w:sz="0" w:space="0" w:color="auto"/>
        <w:bottom w:val="none" w:sz="0" w:space="0" w:color="auto"/>
        <w:right w:val="none" w:sz="0" w:space="0" w:color="auto"/>
      </w:divBdr>
    </w:div>
    <w:div w:id="1716351490">
      <w:bodyDiv w:val="1"/>
      <w:marLeft w:val="0"/>
      <w:marRight w:val="0"/>
      <w:marTop w:val="0"/>
      <w:marBottom w:val="0"/>
      <w:divBdr>
        <w:top w:val="none" w:sz="0" w:space="0" w:color="auto"/>
        <w:left w:val="none" w:sz="0" w:space="0" w:color="auto"/>
        <w:bottom w:val="none" w:sz="0" w:space="0" w:color="auto"/>
        <w:right w:val="none" w:sz="0" w:space="0" w:color="auto"/>
      </w:divBdr>
    </w:div>
    <w:div w:id="1882278288">
      <w:bodyDiv w:val="1"/>
      <w:marLeft w:val="0"/>
      <w:marRight w:val="0"/>
      <w:marTop w:val="0"/>
      <w:marBottom w:val="0"/>
      <w:divBdr>
        <w:top w:val="none" w:sz="0" w:space="0" w:color="auto"/>
        <w:left w:val="none" w:sz="0" w:space="0" w:color="auto"/>
        <w:bottom w:val="none" w:sz="0" w:space="0" w:color="auto"/>
        <w:right w:val="none" w:sz="0" w:space="0" w:color="auto"/>
      </w:divBdr>
    </w:div>
    <w:div w:id="2062096635">
      <w:bodyDiv w:val="1"/>
      <w:marLeft w:val="0"/>
      <w:marRight w:val="0"/>
      <w:marTop w:val="0"/>
      <w:marBottom w:val="0"/>
      <w:divBdr>
        <w:top w:val="none" w:sz="0" w:space="0" w:color="auto"/>
        <w:left w:val="none" w:sz="0" w:space="0" w:color="auto"/>
        <w:bottom w:val="none" w:sz="0" w:space="0" w:color="auto"/>
        <w:right w:val="none" w:sz="0" w:space="0" w:color="auto"/>
      </w:divBdr>
    </w:div>
    <w:div w:id="21298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Gregory%20Whittaker\Dropbox\RESEARCH\State%20Liability%20Amendment%20Act\SLAB-calculation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Gregory%20Whittaker\Dropbox\RESEARCH\State%20Liability%20Amendment%20Act\SLAB-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900" b="1" i="0" u="none" strike="noStrike" kern="1200" spc="0" baseline="0">
                <a:solidFill>
                  <a:schemeClr val="dk1"/>
                </a:solidFill>
                <a:latin typeface="Arial" panose="020B0604020202020204" pitchFamily="34" charset="0"/>
                <a:ea typeface="+mn-ea"/>
                <a:cs typeface="Arial" panose="020B0604020202020204" pitchFamily="34" charset="0"/>
              </a:defRPr>
            </a:pPr>
            <a:r>
              <a:rPr lang="en-ZA" sz="900" b="1">
                <a:latin typeface="Arial" panose="020B0604020202020204" pitchFamily="34" charset="0"/>
                <a:cs typeface="Arial" panose="020B0604020202020204" pitchFamily="34" charset="0"/>
              </a:rPr>
              <a:t>A comparison of the number and total value of claims for maternity cerebral palsy/brain damage claims over time across all clinical negligence schemes</a:t>
            </a:r>
          </a:p>
        </c:rich>
      </c:tx>
      <c:layout/>
      <c:spPr>
        <a:noFill/>
        <a:ln>
          <a:noFill/>
        </a:ln>
        <a:effectLst/>
      </c:spPr>
    </c:title>
    <c:plotArea>
      <c:layout/>
      <c:lineChart>
        <c:grouping val="standard"/>
        <c:ser>
          <c:idx val="0"/>
          <c:order val="0"/>
          <c:tx>
            <c:strRef>
              <c:f>'[SLAB-calculations.xlsx]Sheet3'!$B$1</c:f>
              <c:strCache>
                <c:ptCount val="1"/>
                <c:pt idx="0">
                  <c:v>Number of claims</c:v>
                </c:pt>
              </c:strCache>
            </c:strRef>
          </c:tx>
          <c:spPr>
            <a:ln w="19050" cap="rnd">
              <a:solidFill>
                <a:srgbClr val="FF0000"/>
              </a:solidFill>
              <a:round/>
            </a:ln>
            <a:effectLst/>
          </c:spPr>
          <c:marker>
            <c:symbol val="diamond"/>
            <c:size val="5"/>
            <c:spPr>
              <a:solidFill>
                <a:srgbClr val="FF0000"/>
              </a:solidFill>
              <a:ln w="9525">
                <a:solidFill>
                  <a:srgbClr val="FF0000"/>
                </a:solidFill>
              </a:ln>
              <a:effectLst/>
            </c:spPr>
          </c:marker>
          <c:dLbls>
            <c:dLbl>
              <c:idx val="0"/>
              <c:spPr>
                <a:noFill/>
                <a:ln>
                  <a:noFill/>
                </a:ln>
                <a:effectLst/>
              </c:spPr>
              <c:txPr>
                <a:bodyPr rot="0" spcFirstLastPara="1" vertOverflow="ellipsis" horzOverflow="clip" vert="horz" wrap="square" lIns="36576" tIns="18288" rIns="36576" bIns="18288" anchor="ctr" anchorCtr="1">
                  <a:spAutoFit/>
                </a:bodyPr>
                <a:lstStyle/>
                <a:p>
                  <a:pPr>
                    <a:defRPr sz="800" b="0"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dLbl>
            <c:dLbl>
              <c:idx val="11"/>
              <c:layout>
                <c:manualLayout>
                  <c:x val="2.2924443685263893E-3"/>
                  <c:y val="1.266121992375184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7C-46AE-9BAE-DB9E2688D078}"/>
                </c:ext>
              </c:extLst>
            </c:dLbl>
            <c:dLbl>
              <c:idx val="12"/>
              <c:layout>
                <c:manualLayout>
                  <c:x val="-5.0313526840099028E-3"/>
                  <c:y val="-2.412155473227724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57C-46AE-9BAE-DB9E2688D078}"/>
                </c:ext>
              </c:extLst>
            </c:dLbl>
            <c:dLbl>
              <c:idx val="13"/>
              <c:layout>
                <c:manualLayout>
                  <c:x val="-2.5467407361043495E-2"/>
                  <c:y val="-3.036323191095488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7C-46AE-9BAE-DB9E2688D078}"/>
                </c:ext>
              </c:extLst>
            </c:dLbl>
            <c:spPr>
              <a:noFill/>
              <a:ln>
                <a:noFill/>
              </a:ln>
              <a:effectLst/>
            </c:spPr>
            <c:txPr>
              <a:bodyPr rot="0" spcFirstLastPara="1" vertOverflow="ellipsis" vert="horz" wrap="square" anchor="ctr" anchorCtr="1"/>
              <a:lstStyle/>
              <a:p>
                <a:pPr>
                  <a:defRPr sz="800" b="0"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dLblPos val="t"/>
            <c:showVal val="1"/>
            <c:extLst xmlns:c16r2="http://schemas.microsoft.com/office/drawing/2015/06/chart">
              <c:ext xmlns:c15="http://schemas.microsoft.com/office/drawing/2012/chart" uri="{CE6537A1-D6FC-4f65-9D91-7224C49458BB}">
                <c15:showLeaderLines val="0"/>
              </c:ext>
            </c:extLst>
          </c:dLbls>
          <c:cat>
            <c:strRef>
              <c:f>'[SLAB-calculations.xlsx]Sheet3'!$A$2:$A$15</c:f>
              <c:strCache>
                <c:ptCount val="14"/>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strCache>
            </c:strRef>
          </c:cat>
          <c:val>
            <c:numRef>
              <c:f>'[SLAB-calculations.xlsx]Sheet3'!$B$2:$B$15</c:f>
              <c:numCache>
                <c:formatCode>General</c:formatCode>
                <c:ptCount val="14"/>
                <c:pt idx="0">
                  <c:v>246</c:v>
                </c:pt>
                <c:pt idx="1">
                  <c:v>255</c:v>
                </c:pt>
                <c:pt idx="2">
                  <c:v>181</c:v>
                </c:pt>
                <c:pt idx="3">
                  <c:v>179</c:v>
                </c:pt>
                <c:pt idx="4">
                  <c:v>200</c:v>
                </c:pt>
                <c:pt idx="5">
                  <c:v>218</c:v>
                </c:pt>
                <c:pt idx="6">
                  <c:v>228</c:v>
                </c:pt>
                <c:pt idx="7">
                  <c:v>195</c:v>
                </c:pt>
                <c:pt idx="8">
                  <c:v>223</c:v>
                </c:pt>
                <c:pt idx="9">
                  <c:v>220</c:v>
                </c:pt>
                <c:pt idx="10">
                  <c:v>205</c:v>
                </c:pt>
                <c:pt idx="11">
                  <c:v>189</c:v>
                </c:pt>
                <c:pt idx="12">
                  <c:v>231</c:v>
                </c:pt>
                <c:pt idx="13">
                  <c:v>211</c:v>
                </c:pt>
              </c:numCache>
            </c:numRef>
          </c:val>
          <c:extLst xmlns:c16r2="http://schemas.microsoft.com/office/drawing/2015/06/chart">
            <c:ext xmlns:c16="http://schemas.microsoft.com/office/drawing/2014/chart" uri="{C3380CC4-5D6E-409C-BE32-E72D297353CC}">
              <c16:uniqueId val="{00000004-857C-46AE-9BAE-DB9E2688D078}"/>
            </c:ext>
          </c:extLst>
        </c:ser>
        <c:dLbls/>
        <c:marker val="1"/>
        <c:axId val="94290304"/>
        <c:axId val="94292224"/>
      </c:lineChart>
      <c:lineChart>
        <c:grouping val="standard"/>
        <c:ser>
          <c:idx val="1"/>
          <c:order val="1"/>
          <c:tx>
            <c:strRef>
              <c:f>'[SLAB-calculations.xlsx]Sheet3'!$C$1</c:f>
              <c:strCache>
                <c:ptCount val="1"/>
                <c:pt idx="0">
                  <c:v>Total claim value (£m)</c:v>
                </c:pt>
              </c:strCache>
            </c:strRef>
          </c:tx>
          <c:spPr>
            <a:ln w="19050" cap="rnd">
              <a:solidFill>
                <a:srgbClr val="0070C0"/>
              </a:solidFill>
              <a:round/>
            </a:ln>
            <a:effectLst/>
          </c:spPr>
          <c:marker>
            <c:symbol val="circle"/>
            <c:size val="5"/>
            <c:spPr>
              <a:solidFill>
                <a:srgbClr val="0070C0"/>
              </a:solidFill>
              <a:ln w="9525">
                <a:solidFill>
                  <a:srgbClr val="0070C0"/>
                </a:solidFill>
              </a:ln>
              <a:effectLst/>
            </c:spPr>
          </c:marker>
          <c:dLbls>
            <c:dLbl>
              <c:idx val="11"/>
              <c:layout>
                <c:manualLayout>
                  <c:x val="-4.6623105166247514E-2"/>
                  <c:y val="-4.561315643510598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57C-46AE-9BAE-DB9E2688D078}"/>
                </c:ext>
              </c:extLst>
            </c:dLbl>
            <c:dLbl>
              <c:idx val="12"/>
              <c:layout>
                <c:manualLayout>
                  <c:x val="-3.4625755462575562E-2"/>
                  <c:y val="-3.903827386148485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57C-46AE-9BAE-DB9E2688D078}"/>
                </c:ext>
              </c:extLst>
            </c:dLbl>
            <c:dLbl>
              <c:idx val="13"/>
              <c:layout>
                <c:manualLayout>
                  <c:x val="-3.6240816733024747E-2"/>
                  <c:y val="-2.908131264788001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57C-46AE-9BAE-DB9E2688D078}"/>
                </c:ext>
              </c:extLst>
            </c:dLbl>
            <c:spPr>
              <a:noFill/>
              <a:ln>
                <a:noFill/>
              </a:ln>
              <a:effectLst/>
            </c:spPr>
            <c:txPr>
              <a:bodyPr rot="0" spcFirstLastPara="1" vertOverflow="ellipsis" vert="horz" wrap="square" anchor="ctr" anchorCtr="1"/>
              <a:lstStyle/>
              <a:p>
                <a:pPr>
                  <a:defRPr sz="800" b="0"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'[SLAB-calculations.xlsx]Sheet3'!$A$2:$A$15</c:f>
              <c:strCache>
                <c:ptCount val="14"/>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strCache>
            </c:strRef>
          </c:cat>
          <c:val>
            <c:numRef>
              <c:f>'[SLAB-calculations.xlsx]Sheet3'!$C$2:$C$15</c:f>
              <c:numCache>
                <c:formatCode>General</c:formatCode>
                <c:ptCount val="14"/>
                <c:pt idx="0">
                  <c:v>359</c:v>
                </c:pt>
                <c:pt idx="1">
                  <c:v>557</c:v>
                </c:pt>
                <c:pt idx="2">
                  <c:v>621</c:v>
                </c:pt>
                <c:pt idx="3">
                  <c:v>658</c:v>
                </c:pt>
                <c:pt idx="4">
                  <c:v>927</c:v>
                </c:pt>
                <c:pt idx="5">
                  <c:v>894</c:v>
                </c:pt>
                <c:pt idx="6">
                  <c:v>990</c:v>
                </c:pt>
                <c:pt idx="7">
                  <c:v>1036</c:v>
                </c:pt>
                <c:pt idx="8">
                  <c:v>1348</c:v>
                </c:pt>
                <c:pt idx="9">
                  <c:v>1131</c:v>
                </c:pt>
                <c:pt idx="10">
                  <c:v>1168</c:v>
                </c:pt>
                <c:pt idx="11">
                  <c:v>1325</c:v>
                </c:pt>
                <c:pt idx="12">
                  <c:v>1750</c:v>
                </c:pt>
                <c:pt idx="13">
                  <c:v>1861</c:v>
                </c:pt>
              </c:numCache>
            </c:numRef>
          </c:val>
          <c:extLst xmlns:c16r2="http://schemas.microsoft.com/office/drawing/2015/06/chart">
            <c:ext xmlns:c16="http://schemas.microsoft.com/office/drawing/2014/chart" uri="{C3380CC4-5D6E-409C-BE32-E72D297353CC}">
              <c16:uniqueId val="{00000008-857C-46AE-9BAE-DB9E2688D078}"/>
            </c:ext>
          </c:extLst>
        </c:ser>
        <c:dLbls/>
        <c:marker val="1"/>
        <c:axId val="94300416"/>
        <c:axId val="94298496"/>
      </c:lineChart>
      <c:catAx>
        <c:axId val="94290304"/>
        <c:scaling>
          <c:orientation val="minMax"/>
        </c:scaling>
        <c:axPos val="b"/>
        <c:title>
          <c:tx>
            <c:rich>
              <a:bodyPr rot="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r>
                  <a:rPr lang="en-ZA" sz="800">
                    <a:latin typeface="Arial" panose="020B0604020202020204" pitchFamily="34" charset="0"/>
                    <a:cs typeface="Arial" panose="020B0604020202020204" pitchFamily="34" charset="0"/>
                  </a:rPr>
                  <a:t>Notification year</a:t>
                </a:r>
              </a:p>
            </c:rich>
          </c:tx>
          <c:layout/>
          <c:spPr>
            <a:noFill/>
            <a:ln>
              <a:noFill/>
            </a:ln>
            <a:effectLst/>
          </c:spPr>
        </c:title>
        <c:numFmt formatCode="General" sourceLinked="1"/>
        <c:tickLblPos val="nextTo"/>
        <c:spPr>
          <a:noFill/>
          <a:ln w="9525" cap="flat" cmpd="sng" algn="ctr">
            <a:solidFill>
              <a:schemeClr val="bg1">
                <a:lumMod val="75000"/>
                <a:alpha val="91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mn-cs"/>
              </a:defRPr>
            </a:pPr>
            <a:endParaRPr lang="en-US"/>
          </a:p>
        </c:txPr>
        <c:crossAx val="94292224"/>
        <c:crosses val="autoZero"/>
        <c:auto val="1"/>
        <c:lblAlgn val="ctr"/>
        <c:lblOffset val="100"/>
      </c:catAx>
      <c:valAx>
        <c:axId val="94292224"/>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r>
                  <a:rPr lang="en-ZA" sz="800">
                    <a:latin typeface="Arial" panose="020B0604020202020204" pitchFamily="34" charset="0"/>
                    <a:cs typeface="Arial" panose="020B0604020202020204" pitchFamily="34" charset="0"/>
                  </a:rPr>
                  <a:t>Number of claims</a:t>
                </a:r>
              </a:p>
            </c:rich>
          </c:tx>
          <c:layout/>
          <c:spPr>
            <a:noFill/>
            <a:ln>
              <a:noFill/>
            </a:ln>
            <a:effectLst/>
          </c:spPr>
        </c:title>
        <c:numFmt formatCode="General" sourceLinked="1"/>
        <c:tickLblPos val="nextTo"/>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94290304"/>
        <c:crosses val="autoZero"/>
        <c:crossBetween val="between"/>
      </c:valAx>
      <c:valAx>
        <c:axId val="94298496"/>
        <c:scaling>
          <c:orientation val="minMax"/>
        </c:scaling>
        <c:axPos val="r"/>
        <c:title>
          <c:tx>
            <c:rich>
              <a:bodyPr rot="-540000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r>
                  <a:rPr lang="en-ZA" sz="800">
                    <a:latin typeface="Arial" panose="020B0604020202020204" pitchFamily="34" charset="0"/>
                    <a:cs typeface="Arial" panose="020B0604020202020204" pitchFamily="34" charset="0"/>
                  </a:rPr>
                  <a:t>Total claim  (£m)</a:t>
                </a:r>
              </a:p>
            </c:rich>
          </c:tx>
          <c:layout/>
          <c:spPr>
            <a:noFill/>
            <a:ln>
              <a:noFill/>
            </a:ln>
            <a:effectLst/>
          </c:spPr>
        </c:title>
        <c:numFmt formatCode="General" sourceLinked="1"/>
        <c:tickLblPos val="nextTo"/>
        <c:spPr>
          <a:noFill/>
          <a:ln>
            <a:solidFill>
              <a:schemeClr val="bg1">
                <a:lumMod val="75000"/>
                <a:alpha val="91000"/>
              </a:schemeClr>
            </a:solidFill>
          </a:ln>
          <a:effectLst/>
        </c:spPr>
        <c:txPr>
          <a:bodyPr rot="-6000000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94300416"/>
        <c:crosses val="max"/>
        <c:crossBetween val="between"/>
      </c:valAx>
      <c:catAx>
        <c:axId val="94300416"/>
        <c:scaling>
          <c:orientation val="minMax"/>
        </c:scaling>
        <c:delete val="1"/>
        <c:axPos val="b"/>
        <c:numFmt formatCode="General" sourceLinked="1"/>
        <c:tickLblPos val="none"/>
        <c:crossAx val="94298496"/>
        <c:crosses val="autoZero"/>
        <c:auto val="1"/>
        <c:lblAlgn val="ctr"/>
        <c:lblOffset val="100"/>
      </c:catAx>
      <c:spPr>
        <a:noFill/>
        <a:ln>
          <a:noFill/>
        </a:ln>
        <a:effectLst/>
      </c:spPr>
    </c:plotArea>
    <c:legend>
      <c:legendPos val="b"/>
      <c:layout>
        <c:manualLayout>
          <c:xMode val="edge"/>
          <c:yMode val="edge"/>
          <c:x val="0.33151458333333345"/>
          <c:y val="0.67516885143570571"/>
          <c:w val="0.53981805555555562"/>
          <c:h val="6.3220661672908879E-2"/>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635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a:solidFill>
                  <a:srgbClr val="00B050"/>
                </a:solidFill>
                <a:latin typeface="Arial" panose="020B0604020202020204" pitchFamily="34" charset="0"/>
                <a:cs typeface="Arial" panose="020B0604020202020204" pitchFamily="34" charset="0"/>
              </a:rPr>
              <a:t>Lump</a:t>
            </a:r>
            <a:r>
              <a:rPr lang="en-US" sz="1000" b="1" baseline="0">
                <a:solidFill>
                  <a:srgbClr val="00B050"/>
                </a:solidFill>
                <a:latin typeface="Arial" panose="020B0604020202020204" pitchFamily="34" charset="0"/>
                <a:cs typeface="Arial" panose="020B0604020202020204" pitchFamily="34" charset="0"/>
              </a:rPr>
              <a:t> Sum (discounted) </a:t>
            </a:r>
            <a:r>
              <a:rPr lang="en-US" sz="1000" b="1" baseline="0">
                <a:solidFill>
                  <a:sysClr val="windowText" lastClr="000000"/>
                </a:solidFill>
                <a:latin typeface="Arial" panose="020B0604020202020204" pitchFamily="34" charset="0"/>
                <a:cs typeface="Arial" panose="020B0604020202020204" pitchFamily="34" charset="0"/>
              </a:rPr>
              <a:t>vs</a:t>
            </a:r>
          </a:p>
          <a:p>
            <a:pPr>
              <a:defRPr sz="1000" b="0" i="0" u="none" strike="noStrike" kern="1200" spc="0" baseline="0">
                <a:solidFill>
                  <a:schemeClr val="tx1">
                    <a:lumMod val="65000"/>
                    <a:lumOff val="35000"/>
                  </a:schemeClr>
                </a:solidFill>
                <a:latin typeface="+mn-lt"/>
                <a:ea typeface="+mn-ea"/>
                <a:cs typeface="+mn-cs"/>
              </a:defRPr>
            </a:pPr>
            <a:r>
              <a:rPr lang="en-US" sz="1000" b="1" baseline="0">
                <a:solidFill>
                  <a:srgbClr val="00B0F0"/>
                </a:solidFill>
                <a:latin typeface="Arial" panose="020B0604020202020204" pitchFamily="34" charset="0"/>
                <a:cs typeface="Arial" panose="020B0604020202020204" pitchFamily="34" charset="0"/>
              </a:rPr>
              <a:t>Periodic Payments (undiscounted)</a:t>
            </a:r>
            <a:r>
              <a:rPr lang="en-US" sz="1000" b="1" baseline="0">
                <a:solidFill>
                  <a:sysClr val="windowText" lastClr="000000"/>
                </a:solidFill>
                <a:latin typeface="Arial" panose="020B0604020202020204" pitchFamily="34" charset="0"/>
                <a:cs typeface="Arial" panose="020B0604020202020204" pitchFamily="34" charset="0"/>
              </a:rPr>
              <a:t> vs</a:t>
            </a:r>
          </a:p>
          <a:p>
            <a:pPr>
              <a:defRPr sz="1000" b="0" i="0" u="none" strike="noStrike" kern="1200" spc="0" baseline="0">
                <a:solidFill>
                  <a:schemeClr val="tx1">
                    <a:lumMod val="65000"/>
                    <a:lumOff val="35000"/>
                  </a:schemeClr>
                </a:solidFill>
                <a:latin typeface="+mn-lt"/>
                <a:ea typeface="+mn-ea"/>
                <a:cs typeface="+mn-cs"/>
              </a:defRPr>
            </a:pPr>
            <a:r>
              <a:rPr lang="en-US" sz="1000" b="1" baseline="0">
                <a:solidFill>
                  <a:srgbClr val="FF0000"/>
                </a:solidFill>
                <a:latin typeface="Arial" panose="020B0604020202020204" pitchFamily="34" charset="0"/>
                <a:cs typeface="Arial" panose="020B0604020202020204" pitchFamily="34" charset="0"/>
              </a:rPr>
              <a:t>Periodic Payments (discounted)</a:t>
            </a:r>
            <a:endParaRPr lang="en-US" sz="1000" b="1">
              <a:solidFill>
                <a:srgbClr val="FF0000"/>
              </a:solidFill>
              <a:latin typeface="Arial" panose="020B0604020202020204" pitchFamily="34" charset="0"/>
              <a:cs typeface="Arial" panose="020B0604020202020204" pitchFamily="34" charset="0"/>
            </a:endParaRPr>
          </a:p>
        </c:rich>
      </c:tx>
      <c:layout/>
      <c:spPr>
        <a:noFill/>
        <a:ln>
          <a:noFill/>
        </a:ln>
        <a:effectLst/>
      </c:spPr>
    </c:title>
    <c:plotArea>
      <c:layout/>
      <c:barChart>
        <c:barDir val="col"/>
        <c:grouping val="clustered"/>
        <c:ser>
          <c:idx val="0"/>
          <c:order val="0"/>
          <c:spPr>
            <a:solidFill>
              <a:schemeClr val="accent1"/>
            </a:solidFill>
            <a:ln>
              <a:noFill/>
            </a:ln>
            <a:effectLst/>
          </c:spPr>
          <c:cat>
            <c:strLit>
              <c:ptCount val="27"/>
              <c:pt idx="0">
                <c:v>LS</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strLit>
          </c:cat>
          <c:val>
            <c:numRef>
              <c:f>Sheet2!$A$2:$A$28</c:f>
              <c:numCache>
                <c:formatCode>General</c:formatCode>
                <c:ptCount val="27"/>
                <c:pt idx="0">
                  <c:v>0</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numCache>
            </c:numRef>
          </c:val>
          <c:extLst xmlns:c16r2="http://schemas.microsoft.com/office/drawing/2015/06/chart">
            <c:ext xmlns:c16="http://schemas.microsoft.com/office/drawing/2014/chart" uri="{C3380CC4-5D6E-409C-BE32-E72D297353CC}">
              <c16:uniqueId val="{00000000-5D80-4191-9BF5-4A656FC5E91D}"/>
            </c:ext>
          </c:extLst>
        </c:ser>
        <c:ser>
          <c:idx val="2"/>
          <c:order val="1"/>
          <c:spPr>
            <a:solidFill>
              <a:srgbClr val="00B0F0"/>
            </a:solidFill>
            <a:ln>
              <a:noFill/>
            </a:ln>
            <a:effectLst/>
          </c:spPr>
          <c:dPt>
            <c:idx val="0"/>
            <c:spPr>
              <a:solidFill>
                <a:srgbClr val="00B050"/>
              </a:solidFill>
              <a:ln>
                <a:solidFill>
                  <a:srgbClr val="00B050"/>
                </a:solidFill>
              </a:ln>
              <a:effectLst/>
            </c:spPr>
            <c:extLst xmlns:c16r2="http://schemas.microsoft.com/office/drawing/2015/06/chart">
              <c:ext xmlns:c16="http://schemas.microsoft.com/office/drawing/2014/chart" uri="{C3380CC4-5D6E-409C-BE32-E72D297353CC}">
                <c16:uniqueId val="{00000002-5D80-4191-9BF5-4A656FC5E91D}"/>
              </c:ext>
            </c:extLst>
          </c:dPt>
          <c:cat>
            <c:strLit>
              <c:ptCount val="27"/>
              <c:pt idx="0">
                <c:v>LS</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strLit>
          </c:cat>
          <c:val>
            <c:numRef>
              <c:f>Sheet2!$C$2:$C$28</c:f>
              <c:numCache>
                <c:formatCode>#,##0</c:formatCode>
                <c:ptCount val="27"/>
                <c:pt idx="0">
                  <c:v>3570918</c:v>
                </c:pt>
                <c:pt idx="1">
                  <c:v>240000</c:v>
                </c:pt>
                <c:pt idx="2">
                  <c:v>494400</c:v>
                </c:pt>
                <c:pt idx="3">
                  <c:v>764064</c:v>
                </c:pt>
                <c:pt idx="4">
                  <c:v>1049907.8400000001</c:v>
                </c:pt>
                <c:pt idx="5">
                  <c:v>1352902.3104000001</c:v>
                </c:pt>
                <c:pt idx="6">
                  <c:v>1674076.4490240002</c:v>
                </c:pt>
                <c:pt idx="7">
                  <c:v>2014521.0359654403</c:v>
                </c:pt>
                <c:pt idx="8">
                  <c:v>2375392.2981233667</c:v>
                </c:pt>
                <c:pt idx="9">
                  <c:v>2757915.8360107685</c:v>
                </c:pt>
                <c:pt idx="10">
                  <c:v>3163390.7861714154</c:v>
                </c:pt>
                <c:pt idx="11">
                  <c:v>3593194.2333416999</c:v>
                </c:pt>
                <c:pt idx="12">
                  <c:v>4048785.887342202</c:v>
                </c:pt>
                <c:pt idx="13">
                  <c:v>4531713.0405827342</c:v>
                </c:pt>
                <c:pt idx="14">
                  <c:v>5043615.8230176987</c:v>
                </c:pt>
                <c:pt idx="15">
                  <c:v>5586232.7723987633</c:v>
                </c:pt>
                <c:pt idx="16">
                  <c:v>6161406.7387426896</c:v>
                </c:pt>
                <c:pt idx="17">
                  <c:v>6771091.14306725</c:v>
                </c:pt>
                <c:pt idx="18">
                  <c:v>7417356.6116512856</c:v>
                </c:pt>
                <c:pt idx="19">
                  <c:v>8102398.008350363</c:v>
                </c:pt>
                <c:pt idx="20">
                  <c:v>8828541.8888513874</c:v>
                </c:pt>
                <c:pt idx="21">
                  <c:v>9598254.402182471</c:v>
                </c:pt>
                <c:pt idx="22">
                  <c:v>10414149.666313417</c:v>
                </c:pt>
                <c:pt idx="23">
                  <c:v>11278998.646292221</c:v>
                </c:pt>
                <c:pt idx="24">
                  <c:v>12195738.565069759</c:v>
                </c:pt>
                <c:pt idx="25">
                  <c:v>13167482.878973944</c:v>
                </c:pt>
                <c:pt idx="26">
                  <c:v>14197531.851712385</c:v>
                </c:pt>
              </c:numCache>
            </c:numRef>
          </c:val>
          <c:extLst xmlns:c16r2="http://schemas.microsoft.com/office/drawing/2015/06/chart">
            <c:ext xmlns:c16="http://schemas.microsoft.com/office/drawing/2014/chart" uri="{C3380CC4-5D6E-409C-BE32-E72D297353CC}">
              <c16:uniqueId val="{00000003-5D80-4191-9BF5-4A656FC5E91D}"/>
            </c:ext>
          </c:extLst>
        </c:ser>
        <c:ser>
          <c:idx val="4"/>
          <c:order val="2"/>
          <c:spPr>
            <a:solidFill>
              <a:srgbClr val="FF0000"/>
            </a:solidFill>
            <a:ln>
              <a:solidFill>
                <a:srgbClr val="FF0000"/>
              </a:solidFill>
            </a:ln>
            <a:effectLst/>
          </c:spPr>
          <c:dPt>
            <c:idx val="0"/>
            <c:spPr>
              <a:solidFill>
                <a:srgbClr val="00B050"/>
              </a:solidFill>
              <a:ln>
                <a:solidFill>
                  <a:srgbClr val="00B050"/>
                </a:solidFill>
              </a:ln>
              <a:effectLst/>
            </c:spPr>
            <c:extLst xmlns:c16r2="http://schemas.microsoft.com/office/drawing/2015/06/chart">
              <c:ext xmlns:c16="http://schemas.microsoft.com/office/drawing/2014/chart" uri="{C3380CC4-5D6E-409C-BE32-E72D297353CC}">
                <c16:uniqueId val="{00000005-5D80-4191-9BF5-4A656FC5E91D}"/>
              </c:ext>
            </c:extLst>
          </c:dPt>
          <c:cat>
            <c:strLit>
              <c:ptCount val="27"/>
              <c:pt idx="0">
                <c:v>LS</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strLit>
          </c:cat>
          <c:val>
            <c:numRef>
              <c:f>Sheet2!$E$2:$E$28</c:f>
              <c:numCache>
                <c:formatCode>#,##0</c:formatCode>
                <c:ptCount val="27"/>
                <c:pt idx="0">
                  <c:v>3570918</c:v>
                </c:pt>
                <c:pt idx="1">
                  <c:v>240000</c:v>
                </c:pt>
                <c:pt idx="2">
                  <c:v>471958.05789833597</c:v>
                </c:pt>
                <c:pt idx="3">
                  <c:v>696143.64383153536</c:v>
                </c:pt>
                <c:pt idx="4">
                  <c:v>912817.19850597437</c:v>
                </c:pt>
                <c:pt idx="5">
                  <c:v>1122230.435756857</c:v>
                </c:pt>
                <c:pt idx="6">
                  <c:v>1324626.6349690168</c:v>
                </c:pt>
                <c:pt idx="7">
                  <c:v>1520240.9236992549</c:v>
                </c:pt>
                <c:pt idx="8">
                  <c:v>1709300.5508285484</c:v>
                </c:pt>
                <c:pt idx="9">
                  <c:v>1892025.1505614424</c:v>
                </c:pt>
                <c:pt idx="10">
                  <c:v>2068626.9975793289</c:v>
                </c:pt>
                <c:pt idx="11">
                  <c:v>2239311.2536440287</c:v>
                </c:pt>
                <c:pt idx="12">
                  <c:v>2404276.2059381553</c:v>
                </c:pt>
                <c:pt idx="13">
                  <c:v>2563713.4974191422</c:v>
                </c:pt>
                <c:pt idx="14">
                  <c:v>2717808.3494545622</c:v>
                </c:pt>
                <c:pt idx="15">
                  <c:v>2866739.7769973441</c:v>
                </c:pt>
                <c:pt idx="16">
                  <c:v>3010680.7965508872</c:v>
                </c:pt>
                <c:pt idx="17">
                  <c:v>3149798.6271656626</c:v>
                </c:pt>
                <c:pt idx="18">
                  <c:v>3284254.8847008012</c:v>
                </c:pt>
                <c:pt idx="19">
                  <c:v>3414205.7695763386</c:v>
                </c:pt>
                <c:pt idx="20">
                  <c:v>3539802.2482342552</c:v>
                </c:pt>
                <c:pt idx="21">
                  <c:v>3661190.2285190895</c:v>
                </c:pt>
                <c:pt idx="22">
                  <c:v>3778510.729181888</c:v>
                </c:pt>
                <c:pt idx="23">
                  <c:v>3891900.0437044012</c:v>
                </c:pt>
                <c:pt idx="24">
                  <c:v>4001489.8986338414</c:v>
                </c:pt>
                <c:pt idx="25">
                  <c:v>4107407.6066121482</c:v>
                </c:pt>
                <c:pt idx="26">
                  <c:v>4209776.2142775245</c:v>
                </c:pt>
              </c:numCache>
            </c:numRef>
          </c:val>
          <c:extLst xmlns:c16r2="http://schemas.microsoft.com/office/drawing/2015/06/chart">
            <c:ext xmlns:c16="http://schemas.microsoft.com/office/drawing/2014/chart" uri="{C3380CC4-5D6E-409C-BE32-E72D297353CC}">
              <c16:uniqueId val="{00000006-5D80-4191-9BF5-4A656FC5E91D}"/>
            </c:ext>
          </c:extLst>
        </c:ser>
        <c:dLbls/>
        <c:gapWidth val="5"/>
        <c:axId val="68675840"/>
        <c:axId val="96022912"/>
        <c:extLst xmlns:c16r2="http://schemas.microsoft.com/office/drawing/2015/06/chart">
          <c:ext xmlns:c15="http://schemas.microsoft.com/office/drawing/2012/chart" uri="{02D57815-91ED-43cb-92C2-25804820EDAC}">
            <c15:filteredBarSeries>
              <c15:ser>
                <c:idx val="1"/>
                <c:order val="1"/>
                <c:spPr>
                  <a:solidFill>
                    <a:schemeClr val="accent2"/>
                  </a:solidFill>
                  <a:ln>
                    <a:noFill/>
                  </a:ln>
                  <a:effectLst/>
                </c:spPr>
                <c:invertIfNegative val="0"/>
                <c:cat>
                  <c:strLit>
                    <c:ptCount val="27"/>
                    <c:pt idx="0">
                      <c:v>LS</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strLit>
                </c:cat>
                <c:val>
                  <c:numRef>
                    <c:extLst>
                      <c:ext uri="{02D57815-91ED-43cb-92C2-25804820EDAC}">
                        <c15:formulaRef>
                          <c15:sqref>Sheet2!$B$2:$B$28</c15:sqref>
                        </c15:formulaRef>
                      </c:ext>
                    </c:extLst>
                    <c:numCache>
                      <c:formatCode>#,##0</c:formatCode>
                      <c:ptCount val="27"/>
                      <c:pt idx="0">
                        <c:v>3570918</c:v>
                      </c:pt>
                      <c:pt idx="1">
                        <c:v>240000</c:v>
                      </c:pt>
                      <c:pt idx="2">
                        <c:v>254400</c:v>
                      </c:pt>
                      <c:pt idx="3">
                        <c:v>269664</c:v>
                      </c:pt>
                      <c:pt idx="4">
                        <c:v>285843.84000000003</c:v>
                      </c:pt>
                      <c:pt idx="5">
                        <c:v>302994.47040000005</c:v>
                      </c:pt>
                      <c:pt idx="6">
                        <c:v>321174.13862400007</c:v>
                      </c:pt>
                      <c:pt idx="7">
                        <c:v>340444.58694144007</c:v>
                      </c:pt>
                      <c:pt idx="8">
                        <c:v>360871.26215792651</c:v>
                      </c:pt>
                      <c:pt idx="9">
                        <c:v>382523.53788740211</c:v>
                      </c:pt>
                      <c:pt idx="10">
                        <c:v>405474.95016064629</c:v>
                      </c:pt>
                      <c:pt idx="11">
                        <c:v>429803.4471702851</c:v>
                      </c:pt>
                      <c:pt idx="12">
                        <c:v>455591.65400050225</c:v>
                      </c:pt>
                      <c:pt idx="13">
                        <c:v>482927.15324053244</c:v>
                      </c:pt>
                      <c:pt idx="14">
                        <c:v>511902.78243496444</c:v>
                      </c:pt>
                      <c:pt idx="15">
                        <c:v>542616.9493810623</c:v>
                      </c:pt>
                      <c:pt idx="16">
                        <c:v>575173.96634392603</c:v>
                      </c:pt>
                      <c:pt idx="17">
                        <c:v>609684.40432456159</c:v>
                      </c:pt>
                      <c:pt idx="18">
                        <c:v>646265.46858403529</c:v>
                      </c:pt>
                      <c:pt idx="19">
                        <c:v>685041.39669907745</c:v>
                      </c:pt>
                      <c:pt idx="20">
                        <c:v>726143.8805010221</c:v>
                      </c:pt>
                      <c:pt idx="21">
                        <c:v>769712.51333108346</c:v>
                      </c:pt>
                      <c:pt idx="22">
                        <c:v>815895.26413094846</c:v>
                      </c:pt>
                      <c:pt idx="23">
                        <c:v>864848.97997880541</c:v>
                      </c:pt>
                      <c:pt idx="24">
                        <c:v>916739.91877753381</c:v>
                      </c:pt>
                      <c:pt idx="25">
                        <c:v>971744.3139041859</c:v>
                      </c:pt>
                      <c:pt idx="26">
                        <c:v>1030048.9727384371</c:v>
                      </c:pt>
                    </c:numCache>
                  </c:numRef>
                </c:val>
                <c:extLst>
                  <c:ext xmlns:c16="http://schemas.microsoft.com/office/drawing/2014/chart" uri="{C3380CC4-5D6E-409C-BE32-E72D297353CC}">
                    <c16:uniqueId val="{00000007-5D80-4191-9BF5-4A656FC5E91D}"/>
                  </c:ext>
                </c:extLst>
              </c15:ser>
            </c15:filteredBarSeries>
            <c15:filteredBarSeries>
              <c15:ser>
                <c:idx val="3"/>
                <c:order val="3"/>
                <c:spPr>
                  <a:solidFill>
                    <a:schemeClr val="accent4"/>
                  </a:solidFill>
                  <a:ln>
                    <a:noFill/>
                  </a:ln>
                  <a:effectLst/>
                </c:spPr>
                <c:invertIfNegative val="0"/>
                <c:cat>
                  <c:strLit>
                    <c:ptCount val="27"/>
                    <c:pt idx="0">
                      <c:v>LS</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strLit>
                </c:cat>
                <c:val>
                  <c:numRef>
                    <c:extLst xmlns:c15="http://schemas.microsoft.com/office/drawing/2012/chart">
                      <c:ext xmlns:c15="http://schemas.microsoft.com/office/drawing/2012/chart" uri="{02D57815-91ED-43cb-92C2-25804820EDAC}">
                        <c15:formulaRef>
                          <c15:sqref>Sheet2!$D$2:$D$28</c15:sqref>
                        </c15:formulaRef>
                      </c:ext>
                    </c:extLst>
                    <c:numCache>
                      <c:formatCode>#,##0</c:formatCode>
                      <c:ptCount val="27"/>
                      <c:pt idx="0">
                        <c:v>3570918</c:v>
                      </c:pt>
                      <c:pt idx="1">
                        <c:v>240000</c:v>
                      </c:pt>
                      <c:pt idx="2">
                        <c:v>231958.05789833603</c:v>
                      </c:pt>
                      <c:pt idx="3">
                        <c:v>224185.58593319918</c:v>
                      </c:pt>
                      <c:pt idx="4">
                        <c:v>216673.55467443922</c:v>
                      </c:pt>
                      <c:pt idx="5">
                        <c:v>209413.2372508827</c:v>
                      </c:pt>
                      <c:pt idx="6">
                        <c:v>202396.19921215929</c:v>
                      </c:pt>
                      <c:pt idx="7">
                        <c:v>195614.2887302383</c:v>
                      </c:pt>
                      <c:pt idx="8">
                        <c:v>189059.62712929348</c:v>
                      </c:pt>
                      <c:pt idx="9">
                        <c:v>182724.59973289366</c:v>
                      </c:pt>
                      <c:pt idx="10">
                        <c:v>176601.84701788682</c:v>
                      </c:pt>
                      <c:pt idx="11">
                        <c:v>170684.25606470031</c:v>
                      </c:pt>
                      <c:pt idx="12">
                        <c:v>164964.95229412569</c:v>
                      </c:pt>
                      <c:pt idx="13">
                        <c:v>159437.29148098771</c:v>
                      </c:pt>
                      <c:pt idx="14">
                        <c:v>154094.8520354201</c:v>
                      </c:pt>
                      <c:pt idx="15">
                        <c:v>148931.42754278125</c:v>
                      </c:pt>
                      <c:pt idx="16">
                        <c:v>143941.01955354286</c:v>
                      </c:pt>
                      <c:pt idx="17">
                        <c:v>139117.83061477591</c:v>
                      </c:pt>
                      <c:pt idx="18">
                        <c:v>134456.25753513788</c:v>
                      </c:pt>
                      <c:pt idx="19">
                        <c:v>129950.88487553787</c:v>
                      </c:pt>
                      <c:pt idx="20">
                        <c:v>125596.47865791674</c:v>
                      </c:pt>
                      <c:pt idx="21">
                        <c:v>121387.98028483408</c:v>
                      </c:pt>
                      <c:pt idx="22">
                        <c:v>117320.50066279838</c:v>
                      </c:pt>
                      <c:pt idx="23">
                        <c:v>113389.31452251314</c:v>
                      </c:pt>
                      <c:pt idx="24">
                        <c:v>109589.85492944058</c:v>
                      </c:pt>
                      <c:pt idx="25">
                        <c:v>105917.70797830593</c:v>
                      </c:pt>
                      <c:pt idx="26">
                        <c:v>102368.60766537891</c:v>
                      </c:pt>
                    </c:numCache>
                  </c:numRef>
                </c:val>
                <c:extLst xmlns:c15="http://schemas.microsoft.com/office/drawing/2012/chart">
                  <c:ext xmlns:c16="http://schemas.microsoft.com/office/drawing/2014/chart" uri="{C3380CC4-5D6E-409C-BE32-E72D297353CC}">
                    <c16:uniqueId val="{00000008-5D80-4191-9BF5-4A656FC5E91D}"/>
                  </c:ext>
                </c:extLst>
              </c15:ser>
            </c15:filteredBarSeries>
          </c:ext>
        </c:extLst>
      </c:barChart>
      <c:catAx>
        <c:axId val="6867584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Arial" panose="020B0604020202020204" pitchFamily="34" charset="0"/>
                    <a:cs typeface="Arial" panose="020B0604020202020204" pitchFamily="34" charset="0"/>
                  </a:rPr>
                  <a:t>Cumulative</a:t>
                </a:r>
                <a:r>
                  <a:rPr lang="en-US" sz="900" baseline="0">
                    <a:solidFill>
                      <a:sysClr val="windowText" lastClr="000000"/>
                    </a:solidFill>
                    <a:latin typeface="Arial" panose="020B0604020202020204" pitchFamily="34" charset="0"/>
                    <a:cs typeface="Arial" panose="020B0604020202020204" pitchFamily="34" charset="0"/>
                  </a:rPr>
                  <a:t> cost for each year of survival</a:t>
                </a:r>
                <a:endParaRPr lang="en-US" sz="900">
                  <a:solidFill>
                    <a:sysClr val="windowText" lastClr="000000"/>
                  </a:solidFill>
                  <a:latin typeface="Arial" panose="020B0604020202020204" pitchFamily="34" charset="0"/>
                  <a:cs typeface="Arial" panose="020B0604020202020204" pitchFamily="34"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22912"/>
        <c:crosses val="autoZero"/>
        <c:lblAlgn val="ctr"/>
        <c:lblOffset val="100"/>
        <c:tickLblSkip val="1"/>
      </c:catAx>
      <c:valAx>
        <c:axId val="96022912"/>
        <c:scaling>
          <c:orientation val="minMax"/>
          <c:max val="1500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900">
                    <a:solidFill>
                      <a:sysClr val="windowText" lastClr="000000"/>
                    </a:solidFill>
                    <a:latin typeface="Arial" panose="020B0604020202020204" pitchFamily="34" charset="0"/>
                    <a:cs typeface="Arial" panose="020B0604020202020204" pitchFamily="34" charset="0"/>
                  </a:rPr>
                  <a:t>Amount in Rands</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5840"/>
        <c:crossesAt val="1"/>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CB7C-45EA-4718-B9B5-CF51319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20479</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2007-04-18T07:29:00Z</cp:lastPrinted>
  <dcterms:created xsi:type="dcterms:W3CDTF">2018-11-01T10:31:00Z</dcterms:created>
  <dcterms:modified xsi:type="dcterms:W3CDTF">2018-11-01T10:31:00Z</dcterms:modified>
</cp:coreProperties>
</file>