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12D4D" w14:textId="7271CDAF" w:rsidR="00E53CC6" w:rsidRPr="00CB66A4" w:rsidRDefault="00CB66A4" w:rsidP="00CB66A4">
      <w:pPr>
        <w:spacing w:line="240" w:lineRule="auto"/>
        <w:ind w:left="446" w:hanging="446"/>
        <w:contextualSpacing/>
        <w:jc w:val="both"/>
        <w:rPr>
          <w:rFonts w:ascii="Times New Roman" w:hAnsi="Times New Roman"/>
          <w:b/>
          <w:color w:val="auto"/>
          <w:sz w:val="28"/>
          <w:szCs w:val="28"/>
        </w:rPr>
      </w:pPr>
      <w:bookmarkStart w:id="0" w:name="_GoBack"/>
      <w:bookmarkEnd w:id="0"/>
      <w:r w:rsidRPr="00CB66A4">
        <w:rPr>
          <w:rFonts w:ascii="Times New Roman" w:hAnsi="Times New Roman"/>
          <w:b/>
          <w:color w:val="auto"/>
          <w:sz w:val="28"/>
          <w:szCs w:val="28"/>
        </w:rPr>
        <w:t>2.</w:t>
      </w:r>
      <w:r w:rsidRPr="00CB66A4">
        <w:rPr>
          <w:rFonts w:ascii="Times New Roman" w:hAnsi="Times New Roman"/>
          <w:b/>
          <w:color w:val="auto"/>
          <w:sz w:val="28"/>
          <w:szCs w:val="28"/>
        </w:rPr>
        <w:tab/>
      </w:r>
      <w:r w:rsidR="00E53CC6" w:rsidRPr="00CB66A4">
        <w:rPr>
          <w:rFonts w:ascii="Times New Roman" w:hAnsi="Times New Roman"/>
          <w:b/>
          <w:color w:val="auto"/>
          <w:sz w:val="28"/>
          <w:szCs w:val="28"/>
        </w:rPr>
        <w:t xml:space="preserve">REPORT OF THE STANDING COMMITTEE ON APPROPRIATIONS ON THE </w:t>
      </w:r>
      <w:r w:rsidR="00D45C51" w:rsidRPr="00CB66A4">
        <w:rPr>
          <w:rFonts w:ascii="Times New Roman" w:hAnsi="Times New Roman"/>
          <w:b/>
          <w:color w:val="auto"/>
          <w:sz w:val="28"/>
          <w:szCs w:val="28"/>
        </w:rPr>
        <w:t>FIRST QUARTER EXPENDITURE PATTERNS</w:t>
      </w:r>
      <w:r w:rsidR="00502692" w:rsidRPr="00CB66A4">
        <w:rPr>
          <w:rFonts w:ascii="Times New Roman" w:hAnsi="Times New Roman"/>
          <w:b/>
          <w:color w:val="auto"/>
          <w:sz w:val="28"/>
          <w:szCs w:val="28"/>
        </w:rPr>
        <w:t xml:space="preserve"> FOR THE 201</w:t>
      </w:r>
      <w:r w:rsidR="00EE0A72" w:rsidRPr="00CB66A4">
        <w:rPr>
          <w:rFonts w:ascii="Times New Roman" w:hAnsi="Times New Roman"/>
          <w:b/>
          <w:color w:val="auto"/>
          <w:sz w:val="28"/>
          <w:szCs w:val="28"/>
        </w:rPr>
        <w:t>8/19</w:t>
      </w:r>
      <w:r w:rsidR="00502692" w:rsidRPr="00CB66A4">
        <w:rPr>
          <w:rFonts w:ascii="Times New Roman" w:hAnsi="Times New Roman"/>
          <w:b/>
          <w:color w:val="auto"/>
          <w:sz w:val="28"/>
          <w:szCs w:val="28"/>
        </w:rPr>
        <w:t xml:space="preserve"> FINANCIAL YEAR</w:t>
      </w:r>
      <w:r w:rsidR="00E53CC6" w:rsidRPr="00CB66A4">
        <w:rPr>
          <w:rFonts w:ascii="Times New Roman" w:hAnsi="Times New Roman"/>
          <w:b/>
          <w:color w:val="auto"/>
          <w:sz w:val="28"/>
          <w:szCs w:val="28"/>
        </w:rPr>
        <w:t>, DATED</w:t>
      </w:r>
      <w:r w:rsidR="005F6CA1" w:rsidRPr="00CB66A4">
        <w:rPr>
          <w:rFonts w:ascii="Times New Roman" w:hAnsi="Times New Roman"/>
          <w:b/>
          <w:color w:val="auto"/>
          <w:sz w:val="28"/>
          <w:szCs w:val="28"/>
        </w:rPr>
        <w:t xml:space="preserve"> </w:t>
      </w:r>
      <w:r w:rsidR="008707D6" w:rsidRPr="00CB66A4">
        <w:rPr>
          <w:rFonts w:ascii="Times New Roman" w:hAnsi="Times New Roman"/>
          <w:b/>
          <w:color w:val="auto"/>
          <w:sz w:val="28"/>
          <w:szCs w:val="28"/>
        </w:rPr>
        <w:t>16</w:t>
      </w:r>
      <w:r w:rsidR="00EF21C2" w:rsidRPr="00CB66A4">
        <w:rPr>
          <w:rFonts w:ascii="Times New Roman" w:hAnsi="Times New Roman"/>
          <w:b/>
          <w:color w:val="auto"/>
          <w:sz w:val="28"/>
          <w:szCs w:val="28"/>
        </w:rPr>
        <w:t xml:space="preserve"> </w:t>
      </w:r>
      <w:r w:rsidR="00F4031C" w:rsidRPr="00CB66A4">
        <w:rPr>
          <w:rFonts w:ascii="Times New Roman" w:hAnsi="Times New Roman"/>
          <w:b/>
          <w:color w:val="auto"/>
          <w:sz w:val="28"/>
          <w:szCs w:val="28"/>
        </w:rPr>
        <w:t>OCTOBER 2018</w:t>
      </w:r>
    </w:p>
    <w:p w14:paraId="2E63B758" w14:textId="77777777" w:rsidR="00E53CC6" w:rsidRPr="00055E35" w:rsidRDefault="00E53CC6" w:rsidP="00DA6AD9">
      <w:pPr>
        <w:spacing w:line="360" w:lineRule="auto"/>
        <w:ind w:left="540"/>
        <w:contextualSpacing/>
        <w:jc w:val="both"/>
        <w:rPr>
          <w:rFonts w:ascii="Times New Roman" w:hAnsi="Times New Roman"/>
          <w:color w:val="auto"/>
          <w:sz w:val="24"/>
          <w:szCs w:val="24"/>
        </w:rPr>
      </w:pPr>
    </w:p>
    <w:p w14:paraId="427D72AD" w14:textId="6F83CEC8" w:rsidR="00E53CC6" w:rsidRPr="00055E35" w:rsidRDefault="00E53CC6" w:rsidP="00DA6AD9">
      <w:pPr>
        <w:spacing w:line="360" w:lineRule="auto"/>
        <w:contextualSpacing/>
        <w:jc w:val="both"/>
        <w:rPr>
          <w:rFonts w:ascii="Times New Roman" w:hAnsi="Times New Roman"/>
          <w:color w:val="auto"/>
          <w:sz w:val="24"/>
          <w:szCs w:val="24"/>
        </w:rPr>
      </w:pPr>
      <w:r w:rsidRPr="00055E35">
        <w:rPr>
          <w:rFonts w:ascii="Times New Roman" w:hAnsi="Times New Roman"/>
          <w:color w:val="auto"/>
          <w:sz w:val="24"/>
          <w:szCs w:val="24"/>
        </w:rPr>
        <w:t>The Standing Committee on Appropriations, having heard briefings a</w:t>
      </w:r>
      <w:r w:rsidR="0041611E" w:rsidRPr="00055E35">
        <w:rPr>
          <w:rFonts w:ascii="Times New Roman" w:hAnsi="Times New Roman"/>
          <w:color w:val="auto"/>
          <w:sz w:val="24"/>
          <w:szCs w:val="24"/>
        </w:rPr>
        <w:t xml:space="preserve">nd </w:t>
      </w:r>
      <w:r w:rsidR="00410309" w:rsidRPr="00055E35">
        <w:rPr>
          <w:rFonts w:ascii="Times New Roman" w:hAnsi="Times New Roman"/>
          <w:color w:val="auto"/>
          <w:sz w:val="24"/>
          <w:szCs w:val="24"/>
        </w:rPr>
        <w:t xml:space="preserve">having </w:t>
      </w:r>
      <w:r w:rsidR="0041611E" w:rsidRPr="00055E35">
        <w:rPr>
          <w:rFonts w:ascii="Times New Roman" w:hAnsi="Times New Roman"/>
          <w:color w:val="auto"/>
          <w:sz w:val="24"/>
          <w:szCs w:val="24"/>
        </w:rPr>
        <w:t xml:space="preserve">considered the </w:t>
      </w:r>
      <w:r w:rsidR="00D45C51" w:rsidRPr="00055E35">
        <w:rPr>
          <w:rFonts w:ascii="Times New Roman" w:hAnsi="Times New Roman"/>
          <w:color w:val="auto"/>
          <w:sz w:val="24"/>
          <w:szCs w:val="24"/>
        </w:rPr>
        <w:t>first quarter expenditure patterns</w:t>
      </w:r>
      <w:r w:rsidR="00936FB6">
        <w:rPr>
          <w:rFonts w:ascii="Times New Roman" w:hAnsi="Times New Roman"/>
          <w:color w:val="auto"/>
          <w:sz w:val="24"/>
          <w:szCs w:val="24"/>
        </w:rPr>
        <w:t xml:space="preserve"> </w:t>
      </w:r>
      <w:r w:rsidR="00936FB6" w:rsidRPr="00936FB6">
        <w:rPr>
          <w:rFonts w:ascii="Times New Roman" w:hAnsi="Times New Roman"/>
          <w:color w:val="auto"/>
          <w:sz w:val="24"/>
          <w:szCs w:val="24"/>
        </w:rPr>
        <w:t>of national departments</w:t>
      </w:r>
      <w:r w:rsidR="00D45C51" w:rsidRPr="00936FB6">
        <w:rPr>
          <w:rFonts w:ascii="Times New Roman" w:hAnsi="Times New Roman"/>
          <w:color w:val="auto"/>
          <w:sz w:val="24"/>
          <w:szCs w:val="24"/>
        </w:rPr>
        <w:t xml:space="preserve"> </w:t>
      </w:r>
      <w:r w:rsidR="00D45C51" w:rsidRPr="00055E35">
        <w:rPr>
          <w:rFonts w:ascii="Times New Roman" w:hAnsi="Times New Roman"/>
          <w:color w:val="auto"/>
          <w:sz w:val="24"/>
          <w:szCs w:val="24"/>
        </w:rPr>
        <w:t>for the 201</w:t>
      </w:r>
      <w:r w:rsidR="00502692" w:rsidRPr="00055E35">
        <w:rPr>
          <w:rFonts w:ascii="Times New Roman" w:hAnsi="Times New Roman"/>
          <w:color w:val="auto"/>
          <w:sz w:val="24"/>
          <w:szCs w:val="24"/>
        </w:rPr>
        <w:t>8</w:t>
      </w:r>
      <w:r w:rsidR="00D45C51" w:rsidRPr="00055E35">
        <w:rPr>
          <w:rFonts w:ascii="Times New Roman" w:hAnsi="Times New Roman"/>
          <w:color w:val="auto"/>
          <w:sz w:val="24"/>
          <w:szCs w:val="24"/>
        </w:rPr>
        <w:t>/1</w:t>
      </w:r>
      <w:r w:rsidR="00502692" w:rsidRPr="00055E35">
        <w:rPr>
          <w:rFonts w:ascii="Times New Roman" w:hAnsi="Times New Roman"/>
          <w:color w:val="auto"/>
          <w:sz w:val="24"/>
          <w:szCs w:val="24"/>
        </w:rPr>
        <w:t>9</w:t>
      </w:r>
      <w:r w:rsidR="00D45C51" w:rsidRPr="00055E35">
        <w:rPr>
          <w:rFonts w:ascii="Times New Roman" w:hAnsi="Times New Roman"/>
          <w:color w:val="auto"/>
          <w:sz w:val="24"/>
          <w:szCs w:val="24"/>
        </w:rPr>
        <w:t xml:space="preserve"> financial year</w:t>
      </w:r>
      <w:r w:rsidRPr="00055E35">
        <w:rPr>
          <w:rFonts w:ascii="Times New Roman" w:hAnsi="Times New Roman"/>
          <w:color w:val="auto"/>
          <w:sz w:val="24"/>
          <w:szCs w:val="24"/>
        </w:rPr>
        <w:t>, reports as follows:</w:t>
      </w:r>
    </w:p>
    <w:p w14:paraId="61A52A2B" w14:textId="77777777" w:rsidR="00E53CC6" w:rsidRPr="00055E35" w:rsidRDefault="00E53CC6" w:rsidP="00DA6AD9">
      <w:pPr>
        <w:spacing w:line="360" w:lineRule="auto"/>
        <w:contextualSpacing/>
        <w:jc w:val="both"/>
        <w:rPr>
          <w:rFonts w:ascii="Times New Roman" w:hAnsi="Times New Roman"/>
          <w:color w:val="auto"/>
          <w:sz w:val="24"/>
          <w:szCs w:val="24"/>
        </w:rPr>
      </w:pPr>
    </w:p>
    <w:p w14:paraId="184F8CDD" w14:textId="77777777" w:rsidR="00E53CC6" w:rsidRPr="00055E35" w:rsidRDefault="00E53CC6" w:rsidP="00DA6AD9">
      <w:pPr>
        <w:numPr>
          <w:ilvl w:val="0"/>
          <w:numId w:val="1"/>
        </w:numPr>
        <w:tabs>
          <w:tab w:val="clear" w:pos="720"/>
          <w:tab w:val="num" w:pos="540"/>
        </w:tabs>
        <w:spacing w:line="360" w:lineRule="auto"/>
        <w:ind w:left="540" w:hanging="540"/>
        <w:contextualSpacing/>
        <w:jc w:val="both"/>
        <w:rPr>
          <w:rFonts w:ascii="Times New Roman" w:hAnsi="Times New Roman"/>
          <w:b/>
          <w:color w:val="auto"/>
          <w:sz w:val="24"/>
          <w:szCs w:val="24"/>
        </w:rPr>
      </w:pPr>
      <w:r w:rsidRPr="00055E35">
        <w:rPr>
          <w:rFonts w:ascii="Times New Roman" w:hAnsi="Times New Roman"/>
          <w:b/>
          <w:color w:val="auto"/>
          <w:sz w:val="24"/>
          <w:szCs w:val="24"/>
        </w:rPr>
        <w:t>Introduction</w:t>
      </w:r>
    </w:p>
    <w:p w14:paraId="3EDBBA93" w14:textId="77777777" w:rsidR="00E53CC6" w:rsidRPr="00055E35" w:rsidRDefault="00E53CC6" w:rsidP="00DA6AD9">
      <w:pPr>
        <w:spacing w:line="360" w:lineRule="auto"/>
        <w:contextualSpacing/>
        <w:jc w:val="both"/>
        <w:rPr>
          <w:rFonts w:ascii="Times New Roman" w:hAnsi="Times New Roman"/>
          <w:color w:val="auto"/>
          <w:sz w:val="24"/>
          <w:szCs w:val="24"/>
        </w:rPr>
      </w:pPr>
    </w:p>
    <w:p w14:paraId="06B90D44" w14:textId="77777777" w:rsidR="00EC682A" w:rsidRPr="00055E35" w:rsidRDefault="004E67B2" w:rsidP="00DA6AD9">
      <w:pPr>
        <w:spacing w:line="360" w:lineRule="auto"/>
        <w:contextualSpacing/>
        <w:jc w:val="both"/>
        <w:rPr>
          <w:rFonts w:ascii="Times New Roman" w:hAnsi="Times New Roman"/>
          <w:color w:val="auto"/>
          <w:sz w:val="24"/>
          <w:szCs w:val="24"/>
        </w:rPr>
      </w:pPr>
      <w:r w:rsidRPr="00055E35">
        <w:rPr>
          <w:rFonts w:ascii="Times New Roman" w:hAnsi="Times New Roman"/>
          <w:color w:val="auto"/>
          <w:sz w:val="24"/>
          <w:szCs w:val="24"/>
        </w:rPr>
        <w:t xml:space="preserve">The Standing Committee on Appropriations (the Committee) was established in terms of section 4(3) of the Money Bills Amendment Procedure and Related Matters Act, No.9 of 2009. The Act requires the Committee to consider and report on spending issues, and on actual expenditure published by the National Treasury. </w:t>
      </w:r>
    </w:p>
    <w:p w14:paraId="2708A389" w14:textId="77777777" w:rsidR="00EC682A" w:rsidRPr="00055E35" w:rsidRDefault="00EC682A" w:rsidP="00DA6AD9">
      <w:pPr>
        <w:spacing w:line="360" w:lineRule="auto"/>
        <w:contextualSpacing/>
        <w:jc w:val="both"/>
        <w:rPr>
          <w:rFonts w:ascii="Times New Roman" w:hAnsi="Times New Roman"/>
          <w:color w:val="auto"/>
          <w:sz w:val="24"/>
          <w:szCs w:val="24"/>
        </w:rPr>
      </w:pPr>
    </w:p>
    <w:p w14:paraId="0E916D66" w14:textId="077CDE3F" w:rsidR="004E67B2" w:rsidRPr="00055E35" w:rsidRDefault="004E67B2" w:rsidP="00DA6AD9">
      <w:pPr>
        <w:spacing w:line="360" w:lineRule="auto"/>
        <w:contextualSpacing/>
        <w:jc w:val="both"/>
        <w:rPr>
          <w:rFonts w:ascii="Times New Roman" w:hAnsi="Times New Roman"/>
          <w:color w:val="auto"/>
          <w:sz w:val="24"/>
          <w:szCs w:val="24"/>
        </w:rPr>
      </w:pPr>
      <w:r w:rsidRPr="00055E35">
        <w:rPr>
          <w:rFonts w:ascii="Times New Roman" w:hAnsi="Times New Roman"/>
          <w:color w:val="auto"/>
          <w:sz w:val="24"/>
          <w:szCs w:val="24"/>
        </w:rPr>
        <w:t>The Committee has adopted a tradition of inviting both National Treasury and the affected departments to account on government spending</w:t>
      </w:r>
      <w:r w:rsidR="00861D7D" w:rsidRPr="00055E35">
        <w:rPr>
          <w:rFonts w:ascii="Times New Roman" w:hAnsi="Times New Roman"/>
          <w:color w:val="auto"/>
          <w:sz w:val="24"/>
          <w:szCs w:val="24"/>
        </w:rPr>
        <w:t xml:space="preserve">. </w:t>
      </w:r>
      <w:r w:rsidRPr="00055E35">
        <w:rPr>
          <w:rFonts w:ascii="Times New Roman" w:hAnsi="Times New Roman"/>
          <w:color w:val="auto"/>
          <w:sz w:val="24"/>
          <w:szCs w:val="24"/>
        </w:rPr>
        <w:t>This consultative approach gives the Committee an opportunity to interrogate departments on their spending with a view to identify and strengthen gaps in public spending. The Committee is established as a strategic centre to flag issues</w:t>
      </w:r>
      <w:r w:rsidR="00936FB6">
        <w:rPr>
          <w:rFonts w:ascii="Times New Roman" w:hAnsi="Times New Roman"/>
          <w:color w:val="auto"/>
          <w:sz w:val="24"/>
          <w:szCs w:val="24"/>
        </w:rPr>
        <w:t>,</w:t>
      </w:r>
      <w:r w:rsidRPr="00055E35">
        <w:rPr>
          <w:rFonts w:ascii="Times New Roman" w:hAnsi="Times New Roman"/>
          <w:color w:val="auto"/>
          <w:sz w:val="24"/>
          <w:szCs w:val="24"/>
        </w:rPr>
        <w:t xml:space="preserve"> which might impact negatively on service delivery through scrutiny of government spending. As such, the Committee has taken a decision to move swiftly towards balancing its expenditure monitoring with actual performance.</w:t>
      </w:r>
    </w:p>
    <w:p w14:paraId="7C1EAD48" w14:textId="77777777" w:rsidR="004E67B2" w:rsidRPr="00055E35" w:rsidRDefault="004E67B2" w:rsidP="00DA6AD9">
      <w:pPr>
        <w:spacing w:line="360" w:lineRule="auto"/>
        <w:ind w:left="360"/>
        <w:contextualSpacing/>
        <w:jc w:val="both"/>
        <w:rPr>
          <w:rFonts w:ascii="Times New Roman" w:hAnsi="Times New Roman"/>
          <w:color w:val="auto"/>
          <w:sz w:val="24"/>
          <w:szCs w:val="24"/>
        </w:rPr>
      </w:pPr>
    </w:p>
    <w:p w14:paraId="6050A873" w14:textId="18E053B6" w:rsidR="00824679" w:rsidRPr="00055E35" w:rsidRDefault="00824679" w:rsidP="00DA6AD9">
      <w:pPr>
        <w:spacing w:line="360" w:lineRule="auto"/>
        <w:contextualSpacing/>
        <w:jc w:val="both"/>
        <w:rPr>
          <w:rFonts w:ascii="Times New Roman" w:hAnsi="Times New Roman"/>
          <w:color w:val="auto"/>
          <w:sz w:val="24"/>
          <w:szCs w:val="24"/>
        </w:rPr>
      </w:pPr>
      <w:r w:rsidRPr="00055E35">
        <w:rPr>
          <w:rFonts w:ascii="Times New Roman" w:hAnsi="Times New Roman"/>
          <w:color w:val="auto"/>
          <w:sz w:val="24"/>
          <w:szCs w:val="24"/>
        </w:rPr>
        <w:t xml:space="preserve">The Committee has also identified the importance of </w:t>
      </w:r>
      <w:r w:rsidR="00145A46" w:rsidRPr="00055E35">
        <w:rPr>
          <w:rFonts w:ascii="Times New Roman" w:hAnsi="Times New Roman"/>
          <w:color w:val="auto"/>
          <w:sz w:val="24"/>
          <w:szCs w:val="24"/>
        </w:rPr>
        <w:t xml:space="preserve">proper </w:t>
      </w:r>
      <w:r w:rsidR="00EC682A" w:rsidRPr="00055E35">
        <w:rPr>
          <w:rFonts w:ascii="Times New Roman" w:hAnsi="Times New Roman"/>
          <w:color w:val="auto"/>
          <w:sz w:val="24"/>
          <w:szCs w:val="24"/>
        </w:rPr>
        <w:t>procurement</w:t>
      </w:r>
      <w:r w:rsidRPr="00055E35">
        <w:rPr>
          <w:rFonts w:ascii="Times New Roman" w:hAnsi="Times New Roman"/>
          <w:color w:val="auto"/>
          <w:sz w:val="24"/>
          <w:szCs w:val="24"/>
        </w:rPr>
        <w:t xml:space="preserve"> planning</w:t>
      </w:r>
      <w:r w:rsidR="00145A46" w:rsidRPr="00055E35">
        <w:rPr>
          <w:rFonts w:ascii="Times New Roman" w:hAnsi="Times New Roman"/>
          <w:color w:val="auto"/>
          <w:sz w:val="24"/>
          <w:szCs w:val="24"/>
        </w:rPr>
        <w:t xml:space="preserve"> and practices</w:t>
      </w:r>
      <w:r w:rsidRPr="00055E35">
        <w:rPr>
          <w:rFonts w:ascii="Times New Roman" w:hAnsi="Times New Roman"/>
          <w:color w:val="auto"/>
          <w:sz w:val="24"/>
          <w:szCs w:val="24"/>
        </w:rPr>
        <w:t xml:space="preserve"> in achieving value for money </w:t>
      </w:r>
      <w:r w:rsidR="00CF0695" w:rsidRPr="00055E35">
        <w:rPr>
          <w:rFonts w:ascii="Times New Roman" w:hAnsi="Times New Roman"/>
          <w:color w:val="auto"/>
          <w:sz w:val="24"/>
          <w:szCs w:val="24"/>
        </w:rPr>
        <w:t xml:space="preserve">in public spending </w:t>
      </w:r>
      <w:r w:rsidRPr="00055E35">
        <w:rPr>
          <w:rFonts w:ascii="Times New Roman" w:hAnsi="Times New Roman"/>
          <w:color w:val="auto"/>
          <w:sz w:val="24"/>
          <w:szCs w:val="24"/>
        </w:rPr>
        <w:t xml:space="preserve">and </w:t>
      </w:r>
      <w:r w:rsidR="00CF0695" w:rsidRPr="00055E35">
        <w:rPr>
          <w:rFonts w:ascii="Times New Roman" w:hAnsi="Times New Roman"/>
          <w:color w:val="auto"/>
          <w:sz w:val="24"/>
          <w:szCs w:val="24"/>
        </w:rPr>
        <w:t>preventing</w:t>
      </w:r>
      <w:r w:rsidRPr="00055E35">
        <w:rPr>
          <w:rFonts w:ascii="Times New Roman" w:hAnsi="Times New Roman"/>
          <w:color w:val="auto"/>
          <w:sz w:val="24"/>
          <w:szCs w:val="24"/>
        </w:rPr>
        <w:t xml:space="preserve"> negative audit findings. The Committee has therefore </w:t>
      </w:r>
      <w:r w:rsidR="00D97012" w:rsidRPr="00055E35">
        <w:rPr>
          <w:rFonts w:ascii="Times New Roman" w:hAnsi="Times New Roman"/>
          <w:color w:val="auto"/>
          <w:sz w:val="24"/>
          <w:szCs w:val="24"/>
        </w:rPr>
        <w:t xml:space="preserve">started a practice of inviting </w:t>
      </w:r>
      <w:r w:rsidR="00BD37D5">
        <w:rPr>
          <w:rFonts w:ascii="Times New Roman" w:hAnsi="Times New Roman"/>
          <w:color w:val="auto"/>
          <w:sz w:val="24"/>
          <w:szCs w:val="24"/>
        </w:rPr>
        <w:t xml:space="preserve">National Treasury </w:t>
      </w:r>
      <w:r w:rsidR="00BD37D5">
        <w:rPr>
          <w:rFonts w:ascii="Times New Roman" w:hAnsi="Times New Roman"/>
          <w:color w:val="auto"/>
          <w:sz w:val="24"/>
          <w:szCs w:val="24"/>
        </w:rPr>
        <w:br/>
        <w:t>(Office of the Chief Procurement Office</w:t>
      </w:r>
      <w:r w:rsidR="00936FB6">
        <w:rPr>
          <w:rFonts w:ascii="Times New Roman" w:hAnsi="Times New Roman"/>
          <w:color w:val="auto"/>
          <w:sz w:val="24"/>
          <w:szCs w:val="24"/>
        </w:rPr>
        <w:t>r</w:t>
      </w:r>
      <w:r w:rsidR="00BD37D5">
        <w:rPr>
          <w:rFonts w:ascii="Times New Roman" w:hAnsi="Times New Roman"/>
          <w:color w:val="auto"/>
          <w:sz w:val="24"/>
          <w:szCs w:val="24"/>
        </w:rPr>
        <w:t xml:space="preserve">)  </w:t>
      </w:r>
      <w:r w:rsidRPr="00055E35">
        <w:rPr>
          <w:rFonts w:ascii="Times New Roman" w:hAnsi="Times New Roman"/>
          <w:color w:val="auto"/>
          <w:sz w:val="24"/>
          <w:szCs w:val="24"/>
        </w:rPr>
        <w:t xml:space="preserve">to report </w:t>
      </w:r>
      <w:r w:rsidR="00EC682A" w:rsidRPr="00055E35">
        <w:rPr>
          <w:rFonts w:ascii="Times New Roman" w:hAnsi="Times New Roman"/>
          <w:color w:val="auto"/>
          <w:sz w:val="24"/>
          <w:szCs w:val="24"/>
        </w:rPr>
        <w:t xml:space="preserve">quarterly </w:t>
      </w:r>
      <w:r w:rsidRPr="00055E35">
        <w:rPr>
          <w:rFonts w:ascii="Times New Roman" w:hAnsi="Times New Roman"/>
          <w:color w:val="auto"/>
          <w:sz w:val="24"/>
          <w:szCs w:val="24"/>
        </w:rPr>
        <w:t xml:space="preserve">on </w:t>
      </w:r>
      <w:r w:rsidR="00377BFD" w:rsidRPr="00055E35">
        <w:rPr>
          <w:rFonts w:ascii="Times New Roman" w:hAnsi="Times New Roman"/>
          <w:color w:val="auto"/>
          <w:sz w:val="24"/>
          <w:szCs w:val="24"/>
        </w:rPr>
        <w:t xml:space="preserve">procurement </w:t>
      </w:r>
      <w:r w:rsidRPr="00055E35">
        <w:rPr>
          <w:rFonts w:ascii="Times New Roman" w:hAnsi="Times New Roman"/>
          <w:color w:val="auto"/>
          <w:sz w:val="24"/>
          <w:szCs w:val="24"/>
        </w:rPr>
        <w:t xml:space="preserve">deviations and expansions </w:t>
      </w:r>
      <w:r w:rsidR="00377BFD" w:rsidRPr="00055E35">
        <w:rPr>
          <w:rFonts w:ascii="Times New Roman" w:hAnsi="Times New Roman"/>
          <w:color w:val="auto"/>
          <w:sz w:val="24"/>
          <w:szCs w:val="24"/>
        </w:rPr>
        <w:t xml:space="preserve">in order to flag departments or entities </w:t>
      </w:r>
      <w:r w:rsidR="0038640D" w:rsidRPr="00055E35">
        <w:rPr>
          <w:rFonts w:ascii="Times New Roman" w:hAnsi="Times New Roman"/>
          <w:color w:val="auto"/>
          <w:sz w:val="24"/>
          <w:szCs w:val="24"/>
        </w:rPr>
        <w:t xml:space="preserve">with procurement challenges.  </w:t>
      </w:r>
      <w:r w:rsidR="00D97012" w:rsidRPr="00055E35">
        <w:rPr>
          <w:rFonts w:ascii="Times New Roman" w:hAnsi="Times New Roman"/>
          <w:color w:val="auto"/>
          <w:sz w:val="24"/>
          <w:szCs w:val="24"/>
        </w:rPr>
        <w:t xml:space="preserve">The Committee is of the view that this will also help improve transparency and </w:t>
      </w:r>
      <w:r w:rsidR="00DD6F18" w:rsidRPr="00055E35">
        <w:rPr>
          <w:rFonts w:ascii="Times New Roman" w:hAnsi="Times New Roman"/>
          <w:color w:val="auto"/>
          <w:sz w:val="24"/>
          <w:szCs w:val="24"/>
        </w:rPr>
        <w:t xml:space="preserve">accountability in the procurement of goods and services. </w:t>
      </w:r>
      <w:r w:rsidR="00D97012" w:rsidRPr="00055E35">
        <w:rPr>
          <w:rFonts w:ascii="Times New Roman" w:hAnsi="Times New Roman"/>
          <w:color w:val="auto"/>
          <w:sz w:val="24"/>
          <w:szCs w:val="24"/>
        </w:rPr>
        <w:t xml:space="preserve"> </w:t>
      </w:r>
    </w:p>
    <w:p w14:paraId="3F375D33" w14:textId="77777777" w:rsidR="00824679" w:rsidRPr="00055E35" w:rsidRDefault="00824679" w:rsidP="00DA6AD9">
      <w:pPr>
        <w:spacing w:line="360" w:lineRule="auto"/>
        <w:contextualSpacing/>
        <w:jc w:val="both"/>
        <w:rPr>
          <w:rFonts w:ascii="Times New Roman" w:hAnsi="Times New Roman"/>
          <w:color w:val="auto"/>
          <w:sz w:val="24"/>
          <w:szCs w:val="24"/>
        </w:rPr>
      </w:pPr>
    </w:p>
    <w:p w14:paraId="3FEA8B15" w14:textId="318BF98C" w:rsidR="004E67B2" w:rsidRPr="00055E35" w:rsidRDefault="001D69FE" w:rsidP="00DA6AD9">
      <w:pPr>
        <w:spacing w:line="360" w:lineRule="auto"/>
        <w:contextualSpacing/>
        <w:jc w:val="both"/>
        <w:rPr>
          <w:rFonts w:ascii="Times New Roman" w:hAnsi="Times New Roman"/>
          <w:color w:val="auto"/>
          <w:sz w:val="24"/>
          <w:szCs w:val="24"/>
        </w:rPr>
      </w:pPr>
      <w:r>
        <w:rPr>
          <w:rFonts w:ascii="Times New Roman" w:hAnsi="Times New Roman"/>
          <w:color w:val="auto"/>
          <w:sz w:val="24"/>
          <w:szCs w:val="24"/>
        </w:rPr>
        <w:t xml:space="preserve">This report provides an </w:t>
      </w:r>
      <w:r w:rsidR="004E67B2" w:rsidRPr="00055E35">
        <w:rPr>
          <w:rFonts w:ascii="Times New Roman" w:hAnsi="Times New Roman"/>
          <w:color w:val="auto"/>
          <w:sz w:val="24"/>
          <w:szCs w:val="24"/>
        </w:rPr>
        <w:t xml:space="preserve">overview of government spending for the period </w:t>
      </w:r>
      <w:r w:rsidR="00861D7D" w:rsidRPr="00055E35">
        <w:rPr>
          <w:rFonts w:ascii="Times New Roman" w:hAnsi="Times New Roman"/>
          <w:color w:val="auto"/>
          <w:sz w:val="24"/>
          <w:szCs w:val="24"/>
        </w:rPr>
        <w:t>1 April 201</w:t>
      </w:r>
      <w:r w:rsidR="00502692" w:rsidRPr="00055E35">
        <w:rPr>
          <w:rFonts w:ascii="Times New Roman" w:hAnsi="Times New Roman"/>
          <w:color w:val="auto"/>
          <w:sz w:val="24"/>
          <w:szCs w:val="24"/>
        </w:rPr>
        <w:t>8 to 30 June 2018</w:t>
      </w:r>
      <w:r>
        <w:rPr>
          <w:rFonts w:ascii="Times New Roman" w:hAnsi="Times New Roman"/>
          <w:color w:val="auto"/>
          <w:sz w:val="24"/>
          <w:szCs w:val="24"/>
        </w:rPr>
        <w:t xml:space="preserve"> and also an overview of </w:t>
      </w:r>
      <w:r w:rsidRPr="00055E35">
        <w:rPr>
          <w:rFonts w:ascii="Times New Roman" w:hAnsi="Times New Roman"/>
          <w:color w:val="auto"/>
          <w:sz w:val="24"/>
          <w:szCs w:val="24"/>
        </w:rPr>
        <w:t>departments or entities that requested approval for a high number of deviations from National Treasury during the</w:t>
      </w:r>
      <w:r>
        <w:rPr>
          <w:rFonts w:ascii="Times New Roman" w:hAnsi="Times New Roman"/>
          <w:color w:val="auto"/>
          <w:sz w:val="24"/>
          <w:szCs w:val="24"/>
        </w:rPr>
        <w:t xml:space="preserve"> same period.</w:t>
      </w:r>
      <w:r w:rsidR="00861D7D" w:rsidRPr="00055E35">
        <w:rPr>
          <w:rFonts w:ascii="Times New Roman" w:hAnsi="Times New Roman"/>
          <w:color w:val="auto"/>
          <w:sz w:val="24"/>
          <w:szCs w:val="24"/>
        </w:rPr>
        <w:t xml:space="preserve"> </w:t>
      </w:r>
      <w:r w:rsidR="0041611E" w:rsidRPr="00055E35">
        <w:rPr>
          <w:rFonts w:ascii="Times New Roman" w:hAnsi="Times New Roman"/>
          <w:color w:val="auto"/>
          <w:sz w:val="24"/>
          <w:szCs w:val="24"/>
        </w:rPr>
        <w:t xml:space="preserve"> </w:t>
      </w:r>
      <w:r w:rsidR="004E67B2" w:rsidRPr="00055E35">
        <w:rPr>
          <w:rFonts w:ascii="Times New Roman" w:hAnsi="Times New Roman"/>
          <w:color w:val="auto"/>
          <w:sz w:val="24"/>
          <w:szCs w:val="24"/>
        </w:rPr>
        <w:t xml:space="preserve"> It </w:t>
      </w:r>
      <w:r w:rsidR="00761FE5" w:rsidRPr="00055E35">
        <w:rPr>
          <w:rFonts w:ascii="Times New Roman" w:hAnsi="Times New Roman"/>
          <w:color w:val="auto"/>
          <w:sz w:val="24"/>
          <w:szCs w:val="24"/>
        </w:rPr>
        <w:lastRenderedPageBreak/>
        <w:t>highlights</w:t>
      </w:r>
      <w:r w:rsidR="004E67B2" w:rsidRPr="00055E35">
        <w:rPr>
          <w:rFonts w:ascii="Times New Roman" w:hAnsi="Times New Roman"/>
          <w:color w:val="auto"/>
          <w:sz w:val="24"/>
          <w:szCs w:val="24"/>
        </w:rPr>
        <w:t xml:space="preserve"> spending patterns of national departments and draw</w:t>
      </w:r>
      <w:r w:rsidR="00936FB6">
        <w:rPr>
          <w:rFonts w:ascii="Times New Roman" w:hAnsi="Times New Roman"/>
          <w:color w:val="auto"/>
          <w:sz w:val="24"/>
          <w:szCs w:val="24"/>
        </w:rPr>
        <w:t>s</w:t>
      </w:r>
      <w:r w:rsidR="004E67B2" w:rsidRPr="00055E35">
        <w:rPr>
          <w:rFonts w:ascii="Times New Roman" w:hAnsi="Times New Roman"/>
          <w:color w:val="auto"/>
          <w:sz w:val="24"/>
          <w:szCs w:val="24"/>
        </w:rPr>
        <w:t xml:space="preserve"> the attention of Parliament and the Executive to findings and recommendations made for improved public spending</w:t>
      </w:r>
      <w:r w:rsidR="004B23A6" w:rsidRPr="00055E35">
        <w:rPr>
          <w:rFonts w:ascii="Times New Roman" w:hAnsi="Times New Roman"/>
          <w:color w:val="auto"/>
          <w:sz w:val="24"/>
          <w:szCs w:val="24"/>
        </w:rPr>
        <w:t xml:space="preserve"> performance</w:t>
      </w:r>
      <w:r w:rsidR="004E67B2" w:rsidRPr="00055E35">
        <w:rPr>
          <w:rFonts w:ascii="Times New Roman" w:hAnsi="Times New Roman"/>
          <w:color w:val="auto"/>
          <w:sz w:val="24"/>
          <w:szCs w:val="24"/>
        </w:rPr>
        <w:t xml:space="preserve">. </w:t>
      </w:r>
    </w:p>
    <w:p w14:paraId="23E67C12" w14:textId="77777777" w:rsidR="00EE0A72" w:rsidRPr="00055E35" w:rsidRDefault="00EE0A72" w:rsidP="00DA6AD9">
      <w:pPr>
        <w:spacing w:line="360" w:lineRule="auto"/>
        <w:contextualSpacing/>
        <w:jc w:val="both"/>
        <w:rPr>
          <w:rFonts w:ascii="Times New Roman" w:hAnsi="Times New Roman"/>
          <w:color w:val="auto"/>
          <w:sz w:val="24"/>
          <w:szCs w:val="24"/>
        </w:rPr>
      </w:pPr>
    </w:p>
    <w:p w14:paraId="5C329767" w14:textId="77777777" w:rsidR="007B2C6A" w:rsidRPr="00055E35" w:rsidRDefault="007B2C6A" w:rsidP="00DA6AD9">
      <w:pPr>
        <w:numPr>
          <w:ilvl w:val="0"/>
          <w:numId w:val="1"/>
        </w:numPr>
        <w:tabs>
          <w:tab w:val="clear" w:pos="720"/>
          <w:tab w:val="num" w:pos="540"/>
        </w:tabs>
        <w:spacing w:line="360" w:lineRule="auto"/>
        <w:ind w:hanging="720"/>
        <w:contextualSpacing/>
        <w:jc w:val="both"/>
        <w:rPr>
          <w:rFonts w:ascii="Times New Roman" w:hAnsi="Times New Roman"/>
          <w:b/>
          <w:color w:val="auto"/>
          <w:sz w:val="24"/>
          <w:szCs w:val="24"/>
        </w:rPr>
      </w:pPr>
      <w:r w:rsidRPr="00055E35">
        <w:rPr>
          <w:rFonts w:ascii="Times New Roman" w:hAnsi="Times New Roman"/>
          <w:b/>
          <w:color w:val="auto"/>
          <w:sz w:val="24"/>
          <w:szCs w:val="24"/>
        </w:rPr>
        <w:t xml:space="preserve">Expenditure Overview </w:t>
      </w:r>
    </w:p>
    <w:p w14:paraId="46D91F91" w14:textId="77777777" w:rsidR="005915E7" w:rsidRDefault="005915E7" w:rsidP="00DA6AD9">
      <w:pPr>
        <w:spacing w:line="360" w:lineRule="auto"/>
        <w:contextualSpacing/>
        <w:jc w:val="both"/>
        <w:rPr>
          <w:rFonts w:ascii="Times New Roman" w:hAnsi="Times New Roman"/>
          <w:color w:val="auto"/>
          <w:sz w:val="24"/>
          <w:szCs w:val="24"/>
        </w:rPr>
      </w:pPr>
    </w:p>
    <w:p w14:paraId="0FD96D75" w14:textId="3FC36A7D" w:rsidR="00EE0A72" w:rsidRPr="00055E35" w:rsidRDefault="00EE0A72" w:rsidP="00DA6AD9">
      <w:pPr>
        <w:spacing w:line="360" w:lineRule="auto"/>
        <w:contextualSpacing/>
        <w:jc w:val="both"/>
        <w:rPr>
          <w:rFonts w:ascii="Times New Roman" w:hAnsi="Times New Roman"/>
          <w:color w:val="auto"/>
          <w:sz w:val="24"/>
          <w:szCs w:val="24"/>
        </w:rPr>
      </w:pPr>
      <w:r w:rsidRPr="00055E35">
        <w:rPr>
          <w:rFonts w:ascii="Times New Roman" w:hAnsi="Times New Roman"/>
          <w:color w:val="auto"/>
          <w:sz w:val="24"/>
          <w:szCs w:val="24"/>
        </w:rPr>
        <w:t>As at the end of the first quarter of the 2018/19 financial year, departments have spent R177.9 billion or 21.9 per cent of the available budget of R812.6 billion. This translates to an underspending of R9.9 billion or 5.3 per cent</w:t>
      </w:r>
      <w:r w:rsidR="00936FB6">
        <w:rPr>
          <w:rFonts w:ascii="Times New Roman" w:hAnsi="Times New Roman"/>
          <w:color w:val="auto"/>
          <w:sz w:val="24"/>
          <w:szCs w:val="24"/>
        </w:rPr>
        <w:t xml:space="preserve"> of the </w:t>
      </w:r>
      <w:r w:rsidR="00761FE5">
        <w:rPr>
          <w:rFonts w:ascii="Times New Roman" w:hAnsi="Times New Roman"/>
          <w:color w:val="auto"/>
          <w:sz w:val="24"/>
          <w:szCs w:val="24"/>
        </w:rPr>
        <w:t>R187.8 b</w:t>
      </w:r>
      <w:r w:rsidR="00936FB6" w:rsidRPr="00936FB6">
        <w:rPr>
          <w:rFonts w:ascii="Times New Roman" w:hAnsi="Times New Roman"/>
          <w:color w:val="auto"/>
          <w:sz w:val="24"/>
          <w:szCs w:val="24"/>
        </w:rPr>
        <w:t>illion projected expenditure for the first quarter of the 2018/19 financial year.</w:t>
      </w:r>
    </w:p>
    <w:p w14:paraId="4EAC14BC" w14:textId="77777777" w:rsidR="00BD37D5" w:rsidRDefault="00BD37D5" w:rsidP="00DA6AD9">
      <w:pPr>
        <w:spacing w:line="360" w:lineRule="auto"/>
        <w:contextualSpacing/>
        <w:jc w:val="both"/>
        <w:rPr>
          <w:rFonts w:ascii="Times New Roman" w:hAnsi="Times New Roman"/>
          <w:color w:val="auto"/>
          <w:sz w:val="24"/>
          <w:szCs w:val="24"/>
        </w:rPr>
      </w:pPr>
    </w:p>
    <w:p w14:paraId="2348EADC" w14:textId="4A5549A3" w:rsidR="00EE0A72" w:rsidRDefault="001E72E8" w:rsidP="00DA6AD9">
      <w:pPr>
        <w:spacing w:line="360" w:lineRule="auto"/>
        <w:contextualSpacing/>
        <w:jc w:val="both"/>
        <w:rPr>
          <w:rFonts w:ascii="Times New Roman" w:hAnsi="Times New Roman"/>
          <w:color w:val="auto"/>
          <w:sz w:val="24"/>
          <w:szCs w:val="24"/>
        </w:rPr>
      </w:pPr>
      <w:r w:rsidRPr="00055E35">
        <w:rPr>
          <w:rFonts w:ascii="Times New Roman" w:hAnsi="Times New Roman"/>
          <w:color w:val="auto"/>
          <w:sz w:val="24"/>
          <w:szCs w:val="24"/>
        </w:rPr>
        <w:t>Table 1 below shows the budget and expenditure per vote allocation for the first quarter of the 2018/19 financial year.</w:t>
      </w:r>
    </w:p>
    <w:p w14:paraId="44F6C024" w14:textId="309F869D" w:rsidR="00936FB6" w:rsidRDefault="00936FB6" w:rsidP="00DA6AD9">
      <w:pPr>
        <w:spacing w:line="360" w:lineRule="auto"/>
        <w:contextualSpacing/>
        <w:jc w:val="both"/>
        <w:rPr>
          <w:rFonts w:ascii="Times New Roman" w:hAnsi="Times New Roman"/>
          <w:color w:val="auto"/>
          <w:sz w:val="24"/>
          <w:szCs w:val="24"/>
        </w:rPr>
      </w:pPr>
    </w:p>
    <w:p w14:paraId="72FC14CA" w14:textId="60DA7C14" w:rsidR="00936FB6" w:rsidRPr="00055E35" w:rsidRDefault="00936FB6" w:rsidP="00DA6AD9">
      <w:pPr>
        <w:spacing w:line="360" w:lineRule="auto"/>
        <w:contextualSpacing/>
        <w:jc w:val="both"/>
        <w:rPr>
          <w:rFonts w:ascii="Times New Roman" w:hAnsi="Times New Roman"/>
          <w:color w:val="auto"/>
          <w:sz w:val="24"/>
          <w:szCs w:val="24"/>
        </w:rPr>
      </w:pPr>
      <w:r>
        <w:rPr>
          <w:rFonts w:ascii="Times New Roman" w:hAnsi="Times New Roman"/>
          <w:color w:val="auto"/>
          <w:sz w:val="24"/>
          <w:szCs w:val="24"/>
        </w:rPr>
        <w:t>Table 1: Budget and Expenditure Summary by V</w:t>
      </w:r>
      <w:r w:rsidRPr="00936FB6">
        <w:rPr>
          <w:rFonts w:ascii="Times New Roman" w:hAnsi="Times New Roman"/>
          <w:color w:val="auto"/>
          <w:sz w:val="24"/>
          <w:szCs w:val="24"/>
        </w:rPr>
        <w:t>ote for the 1st Quarter of 2018/19</w:t>
      </w:r>
    </w:p>
    <w:tbl>
      <w:tblPr>
        <w:tblW w:w="5000" w:type="pct"/>
        <w:tblLook w:val="0000" w:firstRow="0" w:lastRow="0" w:firstColumn="0" w:lastColumn="0" w:noHBand="0" w:noVBand="0"/>
      </w:tblPr>
      <w:tblGrid>
        <w:gridCol w:w="521"/>
        <w:gridCol w:w="2467"/>
        <w:gridCol w:w="266"/>
        <w:gridCol w:w="745"/>
        <w:gridCol w:w="775"/>
        <w:gridCol w:w="891"/>
        <w:gridCol w:w="904"/>
        <w:gridCol w:w="891"/>
        <w:gridCol w:w="891"/>
        <w:gridCol w:w="891"/>
      </w:tblGrid>
      <w:tr w:rsidR="00391181" w:rsidRPr="00055E35" w14:paraId="5DCEBDB3" w14:textId="77777777" w:rsidTr="004F0E15">
        <w:trPr>
          <w:trHeight w:val="43"/>
        </w:trPr>
        <w:tc>
          <w:tcPr>
            <w:tcW w:w="1637" w:type="pct"/>
            <w:gridSpan w:val="2"/>
            <w:tcBorders>
              <w:top w:val="single" w:sz="12" w:space="0" w:color="993300"/>
              <w:left w:val="nil"/>
              <w:bottom w:val="single" w:sz="6" w:space="0" w:color="auto"/>
              <w:right w:val="nil"/>
            </w:tcBorders>
            <w:shd w:val="solid" w:color="FFFFFF" w:fill="auto"/>
            <w:vAlign w:val="bottom"/>
          </w:tcPr>
          <w:p w14:paraId="3F66CD18"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bookmarkStart w:id="1" w:name="table5"/>
            <w:bookmarkEnd w:id="1"/>
            <w:r w:rsidRPr="00055E35">
              <w:rPr>
                <w:rFonts w:ascii="Arial Narrow" w:hAnsi="Arial Narrow" w:cs="Arial Narrow"/>
                <w:color w:val="auto"/>
                <w:sz w:val="14"/>
                <w:szCs w:val="14"/>
                <w:lang w:val="en-ZA"/>
              </w:rPr>
              <w:t>R million</w:t>
            </w:r>
          </w:p>
        </w:tc>
        <w:tc>
          <w:tcPr>
            <w:tcW w:w="472" w:type="pct"/>
            <w:gridSpan w:val="2"/>
            <w:tcBorders>
              <w:top w:val="single" w:sz="12" w:space="0" w:color="993300"/>
              <w:left w:val="nil"/>
              <w:bottom w:val="single" w:sz="6" w:space="0" w:color="auto"/>
              <w:right w:val="nil"/>
            </w:tcBorders>
            <w:shd w:val="solid" w:color="FFFFFF" w:fill="auto"/>
            <w:vAlign w:val="bottom"/>
          </w:tcPr>
          <w:p w14:paraId="65D6DD05" w14:textId="77777777" w:rsidR="00391181" w:rsidRPr="00055E35" w:rsidRDefault="00391181" w:rsidP="00DA6AD9">
            <w:pPr>
              <w:autoSpaceDE w:val="0"/>
              <w:autoSpaceDN w:val="0"/>
              <w:adjustRightInd w:val="0"/>
              <w:spacing w:line="360" w:lineRule="auto"/>
              <w:ind w:left="-99" w:right="57"/>
              <w:contextualSpacing/>
              <w:jc w:val="right"/>
              <w:rPr>
                <w:rFonts w:ascii="Arial Narrow" w:hAnsi="Arial Narrow" w:cs="Arial Narrow"/>
                <w:b/>
                <w:bCs/>
                <w:color w:val="auto"/>
                <w:sz w:val="14"/>
                <w:szCs w:val="14"/>
                <w:lang w:val="en-ZA"/>
              </w:rPr>
            </w:pPr>
            <w:r w:rsidRPr="00055E35">
              <w:rPr>
                <w:rFonts w:ascii="Arial Narrow" w:hAnsi="Arial Narrow" w:cs="Arial Narrow"/>
                <w:b/>
                <w:bCs/>
                <w:color w:val="auto"/>
                <w:sz w:val="14"/>
                <w:szCs w:val="14"/>
                <w:lang w:val="en-ZA"/>
              </w:rPr>
              <w:t xml:space="preserve"> Main Appropriation </w:t>
            </w:r>
          </w:p>
        </w:tc>
        <w:tc>
          <w:tcPr>
            <w:tcW w:w="477" w:type="pct"/>
            <w:tcBorders>
              <w:top w:val="single" w:sz="12" w:space="0" w:color="993300"/>
              <w:left w:val="nil"/>
              <w:bottom w:val="single" w:sz="6" w:space="0" w:color="auto"/>
              <w:right w:val="nil"/>
            </w:tcBorders>
            <w:shd w:val="solid" w:color="FFFFFF" w:fill="auto"/>
            <w:vAlign w:val="bottom"/>
          </w:tcPr>
          <w:p w14:paraId="7EE9F7B5" w14:textId="77777777" w:rsidR="00391181" w:rsidRPr="00055E35" w:rsidRDefault="00391181" w:rsidP="00DA6AD9">
            <w:pPr>
              <w:autoSpaceDE w:val="0"/>
              <w:autoSpaceDN w:val="0"/>
              <w:adjustRightInd w:val="0"/>
              <w:spacing w:line="360" w:lineRule="auto"/>
              <w:ind w:left="-99" w:right="57"/>
              <w:contextualSpacing/>
              <w:jc w:val="right"/>
              <w:rPr>
                <w:rFonts w:ascii="Arial Narrow" w:hAnsi="Arial Narrow" w:cs="Arial Narrow"/>
                <w:b/>
                <w:bCs/>
                <w:color w:val="auto"/>
                <w:sz w:val="14"/>
                <w:szCs w:val="14"/>
                <w:lang w:val="en-ZA"/>
              </w:rPr>
            </w:pPr>
            <w:r w:rsidRPr="00055E35">
              <w:rPr>
                <w:rFonts w:ascii="Arial Narrow" w:hAnsi="Arial Narrow" w:cs="Arial Narrow"/>
                <w:b/>
                <w:bCs/>
                <w:color w:val="auto"/>
                <w:sz w:val="14"/>
                <w:szCs w:val="14"/>
                <w:lang w:val="en-ZA"/>
              </w:rPr>
              <w:t>Available Budget</w:t>
            </w:r>
          </w:p>
        </w:tc>
        <w:tc>
          <w:tcPr>
            <w:tcW w:w="455" w:type="pct"/>
            <w:tcBorders>
              <w:top w:val="single" w:sz="12" w:space="0" w:color="993300"/>
              <w:left w:val="nil"/>
              <w:bottom w:val="single" w:sz="6" w:space="0" w:color="auto"/>
              <w:right w:val="nil"/>
            </w:tcBorders>
            <w:shd w:val="solid" w:color="FFFFFF" w:fill="auto"/>
            <w:vAlign w:val="bottom"/>
          </w:tcPr>
          <w:p w14:paraId="70D0D45C" w14:textId="77777777" w:rsidR="00391181" w:rsidRPr="00055E35" w:rsidRDefault="00391181" w:rsidP="00DA6AD9">
            <w:pPr>
              <w:autoSpaceDE w:val="0"/>
              <w:autoSpaceDN w:val="0"/>
              <w:adjustRightInd w:val="0"/>
              <w:spacing w:line="360" w:lineRule="auto"/>
              <w:ind w:left="-99" w:right="57"/>
              <w:contextualSpacing/>
              <w:jc w:val="right"/>
              <w:rPr>
                <w:rFonts w:ascii="Arial Narrow" w:hAnsi="Arial Narrow" w:cs="Arial Narrow"/>
                <w:b/>
                <w:bCs/>
                <w:color w:val="auto"/>
                <w:sz w:val="14"/>
                <w:szCs w:val="14"/>
                <w:lang w:val="en-ZA"/>
              </w:rPr>
            </w:pPr>
            <w:r w:rsidRPr="00055E35">
              <w:rPr>
                <w:rFonts w:ascii="Arial Narrow" w:hAnsi="Arial Narrow" w:cs="Arial Narrow"/>
                <w:b/>
                <w:bCs/>
                <w:color w:val="auto"/>
                <w:sz w:val="14"/>
                <w:szCs w:val="14"/>
                <w:lang w:val="en-ZA"/>
              </w:rPr>
              <w:t>Q1 Actual expenditure</w:t>
            </w:r>
          </w:p>
        </w:tc>
        <w:tc>
          <w:tcPr>
            <w:tcW w:w="496" w:type="pct"/>
            <w:tcBorders>
              <w:top w:val="single" w:sz="12" w:space="0" w:color="993300"/>
              <w:left w:val="nil"/>
              <w:bottom w:val="single" w:sz="6" w:space="0" w:color="auto"/>
              <w:right w:val="nil"/>
            </w:tcBorders>
            <w:shd w:val="solid" w:color="FFFFFF" w:fill="auto"/>
            <w:vAlign w:val="bottom"/>
          </w:tcPr>
          <w:p w14:paraId="166FC622" w14:textId="77777777" w:rsidR="00391181" w:rsidRPr="00055E35" w:rsidRDefault="00391181" w:rsidP="00DA6AD9">
            <w:pPr>
              <w:autoSpaceDE w:val="0"/>
              <w:autoSpaceDN w:val="0"/>
              <w:adjustRightInd w:val="0"/>
              <w:spacing w:line="360" w:lineRule="auto"/>
              <w:ind w:left="-99" w:right="57"/>
              <w:contextualSpacing/>
              <w:jc w:val="right"/>
              <w:rPr>
                <w:rFonts w:ascii="Arial Narrow" w:hAnsi="Arial Narrow" w:cs="Arial Narrow"/>
                <w:b/>
                <w:bCs/>
                <w:color w:val="auto"/>
                <w:sz w:val="14"/>
                <w:szCs w:val="14"/>
                <w:lang w:val="en-ZA"/>
              </w:rPr>
            </w:pPr>
            <w:r w:rsidRPr="00055E35">
              <w:rPr>
                <w:rFonts w:ascii="Arial Narrow" w:hAnsi="Arial Narrow" w:cs="Arial Narrow"/>
                <w:b/>
                <w:bCs/>
                <w:color w:val="auto"/>
                <w:sz w:val="14"/>
                <w:szCs w:val="14"/>
                <w:lang w:val="en-ZA"/>
              </w:rPr>
              <w:t>Expenditure as % of Available Budget</w:t>
            </w:r>
          </w:p>
        </w:tc>
        <w:tc>
          <w:tcPr>
            <w:tcW w:w="447" w:type="pct"/>
            <w:tcBorders>
              <w:top w:val="single" w:sz="12" w:space="0" w:color="993300"/>
              <w:left w:val="nil"/>
              <w:bottom w:val="single" w:sz="6" w:space="0" w:color="auto"/>
              <w:right w:val="nil"/>
            </w:tcBorders>
            <w:shd w:val="solid" w:color="FFFFFF" w:fill="auto"/>
            <w:vAlign w:val="bottom"/>
          </w:tcPr>
          <w:p w14:paraId="5910D1CE" w14:textId="77777777" w:rsidR="00391181" w:rsidRPr="00055E35" w:rsidRDefault="00391181" w:rsidP="00DA6AD9">
            <w:pPr>
              <w:autoSpaceDE w:val="0"/>
              <w:autoSpaceDN w:val="0"/>
              <w:adjustRightInd w:val="0"/>
              <w:spacing w:line="360" w:lineRule="auto"/>
              <w:ind w:left="-99" w:right="57"/>
              <w:contextualSpacing/>
              <w:jc w:val="right"/>
              <w:rPr>
                <w:rFonts w:ascii="Arial Narrow" w:hAnsi="Arial Narrow" w:cs="Arial Narrow"/>
                <w:b/>
                <w:bCs/>
                <w:color w:val="auto"/>
                <w:sz w:val="14"/>
                <w:szCs w:val="14"/>
                <w:lang w:val="en-ZA"/>
              </w:rPr>
            </w:pPr>
            <w:r w:rsidRPr="00055E35">
              <w:rPr>
                <w:rFonts w:ascii="Arial Narrow" w:hAnsi="Arial Narrow" w:cs="Arial Narrow"/>
                <w:b/>
                <w:bCs/>
                <w:color w:val="auto"/>
                <w:sz w:val="14"/>
                <w:szCs w:val="14"/>
                <w:lang w:val="en-ZA"/>
              </w:rPr>
              <w:t>Q1 Projected expenditure</w:t>
            </w:r>
          </w:p>
        </w:tc>
        <w:tc>
          <w:tcPr>
            <w:tcW w:w="496" w:type="pct"/>
            <w:tcBorders>
              <w:top w:val="single" w:sz="12" w:space="0" w:color="993300"/>
              <w:left w:val="nil"/>
              <w:bottom w:val="single" w:sz="6" w:space="0" w:color="auto"/>
              <w:right w:val="nil"/>
            </w:tcBorders>
            <w:shd w:val="solid" w:color="FFFFFF" w:fill="auto"/>
            <w:vAlign w:val="bottom"/>
          </w:tcPr>
          <w:p w14:paraId="754DA24D" w14:textId="77777777" w:rsidR="00391181" w:rsidRPr="00055E35" w:rsidRDefault="00391181" w:rsidP="00DA6AD9">
            <w:pPr>
              <w:autoSpaceDE w:val="0"/>
              <w:autoSpaceDN w:val="0"/>
              <w:adjustRightInd w:val="0"/>
              <w:spacing w:line="360" w:lineRule="auto"/>
              <w:ind w:left="-99" w:right="57"/>
              <w:contextualSpacing/>
              <w:jc w:val="right"/>
              <w:rPr>
                <w:rFonts w:ascii="Arial Narrow" w:hAnsi="Arial Narrow" w:cs="Arial Narrow"/>
                <w:b/>
                <w:bCs/>
                <w:color w:val="auto"/>
                <w:sz w:val="14"/>
                <w:szCs w:val="14"/>
                <w:lang w:val="en-ZA"/>
              </w:rPr>
            </w:pPr>
            <w:r w:rsidRPr="00055E35">
              <w:rPr>
                <w:rFonts w:ascii="Arial Narrow" w:hAnsi="Arial Narrow" w:cs="Arial Narrow"/>
                <w:b/>
                <w:bCs/>
                <w:color w:val="auto"/>
                <w:sz w:val="14"/>
                <w:szCs w:val="14"/>
                <w:lang w:val="en-ZA"/>
              </w:rPr>
              <w:t>Variance from projected expenditure</w:t>
            </w:r>
          </w:p>
        </w:tc>
        <w:tc>
          <w:tcPr>
            <w:tcW w:w="520" w:type="pct"/>
            <w:tcBorders>
              <w:top w:val="single" w:sz="12" w:space="0" w:color="993300"/>
              <w:left w:val="nil"/>
              <w:bottom w:val="single" w:sz="6" w:space="0" w:color="auto"/>
              <w:right w:val="nil"/>
            </w:tcBorders>
            <w:shd w:val="solid" w:color="FFFFFF" w:fill="auto"/>
            <w:vAlign w:val="bottom"/>
          </w:tcPr>
          <w:p w14:paraId="3E585557" w14:textId="77777777" w:rsidR="00391181" w:rsidRPr="00055E35" w:rsidRDefault="00391181" w:rsidP="00DA6AD9">
            <w:pPr>
              <w:autoSpaceDE w:val="0"/>
              <w:autoSpaceDN w:val="0"/>
              <w:adjustRightInd w:val="0"/>
              <w:spacing w:line="360" w:lineRule="auto"/>
              <w:ind w:left="-99" w:right="57"/>
              <w:contextualSpacing/>
              <w:jc w:val="right"/>
              <w:rPr>
                <w:rFonts w:ascii="Arial Narrow" w:hAnsi="Arial Narrow" w:cs="Arial Narrow"/>
                <w:b/>
                <w:bCs/>
                <w:color w:val="auto"/>
                <w:sz w:val="14"/>
                <w:szCs w:val="14"/>
                <w:lang w:val="en-ZA"/>
              </w:rPr>
            </w:pPr>
            <w:r w:rsidRPr="00055E35">
              <w:rPr>
                <w:rFonts w:ascii="Arial Narrow" w:hAnsi="Arial Narrow" w:cs="Arial Narrow"/>
                <w:b/>
                <w:bCs/>
                <w:color w:val="auto"/>
                <w:sz w:val="14"/>
                <w:szCs w:val="14"/>
                <w:lang w:val="en-ZA"/>
              </w:rPr>
              <w:t>% variance from projected expenditure</w:t>
            </w:r>
          </w:p>
        </w:tc>
      </w:tr>
      <w:tr w:rsidR="00391181" w:rsidRPr="00055E35" w14:paraId="4DDDCD5E" w14:textId="77777777" w:rsidTr="004F0E15">
        <w:trPr>
          <w:trHeight w:val="43"/>
        </w:trPr>
        <w:tc>
          <w:tcPr>
            <w:tcW w:w="1637" w:type="pct"/>
            <w:gridSpan w:val="2"/>
            <w:tcBorders>
              <w:top w:val="nil"/>
              <w:left w:val="nil"/>
              <w:bottom w:val="nil"/>
              <w:right w:val="nil"/>
            </w:tcBorders>
            <w:shd w:val="solid" w:color="FFFFFF" w:fill="auto"/>
          </w:tcPr>
          <w:p w14:paraId="5F5066B9" w14:textId="77777777" w:rsidR="00391181" w:rsidRPr="00055E35" w:rsidRDefault="00391181" w:rsidP="00DA6AD9">
            <w:pPr>
              <w:autoSpaceDE w:val="0"/>
              <w:autoSpaceDN w:val="0"/>
              <w:adjustRightInd w:val="0"/>
              <w:spacing w:line="360" w:lineRule="auto"/>
              <w:contextualSpacing/>
              <w:rPr>
                <w:rFonts w:ascii="Arial Narrow" w:hAnsi="Arial Narrow" w:cs="Arial Narrow"/>
                <w:b/>
                <w:bCs/>
                <w:color w:val="auto"/>
                <w:sz w:val="14"/>
                <w:szCs w:val="14"/>
                <w:lang w:val="en-ZA"/>
              </w:rPr>
            </w:pPr>
            <w:r w:rsidRPr="00055E35">
              <w:rPr>
                <w:rFonts w:ascii="Arial Narrow" w:hAnsi="Arial Narrow" w:cs="Arial Narrow"/>
                <w:b/>
                <w:bCs/>
                <w:color w:val="auto"/>
                <w:sz w:val="14"/>
                <w:szCs w:val="14"/>
                <w:lang w:val="en-ZA"/>
              </w:rPr>
              <w:t>Departments</w:t>
            </w:r>
          </w:p>
        </w:tc>
        <w:tc>
          <w:tcPr>
            <w:tcW w:w="472" w:type="pct"/>
            <w:gridSpan w:val="2"/>
            <w:tcBorders>
              <w:top w:val="nil"/>
              <w:left w:val="nil"/>
              <w:bottom w:val="nil"/>
              <w:right w:val="nil"/>
            </w:tcBorders>
            <w:shd w:val="solid" w:color="FFFFFF" w:fill="auto"/>
          </w:tcPr>
          <w:p w14:paraId="2A81BA39"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p>
        </w:tc>
        <w:tc>
          <w:tcPr>
            <w:tcW w:w="477" w:type="pct"/>
            <w:tcBorders>
              <w:top w:val="nil"/>
              <w:left w:val="nil"/>
              <w:bottom w:val="nil"/>
              <w:right w:val="nil"/>
            </w:tcBorders>
            <w:shd w:val="solid" w:color="FFFFFF" w:fill="auto"/>
          </w:tcPr>
          <w:p w14:paraId="4DD1EF9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p>
        </w:tc>
        <w:tc>
          <w:tcPr>
            <w:tcW w:w="455" w:type="pct"/>
            <w:tcBorders>
              <w:top w:val="nil"/>
              <w:left w:val="nil"/>
              <w:bottom w:val="nil"/>
              <w:right w:val="nil"/>
            </w:tcBorders>
            <w:shd w:val="solid" w:color="FFFFFF" w:fill="auto"/>
          </w:tcPr>
          <w:p w14:paraId="09E0D690"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p>
        </w:tc>
        <w:tc>
          <w:tcPr>
            <w:tcW w:w="496" w:type="pct"/>
            <w:tcBorders>
              <w:top w:val="nil"/>
              <w:left w:val="nil"/>
              <w:bottom w:val="nil"/>
              <w:right w:val="nil"/>
            </w:tcBorders>
            <w:shd w:val="solid" w:color="FFFFFF" w:fill="auto"/>
          </w:tcPr>
          <w:p w14:paraId="119404F8"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p>
        </w:tc>
        <w:tc>
          <w:tcPr>
            <w:tcW w:w="447" w:type="pct"/>
            <w:tcBorders>
              <w:top w:val="nil"/>
              <w:left w:val="nil"/>
              <w:bottom w:val="nil"/>
              <w:right w:val="nil"/>
            </w:tcBorders>
            <w:shd w:val="solid" w:color="FFFFFF" w:fill="auto"/>
          </w:tcPr>
          <w:p w14:paraId="768F4979"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p>
        </w:tc>
        <w:tc>
          <w:tcPr>
            <w:tcW w:w="496" w:type="pct"/>
            <w:tcBorders>
              <w:top w:val="nil"/>
              <w:left w:val="nil"/>
              <w:bottom w:val="nil"/>
              <w:right w:val="nil"/>
            </w:tcBorders>
            <w:shd w:val="solid" w:color="FFFFFF" w:fill="auto"/>
          </w:tcPr>
          <w:p w14:paraId="7202ADAD"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p>
        </w:tc>
        <w:tc>
          <w:tcPr>
            <w:tcW w:w="520" w:type="pct"/>
            <w:tcBorders>
              <w:top w:val="nil"/>
              <w:left w:val="nil"/>
              <w:bottom w:val="nil"/>
              <w:right w:val="nil"/>
            </w:tcBorders>
            <w:shd w:val="solid" w:color="FFFFFF" w:fill="auto"/>
          </w:tcPr>
          <w:p w14:paraId="6BCDB676"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p>
        </w:tc>
      </w:tr>
      <w:tr w:rsidR="00391181" w:rsidRPr="00055E35" w14:paraId="3E364E20" w14:textId="77777777" w:rsidTr="004F0E15">
        <w:trPr>
          <w:trHeight w:val="43"/>
        </w:trPr>
        <w:tc>
          <w:tcPr>
            <w:tcW w:w="244" w:type="pct"/>
            <w:tcBorders>
              <w:top w:val="nil"/>
              <w:left w:val="nil"/>
              <w:bottom w:val="nil"/>
              <w:right w:val="nil"/>
            </w:tcBorders>
            <w:shd w:val="solid" w:color="FFFFFF" w:fill="auto"/>
          </w:tcPr>
          <w:p w14:paraId="511C7CC5"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w:t>
            </w:r>
          </w:p>
        </w:tc>
        <w:tc>
          <w:tcPr>
            <w:tcW w:w="1393" w:type="pct"/>
            <w:tcBorders>
              <w:top w:val="nil"/>
              <w:left w:val="nil"/>
              <w:bottom w:val="nil"/>
              <w:right w:val="nil"/>
            </w:tcBorders>
            <w:shd w:val="solid" w:color="FFFFFF" w:fill="auto"/>
          </w:tcPr>
          <w:p w14:paraId="4CEB6171"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The Presidency</w:t>
            </w:r>
          </w:p>
        </w:tc>
        <w:tc>
          <w:tcPr>
            <w:tcW w:w="472" w:type="pct"/>
            <w:gridSpan w:val="2"/>
            <w:tcBorders>
              <w:top w:val="nil"/>
              <w:left w:val="nil"/>
              <w:bottom w:val="nil"/>
              <w:right w:val="nil"/>
            </w:tcBorders>
            <w:shd w:val="solid" w:color="FFFFFF" w:fill="auto"/>
          </w:tcPr>
          <w:p w14:paraId="7D05F7A6"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505.6</w:t>
            </w:r>
          </w:p>
        </w:tc>
        <w:tc>
          <w:tcPr>
            <w:tcW w:w="477" w:type="pct"/>
            <w:tcBorders>
              <w:top w:val="nil"/>
              <w:left w:val="nil"/>
              <w:bottom w:val="nil"/>
              <w:right w:val="nil"/>
            </w:tcBorders>
            <w:shd w:val="solid" w:color="FFFFFF" w:fill="auto"/>
          </w:tcPr>
          <w:p w14:paraId="68FAA612"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505.6</w:t>
            </w:r>
          </w:p>
        </w:tc>
        <w:tc>
          <w:tcPr>
            <w:tcW w:w="455" w:type="pct"/>
            <w:tcBorders>
              <w:top w:val="nil"/>
              <w:left w:val="nil"/>
              <w:bottom w:val="nil"/>
              <w:right w:val="nil"/>
            </w:tcBorders>
            <w:shd w:val="solid" w:color="FFFFFF" w:fill="auto"/>
          </w:tcPr>
          <w:p w14:paraId="72C1E9A9"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99.4</w:t>
            </w:r>
          </w:p>
        </w:tc>
        <w:tc>
          <w:tcPr>
            <w:tcW w:w="496" w:type="pct"/>
            <w:tcBorders>
              <w:top w:val="nil"/>
              <w:left w:val="nil"/>
              <w:bottom w:val="nil"/>
              <w:right w:val="nil"/>
            </w:tcBorders>
            <w:shd w:val="solid" w:color="FFFFFF" w:fill="auto"/>
          </w:tcPr>
          <w:p w14:paraId="142DF288"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19.7%</w:t>
            </w:r>
          </w:p>
        </w:tc>
        <w:tc>
          <w:tcPr>
            <w:tcW w:w="447" w:type="pct"/>
            <w:tcBorders>
              <w:top w:val="nil"/>
              <w:left w:val="nil"/>
              <w:bottom w:val="nil"/>
              <w:right w:val="nil"/>
            </w:tcBorders>
            <w:shd w:val="solid" w:color="FFFFFF" w:fill="auto"/>
          </w:tcPr>
          <w:p w14:paraId="41BE01E1"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120.3</w:t>
            </w:r>
          </w:p>
        </w:tc>
        <w:tc>
          <w:tcPr>
            <w:tcW w:w="496" w:type="pct"/>
            <w:tcBorders>
              <w:top w:val="nil"/>
              <w:left w:val="nil"/>
              <w:bottom w:val="nil"/>
              <w:right w:val="nil"/>
            </w:tcBorders>
            <w:shd w:val="solid" w:color="FFFFFF" w:fill="auto"/>
          </w:tcPr>
          <w:p w14:paraId="315AF09A"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20.9</w:t>
            </w:r>
          </w:p>
        </w:tc>
        <w:tc>
          <w:tcPr>
            <w:tcW w:w="520" w:type="pct"/>
            <w:tcBorders>
              <w:top w:val="nil"/>
              <w:left w:val="nil"/>
              <w:bottom w:val="nil"/>
              <w:right w:val="nil"/>
            </w:tcBorders>
            <w:shd w:val="solid" w:color="FFFFFF" w:fill="auto"/>
          </w:tcPr>
          <w:p w14:paraId="08CD11F3"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17.3%</w:t>
            </w:r>
          </w:p>
        </w:tc>
      </w:tr>
      <w:tr w:rsidR="00391181" w:rsidRPr="00055E35" w14:paraId="277BCC47" w14:textId="77777777" w:rsidTr="004F0E15">
        <w:trPr>
          <w:trHeight w:val="43"/>
        </w:trPr>
        <w:tc>
          <w:tcPr>
            <w:tcW w:w="244" w:type="pct"/>
            <w:tcBorders>
              <w:top w:val="nil"/>
              <w:left w:val="nil"/>
              <w:bottom w:val="nil"/>
              <w:right w:val="nil"/>
            </w:tcBorders>
            <w:shd w:val="solid" w:color="FFFFFF" w:fill="auto"/>
          </w:tcPr>
          <w:p w14:paraId="445FF9F7"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w:t>
            </w:r>
          </w:p>
        </w:tc>
        <w:tc>
          <w:tcPr>
            <w:tcW w:w="1393" w:type="pct"/>
            <w:tcBorders>
              <w:top w:val="nil"/>
              <w:left w:val="nil"/>
              <w:bottom w:val="nil"/>
              <w:right w:val="nil"/>
            </w:tcBorders>
            <w:shd w:val="solid" w:color="FFFFFF" w:fill="auto"/>
          </w:tcPr>
          <w:p w14:paraId="3105587D"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Communications</w:t>
            </w:r>
          </w:p>
        </w:tc>
        <w:tc>
          <w:tcPr>
            <w:tcW w:w="472" w:type="pct"/>
            <w:gridSpan w:val="2"/>
            <w:tcBorders>
              <w:top w:val="nil"/>
              <w:left w:val="nil"/>
              <w:bottom w:val="nil"/>
              <w:right w:val="nil"/>
            </w:tcBorders>
            <w:shd w:val="solid" w:color="FFFFFF" w:fill="auto"/>
          </w:tcPr>
          <w:p w14:paraId="3520927F"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1 513.1</w:t>
            </w:r>
          </w:p>
        </w:tc>
        <w:tc>
          <w:tcPr>
            <w:tcW w:w="477" w:type="pct"/>
            <w:tcBorders>
              <w:top w:val="nil"/>
              <w:left w:val="nil"/>
              <w:bottom w:val="nil"/>
              <w:right w:val="nil"/>
            </w:tcBorders>
            <w:shd w:val="solid" w:color="FFFFFF" w:fill="auto"/>
          </w:tcPr>
          <w:p w14:paraId="3DA0D8DF"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1 513.1</w:t>
            </w:r>
          </w:p>
        </w:tc>
        <w:tc>
          <w:tcPr>
            <w:tcW w:w="455" w:type="pct"/>
            <w:tcBorders>
              <w:top w:val="nil"/>
              <w:left w:val="nil"/>
              <w:bottom w:val="nil"/>
              <w:right w:val="nil"/>
            </w:tcBorders>
            <w:shd w:val="solid" w:color="FFFFFF" w:fill="auto"/>
          </w:tcPr>
          <w:p w14:paraId="5EACA878"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347.0</w:t>
            </w:r>
          </w:p>
        </w:tc>
        <w:tc>
          <w:tcPr>
            <w:tcW w:w="496" w:type="pct"/>
            <w:tcBorders>
              <w:top w:val="nil"/>
              <w:left w:val="nil"/>
              <w:bottom w:val="nil"/>
              <w:right w:val="nil"/>
            </w:tcBorders>
            <w:shd w:val="solid" w:color="FFFFFF" w:fill="auto"/>
          </w:tcPr>
          <w:p w14:paraId="20C7EC0C"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22.9%</w:t>
            </w:r>
          </w:p>
        </w:tc>
        <w:tc>
          <w:tcPr>
            <w:tcW w:w="447" w:type="pct"/>
            <w:tcBorders>
              <w:top w:val="nil"/>
              <w:left w:val="nil"/>
              <w:bottom w:val="nil"/>
              <w:right w:val="nil"/>
            </w:tcBorders>
            <w:shd w:val="solid" w:color="FFFFFF" w:fill="auto"/>
          </w:tcPr>
          <w:p w14:paraId="30B743C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352.6</w:t>
            </w:r>
          </w:p>
        </w:tc>
        <w:tc>
          <w:tcPr>
            <w:tcW w:w="496" w:type="pct"/>
            <w:tcBorders>
              <w:top w:val="nil"/>
              <w:left w:val="nil"/>
              <w:bottom w:val="nil"/>
              <w:right w:val="nil"/>
            </w:tcBorders>
            <w:shd w:val="solid" w:color="FFFFFF" w:fill="auto"/>
          </w:tcPr>
          <w:p w14:paraId="01B004B6"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5.6</w:t>
            </w:r>
          </w:p>
        </w:tc>
        <w:tc>
          <w:tcPr>
            <w:tcW w:w="520" w:type="pct"/>
            <w:tcBorders>
              <w:top w:val="nil"/>
              <w:left w:val="nil"/>
              <w:bottom w:val="nil"/>
              <w:right w:val="nil"/>
            </w:tcBorders>
            <w:shd w:val="solid" w:color="FFFFFF" w:fill="auto"/>
          </w:tcPr>
          <w:p w14:paraId="58B15E4E"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1.6%</w:t>
            </w:r>
          </w:p>
        </w:tc>
      </w:tr>
      <w:tr w:rsidR="00391181" w:rsidRPr="00055E35" w14:paraId="2C6B2BC1" w14:textId="77777777" w:rsidTr="004F0E15">
        <w:trPr>
          <w:trHeight w:val="43"/>
        </w:trPr>
        <w:tc>
          <w:tcPr>
            <w:tcW w:w="244" w:type="pct"/>
            <w:tcBorders>
              <w:top w:val="nil"/>
              <w:left w:val="nil"/>
              <w:bottom w:val="nil"/>
              <w:right w:val="nil"/>
            </w:tcBorders>
            <w:shd w:val="solid" w:color="FFFFFF" w:fill="auto"/>
          </w:tcPr>
          <w:p w14:paraId="53588686"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w:t>
            </w:r>
          </w:p>
        </w:tc>
        <w:tc>
          <w:tcPr>
            <w:tcW w:w="1393" w:type="pct"/>
            <w:tcBorders>
              <w:top w:val="nil"/>
              <w:left w:val="nil"/>
              <w:bottom w:val="nil"/>
              <w:right w:val="nil"/>
            </w:tcBorders>
            <w:shd w:val="solid" w:color="FFFFFF" w:fill="auto"/>
          </w:tcPr>
          <w:p w14:paraId="062DAE81"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Cooperative Governance and Traditional Affairs</w:t>
            </w:r>
          </w:p>
        </w:tc>
        <w:tc>
          <w:tcPr>
            <w:tcW w:w="472" w:type="pct"/>
            <w:gridSpan w:val="2"/>
            <w:tcBorders>
              <w:top w:val="nil"/>
              <w:left w:val="nil"/>
              <w:bottom w:val="nil"/>
              <w:right w:val="nil"/>
            </w:tcBorders>
            <w:shd w:val="solid" w:color="FFFFFF" w:fill="auto"/>
          </w:tcPr>
          <w:p w14:paraId="218C4CF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83 651.9</w:t>
            </w:r>
          </w:p>
        </w:tc>
        <w:tc>
          <w:tcPr>
            <w:tcW w:w="477" w:type="pct"/>
            <w:tcBorders>
              <w:top w:val="nil"/>
              <w:left w:val="nil"/>
              <w:bottom w:val="nil"/>
              <w:right w:val="nil"/>
            </w:tcBorders>
            <w:shd w:val="solid" w:color="FFFFFF" w:fill="auto"/>
          </w:tcPr>
          <w:p w14:paraId="1E70E810"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83 651.9</w:t>
            </w:r>
          </w:p>
        </w:tc>
        <w:tc>
          <w:tcPr>
            <w:tcW w:w="455" w:type="pct"/>
            <w:tcBorders>
              <w:top w:val="nil"/>
              <w:left w:val="nil"/>
              <w:bottom w:val="nil"/>
              <w:right w:val="nil"/>
            </w:tcBorders>
            <w:shd w:val="solid" w:color="FFFFFF" w:fill="auto"/>
          </w:tcPr>
          <w:p w14:paraId="6C8362DC"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1 034.0</w:t>
            </w:r>
          </w:p>
        </w:tc>
        <w:tc>
          <w:tcPr>
            <w:tcW w:w="496" w:type="pct"/>
            <w:tcBorders>
              <w:top w:val="nil"/>
              <w:left w:val="nil"/>
              <w:bottom w:val="nil"/>
              <w:right w:val="nil"/>
            </w:tcBorders>
            <w:shd w:val="solid" w:color="FFFFFF" w:fill="auto"/>
          </w:tcPr>
          <w:p w14:paraId="077482D8"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1.2%</w:t>
            </w:r>
          </w:p>
        </w:tc>
        <w:tc>
          <w:tcPr>
            <w:tcW w:w="447" w:type="pct"/>
            <w:tcBorders>
              <w:top w:val="nil"/>
              <w:left w:val="nil"/>
              <w:bottom w:val="nil"/>
              <w:right w:val="nil"/>
            </w:tcBorders>
            <w:shd w:val="solid" w:color="FFFFFF" w:fill="auto"/>
          </w:tcPr>
          <w:p w14:paraId="1BCC41C2"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1 495.9</w:t>
            </w:r>
          </w:p>
        </w:tc>
        <w:tc>
          <w:tcPr>
            <w:tcW w:w="496" w:type="pct"/>
            <w:tcBorders>
              <w:top w:val="nil"/>
              <w:left w:val="nil"/>
              <w:bottom w:val="nil"/>
              <w:right w:val="nil"/>
            </w:tcBorders>
            <w:shd w:val="solid" w:color="FFFFFF" w:fill="auto"/>
          </w:tcPr>
          <w:p w14:paraId="0603662E"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461.9</w:t>
            </w:r>
          </w:p>
        </w:tc>
        <w:tc>
          <w:tcPr>
            <w:tcW w:w="520" w:type="pct"/>
            <w:tcBorders>
              <w:top w:val="nil"/>
              <w:left w:val="nil"/>
              <w:bottom w:val="nil"/>
              <w:right w:val="nil"/>
            </w:tcBorders>
            <w:shd w:val="solid" w:color="FFFFFF" w:fill="auto"/>
          </w:tcPr>
          <w:p w14:paraId="4B7396C0"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30.9%</w:t>
            </w:r>
          </w:p>
        </w:tc>
      </w:tr>
      <w:tr w:rsidR="00391181" w:rsidRPr="00055E35" w14:paraId="353978EF" w14:textId="77777777" w:rsidTr="004F0E15">
        <w:trPr>
          <w:trHeight w:val="43"/>
        </w:trPr>
        <w:tc>
          <w:tcPr>
            <w:tcW w:w="244" w:type="pct"/>
            <w:tcBorders>
              <w:top w:val="nil"/>
              <w:left w:val="nil"/>
              <w:bottom w:val="nil"/>
              <w:right w:val="nil"/>
            </w:tcBorders>
            <w:shd w:val="solid" w:color="FFFFFF" w:fill="auto"/>
          </w:tcPr>
          <w:p w14:paraId="267A4316"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5</w:t>
            </w:r>
          </w:p>
        </w:tc>
        <w:tc>
          <w:tcPr>
            <w:tcW w:w="1393" w:type="pct"/>
            <w:tcBorders>
              <w:top w:val="nil"/>
              <w:left w:val="nil"/>
              <w:bottom w:val="nil"/>
              <w:right w:val="nil"/>
            </w:tcBorders>
            <w:shd w:val="solid" w:color="FFFFFF" w:fill="auto"/>
          </w:tcPr>
          <w:p w14:paraId="3B6C70C5"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Home Affairs</w:t>
            </w:r>
          </w:p>
        </w:tc>
        <w:tc>
          <w:tcPr>
            <w:tcW w:w="472" w:type="pct"/>
            <w:gridSpan w:val="2"/>
            <w:tcBorders>
              <w:top w:val="nil"/>
              <w:left w:val="nil"/>
              <w:bottom w:val="nil"/>
              <w:right w:val="nil"/>
            </w:tcBorders>
            <w:shd w:val="solid" w:color="FFFFFF" w:fill="auto"/>
          </w:tcPr>
          <w:p w14:paraId="4A2EFDDF"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7 915.4</w:t>
            </w:r>
          </w:p>
        </w:tc>
        <w:tc>
          <w:tcPr>
            <w:tcW w:w="477" w:type="pct"/>
            <w:tcBorders>
              <w:top w:val="nil"/>
              <w:left w:val="nil"/>
              <w:bottom w:val="nil"/>
              <w:right w:val="nil"/>
            </w:tcBorders>
            <w:shd w:val="solid" w:color="FFFFFF" w:fill="auto"/>
          </w:tcPr>
          <w:p w14:paraId="07CE38B8"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7 915.4</w:t>
            </w:r>
          </w:p>
        </w:tc>
        <w:tc>
          <w:tcPr>
            <w:tcW w:w="455" w:type="pct"/>
            <w:tcBorders>
              <w:top w:val="nil"/>
              <w:left w:val="nil"/>
              <w:bottom w:val="nil"/>
              <w:right w:val="nil"/>
            </w:tcBorders>
            <w:shd w:val="solid" w:color="FFFFFF" w:fill="auto"/>
          </w:tcPr>
          <w:p w14:paraId="0D62A31E"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2 150.7</w:t>
            </w:r>
          </w:p>
        </w:tc>
        <w:tc>
          <w:tcPr>
            <w:tcW w:w="496" w:type="pct"/>
            <w:tcBorders>
              <w:top w:val="nil"/>
              <w:left w:val="nil"/>
              <w:bottom w:val="nil"/>
              <w:right w:val="nil"/>
            </w:tcBorders>
            <w:shd w:val="solid" w:color="FFFFFF" w:fill="auto"/>
          </w:tcPr>
          <w:p w14:paraId="1C187930"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27.2%</w:t>
            </w:r>
          </w:p>
        </w:tc>
        <w:tc>
          <w:tcPr>
            <w:tcW w:w="447" w:type="pct"/>
            <w:tcBorders>
              <w:top w:val="nil"/>
              <w:left w:val="nil"/>
              <w:bottom w:val="nil"/>
              <w:right w:val="nil"/>
            </w:tcBorders>
            <w:shd w:val="solid" w:color="FFFFFF" w:fill="auto"/>
          </w:tcPr>
          <w:p w14:paraId="71EDDE42"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2 007.1</w:t>
            </w:r>
          </w:p>
        </w:tc>
        <w:tc>
          <w:tcPr>
            <w:tcW w:w="496" w:type="pct"/>
            <w:tcBorders>
              <w:top w:val="nil"/>
              <w:left w:val="nil"/>
              <w:bottom w:val="nil"/>
              <w:right w:val="nil"/>
            </w:tcBorders>
            <w:shd w:val="solid" w:color="FFFFFF" w:fill="auto"/>
          </w:tcPr>
          <w:p w14:paraId="4D74702E"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-143.7</w:t>
            </w:r>
          </w:p>
        </w:tc>
        <w:tc>
          <w:tcPr>
            <w:tcW w:w="520" w:type="pct"/>
            <w:tcBorders>
              <w:top w:val="nil"/>
              <w:left w:val="nil"/>
              <w:bottom w:val="nil"/>
              <w:right w:val="nil"/>
            </w:tcBorders>
            <w:shd w:val="solid" w:color="FFFFFF" w:fill="auto"/>
          </w:tcPr>
          <w:p w14:paraId="07006543"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-7.2%</w:t>
            </w:r>
          </w:p>
        </w:tc>
      </w:tr>
      <w:tr w:rsidR="00391181" w:rsidRPr="00055E35" w14:paraId="0FA5B16B" w14:textId="77777777" w:rsidTr="004F0E15">
        <w:trPr>
          <w:trHeight w:val="43"/>
        </w:trPr>
        <w:tc>
          <w:tcPr>
            <w:tcW w:w="244" w:type="pct"/>
            <w:tcBorders>
              <w:top w:val="nil"/>
              <w:left w:val="nil"/>
              <w:bottom w:val="nil"/>
              <w:right w:val="nil"/>
            </w:tcBorders>
            <w:shd w:val="solid" w:color="FFFFFF" w:fill="auto"/>
          </w:tcPr>
          <w:p w14:paraId="78E12823"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6</w:t>
            </w:r>
          </w:p>
        </w:tc>
        <w:tc>
          <w:tcPr>
            <w:tcW w:w="1393" w:type="pct"/>
            <w:tcBorders>
              <w:top w:val="nil"/>
              <w:left w:val="nil"/>
              <w:bottom w:val="nil"/>
              <w:right w:val="nil"/>
            </w:tcBorders>
            <w:shd w:val="solid" w:color="FFFFFF" w:fill="auto"/>
          </w:tcPr>
          <w:p w14:paraId="70CDB335"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International Relations and Cooperation</w:t>
            </w:r>
          </w:p>
        </w:tc>
        <w:tc>
          <w:tcPr>
            <w:tcW w:w="472" w:type="pct"/>
            <w:gridSpan w:val="2"/>
            <w:tcBorders>
              <w:top w:val="nil"/>
              <w:left w:val="nil"/>
              <w:bottom w:val="nil"/>
              <w:right w:val="nil"/>
            </w:tcBorders>
            <w:shd w:val="solid" w:color="FFFFFF" w:fill="auto"/>
          </w:tcPr>
          <w:p w14:paraId="1E60F90F"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6 552.8</w:t>
            </w:r>
          </w:p>
        </w:tc>
        <w:tc>
          <w:tcPr>
            <w:tcW w:w="477" w:type="pct"/>
            <w:tcBorders>
              <w:top w:val="nil"/>
              <w:left w:val="nil"/>
              <w:bottom w:val="nil"/>
              <w:right w:val="nil"/>
            </w:tcBorders>
            <w:shd w:val="solid" w:color="FFFFFF" w:fill="auto"/>
          </w:tcPr>
          <w:p w14:paraId="093F7138"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6 552.8</w:t>
            </w:r>
          </w:p>
        </w:tc>
        <w:tc>
          <w:tcPr>
            <w:tcW w:w="455" w:type="pct"/>
            <w:tcBorders>
              <w:top w:val="nil"/>
              <w:left w:val="nil"/>
              <w:bottom w:val="nil"/>
              <w:right w:val="nil"/>
            </w:tcBorders>
            <w:shd w:val="solid" w:color="FFFFFF" w:fill="auto"/>
          </w:tcPr>
          <w:p w14:paraId="61E730BB"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1 437.4</w:t>
            </w:r>
          </w:p>
        </w:tc>
        <w:tc>
          <w:tcPr>
            <w:tcW w:w="496" w:type="pct"/>
            <w:tcBorders>
              <w:top w:val="nil"/>
              <w:left w:val="nil"/>
              <w:bottom w:val="nil"/>
              <w:right w:val="nil"/>
            </w:tcBorders>
            <w:shd w:val="solid" w:color="FFFFFF" w:fill="auto"/>
          </w:tcPr>
          <w:p w14:paraId="7D456965"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21.9%</w:t>
            </w:r>
          </w:p>
        </w:tc>
        <w:tc>
          <w:tcPr>
            <w:tcW w:w="447" w:type="pct"/>
            <w:tcBorders>
              <w:top w:val="nil"/>
              <w:left w:val="nil"/>
              <w:bottom w:val="nil"/>
              <w:right w:val="nil"/>
            </w:tcBorders>
            <w:shd w:val="solid" w:color="FFFFFF" w:fill="auto"/>
          </w:tcPr>
          <w:p w14:paraId="6AE9445F"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1 925.3</w:t>
            </w:r>
          </w:p>
        </w:tc>
        <w:tc>
          <w:tcPr>
            <w:tcW w:w="496" w:type="pct"/>
            <w:tcBorders>
              <w:top w:val="nil"/>
              <w:left w:val="nil"/>
              <w:bottom w:val="nil"/>
              <w:right w:val="nil"/>
            </w:tcBorders>
            <w:shd w:val="solid" w:color="FFFFFF" w:fill="auto"/>
          </w:tcPr>
          <w:p w14:paraId="11F0D3F2"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487.9</w:t>
            </w:r>
          </w:p>
        </w:tc>
        <w:tc>
          <w:tcPr>
            <w:tcW w:w="520" w:type="pct"/>
            <w:tcBorders>
              <w:top w:val="nil"/>
              <w:left w:val="nil"/>
              <w:bottom w:val="nil"/>
              <w:right w:val="nil"/>
            </w:tcBorders>
            <w:shd w:val="solid" w:color="FFFFFF" w:fill="auto"/>
          </w:tcPr>
          <w:p w14:paraId="5EFF9FE3"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25.3%</w:t>
            </w:r>
          </w:p>
        </w:tc>
      </w:tr>
      <w:tr w:rsidR="00391181" w:rsidRPr="00055E35" w14:paraId="04EBC3F7" w14:textId="77777777" w:rsidTr="004F0E15">
        <w:trPr>
          <w:trHeight w:val="43"/>
        </w:trPr>
        <w:tc>
          <w:tcPr>
            <w:tcW w:w="244" w:type="pct"/>
            <w:tcBorders>
              <w:top w:val="nil"/>
              <w:left w:val="nil"/>
              <w:bottom w:val="nil"/>
              <w:right w:val="nil"/>
            </w:tcBorders>
            <w:shd w:val="solid" w:color="FFFFFF" w:fill="auto"/>
          </w:tcPr>
          <w:p w14:paraId="62940333"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7</w:t>
            </w:r>
          </w:p>
        </w:tc>
        <w:tc>
          <w:tcPr>
            <w:tcW w:w="1393" w:type="pct"/>
            <w:tcBorders>
              <w:top w:val="nil"/>
              <w:left w:val="nil"/>
              <w:bottom w:val="nil"/>
              <w:right w:val="nil"/>
            </w:tcBorders>
            <w:shd w:val="solid" w:color="FFFFFF" w:fill="auto"/>
          </w:tcPr>
          <w:p w14:paraId="634BB79B"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National Treasury</w:t>
            </w:r>
          </w:p>
        </w:tc>
        <w:tc>
          <w:tcPr>
            <w:tcW w:w="472" w:type="pct"/>
            <w:gridSpan w:val="2"/>
            <w:tcBorders>
              <w:top w:val="nil"/>
              <w:left w:val="nil"/>
              <w:bottom w:val="nil"/>
              <w:right w:val="nil"/>
            </w:tcBorders>
            <w:shd w:val="solid" w:color="FFFFFF" w:fill="auto"/>
          </w:tcPr>
          <w:p w14:paraId="6ACFADB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29 358.4</w:t>
            </w:r>
          </w:p>
        </w:tc>
        <w:tc>
          <w:tcPr>
            <w:tcW w:w="477" w:type="pct"/>
            <w:tcBorders>
              <w:top w:val="nil"/>
              <w:left w:val="nil"/>
              <w:bottom w:val="nil"/>
              <w:right w:val="nil"/>
            </w:tcBorders>
            <w:shd w:val="solid" w:color="FFFFFF" w:fill="auto"/>
          </w:tcPr>
          <w:p w14:paraId="3C4841B6"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29 358.4</w:t>
            </w:r>
          </w:p>
        </w:tc>
        <w:tc>
          <w:tcPr>
            <w:tcW w:w="455" w:type="pct"/>
            <w:tcBorders>
              <w:top w:val="nil"/>
              <w:left w:val="nil"/>
              <w:bottom w:val="nil"/>
              <w:right w:val="nil"/>
            </w:tcBorders>
            <w:shd w:val="solid" w:color="FFFFFF" w:fill="auto"/>
          </w:tcPr>
          <w:p w14:paraId="3B0DC340"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5 038.6</w:t>
            </w:r>
          </w:p>
        </w:tc>
        <w:tc>
          <w:tcPr>
            <w:tcW w:w="496" w:type="pct"/>
            <w:tcBorders>
              <w:top w:val="nil"/>
              <w:left w:val="nil"/>
              <w:bottom w:val="nil"/>
              <w:right w:val="nil"/>
            </w:tcBorders>
            <w:shd w:val="solid" w:color="FFFFFF" w:fill="auto"/>
          </w:tcPr>
          <w:p w14:paraId="1A0849D1"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17.2%</w:t>
            </w:r>
          </w:p>
        </w:tc>
        <w:tc>
          <w:tcPr>
            <w:tcW w:w="447" w:type="pct"/>
            <w:tcBorders>
              <w:top w:val="nil"/>
              <w:left w:val="nil"/>
              <w:bottom w:val="nil"/>
              <w:right w:val="nil"/>
            </w:tcBorders>
            <w:shd w:val="solid" w:color="FFFFFF" w:fill="auto"/>
          </w:tcPr>
          <w:p w14:paraId="4B04890D"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5 148.4</w:t>
            </w:r>
          </w:p>
        </w:tc>
        <w:tc>
          <w:tcPr>
            <w:tcW w:w="496" w:type="pct"/>
            <w:tcBorders>
              <w:top w:val="nil"/>
              <w:left w:val="nil"/>
              <w:bottom w:val="nil"/>
              <w:right w:val="nil"/>
            </w:tcBorders>
            <w:shd w:val="solid" w:color="FFFFFF" w:fill="auto"/>
          </w:tcPr>
          <w:p w14:paraId="080AA56C"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109.8</w:t>
            </w:r>
          </w:p>
        </w:tc>
        <w:tc>
          <w:tcPr>
            <w:tcW w:w="520" w:type="pct"/>
            <w:tcBorders>
              <w:top w:val="nil"/>
              <w:left w:val="nil"/>
              <w:bottom w:val="nil"/>
              <w:right w:val="nil"/>
            </w:tcBorders>
            <w:shd w:val="solid" w:color="FFFFFF" w:fill="auto"/>
          </w:tcPr>
          <w:p w14:paraId="1B78D0B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2.1%</w:t>
            </w:r>
          </w:p>
        </w:tc>
      </w:tr>
      <w:tr w:rsidR="00391181" w:rsidRPr="00055E35" w14:paraId="185F99B5" w14:textId="77777777" w:rsidTr="004F0E15">
        <w:trPr>
          <w:trHeight w:val="43"/>
        </w:trPr>
        <w:tc>
          <w:tcPr>
            <w:tcW w:w="244" w:type="pct"/>
            <w:tcBorders>
              <w:top w:val="nil"/>
              <w:left w:val="nil"/>
              <w:bottom w:val="nil"/>
              <w:right w:val="nil"/>
            </w:tcBorders>
            <w:shd w:val="solid" w:color="FFFFFF" w:fill="auto"/>
          </w:tcPr>
          <w:p w14:paraId="63C99925"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8</w:t>
            </w:r>
          </w:p>
        </w:tc>
        <w:tc>
          <w:tcPr>
            <w:tcW w:w="1393" w:type="pct"/>
            <w:tcBorders>
              <w:top w:val="nil"/>
              <w:left w:val="nil"/>
              <w:bottom w:val="nil"/>
              <w:right w:val="nil"/>
            </w:tcBorders>
            <w:shd w:val="solid" w:color="FFFFFF" w:fill="auto"/>
          </w:tcPr>
          <w:p w14:paraId="4805060B"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Planning, Monitoring and Evaluation</w:t>
            </w:r>
          </w:p>
        </w:tc>
        <w:tc>
          <w:tcPr>
            <w:tcW w:w="472" w:type="pct"/>
            <w:gridSpan w:val="2"/>
            <w:tcBorders>
              <w:top w:val="nil"/>
              <w:left w:val="nil"/>
              <w:bottom w:val="nil"/>
              <w:right w:val="nil"/>
            </w:tcBorders>
            <w:shd w:val="solid" w:color="FFFFFF" w:fill="auto"/>
          </w:tcPr>
          <w:p w14:paraId="03C5B98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927.4</w:t>
            </w:r>
          </w:p>
        </w:tc>
        <w:tc>
          <w:tcPr>
            <w:tcW w:w="477" w:type="pct"/>
            <w:tcBorders>
              <w:top w:val="nil"/>
              <w:left w:val="nil"/>
              <w:bottom w:val="nil"/>
              <w:right w:val="nil"/>
            </w:tcBorders>
            <w:shd w:val="solid" w:color="FFFFFF" w:fill="auto"/>
          </w:tcPr>
          <w:p w14:paraId="536B283D"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927.4</w:t>
            </w:r>
          </w:p>
        </w:tc>
        <w:tc>
          <w:tcPr>
            <w:tcW w:w="455" w:type="pct"/>
            <w:tcBorders>
              <w:top w:val="nil"/>
              <w:left w:val="nil"/>
              <w:bottom w:val="nil"/>
              <w:right w:val="nil"/>
            </w:tcBorders>
            <w:shd w:val="solid" w:color="FFFFFF" w:fill="auto"/>
          </w:tcPr>
          <w:p w14:paraId="50F38ED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187.5</w:t>
            </w:r>
          </w:p>
        </w:tc>
        <w:tc>
          <w:tcPr>
            <w:tcW w:w="496" w:type="pct"/>
            <w:tcBorders>
              <w:top w:val="nil"/>
              <w:left w:val="nil"/>
              <w:bottom w:val="nil"/>
              <w:right w:val="nil"/>
            </w:tcBorders>
            <w:shd w:val="solid" w:color="FFFFFF" w:fill="auto"/>
          </w:tcPr>
          <w:p w14:paraId="2ABBB06A"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20.2%</w:t>
            </w:r>
          </w:p>
        </w:tc>
        <w:tc>
          <w:tcPr>
            <w:tcW w:w="447" w:type="pct"/>
            <w:tcBorders>
              <w:top w:val="nil"/>
              <w:left w:val="nil"/>
              <w:bottom w:val="nil"/>
              <w:right w:val="nil"/>
            </w:tcBorders>
            <w:shd w:val="solid" w:color="FFFFFF" w:fill="auto"/>
          </w:tcPr>
          <w:p w14:paraId="7D6B91F8"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226.3</w:t>
            </w:r>
          </w:p>
        </w:tc>
        <w:tc>
          <w:tcPr>
            <w:tcW w:w="496" w:type="pct"/>
            <w:tcBorders>
              <w:top w:val="nil"/>
              <w:left w:val="nil"/>
              <w:bottom w:val="nil"/>
              <w:right w:val="nil"/>
            </w:tcBorders>
            <w:shd w:val="solid" w:color="FFFFFF" w:fill="auto"/>
          </w:tcPr>
          <w:p w14:paraId="22CBD18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38.8</w:t>
            </w:r>
          </w:p>
        </w:tc>
        <w:tc>
          <w:tcPr>
            <w:tcW w:w="520" w:type="pct"/>
            <w:tcBorders>
              <w:top w:val="nil"/>
              <w:left w:val="nil"/>
              <w:bottom w:val="nil"/>
              <w:right w:val="nil"/>
            </w:tcBorders>
            <w:shd w:val="solid" w:color="FFFFFF" w:fill="auto"/>
          </w:tcPr>
          <w:p w14:paraId="0031FA65"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17.1%</w:t>
            </w:r>
          </w:p>
        </w:tc>
      </w:tr>
      <w:tr w:rsidR="00391181" w:rsidRPr="00055E35" w14:paraId="23ADE620" w14:textId="77777777" w:rsidTr="004F0E15">
        <w:trPr>
          <w:trHeight w:val="43"/>
        </w:trPr>
        <w:tc>
          <w:tcPr>
            <w:tcW w:w="244" w:type="pct"/>
            <w:tcBorders>
              <w:top w:val="nil"/>
              <w:left w:val="nil"/>
              <w:bottom w:val="nil"/>
              <w:right w:val="nil"/>
            </w:tcBorders>
            <w:shd w:val="solid" w:color="FFFFFF" w:fill="auto"/>
          </w:tcPr>
          <w:p w14:paraId="26988442"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9</w:t>
            </w:r>
          </w:p>
        </w:tc>
        <w:tc>
          <w:tcPr>
            <w:tcW w:w="1393" w:type="pct"/>
            <w:tcBorders>
              <w:top w:val="nil"/>
              <w:left w:val="nil"/>
              <w:bottom w:val="nil"/>
              <w:right w:val="nil"/>
            </w:tcBorders>
            <w:shd w:val="solid" w:color="FFFFFF" w:fill="auto"/>
          </w:tcPr>
          <w:p w14:paraId="44168F1B"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Public Enterprises</w:t>
            </w:r>
          </w:p>
        </w:tc>
        <w:tc>
          <w:tcPr>
            <w:tcW w:w="472" w:type="pct"/>
            <w:gridSpan w:val="2"/>
            <w:tcBorders>
              <w:top w:val="nil"/>
              <w:left w:val="nil"/>
              <w:bottom w:val="nil"/>
              <w:right w:val="nil"/>
            </w:tcBorders>
            <w:shd w:val="solid" w:color="FFFFFF" w:fill="auto"/>
          </w:tcPr>
          <w:p w14:paraId="307CD48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273.9</w:t>
            </w:r>
          </w:p>
        </w:tc>
        <w:tc>
          <w:tcPr>
            <w:tcW w:w="477" w:type="pct"/>
            <w:tcBorders>
              <w:top w:val="nil"/>
              <w:left w:val="nil"/>
              <w:bottom w:val="nil"/>
              <w:right w:val="nil"/>
            </w:tcBorders>
            <w:shd w:val="solid" w:color="FFFFFF" w:fill="auto"/>
          </w:tcPr>
          <w:p w14:paraId="3FF2111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273.9</w:t>
            </w:r>
          </w:p>
        </w:tc>
        <w:tc>
          <w:tcPr>
            <w:tcW w:w="455" w:type="pct"/>
            <w:tcBorders>
              <w:top w:val="nil"/>
              <w:left w:val="nil"/>
              <w:bottom w:val="nil"/>
              <w:right w:val="nil"/>
            </w:tcBorders>
            <w:shd w:val="solid" w:color="FFFFFF" w:fill="auto"/>
          </w:tcPr>
          <w:p w14:paraId="44867539"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49.3</w:t>
            </w:r>
          </w:p>
        </w:tc>
        <w:tc>
          <w:tcPr>
            <w:tcW w:w="496" w:type="pct"/>
            <w:tcBorders>
              <w:top w:val="nil"/>
              <w:left w:val="nil"/>
              <w:bottom w:val="nil"/>
              <w:right w:val="nil"/>
            </w:tcBorders>
            <w:shd w:val="solid" w:color="FFFFFF" w:fill="auto"/>
          </w:tcPr>
          <w:p w14:paraId="754BEBB0"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18.0%</w:t>
            </w:r>
          </w:p>
        </w:tc>
        <w:tc>
          <w:tcPr>
            <w:tcW w:w="447" w:type="pct"/>
            <w:tcBorders>
              <w:top w:val="nil"/>
              <w:left w:val="nil"/>
              <w:bottom w:val="nil"/>
              <w:right w:val="nil"/>
            </w:tcBorders>
            <w:shd w:val="solid" w:color="FFFFFF" w:fill="auto"/>
          </w:tcPr>
          <w:p w14:paraId="7C9DB2EC"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65.4</w:t>
            </w:r>
          </w:p>
        </w:tc>
        <w:tc>
          <w:tcPr>
            <w:tcW w:w="496" w:type="pct"/>
            <w:tcBorders>
              <w:top w:val="nil"/>
              <w:left w:val="nil"/>
              <w:bottom w:val="nil"/>
              <w:right w:val="nil"/>
            </w:tcBorders>
            <w:shd w:val="solid" w:color="FFFFFF" w:fill="auto"/>
          </w:tcPr>
          <w:p w14:paraId="48E60ED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16.0</w:t>
            </w:r>
          </w:p>
        </w:tc>
        <w:tc>
          <w:tcPr>
            <w:tcW w:w="520" w:type="pct"/>
            <w:tcBorders>
              <w:top w:val="nil"/>
              <w:left w:val="nil"/>
              <w:bottom w:val="nil"/>
              <w:right w:val="nil"/>
            </w:tcBorders>
            <w:shd w:val="solid" w:color="FFFFFF" w:fill="auto"/>
          </w:tcPr>
          <w:p w14:paraId="3CD3C809"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24.5%</w:t>
            </w:r>
          </w:p>
        </w:tc>
      </w:tr>
      <w:tr w:rsidR="00391181" w:rsidRPr="00055E35" w14:paraId="2509D93A" w14:textId="77777777" w:rsidTr="004F0E15">
        <w:trPr>
          <w:trHeight w:val="43"/>
        </w:trPr>
        <w:tc>
          <w:tcPr>
            <w:tcW w:w="244" w:type="pct"/>
            <w:tcBorders>
              <w:top w:val="nil"/>
              <w:left w:val="nil"/>
              <w:bottom w:val="nil"/>
              <w:right w:val="nil"/>
            </w:tcBorders>
            <w:shd w:val="solid" w:color="FFFFFF" w:fill="auto"/>
          </w:tcPr>
          <w:p w14:paraId="61621FD5"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10</w:t>
            </w:r>
          </w:p>
        </w:tc>
        <w:tc>
          <w:tcPr>
            <w:tcW w:w="1393" w:type="pct"/>
            <w:tcBorders>
              <w:top w:val="nil"/>
              <w:left w:val="nil"/>
              <w:bottom w:val="nil"/>
              <w:right w:val="nil"/>
            </w:tcBorders>
            <w:shd w:val="solid" w:color="FFFFFF" w:fill="auto"/>
          </w:tcPr>
          <w:p w14:paraId="0C6C0FCA"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Public Service and Administration</w:t>
            </w:r>
          </w:p>
        </w:tc>
        <w:tc>
          <w:tcPr>
            <w:tcW w:w="472" w:type="pct"/>
            <w:gridSpan w:val="2"/>
            <w:tcBorders>
              <w:top w:val="nil"/>
              <w:left w:val="nil"/>
              <w:bottom w:val="nil"/>
              <w:right w:val="nil"/>
            </w:tcBorders>
            <w:shd w:val="solid" w:color="FFFFFF" w:fill="auto"/>
          </w:tcPr>
          <w:p w14:paraId="28A670F5"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956.7</w:t>
            </w:r>
          </w:p>
        </w:tc>
        <w:tc>
          <w:tcPr>
            <w:tcW w:w="477" w:type="pct"/>
            <w:tcBorders>
              <w:top w:val="nil"/>
              <w:left w:val="nil"/>
              <w:bottom w:val="nil"/>
              <w:right w:val="nil"/>
            </w:tcBorders>
            <w:shd w:val="solid" w:color="FFFFFF" w:fill="auto"/>
          </w:tcPr>
          <w:p w14:paraId="14481FCD"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956.7</w:t>
            </w:r>
          </w:p>
        </w:tc>
        <w:tc>
          <w:tcPr>
            <w:tcW w:w="455" w:type="pct"/>
            <w:tcBorders>
              <w:top w:val="nil"/>
              <w:left w:val="nil"/>
              <w:bottom w:val="nil"/>
              <w:right w:val="nil"/>
            </w:tcBorders>
            <w:shd w:val="solid" w:color="FFFFFF" w:fill="auto"/>
          </w:tcPr>
          <w:p w14:paraId="2DF8C92D"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201.9</w:t>
            </w:r>
          </w:p>
        </w:tc>
        <w:tc>
          <w:tcPr>
            <w:tcW w:w="496" w:type="pct"/>
            <w:tcBorders>
              <w:top w:val="nil"/>
              <w:left w:val="nil"/>
              <w:bottom w:val="nil"/>
              <w:right w:val="nil"/>
            </w:tcBorders>
            <w:shd w:val="solid" w:color="FFFFFF" w:fill="auto"/>
          </w:tcPr>
          <w:p w14:paraId="3C4A84B0"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21.1%</w:t>
            </w:r>
          </w:p>
        </w:tc>
        <w:tc>
          <w:tcPr>
            <w:tcW w:w="447" w:type="pct"/>
            <w:tcBorders>
              <w:top w:val="nil"/>
              <w:left w:val="nil"/>
              <w:bottom w:val="nil"/>
              <w:right w:val="nil"/>
            </w:tcBorders>
            <w:shd w:val="solid" w:color="FFFFFF" w:fill="auto"/>
          </w:tcPr>
          <w:p w14:paraId="11D1166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236.1</w:t>
            </w:r>
          </w:p>
        </w:tc>
        <w:tc>
          <w:tcPr>
            <w:tcW w:w="496" w:type="pct"/>
            <w:tcBorders>
              <w:top w:val="nil"/>
              <w:left w:val="nil"/>
              <w:bottom w:val="nil"/>
              <w:right w:val="nil"/>
            </w:tcBorders>
            <w:shd w:val="solid" w:color="FFFFFF" w:fill="auto"/>
          </w:tcPr>
          <w:p w14:paraId="1D552551"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34.2</w:t>
            </w:r>
          </w:p>
        </w:tc>
        <w:tc>
          <w:tcPr>
            <w:tcW w:w="520" w:type="pct"/>
            <w:tcBorders>
              <w:top w:val="nil"/>
              <w:left w:val="nil"/>
              <w:bottom w:val="nil"/>
              <w:right w:val="nil"/>
            </w:tcBorders>
            <w:shd w:val="solid" w:color="FFFFFF" w:fill="auto"/>
          </w:tcPr>
          <w:p w14:paraId="66855B3B"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14.5%</w:t>
            </w:r>
          </w:p>
        </w:tc>
      </w:tr>
      <w:tr w:rsidR="00391181" w:rsidRPr="00055E35" w14:paraId="755F6B09" w14:textId="77777777" w:rsidTr="004F0E15">
        <w:trPr>
          <w:trHeight w:val="43"/>
        </w:trPr>
        <w:tc>
          <w:tcPr>
            <w:tcW w:w="244" w:type="pct"/>
            <w:tcBorders>
              <w:top w:val="nil"/>
              <w:left w:val="nil"/>
              <w:bottom w:val="nil"/>
              <w:right w:val="nil"/>
            </w:tcBorders>
            <w:shd w:val="solid" w:color="FFFFFF" w:fill="auto"/>
          </w:tcPr>
          <w:p w14:paraId="05DF440A"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11</w:t>
            </w:r>
          </w:p>
        </w:tc>
        <w:tc>
          <w:tcPr>
            <w:tcW w:w="1393" w:type="pct"/>
            <w:tcBorders>
              <w:top w:val="nil"/>
              <w:left w:val="nil"/>
              <w:bottom w:val="nil"/>
              <w:right w:val="nil"/>
            </w:tcBorders>
            <w:shd w:val="solid" w:color="FFFFFF" w:fill="auto"/>
          </w:tcPr>
          <w:p w14:paraId="6141EF6D"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Public Works</w:t>
            </w:r>
          </w:p>
        </w:tc>
        <w:tc>
          <w:tcPr>
            <w:tcW w:w="472" w:type="pct"/>
            <w:gridSpan w:val="2"/>
            <w:tcBorders>
              <w:top w:val="nil"/>
              <w:left w:val="nil"/>
              <w:bottom w:val="nil"/>
              <w:right w:val="nil"/>
            </w:tcBorders>
            <w:shd w:val="solid" w:color="FFFFFF" w:fill="auto"/>
          </w:tcPr>
          <w:p w14:paraId="398B007D"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7 453.3</w:t>
            </w:r>
          </w:p>
        </w:tc>
        <w:tc>
          <w:tcPr>
            <w:tcW w:w="477" w:type="pct"/>
            <w:tcBorders>
              <w:top w:val="nil"/>
              <w:left w:val="nil"/>
              <w:bottom w:val="nil"/>
              <w:right w:val="nil"/>
            </w:tcBorders>
            <w:shd w:val="solid" w:color="FFFFFF" w:fill="auto"/>
          </w:tcPr>
          <w:p w14:paraId="249E97B9"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7 453.3</w:t>
            </w:r>
          </w:p>
        </w:tc>
        <w:tc>
          <w:tcPr>
            <w:tcW w:w="455" w:type="pct"/>
            <w:tcBorders>
              <w:top w:val="nil"/>
              <w:left w:val="nil"/>
              <w:bottom w:val="nil"/>
              <w:right w:val="nil"/>
            </w:tcBorders>
            <w:shd w:val="solid" w:color="FFFFFF" w:fill="auto"/>
          </w:tcPr>
          <w:p w14:paraId="732F65A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1 986.3</w:t>
            </w:r>
          </w:p>
        </w:tc>
        <w:tc>
          <w:tcPr>
            <w:tcW w:w="496" w:type="pct"/>
            <w:tcBorders>
              <w:top w:val="nil"/>
              <w:left w:val="nil"/>
              <w:bottom w:val="nil"/>
              <w:right w:val="nil"/>
            </w:tcBorders>
            <w:shd w:val="solid" w:color="FFFFFF" w:fill="auto"/>
          </w:tcPr>
          <w:p w14:paraId="7C5BA283"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26.7%</w:t>
            </w:r>
          </w:p>
        </w:tc>
        <w:tc>
          <w:tcPr>
            <w:tcW w:w="447" w:type="pct"/>
            <w:tcBorders>
              <w:top w:val="nil"/>
              <w:left w:val="nil"/>
              <w:bottom w:val="nil"/>
              <w:right w:val="nil"/>
            </w:tcBorders>
            <w:shd w:val="solid" w:color="FFFFFF" w:fill="auto"/>
          </w:tcPr>
          <w:p w14:paraId="62767CB1"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1 977.4</w:t>
            </w:r>
          </w:p>
        </w:tc>
        <w:tc>
          <w:tcPr>
            <w:tcW w:w="496" w:type="pct"/>
            <w:tcBorders>
              <w:top w:val="nil"/>
              <w:left w:val="nil"/>
              <w:bottom w:val="nil"/>
              <w:right w:val="nil"/>
            </w:tcBorders>
            <w:shd w:val="solid" w:color="FFFFFF" w:fill="auto"/>
          </w:tcPr>
          <w:p w14:paraId="769A6AF0"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-8.9</w:t>
            </w:r>
          </w:p>
        </w:tc>
        <w:tc>
          <w:tcPr>
            <w:tcW w:w="520" w:type="pct"/>
            <w:tcBorders>
              <w:top w:val="nil"/>
              <w:left w:val="nil"/>
              <w:bottom w:val="nil"/>
              <w:right w:val="nil"/>
            </w:tcBorders>
            <w:shd w:val="solid" w:color="FFFFFF" w:fill="auto"/>
          </w:tcPr>
          <w:p w14:paraId="1D0574D2"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-0.4%</w:t>
            </w:r>
          </w:p>
        </w:tc>
      </w:tr>
      <w:tr w:rsidR="00391181" w:rsidRPr="00055E35" w14:paraId="59043892" w14:textId="77777777" w:rsidTr="004F0E15">
        <w:trPr>
          <w:trHeight w:val="43"/>
        </w:trPr>
        <w:tc>
          <w:tcPr>
            <w:tcW w:w="244" w:type="pct"/>
            <w:tcBorders>
              <w:top w:val="nil"/>
              <w:left w:val="nil"/>
              <w:bottom w:val="nil"/>
              <w:right w:val="nil"/>
            </w:tcBorders>
            <w:shd w:val="solid" w:color="FFFFFF" w:fill="auto"/>
          </w:tcPr>
          <w:p w14:paraId="689A34CC"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12</w:t>
            </w:r>
          </w:p>
        </w:tc>
        <w:tc>
          <w:tcPr>
            <w:tcW w:w="1393" w:type="pct"/>
            <w:tcBorders>
              <w:top w:val="nil"/>
              <w:left w:val="nil"/>
              <w:bottom w:val="nil"/>
              <w:right w:val="nil"/>
            </w:tcBorders>
            <w:shd w:val="solid" w:color="FFFFFF" w:fill="auto"/>
          </w:tcPr>
          <w:p w14:paraId="7EE8721D"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Statistics South Africa</w:t>
            </w:r>
          </w:p>
        </w:tc>
        <w:tc>
          <w:tcPr>
            <w:tcW w:w="472" w:type="pct"/>
            <w:gridSpan w:val="2"/>
            <w:tcBorders>
              <w:top w:val="nil"/>
              <w:left w:val="nil"/>
              <w:bottom w:val="nil"/>
              <w:right w:val="nil"/>
            </w:tcBorders>
            <w:shd w:val="solid" w:color="FFFFFF" w:fill="auto"/>
          </w:tcPr>
          <w:p w14:paraId="366EB3FA"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2 271.7</w:t>
            </w:r>
          </w:p>
        </w:tc>
        <w:tc>
          <w:tcPr>
            <w:tcW w:w="477" w:type="pct"/>
            <w:tcBorders>
              <w:top w:val="nil"/>
              <w:left w:val="nil"/>
              <w:bottom w:val="nil"/>
              <w:right w:val="nil"/>
            </w:tcBorders>
            <w:shd w:val="solid" w:color="FFFFFF" w:fill="auto"/>
          </w:tcPr>
          <w:p w14:paraId="4FFB57F5"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2 271.7</w:t>
            </w:r>
          </w:p>
        </w:tc>
        <w:tc>
          <w:tcPr>
            <w:tcW w:w="455" w:type="pct"/>
            <w:tcBorders>
              <w:top w:val="nil"/>
              <w:left w:val="nil"/>
              <w:bottom w:val="nil"/>
              <w:right w:val="nil"/>
            </w:tcBorders>
            <w:shd w:val="solid" w:color="FFFFFF" w:fill="auto"/>
          </w:tcPr>
          <w:p w14:paraId="786A3F8C"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491.4</w:t>
            </w:r>
          </w:p>
        </w:tc>
        <w:tc>
          <w:tcPr>
            <w:tcW w:w="496" w:type="pct"/>
            <w:tcBorders>
              <w:top w:val="nil"/>
              <w:left w:val="nil"/>
              <w:bottom w:val="nil"/>
              <w:right w:val="nil"/>
            </w:tcBorders>
            <w:shd w:val="solid" w:color="FFFFFF" w:fill="auto"/>
          </w:tcPr>
          <w:p w14:paraId="1F14CD21"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21.6%</w:t>
            </w:r>
          </w:p>
        </w:tc>
        <w:tc>
          <w:tcPr>
            <w:tcW w:w="447" w:type="pct"/>
            <w:tcBorders>
              <w:top w:val="nil"/>
              <w:left w:val="nil"/>
              <w:bottom w:val="nil"/>
              <w:right w:val="nil"/>
            </w:tcBorders>
            <w:shd w:val="solid" w:color="FFFFFF" w:fill="auto"/>
          </w:tcPr>
          <w:p w14:paraId="7C0E3AC9"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573.8</w:t>
            </w:r>
          </w:p>
        </w:tc>
        <w:tc>
          <w:tcPr>
            <w:tcW w:w="496" w:type="pct"/>
            <w:tcBorders>
              <w:top w:val="nil"/>
              <w:left w:val="nil"/>
              <w:bottom w:val="nil"/>
              <w:right w:val="nil"/>
            </w:tcBorders>
            <w:shd w:val="solid" w:color="FFFFFF" w:fill="auto"/>
          </w:tcPr>
          <w:p w14:paraId="48F21C0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82.3</w:t>
            </w:r>
          </w:p>
        </w:tc>
        <w:tc>
          <w:tcPr>
            <w:tcW w:w="520" w:type="pct"/>
            <w:tcBorders>
              <w:top w:val="nil"/>
              <w:left w:val="nil"/>
              <w:bottom w:val="nil"/>
              <w:right w:val="nil"/>
            </w:tcBorders>
            <w:shd w:val="solid" w:color="FFFFFF" w:fill="auto"/>
          </w:tcPr>
          <w:p w14:paraId="0B29ADFB"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14.3%</w:t>
            </w:r>
          </w:p>
        </w:tc>
      </w:tr>
      <w:tr w:rsidR="00391181" w:rsidRPr="00055E35" w14:paraId="4BAA2AA0" w14:textId="77777777" w:rsidTr="004F0E15">
        <w:trPr>
          <w:trHeight w:val="43"/>
        </w:trPr>
        <w:tc>
          <w:tcPr>
            <w:tcW w:w="244" w:type="pct"/>
            <w:tcBorders>
              <w:top w:val="nil"/>
              <w:left w:val="nil"/>
              <w:bottom w:val="nil"/>
              <w:right w:val="nil"/>
            </w:tcBorders>
            <w:shd w:val="solid" w:color="FFFFFF" w:fill="auto"/>
          </w:tcPr>
          <w:p w14:paraId="11FB1055"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13</w:t>
            </w:r>
          </w:p>
        </w:tc>
        <w:tc>
          <w:tcPr>
            <w:tcW w:w="1393" w:type="pct"/>
            <w:tcBorders>
              <w:top w:val="nil"/>
              <w:left w:val="nil"/>
              <w:bottom w:val="nil"/>
              <w:right w:val="nil"/>
            </w:tcBorders>
            <w:shd w:val="solid" w:color="FFFFFF" w:fill="auto"/>
          </w:tcPr>
          <w:p w14:paraId="67AE57CE"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Women</w:t>
            </w:r>
          </w:p>
        </w:tc>
        <w:tc>
          <w:tcPr>
            <w:tcW w:w="472" w:type="pct"/>
            <w:gridSpan w:val="2"/>
            <w:tcBorders>
              <w:top w:val="nil"/>
              <w:left w:val="nil"/>
              <w:bottom w:val="nil"/>
              <w:right w:val="nil"/>
            </w:tcBorders>
            <w:shd w:val="solid" w:color="FFFFFF" w:fill="auto"/>
          </w:tcPr>
          <w:p w14:paraId="266B6C41"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230.2</w:t>
            </w:r>
          </w:p>
        </w:tc>
        <w:tc>
          <w:tcPr>
            <w:tcW w:w="477" w:type="pct"/>
            <w:tcBorders>
              <w:top w:val="nil"/>
              <w:left w:val="nil"/>
              <w:bottom w:val="nil"/>
              <w:right w:val="nil"/>
            </w:tcBorders>
            <w:shd w:val="solid" w:color="FFFFFF" w:fill="auto"/>
          </w:tcPr>
          <w:p w14:paraId="0224BB1B"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230.2</w:t>
            </w:r>
          </w:p>
        </w:tc>
        <w:tc>
          <w:tcPr>
            <w:tcW w:w="455" w:type="pct"/>
            <w:tcBorders>
              <w:top w:val="nil"/>
              <w:left w:val="nil"/>
              <w:bottom w:val="nil"/>
              <w:right w:val="nil"/>
            </w:tcBorders>
            <w:shd w:val="solid" w:color="FFFFFF" w:fill="auto"/>
          </w:tcPr>
          <w:p w14:paraId="562AA4D8"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47.7</w:t>
            </w:r>
          </w:p>
        </w:tc>
        <w:tc>
          <w:tcPr>
            <w:tcW w:w="496" w:type="pct"/>
            <w:tcBorders>
              <w:top w:val="nil"/>
              <w:left w:val="nil"/>
              <w:bottom w:val="nil"/>
              <w:right w:val="nil"/>
            </w:tcBorders>
            <w:shd w:val="solid" w:color="FFFFFF" w:fill="auto"/>
          </w:tcPr>
          <w:p w14:paraId="3D02C87D"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20.7%</w:t>
            </w:r>
          </w:p>
        </w:tc>
        <w:tc>
          <w:tcPr>
            <w:tcW w:w="447" w:type="pct"/>
            <w:tcBorders>
              <w:top w:val="nil"/>
              <w:left w:val="nil"/>
              <w:bottom w:val="nil"/>
              <w:right w:val="nil"/>
            </w:tcBorders>
            <w:shd w:val="solid" w:color="FFFFFF" w:fill="auto"/>
          </w:tcPr>
          <w:p w14:paraId="2ED241F9"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58.2</w:t>
            </w:r>
          </w:p>
        </w:tc>
        <w:tc>
          <w:tcPr>
            <w:tcW w:w="496" w:type="pct"/>
            <w:tcBorders>
              <w:top w:val="nil"/>
              <w:left w:val="nil"/>
              <w:bottom w:val="nil"/>
              <w:right w:val="nil"/>
            </w:tcBorders>
            <w:shd w:val="solid" w:color="FFFFFF" w:fill="auto"/>
          </w:tcPr>
          <w:p w14:paraId="5339A9C6"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10.5</w:t>
            </w:r>
          </w:p>
        </w:tc>
        <w:tc>
          <w:tcPr>
            <w:tcW w:w="520" w:type="pct"/>
            <w:tcBorders>
              <w:top w:val="nil"/>
              <w:left w:val="nil"/>
              <w:bottom w:val="nil"/>
              <w:right w:val="nil"/>
            </w:tcBorders>
            <w:shd w:val="solid" w:color="FFFFFF" w:fill="auto"/>
          </w:tcPr>
          <w:p w14:paraId="6632F33C"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18.1%</w:t>
            </w:r>
          </w:p>
        </w:tc>
      </w:tr>
      <w:tr w:rsidR="00391181" w:rsidRPr="00055E35" w14:paraId="239FE46A" w14:textId="77777777" w:rsidTr="004F0E15">
        <w:trPr>
          <w:trHeight w:val="43"/>
        </w:trPr>
        <w:tc>
          <w:tcPr>
            <w:tcW w:w="244" w:type="pct"/>
            <w:tcBorders>
              <w:top w:val="nil"/>
              <w:left w:val="nil"/>
              <w:bottom w:val="nil"/>
              <w:right w:val="nil"/>
            </w:tcBorders>
            <w:shd w:val="solid" w:color="FFFFFF" w:fill="auto"/>
          </w:tcPr>
          <w:p w14:paraId="5A321031"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14</w:t>
            </w:r>
          </w:p>
        </w:tc>
        <w:tc>
          <w:tcPr>
            <w:tcW w:w="1393" w:type="pct"/>
            <w:tcBorders>
              <w:top w:val="nil"/>
              <w:left w:val="nil"/>
              <w:bottom w:val="nil"/>
              <w:right w:val="nil"/>
            </w:tcBorders>
            <w:shd w:val="solid" w:color="FFFFFF" w:fill="auto"/>
          </w:tcPr>
          <w:p w14:paraId="4DA4205C"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Basic Education</w:t>
            </w:r>
          </w:p>
        </w:tc>
        <w:tc>
          <w:tcPr>
            <w:tcW w:w="472" w:type="pct"/>
            <w:gridSpan w:val="2"/>
            <w:tcBorders>
              <w:top w:val="nil"/>
              <w:left w:val="nil"/>
              <w:bottom w:val="nil"/>
              <w:right w:val="nil"/>
            </w:tcBorders>
            <w:shd w:val="solid" w:color="FFFFFF" w:fill="auto"/>
          </w:tcPr>
          <w:p w14:paraId="2C7A4D3A"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22 722.4</w:t>
            </w:r>
          </w:p>
        </w:tc>
        <w:tc>
          <w:tcPr>
            <w:tcW w:w="477" w:type="pct"/>
            <w:tcBorders>
              <w:top w:val="nil"/>
              <w:left w:val="nil"/>
              <w:bottom w:val="nil"/>
              <w:right w:val="nil"/>
            </w:tcBorders>
            <w:shd w:val="solid" w:color="FFFFFF" w:fill="auto"/>
          </w:tcPr>
          <w:p w14:paraId="6AF181CF"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22 722.4</w:t>
            </w:r>
          </w:p>
        </w:tc>
        <w:tc>
          <w:tcPr>
            <w:tcW w:w="455" w:type="pct"/>
            <w:tcBorders>
              <w:top w:val="nil"/>
              <w:left w:val="nil"/>
              <w:bottom w:val="nil"/>
              <w:right w:val="nil"/>
            </w:tcBorders>
            <w:shd w:val="solid" w:color="FFFFFF" w:fill="auto"/>
          </w:tcPr>
          <w:p w14:paraId="4E0DD6F0"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7 785.9</w:t>
            </w:r>
          </w:p>
        </w:tc>
        <w:tc>
          <w:tcPr>
            <w:tcW w:w="496" w:type="pct"/>
            <w:tcBorders>
              <w:top w:val="nil"/>
              <w:left w:val="nil"/>
              <w:bottom w:val="nil"/>
              <w:right w:val="nil"/>
            </w:tcBorders>
            <w:shd w:val="solid" w:color="FFFFFF" w:fill="auto"/>
          </w:tcPr>
          <w:p w14:paraId="03FB8F08"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34.3%</w:t>
            </w:r>
          </w:p>
        </w:tc>
        <w:tc>
          <w:tcPr>
            <w:tcW w:w="447" w:type="pct"/>
            <w:tcBorders>
              <w:top w:val="nil"/>
              <w:left w:val="nil"/>
              <w:bottom w:val="nil"/>
              <w:right w:val="nil"/>
            </w:tcBorders>
            <w:shd w:val="solid" w:color="FFFFFF" w:fill="auto"/>
          </w:tcPr>
          <w:p w14:paraId="64AAD13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8 069.0</w:t>
            </w:r>
          </w:p>
        </w:tc>
        <w:tc>
          <w:tcPr>
            <w:tcW w:w="496" w:type="pct"/>
            <w:tcBorders>
              <w:top w:val="nil"/>
              <w:left w:val="nil"/>
              <w:bottom w:val="nil"/>
              <w:right w:val="nil"/>
            </w:tcBorders>
            <w:shd w:val="solid" w:color="FFFFFF" w:fill="auto"/>
          </w:tcPr>
          <w:p w14:paraId="08290460"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283.2</w:t>
            </w:r>
          </w:p>
        </w:tc>
        <w:tc>
          <w:tcPr>
            <w:tcW w:w="520" w:type="pct"/>
            <w:tcBorders>
              <w:top w:val="nil"/>
              <w:left w:val="nil"/>
              <w:bottom w:val="nil"/>
              <w:right w:val="nil"/>
            </w:tcBorders>
            <w:shd w:val="solid" w:color="FFFFFF" w:fill="auto"/>
          </w:tcPr>
          <w:p w14:paraId="28997EBD"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3.5%</w:t>
            </w:r>
          </w:p>
        </w:tc>
      </w:tr>
      <w:tr w:rsidR="00391181" w:rsidRPr="00055E35" w14:paraId="4DB6C77E" w14:textId="77777777" w:rsidTr="004F0E15">
        <w:trPr>
          <w:trHeight w:val="43"/>
        </w:trPr>
        <w:tc>
          <w:tcPr>
            <w:tcW w:w="244" w:type="pct"/>
            <w:tcBorders>
              <w:top w:val="nil"/>
              <w:left w:val="nil"/>
              <w:bottom w:val="nil"/>
              <w:right w:val="nil"/>
            </w:tcBorders>
            <w:shd w:val="solid" w:color="FFFFFF" w:fill="auto"/>
          </w:tcPr>
          <w:p w14:paraId="480A827C"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15</w:t>
            </w:r>
          </w:p>
        </w:tc>
        <w:tc>
          <w:tcPr>
            <w:tcW w:w="1393" w:type="pct"/>
            <w:tcBorders>
              <w:top w:val="nil"/>
              <w:left w:val="nil"/>
              <w:bottom w:val="nil"/>
              <w:right w:val="nil"/>
            </w:tcBorders>
            <w:shd w:val="solid" w:color="FFFFFF" w:fill="auto"/>
          </w:tcPr>
          <w:p w14:paraId="563CAFEE"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Higher Education and Training</w:t>
            </w:r>
          </w:p>
        </w:tc>
        <w:tc>
          <w:tcPr>
            <w:tcW w:w="472" w:type="pct"/>
            <w:gridSpan w:val="2"/>
            <w:tcBorders>
              <w:top w:val="nil"/>
              <w:left w:val="nil"/>
              <w:bottom w:val="nil"/>
              <w:right w:val="nil"/>
            </w:tcBorders>
            <w:shd w:val="solid" w:color="FFFFFF" w:fill="auto"/>
          </w:tcPr>
          <w:p w14:paraId="713611FA"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73 020.6</w:t>
            </w:r>
          </w:p>
        </w:tc>
        <w:tc>
          <w:tcPr>
            <w:tcW w:w="477" w:type="pct"/>
            <w:tcBorders>
              <w:top w:val="nil"/>
              <w:left w:val="nil"/>
              <w:bottom w:val="nil"/>
              <w:right w:val="nil"/>
            </w:tcBorders>
            <w:shd w:val="solid" w:color="FFFFFF" w:fill="auto"/>
          </w:tcPr>
          <w:p w14:paraId="425C9FD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73 020.6</w:t>
            </w:r>
          </w:p>
        </w:tc>
        <w:tc>
          <w:tcPr>
            <w:tcW w:w="455" w:type="pct"/>
            <w:tcBorders>
              <w:top w:val="nil"/>
              <w:left w:val="nil"/>
              <w:bottom w:val="nil"/>
              <w:right w:val="nil"/>
            </w:tcBorders>
            <w:shd w:val="solid" w:color="FFFFFF" w:fill="auto"/>
          </w:tcPr>
          <w:p w14:paraId="766C532A"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32 695.5</w:t>
            </w:r>
          </w:p>
        </w:tc>
        <w:tc>
          <w:tcPr>
            <w:tcW w:w="496" w:type="pct"/>
            <w:tcBorders>
              <w:top w:val="nil"/>
              <w:left w:val="nil"/>
              <w:bottom w:val="nil"/>
              <w:right w:val="nil"/>
            </w:tcBorders>
            <w:shd w:val="solid" w:color="FFFFFF" w:fill="auto"/>
          </w:tcPr>
          <w:p w14:paraId="34BF799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44.8%</w:t>
            </w:r>
          </w:p>
        </w:tc>
        <w:tc>
          <w:tcPr>
            <w:tcW w:w="447" w:type="pct"/>
            <w:tcBorders>
              <w:top w:val="nil"/>
              <w:left w:val="nil"/>
              <w:bottom w:val="nil"/>
              <w:right w:val="nil"/>
            </w:tcBorders>
            <w:shd w:val="solid" w:color="FFFFFF" w:fill="auto"/>
          </w:tcPr>
          <w:p w14:paraId="30A7FE6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34 732.1</w:t>
            </w:r>
          </w:p>
        </w:tc>
        <w:tc>
          <w:tcPr>
            <w:tcW w:w="496" w:type="pct"/>
            <w:tcBorders>
              <w:top w:val="nil"/>
              <w:left w:val="nil"/>
              <w:bottom w:val="nil"/>
              <w:right w:val="nil"/>
            </w:tcBorders>
            <w:shd w:val="solid" w:color="FFFFFF" w:fill="auto"/>
          </w:tcPr>
          <w:p w14:paraId="37D794E1"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2 036.6</w:t>
            </w:r>
          </w:p>
        </w:tc>
        <w:tc>
          <w:tcPr>
            <w:tcW w:w="520" w:type="pct"/>
            <w:tcBorders>
              <w:top w:val="nil"/>
              <w:left w:val="nil"/>
              <w:bottom w:val="nil"/>
              <w:right w:val="nil"/>
            </w:tcBorders>
            <w:shd w:val="solid" w:color="FFFFFF" w:fill="auto"/>
          </w:tcPr>
          <w:p w14:paraId="64773EF2"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5.9%</w:t>
            </w:r>
          </w:p>
        </w:tc>
      </w:tr>
      <w:tr w:rsidR="00391181" w:rsidRPr="00055E35" w14:paraId="5476230B" w14:textId="77777777" w:rsidTr="004F0E15">
        <w:trPr>
          <w:trHeight w:val="43"/>
        </w:trPr>
        <w:tc>
          <w:tcPr>
            <w:tcW w:w="244" w:type="pct"/>
            <w:tcBorders>
              <w:top w:val="nil"/>
              <w:left w:val="nil"/>
              <w:bottom w:val="nil"/>
              <w:right w:val="nil"/>
            </w:tcBorders>
            <w:shd w:val="solid" w:color="FFFFFF" w:fill="auto"/>
          </w:tcPr>
          <w:p w14:paraId="78101718"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16</w:t>
            </w:r>
          </w:p>
        </w:tc>
        <w:tc>
          <w:tcPr>
            <w:tcW w:w="1393" w:type="pct"/>
            <w:tcBorders>
              <w:top w:val="nil"/>
              <w:left w:val="nil"/>
              <w:bottom w:val="nil"/>
              <w:right w:val="nil"/>
            </w:tcBorders>
            <w:shd w:val="solid" w:color="FFFFFF" w:fill="auto"/>
          </w:tcPr>
          <w:p w14:paraId="1C52EA42"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Health</w:t>
            </w:r>
          </w:p>
        </w:tc>
        <w:tc>
          <w:tcPr>
            <w:tcW w:w="472" w:type="pct"/>
            <w:gridSpan w:val="2"/>
            <w:tcBorders>
              <w:top w:val="nil"/>
              <w:left w:val="nil"/>
              <w:bottom w:val="nil"/>
              <w:right w:val="nil"/>
            </w:tcBorders>
            <w:shd w:val="solid" w:color="FFFFFF" w:fill="auto"/>
          </w:tcPr>
          <w:p w14:paraId="33F1A73D"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47 142.9</w:t>
            </w:r>
          </w:p>
        </w:tc>
        <w:tc>
          <w:tcPr>
            <w:tcW w:w="477" w:type="pct"/>
            <w:tcBorders>
              <w:top w:val="nil"/>
              <w:left w:val="nil"/>
              <w:bottom w:val="nil"/>
              <w:right w:val="nil"/>
            </w:tcBorders>
            <w:shd w:val="solid" w:color="FFFFFF" w:fill="auto"/>
          </w:tcPr>
          <w:p w14:paraId="58A9B10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47 142.9</w:t>
            </w:r>
          </w:p>
        </w:tc>
        <w:tc>
          <w:tcPr>
            <w:tcW w:w="455" w:type="pct"/>
            <w:tcBorders>
              <w:top w:val="nil"/>
              <w:left w:val="nil"/>
              <w:bottom w:val="nil"/>
              <w:right w:val="nil"/>
            </w:tcBorders>
            <w:shd w:val="solid" w:color="FFFFFF" w:fill="auto"/>
          </w:tcPr>
          <w:p w14:paraId="00F8C8D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11 455.5</w:t>
            </w:r>
          </w:p>
        </w:tc>
        <w:tc>
          <w:tcPr>
            <w:tcW w:w="496" w:type="pct"/>
            <w:tcBorders>
              <w:top w:val="nil"/>
              <w:left w:val="nil"/>
              <w:bottom w:val="nil"/>
              <w:right w:val="nil"/>
            </w:tcBorders>
            <w:shd w:val="solid" w:color="FFFFFF" w:fill="auto"/>
          </w:tcPr>
          <w:p w14:paraId="633D802C"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24.3%</w:t>
            </w:r>
          </w:p>
        </w:tc>
        <w:tc>
          <w:tcPr>
            <w:tcW w:w="447" w:type="pct"/>
            <w:tcBorders>
              <w:top w:val="nil"/>
              <w:left w:val="nil"/>
              <w:bottom w:val="nil"/>
              <w:right w:val="nil"/>
            </w:tcBorders>
            <w:shd w:val="solid" w:color="FFFFFF" w:fill="auto"/>
          </w:tcPr>
          <w:p w14:paraId="496B0E4C"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11 710.5</w:t>
            </w:r>
          </w:p>
        </w:tc>
        <w:tc>
          <w:tcPr>
            <w:tcW w:w="496" w:type="pct"/>
            <w:tcBorders>
              <w:top w:val="nil"/>
              <w:left w:val="nil"/>
              <w:bottom w:val="nil"/>
              <w:right w:val="nil"/>
            </w:tcBorders>
            <w:shd w:val="solid" w:color="FFFFFF" w:fill="auto"/>
          </w:tcPr>
          <w:p w14:paraId="2B1057A5"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255.0</w:t>
            </w:r>
          </w:p>
        </w:tc>
        <w:tc>
          <w:tcPr>
            <w:tcW w:w="520" w:type="pct"/>
            <w:tcBorders>
              <w:top w:val="nil"/>
              <w:left w:val="nil"/>
              <w:bottom w:val="nil"/>
              <w:right w:val="nil"/>
            </w:tcBorders>
            <w:shd w:val="solid" w:color="FFFFFF" w:fill="auto"/>
          </w:tcPr>
          <w:p w14:paraId="2CFF2D35"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2.2%</w:t>
            </w:r>
          </w:p>
        </w:tc>
      </w:tr>
      <w:tr w:rsidR="00391181" w:rsidRPr="00055E35" w14:paraId="5F38053E" w14:textId="77777777" w:rsidTr="004F0E15">
        <w:trPr>
          <w:trHeight w:val="43"/>
        </w:trPr>
        <w:tc>
          <w:tcPr>
            <w:tcW w:w="244" w:type="pct"/>
            <w:tcBorders>
              <w:top w:val="nil"/>
              <w:left w:val="nil"/>
              <w:bottom w:val="nil"/>
              <w:right w:val="nil"/>
            </w:tcBorders>
            <w:shd w:val="solid" w:color="FFFFFF" w:fill="auto"/>
          </w:tcPr>
          <w:p w14:paraId="532B4033"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17</w:t>
            </w:r>
          </w:p>
        </w:tc>
        <w:tc>
          <w:tcPr>
            <w:tcW w:w="1393" w:type="pct"/>
            <w:tcBorders>
              <w:top w:val="nil"/>
              <w:left w:val="nil"/>
              <w:bottom w:val="nil"/>
              <w:right w:val="nil"/>
            </w:tcBorders>
            <w:shd w:val="solid" w:color="FFFFFF" w:fill="auto"/>
          </w:tcPr>
          <w:p w14:paraId="3D4AD140"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Social Development</w:t>
            </w:r>
          </w:p>
        </w:tc>
        <w:tc>
          <w:tcPr>
            <w:tcW w:w="472" w:type="pct"/>
            <w:gridSpan w:val="2"/>
            <w:tcBorders>
              <w:top w:val="nil"/>
              <w:left w:val="nil"/>
              <w:bottom w:val="nil"/>
              <w:right w:val="nil"/>
            </w:tcBorders>
            <w:shd w:val="solid" w:color="FFFFFF" w:fill="auto"/>
          </w:tcPr>
          <w:p w14:paraId="7A4A4D3A"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172 901.6</w:t>
            </w:r>
          </w:p>
        </w:tc>
        <w:tc>
          <w:tcPr>
            <w:tcW w:w="477" w:type="pct"/>
            <w:tcBorders>
              <w:top w:val="nil"/>
              <w:left w:val="nil"/>
              <w:bottom w:val="nil"/>
              <w:right w:val="nil"/>
            </w:tcBorders>
            <w:shd w:val="solid" w:color="FFFFFF" w:fill="auto"/>
          </w:tcPr>
          <w:p w14:paraId="0F81A721"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172 901.6</w:t>
            </w:r>
          </w:p>
        </w:tc>
        <w:tc>
          <w:tcPr>
            <w:tcW w:w="455" w:type="pct"/>
            <w:tcBorders>
              <w:top w:val="nil"/>
              <w:left w:val="nil"/>
              <w:bottom w:val="nil"/>
              <w:right w:val="nil"/>
            </w:tcBorders>
            <w:shd w:val="solid" w:color="FFFFFF" w:fill="auto"/>
          </w:tcPr>
          <w:p w14:paraId="7BF5569B"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42 200.4</w:t>
            </w:r>
          </w:p>
        </w:tc>
        <w:tc>
          <w:tcPr>
            <w:tcW w:w="496" w:type="pct"/>
            <w:tcBorders>
              <w:top w:val="nil"/>
              <w:left w:val="nil"/>
              <w:bottom w:val="nil"/>
              <w:right w:val="nil"/>
            </w:tcBorders>
            <w:shd w:val="solid" w:color="FFFFFF" w:fill="auto"/>
          </w:tcPr>
          <w:p w14:paraId="0E086C4D"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24.4%</w:t>
            </w:r>
          </w:p>
        </w:tc>
        <w:tc>
          <w:tcPr>
            <w:tcW w:w="447" w:type="pct"/>
            <w:tcBorders>
              <w:top w:val="nil"/>
              <w:left w:val="nil"/>
              <w:bottom w:val="nil"/>
              <w:right w:val="nil"/>
            </w:tcBorders>
            <w:shd w:val="solid" w:color="FFFFFF" w:fill="auto"/>
          </w:tcPr>
          <w:p w14:paraId="742F805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42 524.6</w:t>
            </w:r>
          </w:p>
        </w:tc>
        <w:tc>
          <w:tcPr>
            <w:tcW w:w="496" w:type="pct"/>
            <w:tcBorders>
              <w:top w:val="nil"/>
              <w:left w:val="nil"/>
              <w:bottom w:val="nil"/>
              <w:right w:val="nil"/>
            </w:tcBorders>
            <w:shd w:val="solid" w:color="FFFFFF" w:fill="auto"/>
          </w:tcPr>
          <w:p w14:paraId="5D5B768D"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324.2</w:t>
            </w:r>
          </w:p>
        </w:tc>
        <w:tc>
          <w:tcPr>
            <w:tcW w:w="520" w:type="pct"/>
            <w:tcBorders>
              <w:top w:val="nil"/>
              <w:left w:val="nil"/>
              <w:bottom w:val="nil"/>
              <w:right w:val="nil"/>
            </w:tcBorders>
            <w:shd w:val="solid" w:color="FFFFFF" w:fill="auto"/>
          </w:tcPr>
          <w:p w14:paraId="18DFDD43"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0.8%</w:t>
            </w:r>
          </w:p>
        </w:tc>
      </w:tr>
      <w:tr w:rsidR="00391181" w:rsidRPr="00055E35" w14:paraId="7226EC0C" w14:textId="77777777" w:rsidTr="004F0E15">
        <w:trPr>
          <w:trHeight w:val="43"/>
        </w:trPr>
        <w:tc>
          <w:tcPr>
            <w:tcW w:w="244" w:type="pct"/>
            <w:tcBorders>
              <w:top w:val="nil"/>
              <w:left w:val="nil"/>
              <w:bottom w:val="nil"/>
              <w:right w:val="nil"/>
            </w:tcBorders>
            <w:shd w:val="solid" w:color="FFFFFF" w:fill="auto"/>
          </w:tcPr>
          <w:p w14:paraId="032DF451"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18</w:t>
            </w:r>
          </w:p>
        </w:tc>
        <w:tc>
          <w:tcPr>
            <w:tcW w:w="1393" w:type="pct"/>
            <w:tcBorders>
              <w:top w:val="nil"/>
              <w:left w:val="nil"/>
              <w:bottom w:val="nil"/>
              <w:right w:val="nil"/>
            </w:tcBorders>
            <w:shd w:val="solid" w:color="FFFFFF" w:fill="auto"/>
          </w:tcPr>
          <w:p w14:paraId="15028445"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Correctional Services</w:t>
            </w:r>
          </w:p>
        </w:tc>
        <w:tc>
          <w:tcPr>
            <w:tcW w:w="472" w:type="pct"/>
            <w:gridSpan w:val="2"/>
            <w:tcBorders>
              <w:top w:val="nil"/>
              <w:left w:val="nil"/>
              <w:bottom w:val="nil"/>
              <w:right w:val="nil"/>
            </w:tcBorders>
            <w:shd w:val="solid" w:color="FFFFFF" w:fill="auto"/>
          </w:tcPr>
          <w:p w14:paraId="1C99116E"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23 848.5</w:t>
            </w:r>
          </w:p>
        </w:tc>
        <w:tc>
          <w:tcPr>
            <w:tcW w:w="477" w:type="pct"/>
            <w:tcBorders>
              <w:top w:val="nil"/>
              <w:left w:val="nil"/>
              <w:bottom w:val="nil"/>
              <w:right w:val="nil"/>
            </w:tcBorders>
            <w:shd w:val="solid" w:color="FFFFFF" w:fill="auto"/>
          </w:tcPr>
          <w:p w14:paraId="373E6295"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23 848.5</w:t>
            </w:r>
          </w:p>
        </w:tc>
        <w:tc>
          <w:tcPr>
            <w:tcW w:w="455" w:type="pct"/>
            <w:tcBorders>
              <w:top w:val="nil"/>
              <w:left w:val="nil"/>
              <w:bottom w:val="nil"/>
              <w:right w:val="nil"/>
            </w:tcBorders>
            <w:shd w:val="solid" w:color="FFFFFF" w:fill="auto"/>
          </w:tcPr>
          <w:p w14:paraId="6F58BBC1"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4 891.8</w:t>
            </w:r>
          </w:p>
        </w:tc>
        <w:tc>
          <w:tcPr>
            <w:tcW w:w="496" w:type="pct"/>
            <w:tcBorders>
              <w:top w:val="nil"/>
              <w:left w:val="nil"/>
              <w:bottom w:val="nil"/>
              <w:right w:val="nil"/>
            </w:tcBorders>
            <w:shd w:val="solid" w:color="FFFFFF" w:fill="auto"/>
          </w:tcPr>
          <w:p w14:paraId="3A27BBD9"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20.5%</w:t>
            </w:r>
          </w:p>
        </w:tc>
        <w:tc>
          <w:tcPr>
            <w:tcW w:w="447" w:type="pct"/>
            <w:tcBorders>
              <w:top w:val="nil"/>
              <w:left w:val="nil"/>
              <w:bottom w:val="nil"/>
              <w:right w:val="nil"/>
            </w:tcBorders>
            <w:shd w:val="solid" w:color="FFFFFF" w:fill="auto"/>
          </w:tcPr>
          <w:p w14:paraId="215E3A7E"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5 869.1</w:t>
            </w:r>
          </w:p>
        </w:tc>
        <w:tc>
          <w:tcPr>
            <w:tcW w:w="496" w:type="pct"/>
            <w:tcBorders>
              <w:top w:val="nil"/>
              <w:left w:val="nil"/>
              <w:bottom w:val="nil"/>
              <w:right w:val="nil"/>
            </w:tcBorders>
            <w:shd w:val="solid" w:color="FFFFFF" w:fill="auto"/>
          </w:tcPr>
          <w:p w14:paraId="36F6B24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977.3</w:t>
            </w:r>
          </w:p>
        </w:tc>
        <w:tc>
          <w:tcPr>
            <w:tcW w:w="520" w:type="pct"/>
            <w:tcBorders>
              <w:top w:val="nil"/>
              <w:left w:val="nil"/>
              <w:bottom w:val="nil"/>
              <w:right w:val="nil"/>
            </w:tcBorders>
            <w:shd w:val="solid" w:color="FFFFFF" w:fill="auto"/>
          </w:tcPr>
          <w:p w14:paraId="3121A0EA"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16.7%</w:t>
            </w:r>
          </w:p>
        </w:tc>
      </w:tr>
      <w:tr w:rsidR="00391181" w:rsidRPr="00055E35" w14:paraId="7A040950" w14:textId="77777777" w:rsidTr="004F0E15">
        <w:trPr>
          <w:trHeight w:val="43"/>
        </w:trPr>
        <w:tc>
          <w:tcPr>
            <w:tcW w:w="244" w:type="pct"/>
            <w:tcBorders>
              <w:top w:val="nil"/>
              <w:left w:val="nil"/>
              <w:bottom w:val="nil"/>
              <w:right w:val="nil"/>
            </w:tcBorders>
            <w:shd w:val="solid" w:color="FFFFFF" w:fill="auto"/>
          </w:tcPr>
          <w:p w14:paraId="5A3A8DA8"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19</w:t>
            </w:r>
          </w:p>
        </w:tc>
        <w:tc>
          <w:tcPr>
            <w:tcW w:w="1393" w:type="pct"/>
            <w:tcBorders>
              <w:top w:val="nil"/>
              <w:left w:val="nil"/>
              <w:bottom w:val="nil"/>
              <w:right w:val="nil"/>
            </w:tcBorders>
            <w:shd w:val="solid" w:color="FFFFFF" w:fill="auto"/>
          </w:tcPr>
          <w:p w14:paraId="13594545"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Defence and Military Veterans</w:t>
            </w:r>
          </w:p>
        </w:tc>
        <w:tc>
          <w:tcPr>
            <w:tcW w:w="472" w:type="pct"/>
            <w:gridSpan w:val="2"/>
            <w:tcBorders>
              <w:top w:val="nil"/>
              <w:left w:val="nil"/>
              <w:bottom w:val="nil"/>
              <w:right w:val="nil"/>
            </w:tcBorders>
            <w:shd w:val="solid" w:color="FFFFFF" w:fill="auto"/>
          </w:tcPr>
          <w:p w14:paraId="62C3165F"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47 949.7</w:t>
            </w:r>
          </w:p>
        </w:tc>
        <w:tc>
          <w:tcPr>
            <w:tcW w:w="477" w:type="pct"/>
            <w:tcBorders>
              <w:top w:val="nil"/>
              <w:left w:val="nil"/>
              <w:bottom w:val="nil"/>
              <w:right w:val="nil"/>
            </w:tcBorders>
            <w:shd w:val="solid" w:color="FFFFFF" w:fill="auto"/>
          </w:tcPr>
          <w:p w14:paraId="713E1E1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47 949.7</w:t>
            </w:r>
          </w:p>
        </w:tc>
        <w:tc>
          <w:tcPr>
            <w:tcW w:w="455" w:type="pct"/>
            <w:tcBorders>
              <w:top w:val="nil"/>
              <w:left w:val="nil"/>
              <w:bottom w:val="nil"/>
              <w:right w:val="nil"/>
            </w:tcBorders>
            <w:shd w:val="solid" w:color="FFFFFF" w:fill="auto"/>
          </w:tcPr>
          <w:p w14:paraId="7715418D"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10 692.5</w:t>
            </w:r>
          </w:p>
        </w:tc>
        <w:tc>
          <w:tcPr>
            <w:tcW w:w="496" w:type="pct"/>
            <w:tcBorders>
              <w:top w:val="nil"/>
              <w:left w:val="nil"/>
              <w:bottom w:val="nil"/>
              <w:right w:val="nil"/>
            </w:tcBorders>
            <w:shd w:val="solid" w:color="FFFFFF" w:fill="auto"/>
          </w:tcPr>
          <w:p w14:paraId="0580BF5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22.3%</w:t>
            </w:r>
          </w:p>
        </w:tc>
        <w:tc>
          <w:tcPr>
            <w:tcW w:w="447" w:type="pct"/>
            <w:tcBorders>
              <w:top w:val="nil"/>
              <w:left w:val="nil"/>
              <w:bottom w:val="nil"/>
              <w:right w:val="nil"/>
            </w:tcBorders>
            <w:shd w:val="solid" w:color="FFFFFF" w:fill="auto"/>
          </w:tcPr>
          <w:p w14:paraId="3738ABCB"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10 507.2</w:t>
            </w:r>
          </w:p>
        </w:tc>
        <w:tc>
          <w:tcPr>
            <w:tcW w:w="496" w:type="pct"/>
            <w:tcBorders>
              <w:top w:val="nil"/>
              <w:left w:val="nil"/>
              <w:bottom w:val="nil"/>
              <w:right w:val="nil"/>
            </w:tcBorders>
            <w:shd w:val="solid" w:color="FFFFFF" w:fill="auto"/>
          </w:tcPr>
          <w:p w14:paraId="1423600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-185.3</w:t>
            </w:r>
          </w:p>
        </w:tc>
        <w:tc>
          <w:tcPr>
            <w:tcW w:w="520" w:type="pct"/>
            <w:tcBorders>
              <w:top w:val="nil"/>
              <w:left w:val="nil"/>
              <w:bottom w:val="nil"/>
              <w:right w:val="nil"/>
            </w:tcBorders>
            <w:shd w:val="solid" w:color="FFFFFF" w:fill="auto"/>
          </w:tcPr>
          <w:p w14:paraId="2C27480E"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-1.8%</w:t>
            </w:r>
          </w:p>
        </w:tc>
      </w:tr>
      <w:tr w:rsidR="00391181" w:rsidRPr="00055E35" w14:paraId="51D65E45" w14:textId="77777777" w:rsidTr="004F0E15">
        <w:trPr>
          <w:trHeight w:val="43"/>
        </w:trPr>
        <w:tc>
          <w:tcPr>
            <w:tcW w:w="244" w:type="pct"/>
            <w:tcBorders>
              <w:top w:val="nil"/>
              <w:left w:val="nil"/>
              <w:bottom w:val="nil"/>
              <w:right w:val="nil"/>
            </w:tcBorders>
            <w:shd w:val="solid" w:color="FFFFFF" w:fill="auto"/>
          </w:tcPr>
          <w:p w14:paraId="07E6462A"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20</w:t>
            </w:r>
          </w:p>
        </w:tc>
        <w:tc>
          <w:tcPr>
            <w:tcW w:w="1393" w:type="pct"/>
            <w:tcBorders>
              <w:top w:val="nil"/>
              <w:left w:val="nil"/>
              <w:bottom w:val="nil"/>
              <w:right w:val="nil"/>
            </w:tcBorders>
            <w:shd w:val="solid" w:color="FFFFFF" w:fill="auto"/>
          </w:tcPr>
          <w:p w14:paraId="281E75BA"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Independent Police Investigative Directorate</w:t>
            </w:r>
          </w:p>
        </w:tc>
        <w:tc>
          <w:tcPr>
            <w:tcW w:w="472" w:type="pct"/>
            <w:gridSpan w:val="2"/>
            <w:tcBorders>
              <w:top w:val="nil"/>
              <w:left w:val="nil"/>
              <w:bottom w:val="nil"/>
              <w:right w:val="nil"/>
            </w:tcBorders>
            <w:shd w:val="solid" w:color="FFFFFF" w:fill="auto"/>
          </w:tcPr>
          <w:p w14:paraId="33972A73"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315.1</w:t>
            </w:r>
          </w:p>
        </w:tc>
        <w:tc>
          <w:tcPr>
            <w:tcW w:w="477" w:type="pct"/>
            <w:tcBorders>
              <w:top w:val="nil"/>
              <w:left w:val="nil"/>
              <w:bottom w:val="nil"/>
              <w:right w:val="nil"/>
            </w:tcBorders>
            <w:shd w:val="solid" w:color="FFFFFF" w:fill="auto"/>
          </w:tcPr>
          <w:p w14:paraId="49445B5D"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315.1</w:t>
            </w:r>
          </w:p>
        </w:tc>
        <w:tc>
          <w:tcPr>
            <w:tcW w:w="455" w:type="pct"/>
            <w:tcBorders>
              <w:top w:val="nil"/>
              <w:left w:val="nil"/>
              <w:bottom w:val="nil"/>
              <w:right w:val="nil"/>
            </w:tcBorders>
            <w:shd w:val="solid" w:color="FFFFFF" w:fill="auto"/>
          </w:tcPr>
          <w:p w14:paraId="5E71D39A"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65.6</w:t>
            </w:r>
          </w:p>
        </w:tc>
        <w:tc>
          <w:tcPr>
            <w:tcW w:w="496" w:type="pct"/>
            <w:tcBorders>
              <w:top w:val="nil"/>
              <w:left w:val="nil"/>
              <w:bottom w:val="nil"/>
              <w:right w:val="nil"/>
            </w:tcBorders>
            <w:shd w:val="solid" w:color="FFFFFF" w:fill="auto"/>
          </w:tcPr>
          <w:p w14:paraId="4FCFAC76"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20.8%</w:t>
            </w:r>
          </w:p>
        </w:tc>
        <w:tc>
          <w:tcPr>
            <w:tcW w:w="447" w:type="pct"/>
            <w:tcBorders>
              <w:top w:val="nil"/>
              <w:left w:val="nil"/>
              <w:bottom w:val="nil"/>
              <w:right w:val="nil"/>
            </w:tcBorders>
            <w:shd w:val="solid" w:color="FFFFFF" w:fill="auto"/>
          </w:tcPr>
          <w:p w14:paraId="6D180BD2"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88.9</w:t>
            </w:r>
          </w:p>
        </w:tc>
        <w:tc>
          <w:tcPr>
            <w:tcW w:w="496" w:type="pct"/>
            <w:tcBorders>
              <w:top w:val="nil"/>
              <w:left w:val="nil"/>
              <w:bottom w:val="nil"/>
              <w:right w:val="nil"/>
            </w:tcBorders>
            <w:shd w:val="solid" w:color="FFFFFF" w:fill="auto"/>
          </w:tcPr>
          <w:p w14:paraId="4E8A792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23.3</w:t>
            </w:r>
          </w:p>
        </w:tc>
        <w:tc>
          <w:tcPr>
            <w:tcW w:w="520" w:type="pct"/>
            <w:tcBorders>
              <w:top w:val="nil"/>
              <w:left w:val="nil"/>
              <w:bottom w:val="nil"/>
              <w:right w:val="nil"/>
            </w:tcBorders>
            <w:shd w:val="solid" w:color="FFFFFF" w:fill="auto"/>
          </w:tcPr>
          <w:p w14:paraId="31562BAD"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26.2%</w:t>
            </w:r>
          </w:p>
        </w:tc>
      </w:tr>
      <w:tr w:rsidR="00391181" w:rsidRPr="00055E35" w14:paraId="77BDA46A" w14:textId="77777777" w:rsidTr="004F0E15">
        <w:trPr>
          <w:trHeight w:val="43"/>
        </w:trPr>
        <w:tc>
          <w:tcPr>
            <w:tcW w:w="244" w:type="pct"/>
            <w:tcBorders>
              <w:top w:val="nil"/>
              <w:left w:val="nil"/>
              <w:bottom w:val="nil"/>
              <w:right w:val="nil"/>
            </w:tcBorders>
            <w:shd w:val="solid" w:color="FFFFFF" w:fill="auto"/>
          </w:tcPr>
          <w:p w14:paraId="27EB4F6A"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21</w:t>
            </w:r>
          </w:p>
        </w:tc>
        <w:tc>
          <w:tcPr>
            <w:tcW w:w="1393" w:type="pct"/>
            <w:tcBorders>
              <w:top w:val="nil"/>
              <w:left w:val="nil"/>
              <w:bottom w:val="nil"/>
              <w:right w:val="nil"/>
            </w:tcBorders>
            <w:shd w:val="solid" w:color="FFFFFF" w:fill="auto"/>
          </w:tcPr>
          <w:p w14:paraId="095260E4"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Justice and Constitutional Development</w:t>
            </w:r>
          </w:p>
        </w:tc>
        <w:tc>
          <w:tcPr>
            <w:tcW w:w="472" w:type="pct"/>
            <w:gridSpan w:val="2"/>
            <w:tcBorders>
              <w:top w:val="nil"/>
              <w:left w:val="nil"/>
              <w:bottom w:val="nil"/>
              <w:right w:val="nil"/>
            </w:tcBorders>
            <w:shd w:val="solid" w:color="FFFFFF" w:fill="auto"/>
          </w:tcPr>
          <w:p w14:paraId="385BB3F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17 049.4</w:t>
            </w:r>
          </w:p>
        </w:tc>
        <w:tc>
          <w:tcPr>
            <w:tcW w:w="477" w:type="pct"/>
            <w:tcBorders>
              <w:top w:val="nil"/>
              <w:left w:val="nil"/>
              <w:bottom w:val="nil"/>
              <w:right w:val="nil"/>
            </w:tcBorders>
            <w:shd w:val="solid" w:color="FFFFFF" w:fill="auto"/>
          </w:tcPr>
          <w:p w14:paraId="3113D9DB"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17 049.4</w:t>
            </w:r>
          </w:p>
        </w:tc>
        <w:tc>
          <w:tcPr>
            <w:tcW w:w="455" w:type="pct"/>
            <w:tcBorders>
              <w:top w:val="nil"/>
              <w:left w:val="nil"/>
              <w:bottom w:val="nil"/>
              <w:right w:val="nil"/>
            </w:tcBorders>
            <w:shd w:val="solid" w:color="FFFFFF" w:fill="auto"/>
          </w:tcPr>
          <w:p w14:paraId="6199793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3 935.2</w:t>
            </w:r>
          </w:p>
        </w:tc>
        <w:tc>
          <w:tcPr>
            <w:tcW w:w="496" w:type="pct"/>
            <w:tcBorders>
              <w:top w:val="nil"/>
              <w:left w:val="nil"/>
              <w:bottom w:val="nil"/>
              <w:right w:val="nil"/>
            </w:tcBorders>
            <w:shd w:val="solid" w:color="FFFFFF" w:fill="auto"/>
          </w:tcPr>
          <w:p w14:paraId="57CBA72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23.1%</w:t>
            </w:r>
          </w:p>
        </w:tc>
        <w:tc>
          <w:tcPr>
            <w:tcW w:w="447" w:type="pct"/>
            <w:tcBorders>
              <w:top w:val="nil"/>
              <w:left w:val="nil"/>
              <w:bottom w:val="nil"/>
              <w:right w:val="nil"/>
            </w:tcBorders>
            <w:shd w:val="solid" w:color="FFFFFF" w:fill="auto"/>
          </w:tcPr>
          <w:p w14:paraId="3AD7F575"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4 116.8</w:t>
            </w:r>
          </w:p>
        </w:tc>
        <w:tc>
          <w:tcPr>
            <w:tcW w:w="496" w:type="pct"/>
            <w:tcBorders>
              <w:top w:val="nil"/>
              <w:left w:val="nil"/>
              <w:bottom w:val="nil"/>
              <w:right w:val="nil"/>
            </w:tcBorders>
            <w:shd w:val="solid" w:color="FFFFFF" w:fill="auto"/>
          </w:tcPr>
          <w:p w14:paraId="09F05A21"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181.5</w:t>
            </w:r>
          </w:p>
        </w:tc>
        <w:tc>
          <w:tcPr>
            <w:tcW w:w="520" w:type="pct"/>
            <w:tcBorders>
              <w:top w:val="nil"/>
              <w:left w:val="nil"/>
              <w:bottom w:val="nil"/>
              <w:right w:val="nil"/>
            </w:tcBorders>
            <w:shd w:val="solid" w:color="FFFFFF" w:fill="auto"/>
          </w:tcPr>
          <w:p w14:paraId="64BE688C"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4.4%</w:t>
            </w:r>
          </w:p>
        </w:tc>
      </w:tr>
      <w:tr w:rsidR="00391181" w:rsidRPr="00055E35" w14:paraId="5FB5DD6C" w14:textId="77777777" w:rsidTr="004F0E15">
        <w:trPr>
          <w:trHeight w:val="43"/>
        </w:trPr>
        <w:tc>
          <w:tcPr>
            <w:tcW w:w="244" w:type="pct"/>
            <w:tcBorders>
              <w:top w:val="nil"/>
              <w:left w:val="nil"/>
              <w:bottom w:val="nil"/>
              <w:right w:val="nil"/>
            </w:tcBorders>
            <w:shd w:val="solid" w:color="FFFFFF" w:fill="auto"/>
          </w:tcPr>
          <w:p w14:paraId="41596361"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22</w:t>
            </w:r>
          </w:p>
        </w:tc>
        <w:tc>
          <w:tcPr>
            <w:tcW w:w="1517" w:type="pct"/>
            <w:gridSpan w:val="2"/>
            <w:tcBorders>
              <w:top w:val="nil"/>
              <w:left w:val="nil"/>
              <w:bottom w:val="nil"/>
              <w:right w:val="nil"/>
            </w:tcBorders>
            <w:shd w:val="solid" w:color="FFFFFF" w:fill="auto"/>
          </w:tcPr>
          <w:p w14:paraId="1D46573C"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Office of the Chief Justice and Judicial Administration</w:t>
            </w:r>
          </w:p>
        </w:tc>
        <w:tc>
          <w:tcPr>
            <w:tcW w:w="348" w:type="pct"/>
            <w:tcBorders>
              <w:top w:val="nil"/>
              <w:left w:val="nil"/>
              <w:bottom w:val="nil"/>
              <w:right w:val="nil"/>
            </w:tcBorders>
            <w:shd w:val="solid" w:color="FFFFFF" w:fill="auto"/>
          </w:tcPr>
          <w:p w14:paraId="2E8D47DA"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1 119.7</w:t>
            </w:r>
          </w:p>
        </w:tc>
        <w:tc>
          <w:tcPr>
            <w:tcW w:w="477" w:type="pct"/>
            <w:tcBorders>
              <w:top w:val="nil"/>
              <w:left w:val="nil"/>
              <w:bottom w:val="nil"/>
              <w:right w:val="nil"/>
            </w:tcBorders>
            <w:shd w:val="solid" w:color="FFFFFF" w:fill="auto"/>
          </w:tcPr>
          <w:p w14:paraId="7D0A52BA"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1 119.7</w:t>
            </w:r>
          </w:p>
        </w:tc>
        <w:tc>
          <w:tcPr>
            <w:tcW w:w="455" w:type="pct"/>
            <w:tcBorders>
              <w:top w:val="nil"/>
              <w:left w:val="nil"/>
              <w:bottom w:val="nil"/>
              <w:right w:val="nil"/>
            </w:tcBorders>
            <w:shd w:val="solid" w:color="FFFFFF" w:fill="auto"/>
          </w:tcPr>
          <w:p w14:paraId="1014B64A"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210.8</w:t>
            </w:r>
          </w:p>
        </w:tc>
        <w:tc>
          <w:tcPr>
            <w:tcW w:w="496" w:type="pct"/>
            <w:tcBorders>
              <w:top w:val="nil"/>
              <w:left w:val="nil"/>
              <w:bottom w:val="nil"/>
              <w:right w:val="nil"/>
            </w:tcBorders>
            <w:shd w:val="solid" w:color="FFFFFF" w:fill="auto"/>
          </w:tcPr>
          <w:p w14:paraId="05A1ED28"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18.8%</w:t>
            </w:r>
          </w:p>
        </w:tc>
        <w:tc>
          <w:tcPr>
            <w:tcW w:w="447" w:type="pct"/>
            <w:tcBorders>
              <w:top w:val="nil"/>
              <w:left w:val="nil"/>
              <w:bottom w:val="nil"/>
              <w:right w:val="nil"/>
            </w:tcBorders>
            <w:shd w:val="solid" w:color="FFFFFF" w:fill="auto"/>
          </w:tcPr>
          <w:p w14:paraId="3013DAD1"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277.1</w:t>
            </w:r>
          </w:p>
        </w:tc>
        <w:tc>
          <w:tcPr>
            <w:tcW w:w="496" w:type="pct"/>
            <w:tcBorders>
              <w:top w:val="nil"/>
              <w:left w:val="nil"/>
              <w:bottom w:val="nil"/>
              <w:right w:val="nil"/>
            </w:tcBorders>
            <w:shd w:val="solid" w:color="FFFFFF" w:fill="auto"/>
          </w:tcPr>
          <w:p w14:paraId="04BE621D"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66.3</w:t>
            </w:r>
          </w:p>
        </w:tc>
        <w:tc>
          <w:tcPr>
            <w:tcW w:w="520" w:type="pct"/>
            <w:tcBorders>
              <w:top w:val="nil"/>
              <w:left w:val="nil"/>
              <w:bottom w:val="nil"/>
              <w:right w:val="nil"/>
            </w:tcBorders>
            <w:shd w:val="solid" w:color="FFFFFF" w:fill="auto"/>
          </w:tcPr>
          <w:p w14:paraId="16C6B260"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23.9%</w:t>
            </w:r>
          </w:p>
        </w:tc>
      </w:tr>
      <w:tr w:rsidR="00391181" w:rsidRPr="00055E35" w14:paraId="616DC70A" w14:textId="77777777" w:rsidTr="004F0E15">
        <w:trPr>
          <w:trHeight w:val="43"/>
        </w:trPr>
        <w:tc>
          <w:tcPr>
            <w:tcW w:w="244" w:type="pct"/>
            <w:tcBorders>
              <w:top w:val="nil"/>
              <w:left w:val="nil"/>
              <w:bottom w:val="nil"/>
              <w:right w:val="nil"/>
            </w:tcBorders>
            <w:shd w:val="solid" w:color="FFFFFF" w:fill="auto"/>
          </w:tcPr>
          <w:p w14:paraId="5EFC5C30"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23</w:t>
            </w:r>
          </w:p>
        </w:tc>
        <w:tc>
          <w:tcPr>
            <w:tcW w:w="1393" w:type="pct"/>
            <w:tcBorders>
              <w:top w:val="nil"/>
              <w:left w:val="nil"/>
              <w:bottom w:val="nil"/>
              <w:right w:val="nil"/>
            </w:tcBorders>
            <w:shd w:val="solid" w:color="FFFFFF" w:fill="auto"/>
          </w:tcPr>
          <w:p w14:paraId="1269831E"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Police</w:t>
            </w:r>
          </w:p>
        </w:tc>
        <w:tc>
          <w:tcPr>
            <w:tcW w:w="472" w:type="pct"/>
            <w:gridSpan w:val="2"/>
            <w:tcBorders>
              <w:top w:val="nil"/>
              <w:left w:val="nil"/>
              <w:bottom w:val="nil"/>
              <w:right w:val="nil"/>
            </w:tcBorders>
            <w:shd w:val="solid" w:color="FFFFFF" w:fill="auto"/>
          </w:tcPr>
          <w:p w14:paraId="74D7DC0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91 834.2</w:t>
            </w:r>
          </w:p>
        </w:tc>
        <w:tc>
          <w:tcPr>
            <w:tcW w:w="477" w:type="pct"/>
            <w:tcBorders>
              <w:top w:val="nil"/>
              <w:left w:val="nil"/>
              <w:bottom w:val="nil"/>
              <w:right w:val="nil"/>
            </w:tcBorders>
            <w:shd w:val="solid" w:color="FFFFFF" w:fill="auto"/>
          </w:tcPr>
          <w:p w14:paraId="1820F959"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91 834.2</w:t>
            </w:r>
          </w:p>
        </w:tc>
        <w:tc>
          <w:tcPr>
            <w:tcW w:w="455" w:type="pct"/>
            <w:tcBorders>
              <w:top w:val="nil"/>
              <w:left w:val="nil"/>
              <w:bottom w:val="nil"/>
              <w:right w:val="nil"/>
            </w:tcBorders>
            <w:shd w:val="solid" w:color="FFFFFF" w:fill="auto"/>
          </w:tcPr>
          <w:p w14:paraId="440A8819"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20 611.3</w:t>
            </w:r>
          </w:p>
        </w:tc>
        <w:tc>
          <w:tcPr>
            <w:tcW w:w="496" w:type="pct"/>
            <w:tcBorders>
              <w:top w:val="nil"/>
              <w:left w:val="nil"/>
              <w:bottom w:val="nil"/>
              <w:right w:val="nil"/>
            </w:tcBorders>
            <w:shd w:val="solid" w:color="FFFFFF" w:fill="auto"/>
          </w:tcPr>
          <w:p w14:paraId="63140CD5"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22.4%</w:t>
            </w:r>
          </w:p>
        </w:tc>
        <w:tc>
          <w:tcPr>
            <w:tcW w:w="447" w:type="pct"/>
            <w:tcBorders>
              <w:top w:val="nil"/>
              <w:left w:val="nil"/>
              <w:bottom w:val="nil"/>
              <w:right w:val="nil"/>
            </w:tcBorders>
            <w:shd w:val="solid" w:color="FFFFFF" w:fill="auto"/>
          </w:tcPr>
          <w:p w14:paraId="133D3AD9"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22 369.5</w:t>
            </w:r>
          </w:p>
        </w:tc>
        <w:tc>
          <w:tcPr>
            <w:tcW w:w="496" w:type="pct"/>
            <w:tcBorders>
              <w:top w:val="nil"/>
              <w:left w:val="nil"/>
              <w:bottom w:val="nil"/>
              <w:right w:val="nil"/>
            </w:tcBorders>
            <w:shd w:val="solid" w:color="FFFFFF" w:fill="auto"/>
          </w:tcPr>
          <w:p w14:paraId="2F0746CA"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1 758.3</w:t>
            </w:r>
          </w:p>
        </w:tc>
        <w:tc>
          <w:tcPr>
            <w:tcW w:w="520" w:type="pct"/>
            <w:tcBorders>
              <w:top w:val="nil"/>
              <w:left w:val="nil"/>
              <w:bottom w:val="nil"/>
              <w:right w:val="nil"/>
            </w:tcBorders>
            <w:shd w:val="solid" w:color="FFFFFF" w:fill="auto"/>
          </w:tcPr>
          <w:p w14:paraId="45337073"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7.9%</w:t>
            </w:r>
          </w:p>
        </w:tc>
      </w:tr>
      <w:tr w:rsidR="00391181" w:rsidRPr="00055E35" w14:paraId="35DDEDD5" w14:textId="77777777" w:rsidTr="004F0E15">
        <w:trPr>
          <w:trHeight w:val="43"/>
        </w:trPr>
        <w:tc>
          <w:tcPr>
            <w:tcW w:w="244" w:type="pct"/>
            <w:tcBorders>
              <w:top w:val="nil"/>
              <w:left w:val="nil"/>
              <w:bottom w:val="nil"/>
              <w:right w:val="nil"/>
            </w:tcBorders>
            <w:shd w:val="solid" w:color="FFFFFF" w:fill="auto"/>
          </w:tcPr>
          <w:p w14:paraId="4B79AD9D"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lastRenderedPageBreak/>
              <w:t>24</w:t>
            </w:r>
          </w:p>
        </w:tc>
        <w:tc>
          <w:tcPr>
            <w:tcW w:w="1393" w:type="pct"/>
            <w:tcBorders>
              <w:top w:val="nil"/>
              <w:left w:val="nil"/>
              <w:bottom w:val="nil"/>
              <w:right w:val="nil"/>
            </w:tcBorders>
            <w:shd w:val="solid" w:color="FFFFFF" w:fill="auto"/>
          </w:tcPr>
          <w:p w14:paraId="160637DB"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Agriculture, Forestry and Fisheries</w:t>
            </w:r>
          </w:p>
        </w:tc>
        <w:tc>
          <w:tcPr>
            <w:tcW w:w="472" w:type="pct"/>
            <w:gridSpan w:val="2"/>
            <w:tcBorders>
              <w:top w:val="nil"/>
              <w:left w:val="nil"/>
              <w:bottom w:val="nil"/>
              <w:right w:val="nil"/>
            </w:tcBorders>
            <w:shd w:val="solid" w:color="FFFFFF" w:fill="auto"/>
          </w:tcPr>
          <w:p w14:paraId="07997B8B"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7 165.0</w:t>
            </w:r>
          </w:p>
        </w:tc>
        <w:tc>
          <w:tcPr>
            <w:tcW w:w="477" w:type="pct"/>
            <w:tcBorders>
              <w:top w:val="nil"/>
              <w:left w:val="nil"/>
              <w:bottom w:val="nil"/>
              <w:right w:val="nil"/>
            </w:tcBorders>
            <w:shd w:val="solid" w:color="FFFFFF" w:fill="auto"/>
          </w:tcPr>
          <w:p w14:paraId="262532B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7 165.0</w:t>
            </w:r>
          </w:p>
        </w:tc>
        <w:tc>
          <w:tcPr>
            <w:tcW w:w="455" w:type="pct"/>
            <w:tcBorders>
              <w:top w:val="nil"/>
              <w:left w:val="nil"/>
              <w:bottom w:val="nil"/>
              <w:right w:val="nil"/>
            </w:tcBorders>
            <w:shd w:val="solid" w:color="FFFFFF" w:fill="auto"/>
          </w:tcPr>
          <w:p w14:paraId="7C16E77F"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1 823.5</w:t>
            </w:r>
          </w:p>
        </w:tc>
        <w:tc>
          <w:tcPr>
            <w:tcW w:w="496" w:type="pct"/>
            <w:tcBorders>
              <w:top w:val="nil"/>
              <w:left w:val="nil"/>
              <w:bottom w:val="nil"/>
              <w:right w:val="nil"/>
            </w:tcBorders>
            <w:shd w:val="solid" w:color="FFFFFF" w:fill="auto"/>
          </w:tcPr>
          <w:p w14:paraId="15BBF79D"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25.4%</w:t>
            </w:r>
          </w:p>
        </w:tc>
        <w:tc>
          <w:tcPr>
            <w:tcW w:w="447" w:type="pct"/>
            <w:tcBorders>
              <w:top w:val="nil"/>
              <w:left w:val="nil"/>
              <w:bottom w:val="nil"/>
              <w:right w:val="nil"/>
            </w:tcBorders>
            <w:shd w:val="solid" w:color="FFFFFF" w:fill="auto"/>
          </w:tcPr>
          <w:p w14:paraId="6716FAE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2 266.2</w:t>
            </w:r>
          </w:p>
        </w:tc>
        <w:tc>
          <w:tcPr>
            <w:tcW w:w="496" w:type="pct"/>
            <w:tcBorders>
              <w:top w:val="nil"/>
              <w:left w:val="nil"/>
              <w:bottom w:val="nil"/>
              <w:right w:val="nil"/>
            </w:tcBorders>
            <w:shd w:val="solid" w:color="FFFFFF" w:fill="auto"/>
          </w:tcPr>
          <w:p w14:paraId="77A46AF2"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442.7</w:t>
            </w:r>
          </w:p>
        </w:tc>
        <w:tc>
          <w:tcPr>
            <w:tcW w:w="520" w:type="pct"/>
            <w:tcBorders>
              <w:top w:val="nil"/>
              <w:left w:val="nil"/>
              <w:bottom w:val="nil"/>
              <w:right w:val="nil"/>
            </w:tcBorders>
            <w:shd w:val="solid" w:color="FFFFFF" w:fill="auto"/>
          </w:tcPr>
          <w:p w14:paraId="79A7CFDB"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19.5%</w:t>
            </w:r>
          </w:p>
        </w:tc>
      </w:tr>
      <w:tr w:rsidR="00391181" w:rsidRPr="00055E35" w14:paraId="72ECBCD8" w14:textId="77777777" w:rsidTr="004F0E15">
        <w:trPr>
          <w:trHeight w:val="43"/>
        </w:trPr>
        <w:tc>
          <w:tcPr>
            <w:tcW w:w="244" w:type="pct"/>
            <w:tcBorders>
              <w:top w:val="nil"/>
              <w:left w:val="nil"/>
              <w:bottom w:val="nil"/>
              <w:right w:val="nil"/>
            </w:tcBorders>
            <w:shd w:val="solid" w:color="FFFFFF" w:fill="auto"/>
          </w:tcPr>
          <w:p w14:paraId="1DF9E62A"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25</w:t>
            </w:r>
          </w:p>
        </w:tc>
        <w:tc>
          <w:tcPr>
            <w:tcW w:w="1393" w:type="pct"/>
            <w:tcBorders>
              <w:top w:val="nil"/>
              <w:left w:val="nil"/>
              <w:bottom w:val="nil"/>
              <w:right w:val="nil"/>
            </w:tcBorders>
            <w:shd w:val="solid" w:color="FFFFFF" w:fill="auto"/>
          </w:tcPr>
          <w:p w14:paraId="16FF8E4F"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Economic Development</w:t>
            </w:r>
          </w:p>
        </w:tc>
        <w:tc>
          <w:tcPr>
            <w:tcW w:w="472" w:type="pct"/>
            <w:gridSpan w:val="2"/>
            <w:tcBorders>
              <w:top w:val="nil"/>
              <w:left w:val="nil"/>
              <w:bottom w:val="nil"/>
              <w:right w:val="nil"/>
            </w:tcBorders>
            <w:shd w:val="solid" w:color="FFFFFF" w:fill="auto"/>
          </w:tcPr>
          <w:p w14:paraId="65033740"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1 072.6</w:t>
            </w:r>
          </w:p>
        </w:tc>
        <w:tc>
          <w:tcPr>
            <w:tcW w:w="477" w:type="pct"/>
            <w:tcBorders>
              <w:top w:val="nil"/>
              <w:left w:val="nil"/>
              <w:bottom w:val="nil"/>
              <w:right w:val="nil"/>
            </w:tcBorders>
            <w:shd w:val="solid" w:color="FFFFFF" w:fill="auto"/>
          </w:tcPr>
          <w:p w14:paraId="476B8830"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1 072.6</w:t>
            </w:r>
          </w:p>
        </w:tc>
        <w:tc>
          <w:tcPr>
            <w:tcW w:w="455" w:type="pct"/>
            <w:tcBorders>
              <w:top w:val="nil"/>
              <w:left w:val="nil"/>
              <w:bottom w:val="nil"/>
              <w:right w:val="nil"/>
            </w:tcBorders>
            <w:shd w:val="solid" w:color="FFFFFF" w:fill="auto"/>
          </w:tcPr>
          <w:p w14:paraId="03546F89"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225.9</w:t>
            </w:r>
          </w:p>
        </w:tc>
        <w:tc>
          <w:tcPr>
            <w:tcW w:w="496" w:type="pct"/>
            <w:tcBorders>
              <w:top w:val="nil"/>
              <w:left w:val="nil"/>
              <w:bottom w:val="nil"/>
              <w:right w:val="nil"/>
            </w:tcBorders>
            <w:shd w:val="solid" w:color="FFFFFF" w:fill="auto"/>
          </w:tcPr>
          <w:p w14:paraId="594782EE"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21.1%</w:t>
            </w:r>
          </w:p>
        </w:tc>
        <w:tc>
          <w:tcPr>
            <w:tcW w:w="447" w:type="pct"/>
            <w:tcBorders>
              <w:top w:val="nil"/>
              <w:left w:val="nil"/>
              <w:bottom w:val="nil"/>
              <w:right w:val="nil"/>
            </w:tcBorders>
            <w:shd w:val="solid" w:color="FFFFFF" w:fill="auto"/>
          </w:tcPr>
          <w:p w14:paraId="2776CC1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230.2</w:t>
            </w:r>
          </w:p>
        </w:tc>
        <w:tc>
          <w:tcPr>
            <w:tcW w:w="496" w:type="pct"/>
            <w:tcBorders>
              <w:top w:val="nil"/>
              <w:left w:val="nil"/>
              <w:bottom w:val="nil"/>
              <w:right w:val="nil"/>
            </w:tcBorders>
            <w:shd w:val="solid" w:color="FFFFFF" w:fill="auto"/>
          </w:tcPr>
          <w:p w14:paraId="138060DB"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4.3</w:t>
            </w:r>
          </w:p>
        </w:tc>
        <w:tc>
          <w:tcPr>
            <w:tcW w:w="520" w:type="pct"/>
            <w:tcBorders>
              <w:top w:val="nil"/>
              <w:left w:val="nil"/>
              <w:bottom w:val="nil"/>
              <w:right w:val="nil"/>
            </w:tcBorders>
            <w:shd w:val="solid" w:color="FFFFFF" w:fill="auto"/>
          </w:tcPr>
          <w:p w14:paraId="3F106483"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1.9%</w:t>
            </w:r>
          </w:p>
        </w:tc>
      </w:tr>
      <w:tr w:rsidR="00391181" w:rsidRPr="00055E35" w14:paraId="1119C81B" w14:textId="77777777" w:rsidTr="004F0E15">
        <w:trPr>
          <w:trHeight w:val="43"/>
        </w:trPr>
        <w:tc>
          <w:tcPr>
            <w:tcW w:w="244" w:type="pct"/>
            <w:tcBorders>
              <w:top w:val="nil"/>
              <w:left w:val="nil"/>
              <w:bottom w:val="nil"/>
              <w:right w:val="nil"/>
            </w:tcBorders>
            <w:shd w:val="solid" w:color="FFFFFF" w:fill="auto"/>
          </w:tcPr>
          <w:p w14:paraId="7F15A0B4"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26</w:t>
            </w:r>
          </w:p>
        </w:tc>
        <w:tc>
          <w:tcPr>
            <w:tcW w:w="1393" w:type="pct"/>
            <w:tcBorders>
              <w:top w:val="nil"/>
              <w:left w:val="nil"/>
              <w:bottom w:val="nil"/>
              <w:right w:val="nil"/>
            </w:tcBorders>
            <w:shd w:val="solid" w:color="FFFFFF" w:fill="auto"/>
          </w:tcPr>
          <w:p w14:paraId="7BC30B81"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Energy</w:t>
            </w:r>
          </w:p>
        </w:tc>
        <w:tc>
          <w:tcPr>
            <w:tcW w:w="472" w:type="pct"/>
            <w:gridSpan w:val="2"/>
            <w:tcBorders>
              <w:top w:val="nil"/>
              <w:left w:val="nil"/>
              <w:bottom w:val="nil"/>
              <w:right w:val="nil"/>
            </w:tcBorders>
            <w:shd w:val="solid" w:color="FFFFFF" w:fill="auto"/>
          </w:tcPr>
          <w:p w14:paraId="049D4648"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7 045.0</w:t>
            </w:r>
          </w:p>
        </w:tc>
        <w:tc>
          <w:tcPr>
            <w:tcW w:w="477" w:type="pct"/>
            <w:tcBorders>
              <w:top w:val="nil"/>
              <w:left w:val="nil"/>
              <w:bottom w:val="nil"/>
              <w:right w:val="nil"/>
            </w:tcBorders>
            <w:shd w:val="solid" w:color="FFFFFF" w:fill="auto"/>
          </w:tcPr>
          <w:p w14:paraId="209DF9B9"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7 045.0</w:t>
            </w:r>
          </w:p>
        </w:tc>
        <w:tc>
          <w:tcPr>
            <w:tcW w:w="455" w:type="pct"/>
            <w:tcBorders>
              <w:top w:val="nil"/>
              <w:left w:val="nil"/>
              <w:bottom w:val="nil"/>
              <w:right w:val="nil"/>
            </w:tcBorders>
            <w:shd w:val="solid" w:color="FFFFFF" w:fill="auto"/>
          </w:tcPr>
          <w:p w14:paraId="6781DF35"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889.2</w:t>
            </w:r>
          </w:p>
        </w:tc>
        <w:tc>
          <w:tcPr>
            <w:tcW w:w="496" w:type="pct"/>
            <w:tcBorders>
              <w:top w:val="nil"/>
              <w:left w:val="nil"/>
              <w:bottom w:val="nil"/>
              <w:right w:val="nil"/>
            </w:tcBorders>
            <w:shd w:val="solid" w:color="FFFFFF" w:fill="auto"/>
          </w:tcPr>
          <w:p w14:paraId="7C5CEC83"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12.6%</w:t>
            </w:r>
          </w:p>
        </w:tc>
        <w:tc>
          <w:tcPr>
            <w:tcW w:w="447" w:type="pct"/>
            <w:tcBorders>
              <w:top w:val="nil"/>
              <w:left w:val="nil"/>
              <w:bottom w:val="nil"/>
              <w:right w:val="nil"/>
            </w:tcBorders>
            <w:shd w:val="solid" w:color="FFFFFF" w:fill="auto"/>
          </w:tcPr>
          <w:p w14:paraId="13EA4BE3"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1 502.0</w:t>
            </w:r>
          </w:p>
        </w:tc>
        <w:tc>
          <w:tcPr>
            <w:tcW w:w="496" w:type="pct"/>
            <w:tcBorders>
              <w:top w:val="nil"/>
              <w:left w:val="nil"/>
              <w:bottom w:val="nil"/>
              <w:right w:val="nil"/>
            </w:tcBorders>
            <w:shd w:val="solid" w:color="FFFFFF" w:fill="auto"/>
          </w:tcPr>
          <w:p w14:paraId="1E6E055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612.8</w:t>
            </w:r>
          </w:p>
        </w:tc>
        <w:tc>
          <w:tcPr>
            <w:tcW w:w="520" w:type="pct"/>
            <w:tcBorders>
              <w:top w:val="nil"/>
              <w:left w:val="nil"/>
              <w:bottom w:val="nil"/>
              <w:right w:val="nil"/>
            </w:tcBorders>
            <w:shd w:val="solid" w:color="FFFFFF" w:fill="auto"/>
          </w:tcPr>
          <w:p w14:paraId="7DCF3463"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40.8%</w:t>
            </w:r>
          </w:p>
        </w:tc>
      </w:tr>
      <w:tr w:rsidR="00391181" w:rsidRPr="00055E35" w14:paraId="1FE058FC" w14:textId="77777777" w:rsidTr="004F0E15">
        <w:trPr>
          <w:trHeight w:val="43"/>
        </w:trPr>
        <w:tc>
          <w:tcPr>
            <w:tcW w:w="244" w:type="pct"/>
            <w:tcBorders>
              <w:top w:val="nil"/>
              <w:left w:val="nil"/>
              <w:bottom w:val="nil"/>
              <w:right w:val="nil"/>
            </w:tcBorders>
            <w:shd w:val="solid" w:color="FFFFFF" w:fill="auto"/>
          </w:tcPr>
          <w:p w14:paraId="251E7D51"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27</w:t>
            </w:r>
          </w:p>
        </w:tc>
        <w:tc>
          <w:tcPr>
            <w:tcW w:w="1393" w:type="pct"/>
            <w:tcBorders>
              <w:top w:val="nil"/>
              <w:left w:val="nil"/>
              <w:bottom w:val="nil"/>
              <w:right w:val="nil"/>
            </w:tcBorders>
            <w:shd w:val="solid" w:color="FFFFFF" w:fill="auto"/>
          </w:tcPr>
          <w:p w14:paraId="1DBA472C"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Environmental Affairs</w:t>
            </w:r>
          </w:p>
        </w:tc>
        <w:tc>
          <w:tcPr>
            <w:tcW w:w="472" w:type="pct"/>
            <w:gridSpan w:val="2"/>
            <w:tcBorders>
              <w:top w:val="nil"/>
              <w:left w:val="nil"/>
              <w:bottom w:val="nil"/>
              <w:right w:val="nil"/>
            </w:tcBorders>
            <w:shd w:val="solid" w:color="FFFFFF" w:fill="auto"/>
          </w:tcPr>
          <w:p w14:paraId="0E49260C"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7 112.5</w:t>
            </w:r>
          </w:p>
        </w:tc>
        <w:tc>
          <w:tcPr>
            <w:tcW w:w="477" w:type="pct"/>
            <w:tcBorders>
              <w:top w:val="nil"/>
              <w:left w:val="nil"/>
              <w:bottom w:val="nil"/>
              <w:right w:val="nil"/>
            </w:tcBorders>
            <w:shd w:val="solid" w:color="FFFFFF" w:fill="auto"/>
          </w:tcPr>
          <w:p w14:paraId="274563A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7 112.5</w:t>
            </w:r>
          </w:p>
        </w:tc>
        <w:tc>
          <w:tcPr>
            <w:tcW w:w="455" w:type="pct"/>
            <w:tcBorders>
              <w:top w:val="nil"/>
              <w:left w:val="nil"/>
              <w:bottom w:val="nil"/>
              <w:right w:val="nil"/>
            </w:tcBorders>
            <w:shd w:val="solid" w:color="FFFFFF" w:fill="auto"/>
          </w:tcPr>
          <w:p w14:paraId="2C0C56C8"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1 194.3</w:t>
            </w:r>
          </w:p>
        </w:tc>
        <w:tc>
          <w:tcPr>
            <w:tcW w:w="496" w:type="pct"/>
            <w:tcBorders>
              <w:top w:val="nil"/>
              <w:left w:val="nil"/>
              <w:bottom w:val="nil"/>
              <w:right w:val="nil"/>
            </w:tcBorders>
            <w:shd w:val="solid" w:color="FFFFFF" w:fill="auto"/>
          </w:tcPr>
          <w:p w14:paraId="706A061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16.8%</w:t>
            </w:r>
          </w:p>
        </w:tc>
        <w:tc>
          <w:tcPr>
            <w:tcW w:w="447" w:type="pct"/>
            <w:tcBorders>
              <w:top w:val="nil"/>
              <w:left w:val="nil"/>
              <w:bottom w:val="nil"/>
              <w:right w:val="nil"/>
            </w:tcBorders>
            <w:shd w:val="solid" w:color="FFFFFF" w:fill="auto"/>
          </w:tcPr>
          <w:p w14:paraId="2E781BC9"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1 526.9</w:t>
            </w:r>
          </w:p>
        </w:tc>
        <w:tc>
          <w:tcPr>
            <w:tcW w:w="496" w:type="pct"/>
            <w:tcBorders>
              <w:top w:val="nil"/>
              <w:left w:val="nil"/>
              <w:bottom w:val="nil"/>
              <w:right w:val="nil"/>
            </w:tcBorders>
            <w:shd w:val="solid" w:color="FFFFFF" w:fill="auto"/>
          </w:tcPr>
          <w:p w14:paraId="50CEC4DC"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332.6</w:t>
            </w:r>
          </w:p>
        </w:tc>
        <w:tc>
          <w:tcPr>
            <w:tcW w:w="520" w:type="pct"/>
            <w:tcBorders>
              <w:top w:val="nil"/>
              <w:left w:val="nil"/>
              <w:bottom w:val="nil"/>
              <w:right w:val="nil"/>
            </w:tcBorders>
            <w:shd w:val="solid" w:color="FFFFFF" w:fill="auto"/>
          </w:tcPr>
          <w:p w14:paraId="276319C5"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21.8%</w:t>
            </w:r>
          </w:p>
        </w:tc>
      </w:tr>
      <w:tr w:rsidR="00391181" w:rsidRPr="00055E35" w14:paraId="4B058B59" w14:textId="77777777" w:rsidTr="004F0E15">
        <w:trPr>
          <w:trHeight w:val="43"/>
        </w:trPr>
        <w:tc>
          <w:tcPr>
            <w:tcW w:w="244" w:type="pct"/>
            <w:tcBorders>
              <w:top w:val="nil"/>
              <w:left w:val="nil"/>
              <w:bottom w:val="nil"/>
              <w:right w:val="nil"/>
            </w:tcBorders>
            <w:shd w:val="solid" w:color="FFFFFF" w:fill="auto"/>
          </w:tcPr>
          <w:p w14:paraId="7CC27AC8"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28</w:t>
            </w:r>
          </w:p>
        </w:tc>
        <w:tc>
          <w:tcPr>
            <w:tcW w:w="1393" w:type="pct"/>
            <w:tcBorders>
              <w:top w:val="nil"/>
              <w:left w:val="nil"/>
              <w:bottom w:val="nil"/>
              <w:right w:val="nil"/>
            </w:tcBorders>
            <w:shd w:val="solid" w:color="FFFFFF" w:fill="auto"/>
          </w:tcPr>
          <w:p w14:paraId="4BED568C"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Labour</w:t>
            </w:r>
          </w:p>
        </w:tc>
        <w:tc>
          <w:tcPr>
            <w:tcW w:w="472" w:type="pct"/>
            <w:gridSpan w:val="2"/>
            <w:tcBorders>
              <w:top w:val="nil"/>
              <w:left w:val="nil"/>
              <w:bottom w:val="nil"/>
              <w:right w:val="nil"/>
            </w:tcBorders>
            <w:shd w:val="solid" w:color="FFFFFF" w:fill="auto"/>
          </w:tcPr>
          <w:p w14:paraId="6B1E177E"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3 295.2</w:t>
            </w:r>
          </w:p>
        </w:tc>
        <w:tc>
          <w:tcPr>
            <w:tcW w:w="477" w:type="pct"/>
            <w:tcBorders>
              <w:top w:val="nil"/>
              <w:left w:val="nil"/>
              <w:bottom w:val="nil"/>
              <w:right w:val="nil"/>
            </w:tcBorders>
            <w:shd w:val="solid" w:color="FFFFFF" w:fill="auto"/>
          </w:tcPr>
          <w:p w14:paraId="7C78266B"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3 295.2</w:t>
            </w:r>
          </w:p>
        </w:tc>
        <w:tc>
          <w:tcPr>
            <w:tcW w:w="455" w:type="pct"/>
            <w:tcBorders>
              <w:top w:val="nil"/>
              <w:left w:val="nil"/>
              <w:bottom w:val="nil"/>
              <w:right w:val="nil"/>
            </w:tcBorders>
            <w:shd w:val="solid" w:color="FFFFFF" w:fill="auto"/>
          </w:tcPr>
          <w:p w14:paraId="2866DB92"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683.3</w:t>
            </w:r>
          </w:p>
        </w:tc>
        <w:tc>
          <w:tcPr>
            <w:tcW w:w="496" w:type="pct"/>
            <w:tcBorders>
              <w:top w:val="nil"/>
              <w:left w:val="nil"/>
              <w:bottom w:val="nil"/>
              <w:right w:val="nil"/>
            </w:tcBorders>
            <w:shd w:val="solid" w:color="FFFFFF" w:fill="auto"/>
          </w:tcPr>
          <w:p w14:paraId="0D023DE5"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20.7%</w:t>
            </w:r>
          </w:p>
        </w:tc>
        <w:tc>
          <w:tcPr>
            <w:tcW w:w="447" w:type="pct"/>
            <w:tcBorders>
              <w:top w:val="nil"/>
              <w:left w:val="nil"/>
              <w:bottom w:val="nil"/>
              <w:right w:val="nil"/>
            </w:tcBorders>
            <w:shd w:val="solid" w:color="FFFFFF" w:fill="auto"/>
          </w:tcPr>
          <w:p w14:paraId="2A0D231B"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816.8</w:t>
            </w:r>
          </w:p>
        </w:tc>
        <w:tc>
          <w:tcPr>
            <w:tcW w:w="496" w:type="pct"/>
            <w:tcBorders>
              <w:top w:val="nil"/>
              <w:left w:val="nil"/>
              <w:bottom w:val="nil"/>
              <w:right w:val="nil"/>
            </w:tcBorders>
            <w:shd w:val="solid" w:color="FFFFFF" w:fill="auto"/>
          </w:tcPr>
          <w:p w14:paraId="55087D0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133.5</w:t>
            </w:r>
          </w:p>
        </w:tc>
        <w:tc>
          <w:tcPr>
            <w:tcW w:w="520" w:type="pct"/>
            <w:tcBorders>
              <w:top w:val="nil"/>
              <w:left w:val="nil"/>
              <w:bottom w:val="nil"/>
              <w:right w:val="nil"/>
            </w:tcBorders>
            <w:shd w:val="solid" w:color="FFFFFF" w:fill="auto"/>
          </w:tcPr>
          <w:p w14:paraId="41B1548D"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16.3%</w:t>
            </w:r>
          </w:p>
        </w:tc>
      </w:tr>
      <w:tr w:rsidR="00391181" w:rsidRPr="00055E35" w14:paraId="57E59D8E" w14:textId="77777777" w:rsidTr="004F0E15">
        <w:trPr>
          <w:trHeight w:val="43"/>
        </w:trPr>
        <w:tc>
          <w:tcPr>
            <w:tcW w:w="244" w:type="pct"/>
            <w:tcBorders>
              <w:top w:val="nil"/>
              <w:left w:val="nil"/>
              <w:bottom w:val="nil"/>
              <w:right w:val="nil"/>
            </w:tcBorders>
            <w:shd w:val="solid" w:color="FFFFFF" w:fill="auto"/>
          </w:tcPr>
          <w:p w14:paraId="2EBFC547"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29</w:t>
            </w:r>
          </w:p>
        </w:tc>
        <w:tc>
          <w:tcPr>
            <w:tcW w:w="1393" w:type="pct"/>
            <w:tcBorders>
              <w:top w:val="nil"/>
              <w:left w:val="nil"/>
              <w:bottom w:val="nil"/>
              <w:right w:val="nil"/>
            </w:tcBorders>
            <w:shd w:val="solid" w:color="FFFFFF" w:fill="auto"/>
          </w:tcPr>
          <w:p w14:paraId="0DFFF682"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Mineral Resources</w:t>
            </w:r>
          </w:p>
        </w:tc>
        <w:tc>
          <w:tcPr>
            <w:tcW w:w="472" w:type="pct"/>
            <w:gridSpan w:val="2"/>
            <w:tcBorders>
              <w:top w:val="nil"/>
              <w:left w:val="nil"/>
              <w:bottom w:val="nil"/>
              <w:right w:val="nil"/>
            </w:tcBorders>
            <w:shd w:val="solid" w:color="FFFFFF" w:fill="auto"/>
          </w:tcPr>
          <w:p w14:paraId="2FA0982B"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1 890.7</w:t>
            </w:r>
          </w:p>
        </w:tc>
        <w:tc>
          <w:tcPr>
            <w:tcW w:w="477" w:type="pct"/>
            <w:tcBorders>
              <w:top w:val="nil"/>
              <w:left w:val="nil"/>
              <w:bottom w:val="nil"/>
              <w:right w:val="nil"/>
            </w:tcBorders>
            <w:shd w:val="solid" w:color="FFFFFF" w:fill="auto"/>
          </w:tcPr>
          <w:p w14:paraId="3EFA734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1 890.7</w:t>
            </w:r>
          </w:p>
        </w:tc>
        <w:tc>
          <w:tcPr>
            <w:tcW w:w="455" w:type="pct"/>
            <w:tcBorders>
              <w:top w:val="nil"/>
              <w:left w:val="nil"/>
              <w:bottom w:val="nil"/>
              <w:right w:val="nil"/>
            </w:tcBorders>
            <w:shd w:val="solid" w:color="FFFFFF" w:fill="auto"/>
          </w:tcPr>
          <w:p w14:paraId="2925337A"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517.3</w:t>
            </w:r>
          </w:p>
        </w:tc>
        <w:tc>
          <w:tcPr>
            <w:tcW w:w="496" w:type="pct"/>
            <w:tcBorders>
              <w:top w:val="nil"/>
              <w:left w:val="nil"/>
              <w:bottom w:val="nil"/>
              <w:right w:val="nil"/>
            </w:tcBorders>
            <w:shd w:val="solid" w:color="FFFFFF" w:fill="auto"/>
          </w:tcPr>
          <w:p w14:paraId="13348A2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27.4%</w:t>
            </w:r>
          </w:p>
        </w:tc>
        <w:tc>
          <w:tcPr>
            <w:tcW w:w="447" w:type="pct"/>
            <w:tcBorders>
              <w:top w:val="nil"/>
              <w:left w:val="nil"/>
              <w:bottom w:val="nil"/>
              <w:right w:val="nil"/>
            </w:tcBorders>
            <w:shd w:val="solid" w:color="FFFFFF" w:fill="auto"/>
          </w:tcPr>
          <w:p w14:paraId="61A4511B"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534.9</w:t>
            </w:r>
          </w:p>
        </w:tc>
        <w:tc>
          <w:tcPr>
            <w:tcW w:w="496" w:type="pct"/>
            <w:tcBorders>
              <w:top w:val="nil"/>
              <w:left w:val="nil"/>
              <w:bottom w:val="nil"/>
              <w:right w:val="nil"/>
            </w:tcBorders>
            <w:shd w:val="solid" w:color="FFFFFF" w:fill="auto"/>
          </w:tcPr>
          <w:p w14:paraId="77C8645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17.6</w:t>
            </w:r>
          </w:p>
        </w:tc>
        <w:tc>
          <w:tcPr>
            <w:tcW w:w="520" w:type="pct"/>
            <w:tcBorders>
              <w:top w:val="nil"/>
              <w:left w:val="nil"/>
              <w:bottom w:val="nil"/>
              <w:right w:val="nil"/>
            </w:tcBorders>
            <w:shd w:val="solid" w:color="FFFFFF" w:fill="auto"/>
          </w:tcPr>
          <w:p w14:paraId="5DBDDD7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3.3%</w:t>
            </w:r>
          </w:p>
        </w:tc>
      </w:tr>
      <w:tr w:rsidR="00391181" w:rsidRPr="00055E35" w14:paraId="2B3963B5" w14:textId="77777777" w:rsidTr="004F0E15">
        <w:trPr>
          <w:trHeight w:val="43"/>
        </w:trPr>
        <w:tc>
          <w:tcPr>
            <w:tcW w:w="244" w:type="pct"/>
            <w:tcBorders>
              <w:top w:val="nil"/>
              <w:left w:val="nil"/>
              <w:bottom w:val="nil"/>
              <w:right w:val="nil"/>
            </w:tcBorders>
            <w:shd w:val="solid" w:color="FFFFFF" w:fill="auto"/>
          </w:tcPr>
          <w:p w14:paraId="1EDA3870"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30</w:t>
            </w:r>
          </w:p>
        </w:tc>
        <w:tc>
          <w:tcPr>
            <w:tcW w:w="1393" w:type="pct"/>
            <w:tcBorders>
              <w:top w:val="nil"/>
              <w:left w:val="nil"/>
              <w:bottom w:val="nil"/>
              <w:right w:val="nil"/>
            </w:tcBorders>
            <w:shd w:val="solid" w:color="FFFFFF" w:fill="auto"/>
          </w:tcPr>
          <w:p w14:paraId="34B3F116"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Science and Technology</w:t>
            </w:r>
          </w:p>
        </w:tc>
        <w:tc>
          <w:tcPr>
            <w:tcW w:w="472" w:type="pct"/>
            <w:gridSpan w:val="2"/>
            <w:tcBorders>
              <w:top w:val="nil"/>
              <w:left w:val="nil"/>
              <w:bottom w:val="nil"/>
              <w:right w:val="nil"/>
            </w:tcBorders>
            <w:shd w:val="solid" w:color="FFFFFF" w:fill="auto"/>
          </w:tcPr>
          <w:p w14:paraId="7634AF02"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7 790.5</w:t>
            </w:r>
          </w:p>
        </w:tc>
        <w:tc>
          <w:tcPr>
            <w:tcW w:w="477" w:type="pct"/>
            <w:tcBorders>
              <w:top w:val="nil"/>
              <w:left w:val="nil"/>
              <w:bottom w:val="nil"/>
              <w:right w:val="nil"/>
            </w:tcBorders>
            <w:shd w:val="solid" w:color="FFFFFF" w:fill="auto"/>
          </w:tcPr>
          <w:p w14:paraId="5E2ACDA5"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7 790.5</w:t>
            </w:r>
          </w:p>
        </w:tc>
        <w:tc>
          <w:tcPr>
            <w:tcW w:w="455" w:type="pct"/>
            <w:tcBorders>
              <w:top w:val="nil"/>
              <w:left w:val="nil"/>
              <w:bottom w:val="nil"/>
              <w:right w:val="nil"/>
            </w:tcBorders>
            <w:shd w:val="solid" w:color="FFFFFF" w:fill="auto"/>
          </w:tcPr>
          <w:p w14:paraId="2B201EC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2 120.1</w:t>
            </w:r>
          </w:p>
        </w:tc>
        <w:tc>
          <w:tcPr>
            <w:tcW w:w="496" w:type="pct"/>
            <w:tcBorders>
              <w:top w:val="nil"/>
              <w:left w:val="nil"/>
              <w:bottom w:val="nil"/>
              <w:right w:val="nil"/>
            </w:tcBorders>
            <w:shd w:val="solid" w:color="FFFFFF" w:fill="auto"/>
          </w:tcPr>
          <w:p w14:paraId="0A49074B"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27.2%</w:t>
            </w:r>
          </w:p>
        </w:tc>
        <w:tc>
          <w:tcPr>
            <w:tcW w:w="447" w:type="pct"/>
            <w:tcBorders>
              <w:top w:val="nil"/>
              <w:left w:val="nil"/>
              <w:bottom w:val="nil"/>
              <w:right w:val="nil"/>
            </w:tcBorders>
            <w:shd w:val="solid" w:color="FFFFFF" w:fill="auto"/>
          </w:tcPr>
          <w:p w14:paraId="2EA983AA"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1 778.9</w:t>
            </w:r>
          </w:p>
        </w:tc>
        <w:tc>
          <w:tcPr>
            <w:tcW w:w="496" w:type="pct"/>
            <w:tcBorders>
              <w:top w:val="nil"/>
              <w:left w:val="nil"/>
              <w:bottom w:val="nil"/>
              <w:right w:val="nil"/>
            </w:tcBorders>
            <w:shd w:val="solid" w:color="FFFFFF" w:fill="auto"/>
          </w:tcPr>
          <w:p w14:paraId="382CEC2C"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-341.1</w:t>
            </w:r>
          </w:p>
        </w:tc>
        <w:tc>
          <w:tcPr>
            <w:tcW w:w="520" w:type="pct"/>
            <w:tcBorders>
              <w:top w:val="nil"/>
              <w:left w:val="nil"/>
              <w:bottom w:val="nil"/>
              <w:right w:val="nil"/>
            </w:tcBorders>
            <w:shd w:val="solid" w:color="FFFFFF" w:fill="auto"/>
          </w:tcPr>
          <w:p w14:paraId="2E6D1E8A"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-19.2%</w:t>
            </w:r>
          </w:p>
        </w:tc>
      </w:tr>
      <w:tr w:rsidR="00391181" w:rsidRPr="00055E35" w14:paraId="6AF21F32" w14:textId="77777777" w:rsidTr="004F0E15">
        <w:trPr>
          <w:trHeight w:val="43"/>
        </w:trPr>
        <w:tc>
          <w:tcPr>
            <w:tcW w:w="244" w:type="pct"/>
            <w:tcBorders>
              <w:top w:val="nil"/>
              <w:left w:val="nil"/>
              <w:bottom w:val="nil"/>
              <w:right w:val="nil"/>
            </w:tcBorders>
            <w:shd w:val="solid" w:color="FFFFFF" w:fill="auto"/>
          </w:tcPr>
          <w:p w14:paraId="53B2ECD8"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31</w:t>
            </w:r>
          </w:p>
        </w:tc>
        <w:tc>
          <w:tcPr>
            <w:tcW w:w="1393" w:type="pct"/>
            <w:tcBorders>
              <w:top w:val="nil"/>
              <w:left w:val="nil"/>
              <w:bottom w:val="nil"/>
              <w:right w:val="nil"/>
            </w:tcBorders>
            <w:shd w:val="solid" w:color="FFFFFF" w:fill="auto"/>
          </w:tcPr>
          <w:p w14:paraId="12350F5C"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Small Business Development</w:t>
            </w:r>
          </w:p>
        </w:tc>
        <w:tc>
          <w:tcPr>
            <w:tcW w:w="472" w:type="pct"/>
            <w:gridSpan w:val="2"/>
            <w:tcBorders>
              <w:top w:val="nil"/>
              <w:left w:val="nil"/>
              <w:bottom w:val="nil"/>
              <w:right w:val="nil"/>
            </w:tcBorders>
            <w:shd w:val="solid" w:color="FFFFFF" w:fill="auto"/>
          </w:tcPr>
          <w:p w14:paraId="189AFDB0"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1 488.5</w:t>
            </w:r>
          </w:p>
        </w:tc>
        <w:tc>
          <w:tcPr>
            <w:tcW w:w="477" w:type="pct"/>
            <w:tcBorders>
              <w:top w:val="nil"/>
              <w:left w:val="nil"/>
              <w:bottom w:val="nil"/>
              <w:right w:val="nil"/>
            </w:tcBorders>
            <w:shd w:val="solid" w:color="FFFFFF" w:fill="auto"/>
          </w:tcPr>
          <w:p w14:paraId="0D03046F"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1 488.5</w:t>
            </w:r>
          </w:p>
        </w:tc>
        <w:tc>
          <w:tcPr>
            <w:tcW w:w="455" w:type="pct"/>
            <w:tcBorders>
              <w:top w:val="nil"/>
              <w:left w:val="nil"/>
              <w:bottom w:val="nil"/>
              <w:right w:val="nil"/>
            </w:tcBorders>
            <w:shd w:val="solid" w:color="FFFFFF" w:fill="auto"/>
          </w:tcPr>
          <w:p w14:paraId="47CDD25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380.2</w:t>
            </w:r>
          </w:p>
        </w:tc>
        <w:tc>
          <w:tcPr>
            <w:tcW w:w="496" w:type="pct"/>
            <w:tcBorders>
              <w:top w:val="nil"/>
              <w:left w:val="nil"/>
              <w:bottom w:val="nil"/>
              <w:right w:val="nil"/>
            </w:tcBorders>
            <w:shd w:val="solid" w:color="FFFFFF" w:fill="auto"/>
          </w:tcPr>
          <w:p w14:paraId="3E0B406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25.5%</w:t>
            </w:r>
          </w:p>
        </w:tc>
        <w:tc>
          <w:tcPr>
            <w:tcW w:w="447" w:type="pct"/>
            <w:tcBorders>
              <w:top w:val="nil"/>
              <w:left w:val="nil"/>
              <w:bottom w:val="nil"/>
              <w:right w:val="nil"/>
            </w:tcBorders>
            <w:shd w:val="solid" w:color="FFFFFF" w:fill="auto"/>
          </w:tcPr>
          <w:p w14:paraId="50B27F5E"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421.4</w:t>
            </w:r>
          </w:p>
        </w:tc>
        <w:tc>
          <w:tcPr>
            <w:tcW w:w="496" w:type="pct"/>
            <w:tcBorders>
              <w:top w:val="nil"/>
              <w:left w:val="nil"/>
              <w:bottom w:val="nil"/>
              <w:right w:val="nil"/>
            </w:tcBorders>
            <w:shd w:val="solid" w:color="FFFFFF" w:fill="auto"/>
          </w:tcPr>
          <w:p w14:paraId="6ACD0BB8"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41.1</w:t>
            </w:r>
          </w:p>
        </w:tc>
        <w:tc>
          <w:tcPr>
            <w:tcW w:w="520" w:type="pct"/>
            <w:tcBorders>
              <w:top w:val="nil"/>
              <w:left w:val="nil"/>
              <w:bottom w:val="nil"/>
              <w:right w:val="nil"/>
            </w:tcBorders>
            <w:shd w:val="solid" w:color="FFFFFF" w:fill="auto"/>
          </w:tcPr>
          <w:p w14:paraId="57477220"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9.8%</w:t>
            </w:r>
          </w:p>
        </w:tc>
      </w:tr>
      <w:tr w:rsidR="00391181" w:rsidRPr="00055E35" w14:paraId="66609AEF" w14:textId="77777777" w:rsidTr="004F0E15">
        <w:trPr>
          <w:trHeight w:val="43"/>
        </w:trPr>
        <w:tc>
          <w:tcPr>
            <w:tcW w:w="244" w:type="pct"/>
            <w:tcBorders>
              <w:top w:val="nil"/>
              <w:left w:val="nil"/>
              <w:bottom w:val="nil"/>
              <w:right w:val="nil"/>
            </w:tcBorders>
            <w:shd w:val="solid" w:color="FFFFFF" w:fill="auto"/>
          </w:tcPr>
          <w:p w14:paraId="65A3BEBE"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32</w:t>
            </w:r>
          </w:p>
        </w:tc>
        <w:tc>
          <w:tcPr>
            <w:tcW w:w="1393" w:type="pct"/>
            <w:tcBorders>
              <w:top w:val="nil"/>
              <w:left w:val="nil"/>
              <w:bottom w:val="nil"/>
              <w:right w:val="nil"/>
            </w:tcBorders>
            <w:shd w:val="solid" w:color="FFFFFF" w:fill="auto"/>
          </w:tcPr>
          <w:p w14:paraId="55D96958"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Telecommunications and Postal Services</w:t>
            </w:r>
          </w:p>
        </w:tc>
        <w:tc>
          <w:tcPr>
            <w:tcW w:w="472" w:type="pct"/>
            <w:gridSpan w:val="2"/>
            <w:tcBorders>
              <w:top w:val="nil"/>
              <w:left w:val="nil"/>
              <w:bottom w:val="nil"/>
              <w:right w:val="nil"/>
            </w:tcBorders>
            <w:shd w:val="solid" w:color="FFFFFF" w:fill="auto"/>
          </w:tcPr>
          <w:p w14:paraId="10AB4B82"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923.4</w:t>
            </w:r>
          </w:p>
        </w:tc>
        <w:tc>
          <w:tcPr>
            <w:tcW w:w="477" w:type="pct"/>
            <w:tcBorders>
              <w:top w:val="nil"/>
              <w:left w:val="nil"/>
              <w:bottom w:val="nil"/>
              <w:right w:val="nil"/>
            </w:tcBorders>
            <w:shd w:val="solid" w:color="FFFFFF" w:fill="auto"/>
          </w:tcPr>
          <w:p w14:paraId="167C7B58"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923.4</w:t>
            </w:r>
          </w:p>
        </w:tc>
        <w:tc>
          <w:tcPr>
            <w:tcW w:w="455" w:type="pct"/>
            <w:tcBorders>
              <w:top w:val="nil"/>
              <w:left w:val="nil"/>
              <w:bottom w:val="nil"/>
              <w:right w:val="nil"/>
            </w:tcBorders>
            <w:shd w:val="solid" w:color="FFFFFF" w:fill="auto"/>
          </w:tcPr>
          <w:p w14:paraId="40948C8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374.3</w:t>
            </w:r>
          </w:p>
        </w:tc>
        <w:tc>
          <w:tcPr>
            <w:tcW w:w="496" w:type="pct"/>
            <w:tcBorders>
              <w:top w:val="nil"/>
              <w:left w:val="nil"/>
              <w:bottom w:val="nil"/>
              <w:right w:val="nil"/>
            </w:tcBorders>
            <w:shd w:val="solid" w:color="FFFFFF" w:fill="auto"/>
          </w:tcPr>
          <w:p w14:paraId="1DDFDB4E"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40.5%</w:t>
            </w:r>
          </w:p>
        </w:tc>
        <w:tc>
          <w:tcPr>
            <w:tcW w:w="447" w:type="pct"/>
            <w:tcBorders>
              <w:top w:val="nil"/>
              <w:left w:val="nil"/>
              <w:bottom w:val="nil"/>
              <w:right w:val="nil"/>
            </w:tcBorders>
            <w:shd w:val="solid" w:color="FFFFFF" w:fill="auto"/>
          </w:tcPr>
          <w:p w14:paraId="2FED0505"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409.6</w:t>
            </w:r>
          </w:p>
        </w:tc>
        <w:tc>
          <w:tcPr>
            <w:tcW w:w="496" w:type="pct"/>
            <w:tcBorders>
              <w:top w:val="nil"/>
              <w:left w:val="nil"/>
              <w:bottom w:val="nil"/>
              <w:right w:val="nil"/>
            </w:tcBorders>
            <w:shd w:val="solid" w:color="FFFFFF" w:fill="auto"/>
          </w:tcPr>
          <w:p w14:paraId="32E667CF"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35.3</w:t>
            </w:r>
          </w:p>
        </w:tc>
        <w:tc>
          <w:tcPr>
            <w:tcW w:w="520" w:type="pct"/>
            <w:tcBorders>
              <w:top w:val="nil"/>
              <w:left w:val="nil"/>
              <w:bottom w:val="nil"/>
              <w:right w:val="nil"/>
            </w:tcBorders>
            <w:shd w:val="solid" w:color="FFFFFF" w:fill="auto"/>
          </w:tcPr>
          <w:p w14:paraId="4C29459E"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8.6%</w:t>
            </w:r>
          </w:p>
        </w:tc>
      </w:tr>
      <w:tr w:rsidR="00391181" w:rsidRPr="00055E35" w14:paraId="0D343295" w14:textId="77777777" w:rsidTr="004F0E15">
        <w:trPr>
          <w:trHeight w:val="43"/>
        </w:trPr>
        <w:tc>
          <w:tcPr>
            <w:tcW w:w="244" w:type="pct"/>
            <w:tcBorders>
              <w:top w:val="nil"/>
              <w:left w:val="nil"/>
              <w:bottom w:val="nil"/>
              <w:right w:val="nil"/>
            </w:tcBorders>
            <w:shd w:val="solid" w:color="FFFFFF" w:fill="auto"/>
          </w:tcPr>
          <w:p w14:paraId="2324A92E"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33</w:t>
            </w:r>
          </w:p>
        </w:tc>
        <w:tc>
          <w:tcPr>
            <w:tcW w:w="1393" w:type="pct"/>
            <w:tcBorders>
              <w:top w:val="nil"/>
              <w:left w:val="nil"/>
              <w:bottom w:val="nil"/>
              <w:right w:val="nil"/>
            </w:tcBorders>
            <w:shd w:val="solid" w:color="FFFFFF" w:fill="auto"/>
          </w:tcPr>
          <w:p w14:paraId="507B01D5"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Tourism</w:t>
            </w:r>
          </w:p>
        </w:tc>
        <w:tc>
          <w:tcPr>
            <w:tcW w:w="472" w:type="pct"/>
            <w:gridSpan w:val="2"/>
            <w:tcBorders>
              <w:top w:val="nil"/>
              <w:left w:val="nil"/>
              <w:bottom w:val="nil"/>
              <w:right w:val="nil"/>
            </w:tcBorders>
            <w:shd w:val="solid" w:color="FFFFFF" w:fill="auto"/>
          </w:tcPr>
          <w:p w14:paraId="1A022418"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2 261.8</w:t>
            </w:r>
          </w:p>
        </w:tc>
        <w:tc>
          <w:tcPr>
            <w:tcW w:w="477" w:type="pct"/>
            <w:tcBorders>
              <w:top w:val="nil"/>
              <w:left w:val="nil"/>
              <w:bottom w:val="nil"/>
              <w:right w:val="nil"/>
            </w:tcBorders>
            <w:shd w:val="solid" w:color="FFFFFF" w:fill="auto"/>
          </w:tcPr>
          <w:p w14:paraId="5F2F6CC8"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2 261.8</w:t>
            </w:r>
          </w:p>
        </w:tc>
        <w:tc>
          <w:tcPr>
            <w:tcW w:w="455" w:type="pct"/>
            <w:tcBorders>
              <w:top w:val="nil"/>
              <w:left w:val="nil"/>
              <w:bottom w:val="nil"/>
              <w:right w:val="nil"/>
            </w:tcBorders>
            <w:shd w:val="solid" w:color="FFFFFF" w:fill="auto"/>
          </w:tcPr>
          <w:p w14:paraId="396D1A1C"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1 125.8</w:t>
            </w:r>
          </w:p>
        </w:tc>
        <w:tc>
          <w:tcPr>
            <w:tcW w:w="496" w:type="pct"/>
            <w:tcBorders>
              <w:top w:val="nil"/>
              <w:left w:val="nil"/>
              <w:bottom w:val="nil"/>
              <w:right w:val="nil"/>
            </w:tcBorders>
            <w:shd w:val="solid" w:color="FFFFFF" w:fill="auto"/>
          </w:tcPr>
          <w:p w14:paraId="298F7BC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49.8%</w:t>
            </w:r>
          </w:p>
        </w:tc>
        <w:tc>
          <w:tcPr>
            <w:tcW w:w="447" w:type="pct"/>
            <w:tcBorders>
              <w:top w:val="nil"/>
              <w:left w:val="nil"/>
              <w:bottom w:val="nil"/>
              <w:right w:val="nil"/>
            </w:tcBorders>
            <w:shd w:val="solid" w:color="FFFFFF" w:fill="auto"/>
          </w:tcPr>
          <w:p w14:paraId="008BCEA5"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1 208.9</w:t>
            </w:r>
          </w:p>
        </w:tc>
        <w:tc>
          <w:tcPr>
            <w:tcW w:w="496" w:type="pct"/>
            <w:tcBorders>
              <w:top w:val="nil"/>
              <w:left w:val="nil"/>
              <w:bottom w:val="nil"/>
              <w:right w:val="nil"/>
            </w:tcBorders>
            <w:shd w:val="solid" w:color="FFFFFF" w:fill="auto"/>
          </w:tcPr>
          <w:p w14:paraId="0E834B83"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83.0</w:t>
            </w:r>
          </w:p>
        </w:tc>
        <w:tc>
          <w:tcPr>
            <w:tcW w:w="520" w:type="pct"/>
            <w:tcBorders>
              <w:top w:val="nil"/>
              <w:left w:val="nil"/>
              <w:bottom w:val="nil"/>
              <w:right w:val="nil"/>
            </w:tcBorders>
            <w:shd w:val="solid" w:color="FFFFFF" w:fill="auto"/>
          </w:tcPr>
          <w:p w14:paraId="5DF4A393"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6.9%</w:t>
            </w:r>
          </w:p>
        </w:tc>
      </w:tr>
      <w:tr w:rsidR="00391181" w:rsidRPr="00055E35" w14:paraId="07556C69" w14:textId="77777777" w:rsidTr="004F0E15">
        <w:trPr>
          <w:trHeight w:val="43"/>
        </w:trPr>
        <w:tc>
          <w:tcPr>
            <w:tcW w:w="244" w:type="pct"/>
            <w:tcBorders>
              <w:top w:val="nil"/>
              <w:left w:val="nil"/>
              <w:bottom w:val="nil"/>
              <w:right w:val="nil"/>
            </w:tcBorders>
            <w:shd w:val="solid" w:color="FFFFFF" w:fill="auto"/>
          </w:tcPr>
          <w:p w14:paraId="268536C7"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34</w:t>
            </w:r>
          </w:p>
        </w:tc>
        <w:tc>
          <w:tcPr>
            <w:tcW w:w="1393" w:type="pct"/>
            <w:tcBorders>
              <w:top w:val="nil"/>
              <w:left w:val="nil"/>
              <w:bottom w:val="nil"/>
              <w:right w:val="nil"/>
            </w:tcBorders>
            <w:shd w:val="solid" w:color="FFFFFF" w:fill="auto"/>
          </w:tcPr>
          <w:p w14:paraId="5F93300E"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Trade and Industry</w:t>
            </w:r>
          </w:p>
        </w:tc>
        <w:tc>
          <w:tcPr>
            <w:tcW w:w="472" w:type="pct"/>
            <w:gridSpan w:val="2"/>
            <w:tcBorders>
              <w:top w:val="nil"/>
              <w:left w:val="nil"/>
              <w:bottom w:val="nil"/>
              <w:right w:val="nil"/>
            </w:tcBorders>
            <w:shd w:val="solid" w:color="FFFFFF" w:fill="auto"/>
          </w:tcPr>
          <w:p w14:paraId="2CA77908"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9 462.6</w:t>
            </w:r>
          </w:p>
        </w:tc>
        <w:tc>
          <w:tcPr>
            <w:tcW w:w="477" w:type="pct"/>
            <w:tcBorders>
              <w:top w:val="nil"/>
              <w:left w:val="nil"/>
              <w:bottom w:val="nil"/>
              <w:right w:val="nil"/>
            </w:tcBorders>
            <w:shd w:val="solid" w:color="FFFFFF" w:fill="auto"/>
          </w:tcPr>
          <w:p w14:paraId="2FDAE99F"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9 462.6</w:t>
            </w:r>
          </w:p>
        </w:tc>
        <w:tc>
          <w:tcPr>
            <w:tcW w:w="455" w:type="pct"/>
            <w:tcBorders>
              <w:top w:val="nil"/>
              <w:left w:val="nil"/>
              <w:bottom w:val="nil"/>
              <w:right w:val="nil"/>
            </w:tcBorders>
            <w:shd w:val="solid" w:color="FFFFFF" w:fill="auto"/>
          </w:tcPr>
          <w:p w14:paraId="7C4137B3"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1 728.6</w:t>
            </w:r>
          </w:p>
        </w:tc>
        <w:tc>
          <w:tcPr>
            <w:tcW w:w="496" w:type="pct"/>
            <w:tcBorders>
              <w:top w:val="nil"/>
              <w:left w:val="nil"/>
              <w:bottom w:val="nil"/>
              <w:right w:val="nil"/>
            </w:tcBorders>
            <w:shd w:val="solid" w:color="FFFFFF" w:fill="auto"/>
          </w:tcPr>
          <w:p w14:paraId="6D02BE0B"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18.3%</w:t>
            </w:r>
          </w:p>
        </w:tc>
        <w:tc>
          <w:tcPr>
            <w:tcW w:w="447" w:type="pct"/>
            <w:tcBorders>
              <w:top w:val="nil"/>
              <w:left w:val="nil"/>
              <w:bottom w:val="nil"/>
              <w:right w:val="nil"/>
            </w:tcBorders>
            <w:shd w:val="solid" w:color="FFFFFF" w:fill="auto"/>
          </w:tcPr>
          <w:p w14:paraId="1D419B1E"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2 124.3</w:t>
            </w:r>
          </w:p>
        </w:tc>
        <w:tc>
          <w:tcPr>
            <w:tcW w:w="496" w:type="pct"/>
            <w:tcBorders>
              <w:top w:val="nil"/>
              <w:left w:val="nil"/>
              <w:bottom w:val="nil"/>
              <w:right w:val="nil"/>
            </w:tcBorders>
            <w:shd w:val="solid" w:color="FFFFFF" w:fill="auto"/>
          </w:tcPr>
          <w:p w14:paraId="78E88FC2"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395.7</w:t>
            </w:r>
          </w:p>
        </w:tc>
        <w:tc>
          <w:tcPr>
            <w:tcW w:w="520" w:type="pct"/>
            <w:tcBorders>
              <w:top w:val="nil"/>
              <w:left w:val="nil"/>
              <w:bottom w:val="nil"/>
              <w:right w:val="nil"/>
            </w:tcBorders>
            <w:shd w:val="solid" w:color="FFFFFF" w:fill="auto"/>
          </w:tcPr>
          <w:p w14:paraId="0CDFF8B8"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18.6%</w:t>
            </w:r>
          </w:p>
        </w:tc>
      </w:tr>
      <w:tr w:rsidR="00391181" w:rsidRPr="00055E35" w14:paraId="7DD185B2" w14:textId="77777777" w:rsidTr="004F0E15">
        <w:trPr>
          <w:trHeight w:val="43"/>
        </w:trPr>
        <w:tc>
          <w:tcPr>
            <w:tcW w:w="244" w:type="pct"/>
            <w:tcBorders>
              <w:top w:val="nil"/>
              <w:left w:val="nil"/>
              <w:bottom w:val="nil"/>
              <w:right w:val="nil"/>
            </w:tcBorders>
            <w:shd w:val="solid" w:color="FFFFFF" w:fill="auto"/>
          </w:tcPr>
          <w:p w14:paraId="732CA925"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35</w:t>
            </w:r>
          </w:p>
        </w:tc>
        <w:tc>
          <w:tcPr>
            <w:tcW w:w="1393" w:type="pct"/>
            <w:tcBorders>
              <w:top w:val="nil"/>
              <w:left w:val="nil"/>
              <w:bottom w:val="nil"/>
              <w:right w:val="nil"/>
            </w:tcBorders>
            <w:shd w:val="solid" w:color="FFFFFF" w:fill="auto"/>
          </w:tcPr>
          <w:p w14:paraId="1361E8B4"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Transport</w:t>
            </w:r>
          </w:p>
        </w:tc>
        <w:tc>
          <w:tcPr>
            <w:tcW w:w="472" w:type="pct"/>
            <w:gridSpan w:val="2"/>
            <w:tcBorders>
              <w:top w:val="nil"/>
              <w:left w:val="nil"/>
              <w:bottom w:val="nil"/>
              <w:right w:val="nil"/>
            </w:tcBorders>
            <w:shd w:val="solid" w:color="FFFFFF" w:fill="auto"/>
          </w:tcPr>
          <w:p w14:paraId="2E290966"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59 798.3</w:t>
            </w:r>
          </w:p>
        </w:tc>
        <w:tc>
          <w:tcPr>
            <w:tcW w:w="477" w:type="pct"/>
            <w:tcBorders>
              <w:top w:val="nil"/>
              <w:left w:val="nil"/>
              <w:bottom w:val="nil"/>
              <w:right w:val="nil"/>
            </w:tcBorders>
            <w:shd w:val="solid" w:color="FFFFFF" w:fill="auto"/>
          </w:tcPr>
          <w:p w14:paraId="775A56E2"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59 798.3</w:t>
            </w:r>
          </w:p>
        </w:tc>
        <w:tc>
          <w:tcPr>
            <w:tcW w:w="455" w:type="pct"/>
            <w:tcBorders>
              <w:top w:val="nil"/>
              <w:left w:val="nil"/>
              <w:bottom w:val="nil"/>
              <w:right w:val="nil"/>
            </w:tcBorders>
            <w:shd w:val="solid" w:color="FFFFFF" w:fill="auto"/>
          </w:tcPr>
          <w:p w14:paraId="5FC40B38"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9 915.9</w:t>
            </w:r>
          </w:p>
        </w:tc>
        <w:tc>
          <w:tcPr>
            <w:tcW w:w="496" w:type="pct"/>
            <w:tcBorders>
              <w:top w:val="nil"/>
              <w:left w:val="nil"/>
              <w:bottom w:val="nil"/>
              <w:right w:val="nil"/>
            </w:tcBorders>
            <w:shd w:val="solid" w:color="FFFFFF" w:fill="auto"/>
          </w:tcPr>
          <w:p w14:paraId="7EEF4B91"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16.6%</w:t>
            </w:r>
          </w:p>
        </w:tc>
        <w:tc>
          <w:tcPr>
            <w:tcW w:w="447" w:type="pct"/>
            <w:tcBorders>
              <w:top w:val="nil"/>
              <w:left w:val="nil"/>
              <w:bottom w:val="nil"/>
              <w:right w:val="nil"/>
            </w:tcBorders>
            <w:shd w:val="solid" w:color="FFFFFF" w:fill="auto"/>
          </w:tcPr>
          <w:p w14:paraId="3D32ECEA"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9 210.1</w:t>
            </w:r>
          </w:p>
        </w:tc>
        <w:tc>
          <w:tcPr>
            <w:tcW w:w="496" w:type="pct"/>
            <w:tcBorders>
              <w:top w:val="nil"/>
              <w:left w:val="nil"/>
              <w:bottom w:val="nil"/>
              <w:right w:val="nil"/>
            </w:tcBorders>
            <w:shd w:val="solid" w:color="FFFFFF" w:fill="auto"/>
          </w:tcPr>
          <w:p w14:paraId="65B7B4EE"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-705.8</w:t>
            </w:r>
          </w:p>
        </w:tc>
        <w:tc>
          <w:tcPr>
            <w:tcW w:w="520" w:type="pct"/>
            <w:tcBorders>
              <w:top w:val="nil"/>
              <w:left w:val="nil"/>
              <w:bottom w:val="nil"/>
              <w:right w:val="nil"/>
            </w:tcBorders>
            <w:shd w:val="solid" w:color="FFFFFF" w:fill="auto"/>
          </w:tcPr>
          <w:p w14:paraId="53A50C31"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-7.7%</w:t>
            </w:r>
          </w:p>
        </w:tc>
      </w:tr>
      <w:tr w:rsidR="00391181" w:rsidRPr="00055E35" w14:paraId="7B263473" w14:textId="77777777" w:rsidTr="004F0E15">
        <w:trPr>
          <w:trHeight w:val="43"/>
        </w:trPr>
        <w:tc>
          <w:tcPr>
            <w:tcW w:w="244" w:type="pct"/>
            <w:tcBorders>
              <w:top w:val="nil"/>
              <w:left w:val="nil"/>
              <w:bottom w:val="nil"/>
              <w:right w:val="nil"/>
            </w:tcBorders>
            <w:shd w:val="solid" w:color="FFFFFF" w:fill="auto"/>
          </w:tcPr>
          <w:p w14:paraId="6A02EBF5"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36</w:t>
            </w:r>
          </w:p>
        </w:tc>
        <w:tc>
          <w:tcPr>
            <w:tcW w:w="1393" w:type="pct"/>
            <w:tcBorders>
              <w:top w:val="nil"/>
              <w:left w:val="nil"/>
              <w:bottom w:val="nil"/>
              <w:right w:val="nil"/>
            </w:tcBorders>
            <w:shd w:val="solid" w:color="FFFFFF" w:fill="auto"/>
          </w:tcPr>
          <w:p w14:paraId="0D22FE3C"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Water and Sanitation</w:t>
            </w:r>
          </w:p>
        </w:tc>
        <w:tc>
          <w:tcPr>
            <w:tcW w:w="472" w:type="pct"/>
            <w:gridSpan w:val="2"/>
            <w:tcBorders>
              <w:top w:val="nil"/>
              <w:left w:val="nil"/>
              <w:bottom w:val="nil"/>
              <w:right w:val="nil"/>
            </w:tcBorders>
            <w:shd w:val="solid" w:color="FFFFFF" w:fill="auto"/>
          </w:tcPr>
          <w:p w14:paraId="127FEA50"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15 571.5</w:t>
            </w:r>
          </w:p>
        </w:tc>
        <w:tc>
          <w:tcPr>
            <w:tcW w:w="477" w:type="pct"/>
            <w:tcBorders>
              <w:top w:val="nil"/>
              <w:left w:val="nil"/>
              <w:bottom w:val="nil"/>
              <w:right w:val="nil"/>
            </w:tcBorders>
            <w:shd w:val="solid" w:color="FFFFFF" w:fill="auto"/>
          </w:tcPr>
          <w:p w14:paraId="504CC079"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15 571.5</w:t>
            </w:r>
          </w:p>
        </w:tc>
        <w:tc>
          <w:tcPr>
            <w:tcW w:w="455" w:type="pct"/>
            <w:tcBorders>
              <w:top w:val="nil"/>
              <w:left w:val="nil"/>
              <w:bottom w:val="nil"/>
              <w:right w:val="nil"/>
            </w:tcBorders>
            <w:shd w:val="solid" w:color="FFFFFF" w:fill="auto"/>
          </w:tcPr>
          <w:p w14:paraId="2B80D1C0"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2 261.9</w:t>
            </w:r>
          </w:p>
        </w:tc>
        <w:tc>
          <w:tcPr>
            <w:tcW w:w="496" w:type="pct"/>
            <w:tcBorders>
              <w:top w:val="nil"/>
              <w:left w:val="nil"/>
              <w:bottom w:val="nil"/>
              <w:right w:val="nil"/>
            </w:tcBorders>
            <w:shd w:val="solid" w:color="FFFFFF" w:fill="auto"/>
          </w:tcPr>
          <w:p w14:paraId="07FB8CE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14.5%</w:t>
            </w:r>
          </w:p>
        </w:tc>
        <w:tc>
          <w:tcPr>
            <w:tcW w:w="447" w:type="pct"/>
            <w:tcBorders>
              <w:top w:val="nil"/>
              <w:left w:val="nil"/>
              <w:bottom w:val="nil"/>
              <w:right w:val="nil"/>
            </w:tcBorders>
            <w:shd w:val="solid" w:color="FFFFFF" w:fill="auto"/>
          </w:tcPr>
          <w:p w14:paraId="5858CE02"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3 332.5</w:t>
            </w:r>
          </w:p>
        </w:tc>
        <w:tc>
          <w:tcPr>
            <w:tcW w:w="496" w:type="pct"/>
            <w:tcBorders>
              <w:top w:val="nil"/>
              <w:left w:val="nil"/>
              <w:bottom w:val="nil"/>
              <w:right w:val="nil"/>
            </w:tcBorders>
            <w:shd w:val="solid" w:color="FFFFFF" w:fill="auto"/>
          </w:tcPr>
          <w:p w14:paraId="61E411FE"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1 070.6</w:t>
            </w:r>
          </w:p>
        </w:tc>
        <w:tc>
          <w:tcPr>
            <w:tcW w:w="520" w:type="pct"/>
            <w:tcBorders>
              <w:top w:val="nil"/>
              <w:left w:val="nil"/>
              <w:bottom w:val="nil"/>
              <w:right w:val="nil"/>
            </w:tcBorders>
            <w:shd w:val="solid" w:color="FFFFFF" w:fill="auto"/>
          </w:tcPr>
          <w:p w14:paraId="0593335D"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32.1%</w:t>
            </w:r>
          </w:p>
        </w:tc>
      </w:tr>
      <w:tr w:rsidR="00391181" w:rsidRPr="00055E35" w14:paraId="76BE2187" w14:textId="77777777" w:rsidTr="004F0E15">
        <w:trPr>
          <w:trHeight w:val="43"/>
        </w:trPr>
        <w:tc>
          <w:tcPr>
            <w:tcW w:w="244" w:type="pct"/>
            <w:tcBorders>
              <w:top w:val="nil"/>
              <w:left w:val="nil"/>
              <w:bottom w:val="nil"/>
              <w:right w:val="nil"/>
            </w:tcBorders>
            <w:shd w:val="solid" w:color="FFFFFF" w:fill="auto"/>
          </w:tcPr>
          <w:p w14:paraId="03B70C6D"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37</w:t>
            </w:r>
          </w:p>
        </w:tc>
        <w:tc>
          <w:tcPr>
            <w:tcW w:w="1393" w:type="pct"/>
            <w:tcBorders>
              <w:top w:val="nil"/>
              <w:left w:val="nil"/>
              <w:bottom w:val="nil"/>
              <w:right w:val="nil"/>
            </w:tcBorders>
            <w:shd w:val="solid" w:color="FFFFFF" w:fill="auto"/>
          </w:tcPr>
          <w:p w14:paraId="206473C3"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Arts and Culture</w:t>
            </w:r>
          </w:p>
        </w:tc>
        <w:tc>
          <w:tcPr>
            <w:tcW w:w="472" w:type="pct"/>
            <w:gridSpan w:val="2"/>
            <w:tcBorders>
              <w:top w:val="nil"/>
              <w:left w:val="nil"/>
              <w:bottom w:val="nil"/>
              <w:right w:val="nil"/>
            </w:tcBorders>
            <w:shd w:val="solid" w:color="FFFFFF" w:fill="auto"/>
          </w:tcPr>
          <w:p w14:paraId="48B9C23A"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4 372.3</w:t>
            </w:r>
          </w:p>
        </w:tc>
        <w:tc>
          <w:tcPr>
            <w:tcW w:w="477" w:type="pct"/>
            <w:tcBorders>
              <w:top w:val="nil"/>
              <w:left w:val="nil"/>
              <w:bottom w:val="nil"/>
              <w:right w:val="nil"/>
            </w:tcBorders>
            <w:shd w:val="solid" w:color="FFFFFF" w:fill="auto"/>
          </w:tcPr>
          <w:p w14:paraId="195D025D"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4 372.3</w:t>
            </w:r>
          </w:p>
        </w:tc>
        <w:tc>
          <w:tcPr>
            <w:tcW w:w="455" w:type="pct"/>
            <w:tcBorders>
              <w:top w:val="nil"/>
              <w:left w:val="nil"/>
              <w:bottom w:val="nil"/>
              <w:right w:val="nil"/>
            </w:tcBorders>
            <w:shd w:val="solid" w:color="FFFFFF" w:fill="auto"/>
          </w:tcPr>
          <w:p w14:paraId="203074B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919.1</w:t>
            </w:r>
          </w:p>
        </w:tc>
        <w:tc>
          <w:tcPr>
            <w:tcW w:w="496" w:type="pct"/>
            <w:tcBorders>
              <w:top w:val="nil"/>
              <w:left w:val="nil"/>
              <w:bottom w:val="nil"/>
              <w:right w:val="nil"/>
            </w:tcBorders>
            <w:shd w:val="solid" w:color="FFFFFF" w:fill="auto"/>
          </w:tcPr>
          <w:p w14:paraId="7DFA5C8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21.0%</w:t>
            </w:r>
          </w:p>
        </w:tc>
        <w:tc>
          <w:tcPr>
            <w:tcW w:w="447" w:type="pct"/>
            <w:tcBorders>
              <w:top w:val="nil"/>
              <w:left w:val="nil"/>
              <w:bottom w:val="nil"/>
              <w:right w:val="nil"/>
            </w:tcBorders>
            <w:shd w:val="solid" w:color="FFFFFF" w:fill="auto"/>
          </w:tcPr>
          <w:p w14:paraId="08BCB543"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1 047.5</w:t>
            </w:r>
          </w:p>
        </w:tc>
        <w:tc>
          <w:tcPr>
            <w:tcW w:w="496" w:type="pct"/>
            <w:tcBorders>
              <w:top w:val="nil"/>
              <w:left w:val="nil"/>
              <w:bottom w:val="nil"/>
              <w:right w:val="nil"/>
            </w:tcBorders>
            <w:shd w:val="solid" w:color="FFFFFF" w:fill="auto"/>
          </w:tcPr>
          <w:p w14:paraId="4A827586"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128.4</w:t>
            </w:r>
          </w:p>
        </w:tc>
        <w:tc>
          <w:tcPr>
            <w:tcW w:w="520" w:type="pct"/>
            <w:tcBorders>
              <w:top w:val="nil"/>
              <w:left w:val="nil"/>
              <w:bottom w:val="nil"/>
              <w:right w:val="nil"/>
            </w:tcBorders>
            <w:shd w:val="solid" w:color="FFFFFF" w:fill="auto"/>
          </w:tcPr>
          <w:p w14:paraId="09E379A3"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12.3%</w:t>
            </w:r>
          </w:p>
        </w:tc>
      </w:tr>
      <w:tr w:rsidR="00391181" w:rsidRPr="00055E35" w14:paraId="65C19B8A" w14:textId="77777777" w:rsidTr="004F0E15">
        <w:trPr>
          <w:trHeight w:val="43"/>
        </w:trPr>
        <w:tc>
          <w:tcPr>
            <w:tcW w:w="244" w:type="pct"/>
            <w:tcBorders>
              <w:top w:val="nil"/>
              <w:left w:val="nil"/>
              <w:bottom w:val="nil"/>
              <w:right w:val="nil"/>
            </w:tcBorders>
            <w:shd w:val="solid" w:color="FFFFFF" w:fill="auto"/>
          </w:tcPr>
          <w:p w14:paraId="77192489"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38</w:t>
            </w:r>
          </w:p>
        </w:tc>
        <w:tc>
          <w:tcPr>
            <w:tcW w:w="1393" w:type="pct"/>
            <w:tcBorders>
              <w:top w:val="nil"/>
              <w:left w:val="nil"/>
              <w:bottom w:val="nil"/>
              <w:right w:val="nil"/>
            </w:tcBorders>
            <w:shd w:val="solid" w:color="FFFFFF" w:fill="auto"/>
          </w:tcPr>
          <w:p w14:paraId="1A9B9C93"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Human Settlements</w:t>
            </w:r>
          </w:p>
        </w:tc>
        <w:tc>
          <w:tcPr>
            <w:tcW w:w="472" w:type="pct"/>
            <w:gridSpan w:val="2"/>
            <w:tcBorders>
              <w:top w:val="nil"/>
              <w:left w:val="nil"/>
              <w:bottom w:val="nil"/>
              <w:right w:val="nil"/>
            </w:tcBorders>
            <w:shd w:val="solid" w:color="FFFFFF" w:fill="auto"/>
          </w:tcPr>
          <w:p w14:paraId="5ED2702B"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32 355.7</w:t>
            </w:r>
          </w:p>
        </w:tc>
        <w:tc>
          <w:tcPr>
            <w:tcW w:w="477" w:type="pct"/>
            <w:tcBorders>
              <w:top w:val="nil"/>
              <w:left w:val="nil"/>
              <w:bottom w:val="nil"/>
              <w:right w:val="nil"/>
            </w:tcBorders>
            <w:shd w:val="solid" w:color="FFFFFF" w:fill="auto"/>
          </w:tcPr>
          <w:p w14:paraId="4A260760"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32 355.7</w:t>
            </w:r>
          </w:p>
        </w:tc>
        <w:tc>
          <w:tcPr>
            <w:tcW w:w="455" w:type="pct"/>
            <w:tcBorders>
              <w:top w:val="nil"/>
              <w:left w:val="nil"/>
              <w:bottom w:val="nil"/>
              <w:right w:val="nil"/>
            </w:tcBorders>
            <w:shd w:val="solid" w:color="FFFFFF" w:fill="auto"/>
          </w:tcPr>
          <w:p w14:paraId="2FF5BAFA"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4 304.9</w:t>
            </w:r>
          </w:p>
        </w:tc>
        <w:tc>
          <w:tcPr>
            <w:tcW w:w="496" w:type="pct"/>
            <w:tcBorders>
              <w:top w:val="nil"/>
              <w:left w:val="nil"/>
              <w:bottom w:val="nil"/>
              <w:right w:val="nil"/>
            </w:tcBorders>
            <w:shd w:val="solid" w:color="FFFFFF" w:fill="auto"/>
          </w:tcPr>
          <w:p w14:paraId="0112DF2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13.3%</w:t>
            </w:r>
          </w:p>
        </w:tc>
        <w:tc>
          <w:tcPr>
            <w:tcW w:w="447" w:type="pct"/>
            <w:tcBorders>
              <w:top w:val="nil"/>
              <w:left w:val="nil"/>
              <w:bottom w:val="nil"/>
              <w:right w:val="nil"/>
            </w:tcBorders>
            <w:shd w:val="solid" w:color="FFFFFF" w:fill="auto"/>
          </w:tcPr>
          <w:p w14:paraId="4C072525"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4 419.4</w:t>
            </w:r>
          </w:p>
        </w:tc>
        <w:tc>
          <w:tcPr>
            <w:tcW w:w="496" w:type="pct"/>
            <w:tcBorders>
              <w:top w:val="nil"/>
              <w:left w:val="nil"/>
              <w:bottom w:val="nil"/>
              <w:right w:val="nil"/>
            </w:tcBorders>
            <w:shd w:val="solid" w:color="FFFFFF" w:fill="auto"/>
          </w:tcPr>
          <w:p w14:paraId="4928D7B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114.5</w:t>
            </w:r>
          </w:p>
        </w:tc>
        <w:tc>
          <w:tcPr>
            <w:tcW w:w="520" w:type="pct"/>
            <w:tcBorders>
              <w:top w:val="nil"/>
              <w:left w:val="nil"/>
              <w:bottom w:val="nil"/>
              <w:right w:val="nil"/>
            </w:tcBorders>
            <w:shd w:val="solid" w:color="FFFFFF" w:fill="auto"/>
          </w:tcPr>
          <w:p w14:paraId="3EE802D6"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2.6%</w:t>
            </w:r>
          </w:p>
        </w:tc>
      </w:tr>
      <w:tr w:rsidR="00391181" w:rsidRPr="00055E35" w14:paraId="2DFD8D70" w14:textId="77777777" w:rsidTr="004F0E15">
        <w:trPr>
          <w:trHeight w:val="43"/>
        </w:trPr>
        <w:tc>
          <w:tcPr>
            <w:tcW w:w="244" w:type="pct"/>
            <w:tcBorders>
              <w:top w:val="nil"/>
              <w:left w:val="nil"/>
              <w:bottom w:val="nil"/>
              <w:right w:val="nil"/>
            </w:tcBorders>
            <w:shd w:val="solid" w:color="FFFFFF" w:fill="auto"/>
          </w:tcPr>
          <w:p w14:paraId="4F78E821"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39</w:t>
            </w:r>
          </w:p>
        </w:tc>
        <w:tc>
          <w:tcPr>
            <w:tcW w:w="1393" w:type="pct"/>
            <w:tcBorders>
              <w:top w:val="nil"/>
              <w:left w:val="nil"/>
              <w:bottom w:val="nil"/>
              <w:right w:val="nil"/>
            </w:tcBorders>
            <w:shd w:val="solid" w:color="FFFFFF" w:fill="auto"/>
          </w:tcPr>
          <w:p w14:paraId="6C6E2283"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Rural Development and Land Reform</w:t>
            </w:r>
          </w:p>
        </w:tc>
        <w:tc>
          <w:tcPr>
            <w:tcW w:w="472" w:type="pct"/>
            <w:gridSpan w:val="2"/>
            <w:tcBorders>
              <w:top w:val="nil"/>
              <w:left w:val="nil"/>
              <w:bottom w:val="nil"/>
              <w:right w:val="nil"/>
            </w:tcBorders>
            <w:shd w:val="solid" w:color="FFFFFF" w:fill="auto"/>
          </w:tcPr>
          <w:p w14:paraId="582EE45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10 425.2</w:t>
            </w:r>
          </w:p>
        </w:tc>
        <w:tc>
          <w:tcPr>
            <w:tcW w:w="477" w:type="pct"/>
            <w:tcBorders>
              <w:top w:val="nil"/>
              <w:left w:val="nil"/>
              <w:bottom w:val="nil"/>
              <w:right w:val="nil"/>
            </w:tcBorders>
            <w:shd w:val="solid" w:color="FFFFFF" w:fill="auto"/>
          </w:tcPr>
          <w:p w14:paraId="19FAB50D"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10 425.2</w:t>
            </w:r>
          </w:p>
        </w:tc>
        <w:tc>
          <w:tcPr>
            <w:tcW w:w="455" w:type="pct"/>
            <w:tcBorders>
              <w:top w:val="nil"/>
              <w:left w:val="nil"/>
              <w:bottom w:val="nil"/>
              <w:right w:val="nil"/>
            </w:tcBorders>
            <w:shd w:val="solid" w:color="FFFFFF" w:fill="auto"/>
          </w:tcPr>
          <w:p w14:paraId="42006639"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1 744.2</w:t>
            </w:r>
          </w:p>
        </w:tc>
        <w:tc>
          <w:tcPr>
            <w:tcW w:w="496" w:type="pct"/>
            <w:tcBorders>
              <w:top w:val="nil"/>
              <w:left w:val="nil"/>
              <w:bottom w:val="nil"/>
              <w:right w:val="nil"/>
            </w:tcBorders>
            <w:shd w:val="solid" w:color="FFFFFF" w:fill="auto"/>
          </w:tcPr>
          <w:p w14:paraId="245E82E2"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16.7%</w:t>
            </w:r>
          </w:p>
        </w:tc>
        <w:tc>
          <w:tcPr>
            <w:tcW w:w="447" w:type="pct"/>
            <w:tcBorders>
              <w:top w:val="nil"/>
              <w:left w:val="nil"/>
              <w:bottom w:val="nil"/>
              <w:right w:val="nil"/>
            </w:tcBorders>
            <w:shd w:val="solid" w:color="FFFFFF" w:fill="auto"/>
          </w:tcPr>
          <w:p w14:paraId="58CFDA56"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2 220.4</w:t>
            </w:r>
          </w:p>
        </w:tc>
        <w:tc>
          <w:tcPr>
            <w:tcW w:w="496" w:type="pct"/>
            <w:tcBorders>
              <w:top w:val="nil"/>
              <w:left w:val="nil"/>
              <w:bottom w:val="nil"/>
              <w:right w:val="nil"/>
            </w:tcBorders>
            <w:shd w:val="solid" w:color="FFFFFF" w:fill="auto"/>
          </w:tcPr>
          <w:p w14:paraId="38F804F6"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476.2</w:t>
            </w:r>
          </w:p>
        </w:tc>
        <w:tc>
          <w:tcPr>
            <w:tcW w:w="520" w:type="pct"/>
            <w:tcBorders>
              <w:top w:val="nil"/>
              <w:left w:val="nil"/>
              <w:bottom w:val="nil"/>
              <w:right w:val="nil"/>
            </w:tcBorders>
            <w:shd w:val="solid" w:color="FFFFFF" w:fill="auto"/>
          </w:tcPr>
          <w:p w14:paraId="1DE3248A"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21.4%</w:t>
            </w:r>
          </w:p>
        </w:tc>
      </w:tr>
      <w:tr w:rsidR="00391181" w:rsidRPr="00055E35" w14:paraId="25B3D8B3" w14:textId="77777777" w:rsidTr="004F0E15">
        <w:trPr>
          <w:trHeight w:val="43"/>
        </w:trPr>
        <w:tc>
          <w:tcPr>
            <w:tcW w:w="244" w:type="pct"/>
            <w:tcBorders>
              <w:top w:val="nil"/>
              <w:left w:val="nil"/>
              <w:bottom w:val="nil"/>
              <w:right w:val="nil"/>
            </w:tcBorders>
            <w:shd w:val="solid" w:color="FFFFFF" w:fill="auto"/>
          </w:tcPr>
          <w:p w14:paraId="7327CA37"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40</w:t>
            </w:r>
          </w:p>
        </w:tc>
        <w:tc>
          <w:tcPr>
            <w:tcW w:w="1393" w:type="pct"/>
            <w:tcBorders>
              <w:top w:val="nil"/>
              <w:left w:val="nil"/>
              <w:bottom w:val="nil"/>
              <w:right w:val="nil"/>
            </w:tcBorders>
            <w:shd w:val="solid" w:color="FFFFFF" w:fill="auto"/>
          </w:tcPr>
          <w:p w14:paraId="58859997" w14:textId="77777777" w:rsidR="00391181" w:rsidRPr="00055E35" w:rsidRDefault="00391181" w:rsidP="00DA6AD9">
            <w:pPr>
              <w:autoSpaceDE w:val="0"/>
              <w:autoSpaceDN w:val="0"/>
              <w:adjustRightInd w:val="0"/>
              <w:spacing w:line="360" w:lineRule="auto"/>
              <w:contextualSpacing/>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Sport and Recreation South Africa</w:t>
            </w:r>
          </w:p>
        </w:tc>
        <w:tc>
          <w:tcPr>
            <w:tcW w:w="472" w:type="pct"/>
            <w:gridSpan w:val="2"/>
            <w:tcBorders>
              <w:top w:val="nil"/>
              <w:left w:val="nil"/>
              <w:bottom w:val="nil"/>
              <w:right w:val="nil"/>
            </w:tcBorders>
            <w:shd w:val="solid" w:color="FFFFFF" w:fill="auto"/>
          </w:tcPr>
          <w:p w14:paraId="18620834"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1 090.8</w:t>
            </w:r>
          </w:p>
        </w:tc>
        <w:tc>
          <w:tcPr>
            <w:tcW w:w="477" w:type="pct"/>
            <w:tcBorders>
              <w:top w:val="nil"/>
              <w:left w:val="nil"/>
              <w:bottom w:val="nil"/>
              <w:right w:val="nil"/>
            </w:tcBorders>
            <w:shd w:val="solid" w:color="FFFFFF" w:fill="auto"/>
          </w:tcPr>
          <w:p w14:paraId="03E17E46"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1 090.8</w:t>
            </w:r>
          </w:p>
        </w:tc>
        <w:tc>
          <w:tcPr>
            <w:tcW w:w="455" w:type="pct"/>
            <w:tcBorders>
              <w:top w:val="nil"/>
              <w:left w:val="nil"/>
              <w:bottom w:val="nil"/>
              <w:right w:val="nil"/>
            </w:tcBorders>
            <w:shd w:val="solid" w:color="FFFFFF" w:fill="auto"/>
          </w:tcPr>
          <w:p w14:paraId="7CB5EC90"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74.1</w:t>
            </w:r>
          </w:p>
        </w:tc>
        <w:tc>
          <w:tcPr>
            <w:tcW w:w="496" w:type="pct"/>
            <w:tcBorders>
              <w:top w:val="nil"/>
              <w:left w:val="nil"/>
              <w:bottom w:val="nil"/>
              <w:right w:val="nil"/>
            </w:tcBorders>
            <w:shd w:val="solid" w:color="FFFFFF" w:fill="auto"/>
          </w:tcPr>
          <w:p w14:paraId="6A4145CC"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6.8%</w:t>
            </w:r>
          </w:p>
        </w:tc>
        <w:tc>
          <w:tcPr>
            <w:tcW w:w="447" w:type="pct"/>
            <w:tcBorders>
              <w:top w:val="nil"/>
              <w:left w:val="nil"/>
              <w:bottom w:val="nil"/>
              <w:right w:val="nil"/>
            </w:tcBorders>
            <w:shd w:val="solid" w:color="FFFFFF" w:fill="auto"/>
          </w:tcPr>
          <w:p w14:paraId="651F9C1E"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257.5</w:t>
            </w:r>
          </w:p>
        </w:tc>
        <w:tc>
          <w:tcPr>
            <w:tcW w:w="496" w:type="pct"/>
            <w:tcBorders>
              <w:top w:val="nil"/>
              <w:left w:val="nil"/>
              <w:bottom w:val="nil"/>
              <w:right w:val="nil"/>
            </w:tcBorders>
            <w:shd w:val="solid" w:color="FFFFFF" w:fill="auto"/>
          </w:tcPr>
          <w:p w14:paraId="08B51227"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183.4</w:t>
            </w:r>
          </w:p>
        </w:tc>
        <w:tc>
          <w:tcPr>
            <w:tcW w:w="520" w:type="pct"/>
            <w:tcBorders>
              <w:top w:val="nil"/>
              <w:left w:val="nil"/>
              <w:bottom w:val="nil"/>
              <w:right w:val="nil"/>
            </w:tcBorders>
            <w:shd w:val="solid" w:color="FFFFFF" w:fill="auto"/>
          </w:tcPr>
          <w:p w14:paraId="2586212F" w14:textId="77777777" w:rsidR="00391181" w:rsidRPr="00055E35" w:rsidRDefault="00391181" w:rsidP="00DA6AD9">
            <w:pPr>
              <w:autoSpaceDE w:val="0"/>
              <w:autoSpaceDN w:val="0"/>
              <w:adjustRightInd w:val="0"/>
              <w:spacing w:line="360" w:lineRule="auto"/>
              <w:contextualSpacing/>
              <w:jc w:val="right"/>
              <w:rPr>
                <w:rFonts w:ascii="Arial Narrow" w:hAnsi="Arial Narrow" w:cs="Arial Narrow"/>
                <w:color w:val="auto"/>
                <w:sz w:val="14"/>
                <w:szCs w:val="14"/>
                <w:lang w:val="en-ZA"/>
              </w:rPr>
            </w:pPr>
            <w:r w:rsidRPr="00055E35">
              <w:rPr>
                <w:rFonts w:ascii="Arial Narrow" w:hAnsi="Arial Narrow" w:cs="Arial Narrow"/>
                <w:color w:val="auto"/>
                <w:sz w:val="14"/>
                <w:szCs w:val="14"/>
                <w:lang w:val="en-ZA"/>
              </w:rPr>
              <w:t>71.2%</w:t>
            </w:r>
          </w:p>
        </w:tc>
      </w:tr>
      <w:tr w:rsidR="00391181" w:rsidRPr="00055E35" w14:paraId="3C3FA7E8" w14:textId="77777777" w:rsidTr="004F0E15">
        <w:trPr>
          <w:trHeight w:val="43"/>
        </w:trPr>
        <w:tc>
          <w:tcPr>
            <w:tcW w:w="244" w:type="pct"/>
            <w:tcBorders>
              <w:top w:val="single" w:sz="6" w:space="0" w:color="auto"/>
              <w:left w:val="nil"/>
              <w:bottom w:val="single" w:sz="12" w:space="0" w:color="993300"/>
              <w:right w:val="nil"/>
            </w:tcBorders>
            <w:shd w:val="solid" w:color="FFFFFF" w:fill="auto"/>
          </w:tcPr>
          <w:p w14:paraId="7F8D0F95" w14:textId="77777777" w:rsidR="00391181" w:rsidRPr="00055E35" w:rsidRDefault="00391181" w:rsidP="00DA6AD9">
            <w:pPr>
              <w:autoSpaceDE w:val="0"/>
              <w:autoSpaceDN w:val="0"/>
              <w:adjustRightInd w:val="0"/>
              <w:spacing w:line="360" w:lineRule="auto"/>
              <w:contextualSpacing/>
              <w:rPr>
                <w:rFonts w:ascii="Arial Narrow" w:hAnsi="Arial Narrow" w:cs="Arial Narrow"/>
                <w:b/>
                <w:bCs/>
                <w:color w:val="auto"/>
                <w:sz w:val="14"/>
                <w:szCs w:val="14"/>
                <w:lang w:val="en-ZA"/>
              </w:rPr>
            </w:pPr>
            <w:r w:rsidRPr="00055E35">
              <w:rPr>
                <w:rFonts w:ascii="Arial Narrow" w:hAnsi="Arial Narrow" w:cs="Arial Narrow"/>
                <w:b/>
                <w:bCs/>
                <w:color w:val="auto"/>
                <w:sz w:val="14"/>
                <w:szCs w:val="14"/>
                <w:lang w:val="en-ZA"/>
              </w:rPr>
              <w:t xml:space="preserve">Total </w:t>
            </w:r>
          </w:p>
        </w:tc>
        <w:tc>
          <w:tcPr>
            <w:tcW w:w="1393" w:type="pct"/>
            <w:tcBorders>
              <w:top w:val="single" w:sz="6" w:space="0" w:color="auto"/>
              <w:left w:val="nil"/>
              <w:bottom w:val="single" w:sz="12" w:space="0" w:color="993300"/>
              <w:right w:val="nil"/>
            </w:tcBorders>
            <w:shd w:val="solid" w:color="FFFFFF" w:fill="auto"/>
          </w:tcPr>
          <w:p w14:paraId="619BCF0C" w14:textId="77777777" w:rsidR="00391181" w:rsidRPr="00055E35" w:rsidRDefault="00391181" w:rsidP="00DA6AD9">
            <w:pPr>
              <w:autoSpaceDE w:val="0"/>
              <w:autoSpaceDN w:val="0"/>
              <w:adjustRightInd w:val="0"/>
              <w:spacing w:line="360" w:lineRule="auto"/>
              <w:ind w:left="-992"/>
              <w:contextualSpacing/>
              <w:rPr>
                <w:rFonts w:ascii="Arial Narrow" w:hAnsi="Arial Narrow" w:cs="Arial Narrow"/>
                <w:b/>
                <w:bCs/>
                <w:color w:val="auto"/>
                <w:sz w:val="14"/>
                <w:szCs w:val="14"/>
                <w:lang w:val="en-ZA"/>
              </w:rPr>
            </w:pPr>
          </w:p>
        </w:tc>
        <w:tc>
          <w:tcPr>
            <w:tcW w:w="472" w:type="pct"/>
            <w:gridSpan w:val="2"/>
            <w:tcBorders>
              <w:top w:val="single" w:sz="6" w:space="0" w:color="auto"/>
              <w:left w:val="nil"/>
              <w:bottom w:val="single" w:sz="12" w:space="0" w:color="993300"/>
              <w:right w:val="nil"/>
            </w:tcBorders>
            <w:shd w:val="solid" w:color="FFFFFF" w:fill="auto"/>
          </w:tcPr>
          <w:p w14:paraId="3162EC62" w14:textId="77777777" w:rsidR="00391181" w:rsidRPr="00055E35" w:rsidRDefault="00391181" w:rsidP="00DA6AD9">
            <w:pPr>
              <w:autoSpaceDE w:val="0"/>
              <w:autoSpaceDN w:val="0"/>
              <w:adjustRightInd w:val="0"/>
              <w:spacing w:line="360" w:lineRule="auto"/>
              <w:ind w:left="-992"/>
              <w:contextualSpacing/>
              <w:jc w:val="right"/>
              <w:rPr>
                <w:rFonts w:ascii="Arial Narrow" w:hAnsi="Arial Narrow" w:cs="Arial Narrow"/>
                <w:b/>
                <w:bCs/>
                <w:color w:val="auto"/>
                <w:sz w:val="14"/>
                <w:szCs w:val="14"/>
                <w:lang w:val="en-ZA"/>
              </w:rPr>
            </w:pPr>
            <w:r w:rsidRPr="00055E35">
              <w:rPr>
                <w:rFonts w:ascii="Arial Narrow" w:hAnsi="Arial Narrow" w:cs="Arial Narrow"/>
                <w:b/>
                <w:bCs/>
                <w:color w:val="auto"/>
                <w:sz w:val="14"/>
                <w:szCs w:val="14"/>
                <w:lang w:val="en-ZA"/>
              </w:rPr>
              <w:t>812 636.2</w:t>
            </w:r>
          </w:p>
        </w:tc>
        <w:tc>
          <w:tcPr>
            <w:tcW w:w="477" w:type="pct"/>
            <w:tcBorders>
              <w:top w:val="single" w:sz="6" w:space="0" w:color="auto"/>
              <w:left w:val="nil"/>
              <w:bottom w:val="single" w:sz="12" w:space="0" w:color="993300"/>
              <w:right w:val="nil"/>
            </w:tcBorders>
            <w:shd w:val="solid" w:color="FFFFFF" w:fill="auto"/>
          </w:tcPr>
          <w:p w14:paraId="3B132A18" w14:textId="77777777" w:rsidR="00391181" w:rsidRPr="00055E35" w:rsidRDefault="00391181" w:rsidP="00DA6AD9">
            <w:pPr>
              <w:autoSpaceDE w:val="0"/>
              <w:autoSpaceDN w:val="0"/>
              <w:adjustRightInd w:val="0"/>
              <w:spacing w:line="360" w:lineRule="auto"/>
              <w:ind w:left="-992"/>
              <w:contextualSpacing/>
              <w:jc w:val="right"/>
              <w:rPr>
                <w:rFonts w:ascii="Arial Narrow" w:hAnsi="Arial Narrow" w:cs="Arial Narrow"/>
                <w:b/>
                <w:bCs/>
                <w:color w:val="auto"/>
                <w:sz w:val="14"/>
                <w:szCs w:val="14"/>
                <w:lang w:val="en-ZA"/>
              </w:rPr>
            </w:pPr>
            <w:r w:rsidRPr="00055E35">
              <w:rPr>
                <w:rFonts w:ascii="Arial Narrow" w:hAnsi="Arial Narrow" w:cs="Arial Narrow"/>
                <w:b/>
                <w:bCs/>
                <w:color w:val="auto"/>
                <w:sz w:val="14"/>
                <w:szCs w:val="14"/>
                <w:lang w:val="en-ZA"/>
              </w:rPr>
              <w:t>812 636.2</w:t>
            </w:r>
          </w:p>
        </w:tc>
        <w:tc>
          <w:tcPr>
            <w:tcW w:w="455" w:type="pct"/>
            <w:tcBorders>
              <w:top w:val="single" w:sz="6" w:space="0" w:color="auto"/>
              <w:left w:val="nil"/>
              <w:bottom w:val="single" w:sz="12" w:space="0" w:color="993300"/>
              <w:right w:val="nil"/>
            </w:tcBorders>
            <w:shd w:val="solid" w:color="FFFFFF" w:fill="auto"/>
          </w:tcPr>
          <w:p w14:paraId="6942A0ED" w14:textId="77777777" w:rsidR="00391181" w:rsidRPr="00055E35" w:rsidRDefault="00391181" w:rsidP="00DA6AD9">
            <w:pPr>
              <w:autoSpaceDE w:val="0"/>
              <w:autoSpaceDN w:val="0"/>
              <w:adjustRightInd w:val="0"/>
              <w:spacing w:line="360" w:lineRule="auto"/>
              <w:ind w:left="-992"/>
              <w:contextualSpacing/>
              <w:jc w:val="right"/>
              <w:rPr>
                <w:rFonts w:ascii="Arial Narrow" w:hAnsi="Arial Narrow" w:cs="Arial Narrow"/>
                <w:b/>
                <w:bCs/>
                <w:color w:val="auto"/>
                <w:sz w:val="14"/>
                <w:szCs w:val="14"/>
                <w:lang w:val="en-ZA"/>
              </w:rPr>
            </w:pPr>
            <w:r w:rsidRPr="00055E35">
              <w:rPr>
                <w:rFonts w:ascii="Arial Narrow" w:hAnsi="Arial Narrow" w:cs="Arial Narrow"/>
                <w:b/>
                <w:bCs/>
                <w:color w:val="auto"/>
                <w:sz w:val="14"/>
                <w:szCs w:val="14"/>
                <w:lang w:val="en-ZA"/>
              </w:rPr>
              <w:t>177 898.5</w:t>
            </w:r>
          </w:p>
        </w:tc>
        <w:tc>
          <w:tcPr>
            <w:tcW w:w="496" w:type="pct"/>
            <w:tcBorders>
              <w:top w:val="single" w:sz="6" w:space="0" w:color="auto"/>
              <w:left w:val="nil"/>
              <w:bottom w:val="single" w:sz="12" w:space="0" w:color="993300"/>
              <w:right w:val="nil"/>
            </w:tcBorders>
            <w:shd w:val="solid" w:color="FFFFFF" w:fill="auto"/>
          </w:tcPr>
          <w:p w14:paraId="3C248581" w14:textId="77777777" w:rsidR="00391181" w:rsidRPr="00055E35" w:rsidRDefault="00391181" w:rsidP="00DA6AD9">
            <w:pPr>
              <w:autoSpaceDE w:val="0"/>
              <w:autoSpaceDN w:val="0"/>
              <w:adjustRightInd w:val="0"/>
              <w:spacing w:line="360" w:lineRule="auto"/>
              <w:ind w:left="-992"/>
              <w:contextualSpacing/>
              <w:jc w:val="right"/>
              <w:rPr>
                <w:rFonts w:ascii="Arial Narrow" w:hAnsi="Arial Narrow" w:cs="Arial Narrow"/>
                <w:b/>
                <w:bCs/>
                <w:color w:val="auto"/>
                <w:sz w:val="14"/>
                <w:szCs w:val="14"/>
                <w:lang w:val="en-ZA"/>
              </w:rPr>
            </w:pPr>
            <w:r w:rsidRPr="00055E35">
              <w:rPr>
                <w:rFonts w:ascii="Arial Narrow" w:hAnsi="Arial Narrow" w:cs="Arial Narrow"/>
                <w:b/>
                <w:bCs/>
                <w:color w:val="auto"/>
                <w:sz w:val="14"/>
                <w:szCs w:val="14"/>
                <w:lang w:val="en-ZA"/>
              </w:rPr>
              <w:t>21.9%</w:t>
            </w:r>
          </w:p>
        </w:tc>
        <w:tc>
          <w:tcPr>
            <w:tcW w:w="447" w:type="pct"/>
            <w:tcBorders>
              <w:top w:val="single" w:sz="6" w:space="0" w:color="auto"/>
              <w:left w:val="nil"/>
              <w:bottom w:val="single" w:sz="12" w:space="0" w:color="993300"/>
              <w:right w:val="nil"/>
            </w:tcBorders>
            <w:shd w:val="solid" w:color="FFFFFF" w:fill="auto"/>
          </w:tcPr>
          <w:p w14:paraId="602284CC" w14:textId="77777777" w:rsidR="00391181" w:rsidRPr="00055E35" w:rsidRDefault="00391181" w:rsidP="00DA6AD9">
            <w:pPr>
              <w:autoSpaceDE w:val="0"/>
              <w:autoSpaceDN w:val="0"/>
              <w:adjustRightInd w:val="0"/>
              <w:spacing w:line="360" w:lineRule="auto"/>
              <w:ind w:left="-992"/>
              <w:contextualSpacing/>
              <w:jc w:val="right"/>
              <w:rPr>
                <w:rFonts w:ascii="Arial Narrow" w:hAnsi="Arial Narrow" w:cs="Arial Narrow"/>
                <w:b/>
                <w:bCs/>
                <w:color w:val="auto"/>
                <w:sz w:val="14"/>
                <w:szCs w:val="14"/>
                <w:lang w:val="en-ZA"/>
              </w:rPr>
            </w:pPr>
            <w:r w:rsidRPr="00055E35">
              <w:rPr>
                <w:rFonts w:ascii="Arial Narrow" w:hAnsi="Arial Narrow" w:cs="Arial Narrow"/>
                <w:b/>
                <w:bCs/>
                <w:color w:val="auto"/>
                <w:sz w:val="14"/>
                <w:szCs w:val="14"/>
                <w:lang w:val="en-ZA"/>
              </w:rPr>
              <w:t>187 759.0</w:t>
            </w:r>
          </w:p>
        </w:tc>
        <w:tc>
          <w:tcPr>
            <w:tcW w:w="496" w:type="pct"/>
            <w:tcBorders>
              <w:top w:val="single" w:sz="6" w:space="0" w:color="auto"/>
              <w:left w:val="nil"/>
              <w:bottom w:val="single" w:sz="12" w:space="0" w:color="993300"/>
              <w:right w:val="nil"/>
            </w:tcBorders>
            <w:shd w:val="solid" w:color="FFFFFF" w:fill="auto"/>
          </w:tcPr>
          <w:p w14:paraId="274D6545" w14:textId="77777777" w:rsidR="00391181" w:rsidRPr="00055E35" w:rsidRDefault="00391181" w:rsidP="00DA6AD9">
            <w:pPr>
              <w:autoSpaceDE w:val="0"/>
              <w:autoSpaceDN w:val="0"/>
              <w:adjustRightInd w:val="0"/>
              <w:spacing w:line="360" w:lineRule="auto"/>
              <w:ind w:left="-992"/>
              <w:contextualSpacing/>
              <w:jc w:val="right"/>
              <w:rPr>
                <w:rFonts w:ascii="Arial Narrow" w:hAnsi="Arial Narrow" w:cs="Arial Narrow"/>
                <w:b/>
                <w:bCs/>
                <w:color w:val="auto"/>
                <w:sz w:val="14"/>
                <w:szCs w:val="14"/>
                <w:lang w:val="en-ZA"/>
              </w:rPr>
            </w:pPr>
            <w:r w:rsidRPr="00055E35">
              <w:rPr>
                <w:rFonts w:ascii="Arial Narrow" w:hAnsi="Arial Narrow" w:cs="Arial Narrow"/>
                <w:b/>
                <w:bCs/>
                <w:color w:val="auto"/>
                <w:sz w:val="14"/>
                <w:szCs w:val="14"/>
                <w:lang w:val="en-ZA"/>
              </w:rPr>
              <w:t>9 860.5</w:t>
            </w:r>
          </w:p>
        </w:tc>
        <w:tc>
          <w:tcPr>
            <w:tcW w:w="520" w:type="pct"/>
            <w:tcBorders>
              <w:top w:val="single" w:sz="6" w:space="0" w:color="auto"/>
              <w:left w:val="nil"/>
              <w:bottom w:val="single" w:sz="12" w:space="0" w:color="993300"/>
              <w:right w:val="nil"/>
            </w:tcBorders>
            <w:shd w:val="solid" w:color="FFFFFF" w:fill="auto"/>
          </w:tcPr>
          <w:p w14:paraId="5F32D5C4" w14:textId="77777777" w:rsidR="00391181" w:rsidRPr="00055E35" w:rsidRDefault="00391181" w:rsidP="00DA6AD9">
            <w:pPr>
              <w:autoSpaceDE w:val="0"/>
              <w:autoSpaceDN w:val="0"/>
              <w:adjustRightInd w:val="0"/>
              <w:spacing w:line="360" w:lineRule="auto"/>
              <w:ind w:left="-992"/>
              <w:contextualSpacing/>
              <w:jc w:val="right"/>
              <w:rPr>
                <w:rFonts w:ascii="Arial Narrow" w:hAnsi="Arial Narrow" w:cs="Arial Narrow"/>
                <w:b/>
                <w:bCs/>
                <w:color w:val="auto"/>
                <w:sz w:val="14"/>
                <w:szCs w:val="14"/>
                <w:lang w:val="en-ZA"/>
              </w:rPr>
            </w:pPr>
            <w:r w:rsidRPr="00055E35">
              <w:rPr>
                <w:rFonts w:ascii="Arial Narrow" w:hAnsi="Arial Narrow" w:cs="Arial Narrow"/>
                <w:b/>
                <w:bCs/>
                <w:color w:val="auto"/>
                <w:sz w:val="14"/>
                <w:szCs w:val="14"/>
                <w:lang w:val="en-ZA"/>
              </w:rPr>
              <w:t>5.3%</w:t>
            </w:r>
          </w:p>
        </w:tc>
      </w:tr>
    </w:tbl>
    <w:p w14:paraId="711931BD" w14:textId="77777777" w:rsidR="00391181" w:rsidRPr="00055E35" w:rsidRDefault="00391181" w:rsidP="00DA6AD9">
      <w:pPr>
        <w:spacing w:after="160" w:line="360" w:lineRule="auto"/>
        <w:contextualSpacing/>
        <w:jc w:val="both"/>
        <w:rPr>
          <w:rFonts w:cs="Arial"/>
          <w:i/>
          <w:color w:val="auto"/>
          <w:sz w:val="16"/>
          <w:szCs w:val="16"/>
        </w:rPr>
      </w:pPr>
      <w:r w:rsidRPr="00055E35">
        <w:rPr>
          <w:rFonts w:cs="Arial"/>
          <w:i/>
          <w:color w:val="auto"/>
          <w:sz w:val="16"/>
          <w:szCs w:val="16"/>
        </w:rPr>
        <w:t>Source: National Treasury 2018</w:t>
      </w:r>
    </w:p>
    <w:p w14:paraId="6E962448" w14:textId="77777777" w:rsidR="00391181" w:rsidRPr="00055E35" w:rsidRDefault="00391181" w:rsidP="00DA6AD9">
      <w:pPr>
        <w:spacing w:after="160" w:line="360" w:lineRule="auto"/>
        <w:contextualSpacing/>
        <w:jc w:val="both"/>
        <w:rPr>
          <w:rFonts w:ascii="Times New Roman" w:hAnsi="Times New Roman"/>
          <w:color w:val="auto"/>
          <w:sz w:val="24"/>
          <w:szCs w:val="24"/>
        </w:rPr>
      </w:pPr>
    </w:p>
    <w:p w14:paraId="10FACB7B" w14:textId="503F8512" w:rsidR="005B1436" w:rsidRDefault="005B1436" w:rsidP="00DA6AD9">
      <w:pPr>
        <w:spacing w:after="160" w:line="360" w:lineRule="auto"/>
        <w:contextualSpacing/>
        <w:jc w:val="both"/>
        <w:rPr>
          <w:rFonts w:ascii="Times New Roman" w:hAnsi="Times New Roman"/>
          <w:color w:val="auto"/>
          <w:sz w:val="24"/>
          <w:szCs w:val="24"/>
        </w:rPr>
      </w:pPr>
      <w:r w:rsidRPr="00055E35">
        <w:rPr>
          <w:rFonts w:ascii="Times New Roman" w:hAnsi="Times New Roman"/>
          <w:color w:val="auto"/>
          <w:sz w:val="24"/>
          <w:szCs w:val="24"/>
        </w:rPr>
        <w:t>Spending in terms of economic classification indicates t</w:t>
      </w:r>
      <w:r w:rsidR="001E72E8" w:rsidRPr="00055E35">
        <w:rPr>
          <w:rFonts w:ascii="Times New Roman" w:hAnsi="Times New Roman"/>
          <w:color w:val="auto"/>
          <w:sz w:val="24"/>
          <w:szCs w:val="24"/>
        </w:rPr>
        <w:t xml:space="preserve">hat departments have spent </w:t>
      </w:r>
      <w:r w:rsidR="00CB581D" w:rsidRPr="00055E35">
        <w:rPr>
          <w:rFonts w:ascii="Times New Roman" w:hAnsi="Times New Roman"/>
          <w:color w:val="auto"/>
          <w:sz w:val="24"/>
          <w:szCs w:val="24"/>
        </w:rPr>
        <w:br/>
      </w:r>
      <w:r w:rsidR="001E72E8" w:rsidRPr="00055E35">
        <w:rPr>
          <w:rFonts w:ascii="Times New Roman" w:hAnsi="Times New Roman"/>
          <w:color w:val="auto"/>
          <w:sz w:val="24"/>
          <w:szCs w:val="24"/>
        </w:rPr>
        <w:t xml:space="preserve">R1.6 </w:t>
      </w:r>
      <w:r w:rsidRPr="00055E35">
        <w:rPr>
          <w:rFonts w:ascii="Times New Roman" w:hAnsi="Times New Roman"/>
          <w:color w:val="auto"/>
          <w:sz w:val="24"/>
          <w:szCs w:val="24"/>
        </w:rPr>
        <w:t xml:space="preserve">billion or </w:t>
      </w:r>
      <w:r w:rsidR="001E72E8" w:rsidRPr="00055E35">
        <w:rPr>
          <w:rFonts w:ascii="Times New Roman" w:hAnsi="Times New Roman"/>
          <w:color w:val="auto"/>
          <w:sz w:val="24"/>
          <w:szCs w:val="24"/>
        </w:rPr>
        <w:t>4.1</w:t>
      </w:r>
      <w:r w:rsidRPr="00055E35">
        <w:rPr>
          <w:rFonts w:ascii="Times New Roman" w:hAnsi="Times New Roman"/>
          <w:color w:val="auto"/>
          <w:sz w:val="24"/>
          <w:szCs w:val="24"/>
        </w:rPr>
        <w:t xml:space="preserve"> per cent less than the </w:t>
      </w:r>
      <w:r w:rsidR="00CB581D" w:rsidRPr="00055E35">
        <w:rPr>
          <w:rFonts w:ascii="Times New Roman" w:hAnsi="Times New Roman"/>
          <w:color w:val="auto"/>
          <w:sz w:val="24"/>
          <w:szCs w:val="24"/>
        </w:rPr>
        <w:t>projected expenditure</w:t>
      </w:r>
      <w:r w:rsidRPr="00055E35">
        <w:rPr>
          <w:rFonts w:ascii="Times New Roman" w:hAnsi="Times New Roman"/>
          <w:color w:val="auto"/>
          <w:sz w:val="24"/>
          <w:szCs w:val="24"/>
        </w:rPr>
        <w:t xml:space="preserve"> on</w:t>
      </w:r>
      <w:r w:rsidR="001E72E8" w:rsidRPr="00055E35">
        <w:rPr>
          <w:rFonts w:ascii="Times New Roman" w:hAnsi="Times New Roman"/>
          <w:color w:val="auto"/>
          <w:sz w:val="24"/>
          <w:szCs w:val="24"/>
        </w:rPr>
        <w:t xml:space="preserve"> compensation of employees; R2.7</w:t>
      </w:r>
      <w:r w:rsidRPr="00055E35">
        <w:rPr>
          <w:rFonts w:ascii="Times New Roman" w:hAnsi="Times New Roman"/>
          <w:color w:val="auto"/>
          <w:sz w:val="24"/>
          <w:szCs w:val="24"/>
        </w:rPr>
        <w:t xml:space="preserve"> billion or </w:t>
      </w:r>
      <w:r w:rsidR="001E72E8" w:rsidRPr="00055E35">
        <w:rPr>
          <w:rFonts w:ascii="Times New Roman" w:hAnsi="Times New Roman"/>
          <w:color w:val="auto"/>
          <w:sz w:val="24"/>
          <w:szCs w:val="24"/>
        </w:rPr>
        <w:t>18.8</w:t>
      </w:r>
      <w:r w:rsidRPr="00055E35">
        <w:rPr>
          <w:rFonts w:ascii="Times New Roman" w:hAnsi="Times New Roman"/>
          <w:color w:val="auto"/>
          <w:sz w:val="24"/>
          <w:szCs w:val="24"/>
        </w:rPr>
        <w:t xml:space="preserve"> per cent less than </w:t>
      </w:r>
      <w:r w:rsidR="00CB581D" w:rsidRPr="00055E35">
        <w:rPr>
          <w:rFonts w:ascii="Times New Roman" w:hAnsi="Times New Roman"/>
          <w:color w:val="auto"/>
          <w:sz w:val="24"/>
          <w:szCs w:val="24"/>
        </w:rPr>
        <w:t xml:space="preserve">the projected expenditure </w:t>
      </w:r>
      <w:r w:rsidRPr="00055E35">
        <w:rPr>
          <w:rFonts w:ascii="Times New Roman" w:hAnsi="Times New Roman"/>
          <w:color w:val="auto"/>
          <w:sz w:val="24"/>
          <w:szCs w:val="24"/>
        </w:rPr>
        <w:t>on goods and services</w:t>
      </w:r>
      <w:r w:rsidR="001E72E8" w:rsidRPr="00055E35">
        <w:rPr>
          <w:rFonts w:ascii="Times New Roman" w:hAnsi="Times New Roman"/>
          <w:color w:val="auto"/>
          <w:sz w:val="24"/>
          <w:szCs w:val="24"/>
        </w:rPr>
        <w:t xml:space="preserve"> and R3.8 billion or 2.9 per cent less than </w:t>
      </w:r>
      <w:r w:rsidR="00CB581D" w:rsidRPr="00055E35">
        <w:rPr>
          <w:rFonts w:ascii="Times New Roman" w:hAnsi="Times New Roman"/>
          <w:color w:val="auto"/>
          <w:sz w:val="24"/>
          <w:szCs w:val="24"/>
        </w:rPr>
        <w:t xml:space="preserve">the projected expenditure </w:t>
      </w:r>
      <w:r w:rsidR="001E72E8" w:rsidRPr="00055E35">
        <w:rPr>
          <w:rFonts w:ascii="Times New Roman" w:hAnsi="Times New Roman"/>
          <w:color w:val="auto"/>
          <w:sz w:val="24"/>
          <w:szCs w:val="24"/>
        </w:rPr>
        <w:t>on transfers and subsidies</w:t>
      </w:r>
      <w:r w:rsidRPr="00055E35">
        <w:rPr>
          <w:rFonts w:ascii="Times New Roman" w:hAnsi="Times New Roman"/>
          <w:color w:val="auto"/>
          <w:sz w:val="24"/>
          <w:szCs w:val="24"/>
        </w:rPr>
        <w:t xml:space="preserve">. Payments for </w:t>
      </w:r>
      <w:r w:rsidR="001E72E8" w:rsidRPr="00055E35">
        <w:rPr>
          <w:rFonts w:ascii="Times New Roman" w:hAnsi="Times New Roman"/>
          <w:color w:val="auto"/>
          <w:sz w:val="24"/>
          <w:szCs w:val="24"/>
        </w:rPr>
        <w:t>capital</w:t>
      </w:r>
      <w:r w:rsidRPr="00055E35">
        <w:rPr>
          <w:rFonts w:ascii="Times New Roman" w:hAnsi="Times New Roman"/>
          <w:color w:val="auto"/>
          <w:sz w:val="24"/>
          <w:szCs w:val="24"/>
        </w:rPr>
        <w:t xml:space="preserve"> assets resulted in an </w:t>
      </w:r>
      <w:r w:rsidR="001E72E8" w:rsidRPr="00055E35">
        <w:rPr>
          <w:rFonts w:ascii="Times New Roman" w:hAnsi="Times New Roman"/>
          <w:color w:val="auto"/>
          <w:sz w:val="24"/>
          <w:szCs w:val="24"/>
        </w:rPr>
        <w:t>unders</w:t>
      </w:r>
      <w:r w:rsidR="00785A44" w:rsidRPr="00055E35">
        <w:rPr>
          <w:rFonts w:ascii="Times New Roman" w:hAnsi="Times New Roman"/>
          <w:color w:val="auto"/>
          <w:sz w:val="24"/>
          <w:szCs w:val="24"/>
        </w:rPr>
        <w:t>pending of R1.7</w:t>
      </w:r>
      <w:r w:rsidR="001E72E8" w:rsidRPr="00055E35">
        <w:rPr>
          <w:rFonts w:ascii="Times New Roman" w:hAnsi="Times New Roman"/>
          <w:color w:val="auto"/>
          <w:sz w:val="24"/>
          <w:szCs w:val="24"/>
        </w:rPr>
        <w:t xml:space="preserve"> billion or 46.3</w:t>
      </w:r>
      <w:r w:rsidRPr="00055E35">
        <w:rPr>
          <w:rFonts w:ascii="Times New Roman" w:hAnsi="Times New Roman"/>
          <w:color w:val="auto"/>
          <w:sz w:val="24"/>
          <w:szCs w:val="24"/>
        </w:rPr>
        <w:t xml:space="preserve"> per cent. </w:t>
      </w:r>
    </w:p>
    <w:p w14:paraId="2FE0DF2D" w14:textId="77777777" w:rsidR="000C76F6" w:rsidRPr="00055E35" w:rsidRDefault="000C76F6" w:rsidP="00DA6AD9">
      <w:pPr>
        <w:spacing w:after="160" w:line="360" w:lineRule="auto"/>
        <w:contextualSpacing/>
        <w:jc w:val="both"/>
        <w:rPr>
          <w:rFonts w:ascii="Times New Roman" w:hAnsi="Times New Roman"/>
          <w:color w:val="auto"/>
          <w:sz w:val="24"/>
          <w:szCs w:val="24"/>
        </w:rPr>
      </w:pPr>
    </w:p>
    <w:p w14:paraId="005CE1C3" w14:textId="7EEA2D82" w:rsidR="005B1436" w:rsidRPr="00055E35" w:rsidRDefault="005B1436" w:rsidP="00DA6AD9">
      <w:pPr>
        <w:spacing w:after="160" w:line="360" w:lineRule="auto"/>
        <w:contextualSpacing/>
        <w:jc w:val="both"/>
        <w:rPr>
          <w:rFonts w:ascii="Times New Roman" w:hAnsi="Times New Roman"/>
          <w:color w:val="auto"/>
          <w:sz w:val="24"/>
          <w:szCs w:val="24"/>
        </w:rPr>
      </w:pPr>
      <w:r w:rsidRPr="00055E35">
        <w:rPr>
          <w:rFonts w:ascii="Times New Roman" w:hAnsi="Times New Roman"/>
          <w:color w:val="auto"/>
          <w:sz w:val="24"/>
          <w:szCs w:val="24"/>
        </w:rPr>
        <w:t>The following are Departments that underspent and recorded the largest variance</w:t>
      </w:r>
      <w:r w:rsidR="00761FE5">
        <w:rPr>
          <w:rFonts w:ascii="Times New Roman" w:hAnsi="Times New Roman"/>
          <w:color w:val="auto"/>
          <w:sz w:val="24"/>
          <w:szCs w:val="24"/>
        </w:rPr>
        <w:t>s</w:t>
      </w:r>
      <w:r w:rsidRPr="00055E35">
        <w:rPr>
          <w:rFonts w:ascii="Times New Roman" w:hAnsi="Times New Roman"/>
          <w:color w:val="auto"/>
          <w:sz w:val="24"/>
          <w:szCs w:val="24"/>
        </w:rPr>
        <w:t xml:space="preserve"> </w:t>
      </w:r>
      <w:r w:rsidR="00BE182F">
        <w:rPr>
          <w:rFonts w:ascii="Times New Roman" w:hAnsi="Times New Roman"/>
          <w:color w:val="auto"/>
          <w:sz w:val="24"/>
          <w:szCs w:val="24"/>
        </w:rPr>
        <w:t>(</w:t>
      </w:r>
      <w:r w:rsidRPr="00055E35">
        <w:rPr>
          <w:rFonts w:ascii="Times New Roman" w:hAnsi="Times New Roman"/>
          <w:color w:val="auto"/>
          <w:sz w:val="24"/>
          <w:szCs w:val="24"/>
        </w:rPr>
        <w:t>in rand value</w:t>
      </w:r>
      <w:r w:rsidR="00BE182F">
        <w:rPr>
          <w:rFonts w:ascii="Times New Roman" w:hAnsi="Times New Roman"/>
          <w:color w:val="auto"/>
          <w:sz w:val="24"/>
          <w:szCs w:val="24"/>
        </w:rPr>
        <w:t>)</w:t>
      </w:r>
      <w:r w:rsidRPr="00055E35">
        <w:rPr>
          <w:rFonts w:ascii="Times New Roman" w:hAnsi="Times New Roman"/>
          <w:color w:val="auto"/>
          <w:sz w:val="24"/>
          <w:szCs w:val="24"/>
        </w:rPr>
        <w:t xml:space="preserve"> </w:t>
      </w:r>
      <w:r w:rsidR="00BE182F">
        <w:rPr>
          <w:rFonts w:ascii="Times New Roman" w:hAnsi="Times New Roman"/>
          <w:color w:val="auto"/>
          <w:sz w:val="24"/>
          <w:szCs w:val="24"/>
        </w:rPr>
        <w:t xml:space="preserve">between </w:t>
      </w:r>
      <w:r w:rsidRPr="00055E35">
        <w:rPr>
          <w:rFonts w:ascii="Times New Roman" w:hAnsi="Times New Roman"/>
          <w:color w:val="auto"/>
          <w:sz w:val="24"/>
          <w:szCs w:val="24"/>
        </w:rPr>
        <w:t>projected expend</w:t>
      </w:r>
      <w:r w:rsidR="002805A7" w:rsidRPr="00055E35">
        <w:rPr>
          <w:rFonts w:ascii="Times New Roman" w:hAnsi="Times New Roman"/>
          <w:color w:val="auto"/>
          <w:sz w:val="24"/>
          <w:szCs w:val="24"/>
        </w:rPr>
        <w:t xml:space="preserve">iture </w:t>
      </w:r>
      <w:r w:rsidR="00DD63D4">
        <w:rPr>
          <w:rFonts w:ascii="Times New Roman" w:hAnsi="Times New Roman"/>
          <w:color w:val="auto"/>
          <w:sz w:val="24"/>
          <w:szCs w:val="24"/>
        </w:rPr>
        <w:t>and actual</w:t>
      </w:r>
      <w:r w:rsidR="002805A7" w:rsidRPr="00055E35">
        <w:rPr>
          <w:rFonts w:ascii="Times New Roman" w:hAnsi="Times New Roman"/>
          <w:color w:val="auto"/>
          <w:sz w:val="24"/>
          <w:szCs w:val="24"/>
        </w:rPr>
        <w:t xml:space="preserve"> expenditure:</w:t>
      </w:r>
    </w:p>
    <w:p w14:paraId="064DB289" w14:textId="4F723C58" w:rsidR="005F40D7" w:rsidRPr="00055E35" w:rsidRDefault="002805A7" w:rsidP="00DA6AD9">
      <w:pPr>
        <w:pStyle w:val="ListParagraph"/>
        <w:numPr>
          <w:ilvl w:val="0"/>
          <w:numId w:val="4"/>
        </w:numPr>
        <w:spacing w:after="160" w:line="360" w:lineRule="auto"/>
        <w:jc w:val="both"/>
        <w:rPr>
          <w:rFonts w:ascii="Times New Roman" w:hAnsi="Times New Roman"/>
          <w:color w:val="auto"/>
          <w:sz w:val="24"/>
          <w:szCs w:val="24"/>
        </w:rPr>
      </w:pPr>
      <w:r w:rsidRPr="00055E35">
        <w:rPr>
          <w:rFonts w:ascii="Times New Roman" w:hAnsi="Times New Roman"/>
          <w:color w:val="auto"/>
          <w:sz w:val="24"/>
          <w:szCs w:val="24"/>
        </w:rPr>
        <w:t>Higher Education and Training</w:t>
      </w:r>
      <w:r w:rsidR="005F40D7" w:rsidRPr="00055E35">
        <w:rPr>
          <w:rFonts w:ascii="Times New Roman" w:hAnsi="Times New Roman"/>
          <w:color w:val="auto"/>
          <w:sz w:val="24"/>
          <w:szCs w:val="24"/>
        </w:rPr>
        <w:t xml:space="preserve"> with underspending of R2.0 billion</w:t>
      </w:r>
      <w:r w:rsidR="00122623">
        <w:rPr>
          <w:rFonts w:ascii="Times New Roman" w:hAnsi="Times New Roman"/>
          <w:color w:val="auto"/>
          <w:sz w:val="24"/>
          <w:szCs w:val="24"/>
        </w:rPr>
        <w:t xml:space="preserve"> or 5.9 per cent</w:t>
      </w:r>
      <w:r w:rsidR="005F40D7" w:rsidRPr="00055E35">
        <w:rPr>
          <w:rFonts w:ascii="Times New Roman" w:hAnsi="Times New Roman"/>
          <w:color w:val="auto"/>
          <w:sz w:val="24"/>
          <w:szCs w:val="24"/>
        </w:rPr>
        <w:t>;</w:t>
      </w:r>
    </w:p>
    <w:p w14:paraId="6DC6EA31" w14:textId="49AFB447" w:rsidR="005F40D7" w:rsidRPr="00055E35" w:rsidRDefault="005F40D7" w:rsidP="00DA6AD9">
      <w:pPr>
        <w:pStyle w:val="ListParagraph"/>
        <w:numPr>
          <w:ilvl w:val="0"/>
          <w:numId w:val="4"/>
        </w:numPr>
        <w:spacing w:after="160" w:line="360" w:lineRule="auto"/>
        <w:jc w:val="both"/>
        <w:rPr>
          <w:rFonts w:ascii="Times New Roman" w:hAnsi="Times New Roman"/>
          <w:color w:val="auto"/>
          <w:sz w:val="24"/>
          <w:szCs w:val="24"/>
        </w:rPr>
      </w:pPr>
      <w:r w:rsidRPr="00055E35">
        <w:rPr>
          <w:rFonts w:ascii="Times New Roman" w:hAnsi="Times New Roman"/>
          <w:color w:val="auto"/>
          <w:sz w:val="24"/>
          <w:szCs w:val="24"/>
        </w:rPr>
        <w:t>Police with underspending of R1.8 billion</w:t>
      </w:r>
      <w:r w:rsidR="00902D0F">
        <w:rPr>
          <w:rFonts w:ascii="Times New Roman" w:hAnsi="Times New Roman"/>
          <w:color w:val="auto"/>
          <w:sz w:val="24"/>
          <w:szCs w:val="24"/>
        </w:rPr>
        <w:t xml:space="preserve"> or 7.9 per cent</w:t>
      </w:r>
      <w:r w:rsidRPr="00055E35">
        <w:rPr>
          <w:rFonts w:ascii="Times New Roman" w:hAnsi="Times New Roman"/>
          <w:color w:val="auto"/>
          <w:sz w:val="24"/>
          <w:szCs w:val="24"/>
        </w:rPr>
        <w:t xml:space="preserve">; </w:t>
      </w:r>
    </w:p>
    <w:p w14:paraId="03133966" w14:textId="55B02D92" w:rsidR="005F40D7" w:rsidRPr="00055E35" w:rsidRDefault="005F40D7" w:rsidP="00DA6AD9">
      <w:pPr>
        <w:pStyle w:val="ListParagraph"/>
        <w:numPr>
          <w:ilvl w:val="0"/>
          <w:numId w:val="4"/>
        </w:numPr>
        <w:spacing w:after="160" w:line="360" w:lineRule="auto"/>
        <w:jc w:val="both"/>
        <w:rPr>
          <w:rFonts w:ascii="Times New Roman" w:hAnsi="Times New Roman"/>
          <w:color w:val="auto"/>
          <w:sz w:val="24"/>
          <w:szCs w:val="24"/>
        </w:rPr>
      </w:pPr>
      <w:r w:rsidRPr="00055E35">
        <w:rPr>
          <w:rFonts w:ascii="Times New Roman" w:hAnsi="Times New Roman"/>
          <w:color w:val="auto"/>
          <w:sz w:val="24"/>
          <w:szCs w:val="24"/>
        </w:rPr>
        <w:t>Water and Sanitation with underspending of R1.1 billion</w:t>
      </w:r>
      <w:r w:rsidR="00902D0F">
        <w:rPr>
          <w:rFonts w:ascii="Times New Roman" w:hAnsi="Times New Roman"/>
          <w:color w:val="auto"/>
          <w:sz w:val="24"/>
          <w:szCs w:val="24"/>
        </w:rPr>
        <w:t xml:space="preserve"> or 32.1 per cent</w:t>
      </w:r>
      <w:r w:rsidRPr="00055E35">
        <w:rPr>
          <w:rFonts w:ascii="Times New Roman" w:hAnsi="Times New Roman"/>
          <w:color w:val="auto"/>
          <w:sz w:val="24"/>
          <w:szCs w:val="24"/>
        </w:rPr>
        <w:t xml:space="preserve">; </w:t>
      </w:r>
    </w:p>
    <w:p w14:paraId="138DB86D" w14:textId="15A7D6DC" w:rsidR="005F40D7" w:rsidRPr="00055E35" w:rsidRDefault="005F40D7" w:rsidP="00DA6AD9">
      <w:pPr>
        <w:pStyle w:val="ListParagraph"/>
        <w:numPr>
          <w:ilvl w:val="0"/>
          <w:numId w:val="4"/>
        </w:numPr>
        <w:spacing w:after="160" w:line="360" w:lineRule="auto"/>
        <w:jc w:val="both"/>
        <w:rPr>
          <w:rFonts w:ascii="Times New Roman" w:hAnsi="Times New Roman"/>
          <w:color w:val="auto"/>
          <w:sz w:val="24"/>
          <w:szCs w:val="24"/>
        </w:rPr>
      </w:pPr>
      <w:r w:rsidRPr="00055E35">
        <w:rPr>
          <w:rFonts w:ascii="Times New Roman" w:hAnsi="Times New Roman"/>
          <w:color w:val="auto"/>
          <w:sz w:val="24"/>
          <w:szCs w:val="24"/>
        </w:rPr>
        <w:t>Correctional Services with underspending of R977.3 million</w:t>
      </w:r>
      <w:r w:rsidR="00902D0F">
        <w:rPr>
          <w:rFonts w:ascii="Times New Roman" w:hAnsi="Times New Roman"/>
          <w:color w:val="auto"/>
          <w:sz w:val="24"/>
          <w:szCs w:val="24"/>
        </w:rPr>
        <w:t xml:space="preserve"> or 16.7 per cent</w:t>
      </w:r>
      <w:r w:rsidRPr="00055E35">
        <w:rPr>
          <w:rFonts w:ascii="Times New Roman" w:hAnsi="Times New Roman"/>
          <w:color w:val="auto"/>
          <w:sz w:val="24"/>
          <w:szCs w:val="24"/>
        </w:rPr>
        <w:t xml:space="preserve">; </w:t>
      </w:r>
      <w:r w:rsidR="00126828" w:rsidRPr="00055E35">
        <w:rPr>
          <w:rFonts w:ascii="Times New Roman" w:hAnsi="Times New Roman"/>
          <w:color w:val="auto"/>
          <w:sz w:val="24"/>
          <w:szCs w:val="24"/>
        </w:rPr>
        <w:t>and</w:t>
      </w:r>
    </w:p>
    <w:p w14:paraId="3EE8F42F" w14:textId="41AECC35" w:rsidR="005B1436" w:rsidRPr="00055E35" w:rsidRDefault="005F40D7" w:rsidP="00DA6AD9">
      <w:pPr>
        <w:pStyle w:val="ListParagraph"/>
        <w:numPr>
          <w:ilvl w:val="0"/>
          <w:numId w:val="4"/>
        </w:numPr>
        <w:spacing w:after="160" w:line="360" w:lineRule="auto"/>
        <w:jc w:val="both"/>
        <w:rPr>
          <w:rFonts w:ascii="Times New Roman" w:hAnsi="Times New Roman"/>
          <w:color w:val="auto"/>
          <w:sz w:val="24"/>
          <w:szCs w:val="24"/>
        </w:rPr>
      </w:pPr>
      <w:r w:rsidRPr="00055E35">
        <w:rPr>
          <w:rFonts w:ascii="Times New Roman" w:hAnsi="Times New Roman"/>
          <w:color w:val="auto"/>
          <w:sz w:val="24"/>
          <w:szCs w:val="24"/>
        </w:rPr>
        <w:t>Energy with underspending of R612.8 million</w:t>
      </w:r>
      <w:r w:rsidR="00902D0F">
        <w:rPr>
          <w:rFonts w:ascii="Times New Roman" w:hAnsi="Times New Roman"/>
          <w:color w:val="auto"/>
          <w:sz w:val="24"/>
          <w:szCs w:val="24"/>
        </w:rPr>
        <w:t xml:space="preserve"> or 40.8 per cent</w:t>
      </w:r>
      <w:r w:rsidR="00126828" w:rsidRPr="00055E35">
        <w:rPr>
          <w:rFonts w:ascii="Times New Roman" w:hAnsi="Times New Roman"/>
          <w:color w:val="auto"/>
          <w:sz w:val="24"/>
          <w:szCs w:val="24"/>
        </w:rPr>
        <w:t xml:space="preserve">. </w:t>
      </w:r>
    </w:p>
    <w:p w14:paraId="09EC7D9A" w14:textId="51F1EB2A" w:rsidR="00F4031C" w:rsidRPr="00055E35" w:rsidRDefault="004877B1" w:rsidP="00DA6AD9">
      <w:pPr>
        <w:spacing w:after="160" w:line="360" w:lineRule="auto"/>
        <w:contextualSpacing/>
        <w:jc w:val="both"/>
        <w:rPr>
          <w:rFonts w:ascii="Times New Roman" w:hAnsi="Times New Roman"/>
          <w:color w:val="auto"/>
          <w:sz w:val="24"/>
          <w:szCs w:val="24"/>
        </w:rPr>
      </w:pPr>
      <w:r w:rsidRPr="004877B1">
        <w:rPr>
          <w:rFonts w:ascii="Times New Roman" w:hAnsi="Times New Roman"/>
          <w:color w:val="auto"/>
          <w:sz w:val="24"/>
          <w:szCs w:val="24"/>
        </w:rPr>
        <w:t xml:space="preserve">Upon examination of the expenditure patterns by departments, </w:t>
      </w:r>
      <w:r w:rsidR="00AF4545">
        <w:rPr>
          <w:rFonts w:ascii="Times New Roman" w:hAnsi="Times New Roman"/>
          <w:color w:val="auto"/>
          <w:sz w:val="24"/>
          <w:szCs w:val="24"/>
        </w:rPr>
        <w:t>t</w:t>
      </w:r>
      <w:r w:rsidR="00F4031C" w:rsidRPr="00055E35">
        <w:rPr>
          <w:rFonts w:ascii="Times New Roman" w:hAnsi="Times New Roman"/>
          <w:color w:val="auto"/>
          <w:sz w:val="24"/>
          <w:szCs w:val="24"/>
        </w:rPr>
        <w:t xml:space="preserve">he following Departments have spent more than their projections for the first quarter of the 2018/19 financial year: </w:t>
      </w:r>
    </w:p>
    <w:p w14:paraId="509B3E35" w14:textId="11F9093B" w:rsidR="00F4031C" w:rsidRPr="00055E35" w:rsidRDefault="00126828" w:rsidP="00DA6AD9">
      <w:pPr>
        <w:pStyle w:val="ListParagraph"/>
        <w:numPr>
          <w:ilvl w:val="0"/>
          <w:numId w:val="5"/>
        </w:numPr>
        <w:spacing w:after="160" w:line="360" w:lineRule="auto"/>
        <w:jc w:val="both"/>
        <w:rPr>
          <w:rFonts w:ascii="Times New Roman" w:hAnsi="Times New Roman"/>
          <w:color w:val="auto"/>
          <w:sz w:val="24"/>
          <w:szCs w:val="24"/>
        </w:rPr>
      </w:pPr>
      <w:r w:rsidRPr="00055E35">
        <w:rPr>
          <w:rFonts w:ascii="Times New Roman" w:hAnsi="Times New Roman"/>
          <w:color w:val="auto"/>
          <w:sz w:val="24"/>
          <w:szCs w:val="24"/>
        </w:rPr>
        <w:t>Transport</w:t>
      </w:r>
      <w:r w:rsidR="00F4031C" w:rsidRPr="00055E35">
        <w:rPr>
          <w:rFonts w:ascii="Times New Roman" w:hAnsi="Times New Roman"/>
          <w:color w:val="auto"/>
          <w:sz w:val="24"/>
          <w:szCs w:val="24"/>
        </w:rPr>
        <w:t xml:space="preserve"> – R705.8 million</w:t>
      </w:r>
      <w:r w:rsidR="00902D0F">
        <w:rPr>
          <w:rFonts w:ascii="Times New Roman" w:hAnsi="Times New Roman"/>
          <w:color w:val="auto"/>
          <w:sz w:val="24"/>
          <w:szCs w:val="24"/>
        </w:rPr>
        <w:t xml:space="preserve"> or 7.7 per cent</w:t>
      </w:r>
      <w:r w:rsidR="00F4031C" w:rsidRPr="00055E35">
        <w:rPr>
          <w:rFonts w:ascii="Times New Roman" w:hAnsi="Times New Roman"/>
          <w:color w:val="auto"/>
          <w:sz w:val="24"/>
          <w:szCs w:val="24"/>
        </w:rPr>
        <w:t>;</w:t>
      </w:r>
      <w:r w:rsidRPr="00055E35">
        <w:rPr>
          <w:rFonts w:ascii="Times New Roman" w:hAnsi="Times New Roman"/>
          <w:color w:val="auto"/>
          <w:sz w:val="24"/>
          <w:szCs w:val="24"/>
        </w:rPr>
        <w:t xml:space="preserve"> </w:t>
      </w:r>
    </w:p>
    <w:p w14:paraId="6EAE591C" w14:textId="66D3AF4C" w:rsidR="00F4031C" w:rsidRPr="00055E35" w:rsidRDefault="00126828" w:rsidP="00DA6AD9">
      <w:pPr>
        <w:pStyle w:val="ListParagraph"/>
        <w:numPr>
          <w:ilvl w:val="0"/>
          <w:numId w:val="5"/>
        </w:numPr>
        <w:spacing w:after="160" w:line="360" w:lineRule="auto"/>
        <w:jc w:val="both"/>
        <w:rPr>
          <w:rFonts w:ascii="Times New Roman" w:hAnsi="Times New Roman"/>
          <w:color w:val="auto"/>
          <w:sz w:val="24"/>
          <w:szCs w:val="24"/>
        </w:rPr>
      </w:pPr>
      <w:r w:rsidRPr="00055E35">
        <w:rPr>
          <w:rFonts w:ascii="Times New Roman" w:hAnsi="Times New Roman"/>
          <w:color w:val="auto"/>
          <w:sz w:val="24"/>
          <w:szCs w:val="24"/>
        </w:rPr>
        <w:lastRenderedPageBreak/>
        <w:t>Science and Technology</w:t>
      </w:r>
      <w:r w:rsidR="00F4031C" w:rsidRPr="00055E35">
        <w:rPr>
          <w:rFonts w:ascii="Times New Roman" w:hAnsi="Times New Roman"/>
          <w:color w:val="auto"/>
          <w:sz w:val="24"/>
          <w:szCs w:val="24"/>
        </w:rPr>
        <w:t xml:space="preserve"> – R341.1 million</w:t>
      </w:r>
      <w:r w:rsidR="00902D0F">
        <w:rPr>
          <w:rFonts w:ascii="Times New Roman" w:hAnsi="Times New Roman"/>
          <w:color w:val="auto"/>
          <w:sz w:val="24"/>
          <w:szCs w:val="24"/>
        </w:rPr>
        <w:t xml:space="preserve"> or 19.2 per cent</w:t>
      </w:r>
      <w:r w:rsidR="00F4031C" w:rsidRPr="00055E35">
        <w:rPr>
          <w:rFonts w:ascii="Times New Roman" w:hAnsi="Times New Roman"/>
          <w:color w:val="auto"/>
          <w:sz w:val="24"/>
          <w:szCs w:val="24"/>
        </w:rPr>
        <w:t>;</w:t>
      </w:r>
    </w:p>
    <w:p w14:paraId="319D698E" w14:textId="457AEA2C" w:rsidR="00F4031C" w:rsidRPr="00055E35" w:rsidRDefault="00126828" w:rsidP="00DA6AD9">
      <w:pPr>
        <w:pStyle w:val="ListParagraph"/>
        <w:numPr>
          <w:ilvl w:val="0"/>
          <w:numId w:val="5"/>
        </w:numPr>
        <w:spacing w:after="160" w:line="360" w:lineRule="auto"/>
        <w:jc w:val="both"/>
        <w:rPr>
          <w:rFonts w:ascii="Times New Roman" w:hAnsi="Times New Roman"/>
          <w:color w:val="auto"/>
          <w:sz w:val="24"/>
          <w:szCs w:val="24"/>
        </w:rPr>
      </w:pPr>
      <w:r w:rsidRPr="00055E35">
        <w:rPr>
          <w:rFonts w:ascii="Times New Roman" w:hAnsi="Times New Roman"/>
          <w:color w:val="auto"/>
          <w:sz w:val="24"/>
          <w:szCs w:val="24"/>
        </w:rPr>
        <w:t>Defence and Military Veterans</w:t>
      </w:r>
      <w:r w:rsidR="00F4031C" w:rsidRPr="00055E35">
        <w:rPr>
          <w:rFonts w:ascii="Times New Roman" w:hAnsi="Times New Roman"/>
          <w:color w:val="auto"/>
          <w:sz w:val="24"/>
          <w:szCs w:val="24"/>
        </w:rPr>
        <w:t xml:space="preserve"> – R185.3 million</w:t>
      </w:r>
      <w:r w:rsidR="00902D0F">
        <w:rPr>
          <w:rFonts w:ascii="Times New Roman" w:hAnsi="Times New Roman"/>
          <w:color w:val="auto"/>
          <w:sz w:val="24"/>
          <w:szCs w:val="24"/>
        </w:rPr>
        <w:t xml:space="preserve"> or 1.8 per cent</w:t>
      </w:r>
      <w:r w:rsidR="00F4031C" w:rsidRPr="00055E35">
        <w:rPr>
          <w:rFonts w:ascii="Times New Roman" w:hAnsi="Times New Roman"/>
          <w:color w:val="auto"/>
          <w:sz w:val="24"/>
          <w:szCs w:val="24"/>
        </w:rPr>
        <w:t>;</w:t>
      </w:r>
      <w:r w:rsidR="005D1FA4" w:rsidRPr="00055E35">
        <w:rPr>
          <w:rFonts w:ascii="Times New Roman" w:hAnsi="Times New Roman"/>
          <w:color w:val="auto"/>
          <w:sz w:val="24"/>
          <w:szCs w:val="24"/>
        </w:rPr>
        <w:t xml:space="preserve"> </w:t>
      </w:r>
      <w:r w:rsidRPr="00055E35">
        <w:rPr>
          <w:rFonts w:ascii="Times New Roman" w:hAnsi="Times New Roman"/>
          <w:color w:val="auto"/>
          <w:sz w:val="24"/>
          <w:szCs w:val="24"/>
        </w:rPr>
        <w:t xml:space="preserve">and </w:t>
      </w:r>
    </w:p>
    <w:p w14:paraId="7EE73317" w14:textId="028E250A" w:rsidR="00126828" w:rsidRPr="00055E35" w:rsidRDefault="00126828" w:rsidP="00DA6AD9">
      <w:pPr>
        <w:pStyle w:val="ListParagraph"/>
        <w:numPr>
          <w:ilvl w:val="0"/>
          <w:numId w:val="5"/>
        </w:numPr>
        <w:spacing w:after="160" w:line="360" w:lineRule="auto"/>
        <w:jc w:val="both"/>
        <w:rPr>
          <w:rFonts w:ascii="Times New Roman" w:hAnsi="Times New Roman"/>
          <w:color w:val="auto"/>
          <w:sz w:val="24"/>
          <w:szCs w:val="24"/>
        </w:rPr>
      </w:pPr>
      <w:r w:rsidRPr="00055E35">
        <w:rPr>
          <w:rFonts w:ascii="Times New Roman" w:hAnsi="Times New Roman"/>
          <w:color w:val="auto"/>
          <w:sz w:val="24"/>
          <w:szCs w:val="24"/>
        </w:rPr>
        <w:t>Home Affairs</w:t>
      </w:r>
      <w:r w:rsidR="00F4031C" w:rsidRPr="00055E35">
        <w:rPr>
          <w:rFonts w:ascii="Times New Roman" w:hAnsi="Times New Roman"/>
          <w:color w:val="auto"/>
          <w:sz w:val="24"/>
          <w:szCs w:val="24"/>
        </w:rPr>
        <w:t xml:space="preserve"> – R143.7 million</w:t>
      </w:r>
      <w:r w:rsidR="0023003C">
        <w:rPr>
          <w:rFonts w:ascii="Times New Roman" w:hAnsi="Times New Roman"/>
          <w:color w:val="auto"/>
          <w:sz w:val="24"/>
          <w:szCs w:val="24"/>
        </w:rPr>
        <w:t xml:space="preserve"> or 7.2 per cent</w:t>
      </w:r>
      <w:r w:rsidR="00F4031C" w:rsidRPr="00055E35">
        <w:rPr>
          <w:rFonts w:ascii="Times New Roman" w:hAnsi="Times New Roman"/>
          <w:color w:val="auto"/>
          <w:sz w:val="24"/>
          <w:szCs w:val="24"/>
        </w:rPr>
        <w:t xml:space="preserve">. </w:t>
      </w:r>
    </w:p>
    <w:p w14:paraId="70B73248" w14:textId="72CBA49F" w:rsidR="004E24B0" w:rsidRPr="00055E35" w:rsidRDefault="004E24B0" w:rsidP="00DA6AD9">
      <w:pPr>
        <w:spacing w:line="360" w:lineRule="auto"/>
        <w:contextualSpacing/>
        <w:jc w:val="both"/>
        <w:rPr>
          <w:rFonts w:ascii="Times New Roman" w:hAnsi="Times New Roman"/>
          <w:b/>
          <w:color w:val="auto"/>
          <w:sz w:val="24"/>
          <w:szCs w:val="24"/>
        </w:rPr>
      </w:pPr>
    </w:p>
    <w:p w14:paraId="34619890" w14:textId="77777777" w:rsidR="001D69FE" w:rsidRPr="00055E35" w:rsidRDefault="001D69FE" w:rsidP="00DA6AD9">
      <w:pPr>
        <w:numPr>
          <w:ilvl w:val="0"/>
          <w:numId w:val="1"/>
        </w:numPr>
        <w:tabs>
          <w:tab w:val="clear" w:pos="720"/>
          <w:tab w:val="num" w:pos="540"/>
        </w:tabs>
        <w:spacing w:line="360" w:lineRule="auto"/>
        <w:ind w:hanging="720"/>
        <w:contextualSpacing/>
        <w:jc w:val="both"/>
        <w:rPr>
          <w:rFonts w:ascii="Times New Roman" w:hAnsi="Times New Roman"/>
          <w:b/>
          <w:color w:val="auto"/>
          <w:sz w:val="24"/>
          <w:szCs w:val="24"/>
        </w:rPr>
      </w:pPr>
      <w:r w:rsidRPr="00055E35">
        <w:rPr>
          <w:rFonts w:ascii="Times New Roman" w:hAnsi="Times New Roman"/>
          <w:b/>
          <w:color w:val="auto"/>
          <w:sz w:val="24"/>
          <w:szCs w:val="24"/>
        </w:rPr>
        <w:t>Deviations and Expansions</w:t>
      </w:r>
    </w:p>
    <w:p w14:paraId="1F26A794" w14:textId="77777777" w:rsidR="001D69FE" w:rsidRPr="00055E35" w:rsidRDefault="001D69FE" w:rsidP="00DA6AD9">
      <w:pPr>
        <w:spacing w:line="360" w:lineRule="auto"/>
        <w:contextualSpacing/>
        <w:jc w:val="both"/>
        <w:rPr>
          <w:rFonts w:ascii="Times New Roman" w:hAnsi="Times New Roman"/>
          <w:color w:val="auto"/>
          <w:sz w:val="24"/>
          <w:szCs w:val="24"/>
        </w:rPr>
      </w:pPr>
    </w:p>
    <w:p w14:paraId="28F79562" w14:textId="77777777" w:rsidR="001D69FE" w:rsidRPr="00055E35" w:rsidRDefault="001D69FE" w:rsidP="00DA6AD9">
      <w:pPr>
        <w:spacing w:line="360" w:lineRule="auto"/>
        <w:contextualSpacing/>
        <w:jc w:val="both"/>
        <w:rPr>
          <w:rFonts w:ascii="Times New Roman" w:hAnsi="Times New Roman"/>
          <w:color w:val="auto"/>
          <w:sz w:val="24"/>
          <w:szCs w:val="24"/>
        </w:rPr>
      </w:pPr>
      <w:r w:rsidRPr="00055E35">
        <w:rPr>
          <w:rFonts w:ascii="Times New Roman" w:hAnsi="Times New Roman"/>
          <w:color w:val="auto"/>
          <w:sz w:val="24"/>
          <w:szCs w:val="24"/>
        </w:rPr>
        <w:t xml:space="preserve">The National Treasury Instruction Note on Supply Chain Management (SCM Instruction Note 3 of 2016/17) prescribes the use of deviations from inviting competitive bids only in the case of an emergency and sole supplier status. Any other deviation is allowed in exceptional cases subject to prior written approval from National Treasury.  In terms of expansions or variations from orders, the Instruction note stipulates that contracts should not be varied by more than 20 per cent or R20 million including VAT for construction related goods and services whilst the threshold for other goods and services is 15 per cent or R15 million including VAT.  Expansions in excess of the prescribed thresholds are allowed in exceptional cases subject to prior written approval from National Treasury.  </w:t>
      </w:r>
    </w:p>
    <w:p w14:paraId="3D2AA86B" w14:textId="77777777" w:rsidR="001D69FE" w:rsidRPr="00055E35" w:rsidRDefault="001D69FE" w:rsidP="00DA6AD9">
      <w:pPr>
        <w:spacing w:line="360" w:lineRule="auto"/>
        <w:ind w:left="720"/>
        <w:contextualSpacing/>
        <w:jc w:val="both"/>
        <w:rPr>
          <w:rFonts w:ascii="Times New Roman" w:hAnsi="Times New Roman"/>
          <w:color w:val="auto"/>
          <w:sz w:val="24"/>
          <w:szCs w:val="24"/>
        </w:rPr>
      </w:pPr>
      <w:r w:rsidRPr="00055E35">
        <w:rPr>
          <w:rFonts w:ascii="Times New Roman" w:hAnsi="Times New Roman"/>
          <w:color w:val="auto"/>
          <w:sz w:val="24"/>
          <w:szCs w:val="24"/>
        </w:rPr>
        <w:t xml:space="preserve"> </w:t>
      </w:r>
    </w:p>
    <w:p w14:paraId="288BE637" w14:textId="77777777" w:rsidR="001D69FE" w:rsidRPr="00055E35" w:rsidRDefault="001D69FE" w:rsidP="00DA6AD9">
      <w:pPr>
        <w:spacing w:line="360" w:lineRule="auto"/>
        <w:contextualSpacing/>
        <w:jc w:val="both"/>
        <w:rPr>
          <w:rFonts w:ascii="Times New Roman" w:hAnsi="Times New Roman"/>
          <w:color w:val="auto"/>
          <w:sz w:val="24"/>
          <w:szCs w:val="24"/>
        </w:rPr>
      </w:pPr>
      <w:r>
        <w:rPr>
          <w:rFonts w:ascii="Times New Roman" w:hAnsi="Times New Roman"/>
          <w:color w:val="auto"/>
          <w:sz w:val="24"/>
          <w:szCs w:val="24"/>
        </w:rPr>
        <w:t xml:space="preserve">Table 2 </w:t>
      </w:r>
      <w:r w:rsidRPr="00055E35">
        <w:rPr>
          <w:rFonts w:ascii="Times New Roman" w:hAnsi="Times New Roman"/>
          <w:color w:val="auto"/>
          <w:sz w:val="24"/>
          <w:szCs w:val="24"/>
        </w:rPr>
        <w:t>hereunder highlight</w:t>
      </w:r>
      <w:r>
        <w:rPr>
          <w:rFonts w:ascii="Times New Roman" w:hAnsi="Times New Roman"/>
          <w:color w:val="auto"/>
          <w:sz w:val="24"/>
          <w:szCs w:val="24"/>
        </w:rPr>
        <w:t>s</w:t>
      </w:r>
      <w:r w:rsidRPr="00055E35">
        <w:rPr>
          <w:rFonts w:ascii="Times New Roman" w:hAnsi="Times New Roman"/>
          <w:color w:val="auto"/>
          <w:sz w:val="24"/>
          <w:szCs w:val="24"/>
        </w:rPr>
        <w:t xml:space="preserve"> departments or entities that requested approval for a high number of deviations from National Treasury during the first quarter of the 2018/19 financial year. </w:t>
      </w:r>
      <w:r>
        <w:rPr>
          <w:rFonts w:ascii="Times New Roman" w:hAnsi="Times New Roman"/>
          <w:color w:val="auto"/>
          <w:sz w:val="24"/>
          <w:szCs w:val="24"/>
        </w:rPr>
        <w:t xml:space="preserve">The table also reflects whether the deviations were supported or not supported by National Treasury. </w:t>
      </w:r>
    </w:p>
    <w:p w14:paraId="1A0BA18D" w14:textId="77777777" w:rsidR="001D69FE" w:rsidRPr="00055E35" w:rsidRDefault="001D69FE" w:rsidP="00DA6AD9">
      <w:pPr>
        <w:spacing w:line="360" w:lineRule="auto"/>
        <w:contextualSpacing/>
        <w:jc w:val="both"/>
        <w:rPr>
          <w:rFonts w:ascii="Times New Roman" w:hAnsi="Times New Roman"/>
          <w:color w:val="auto"/>
          <w:sz w:val="24"/>
          <w:szCs w:val="24"/>
        </w:rPr>
      </w:pPr>
    </w:p>
    <w:p w14:paraId="4B416255" w14:textId="77777777" w:rsidR="001D69FE" w:rsidRPr="00055E35" w:rsidRDefault="001D69FE" w:rsidP="00DA6AD9">
      <w:pPr>
        <w:spacing w:line="360" w:lineRule="auto"/>
        <w:contextualSpacing/>
        <w:jc w:val="both"/>
        <w:rPr>
          <w:rFonts w:ascii="Times New Roman" w:hAnsi="Times New Roman"/>
          <w:color w:val="auto"/>
          <w:sz w:val="24"/>
          <w:szCs w:val="24"/>
        </w:rPr>
      </w:pPr>
      <w:r w:rsidRPr="00055E35">
        <w:rPr>
          <w:rFonts w:ascii="Times New Roman" w:hAnsi="Times New Roman"/>
          <w:color w:val="auto"/>
          <w:sz w:val="24"/>
          <w:szCs w:val="24"/>
        </w:rPr>
        <w:t>Table 2: Deviations –Supported/Not Supported</w:t>
      </w:r>
    </w:p>
    <w:tbl>
      <w:tblPr>
        <w:tblStyle w:val="TableGrid"/>
        <w:tblW w:w="0" w:type="auto"/>
        <w:tblLook w:val="04A0" w:firstRow="1" w:lastRow="0" w:firstColumn="1" w:lastColumn="0" w:noHBand="0" w:noVBand="1"/>
      </w:tblPr>
      <w:tblGrid>
        <w:gridCol w:w="3505"/>
        <w:gridCol w:w="1254"/>
        <w:gridCol w:w="1176"/>
        <w:gridCol w:w="1171"/>
        <w:gridCol w:w="900"/>
        <w:gridCol w:w="990"/>
      </w:tblGrid>
      <w:tr w:rsidR="001D69FE" w:rsidRPr="008707D6" w14:paraId="056B2F37" w14:textId="77777777" w:rsidTr="005915E7">
        <w:tc>
          <w:tcPr>
            <w:tcW w:w="3505" w:type="dxa"/>
          </w:tcPr>
          <w:p w14:paraId="266634FE" w14:textId="77777777" w:rsidR="001D69FE" w:rsidRPr="008707D6" w:rsidRDefault="001D69FE" w:rsidP="00DA6AD9">
            <w:pPr>
              <w:spacing w:line="360" w:lineRule="auto"/>
              <w:contextualSpacing/>
              <w:jc w:val="both"/>
              <w:rPr>
                <w:rFonts w:ascii="Times New Roman" w:hAnsi="Times New Roman"/>
                <w:b/>
                <w:color w:val="auto"/>
                <w:sz w:val="20"/>
                <w:szCs w:val="20"/>
              </w:rPr>
            </w:pPr>
            <w:r w:rsidRPr="008707D6">
              <w:rPr>
                <w:rFonts w:ascii="Times New Roman" w:hAnsi="Times New Roman"/>
                <w:b/>
                <w:color w:val="auto"/>
                <w:sz w:val="20"/>
                <w:szCs w:val="20"/>
              </w:rPr>
              <w:t xml:space="preserve">Department or  Entity   </w:t>
            </w:r>
          </w:p>
        </w:tc>
        <w:tc>
          <w:tcPr>
            <w:tcW w:w="1254" w:type="dxa"/>
          </w:tcPr>
          <w:p w14:paraId="3A0BAD25" w14:textId="77777777" w:rsidR="001D69FE" w:rsidRPr="008707D6" w:rsidRDefault="001D69FE" w:rsidP="00DA6AD9">
            <w:pPr>
              <w:spacing w:line="360" w:lineRule="auto"/>
              <w:contextualSpacing/>
              <w:jc w:val="both"/>
              <w:rPr>
                <w:rFonts w:ascii="Times New Roman" w:hAnsi="Times New Roman"/>
                <w:b/>
                <w:color w:val="auto"/>
                <w:sz w:val="20"/>
                <w:szCs w:val="20"/>
              </w:rPr>
            </w:pPr>
            <w:r w:rsidRPr="008707D6">
              <w:rPr>
                <w:rFonts w:ascii="Times New Roman" w:hAnsi="Times New Roman"/>
                <w:b/>
                <w:color w:val="auto"/>
                <w:sz w:val="20"/>
                <w:szCs w:val="20"/>
              </w:rPr>
              <w:t xml:space="preserve">Total </w:t>
            </w:r>
            <w:r w:rsidRPr="008707D6">
              <w:rPr>
                <w:rFonts w:ascii="Times New Roman" w:hAnsi="Times New Roman"/>
                <w:b/>
                <w:color w:val="auto"/>
                <w:sz w:val="20"/>
                <w:szCs w:val="20"/>
              </w:rPr>
              <w:br/>
              <w:t xml:space="preserve">Deviations Requested  </w:t>
            </w:r>
          </w:p>
        </w:tc>
        <w:tc>
          <w:tcPr>
            <w:tcW w:w="1176" w:type="dxa"/>
          </w:tcPr>
          <w:p w14:paraId="6CFE391C" w14:textId="77777777" w:rsidR="001D69FE" w:rsidRPr="008707D6" w:rsidRDefault="001D69FE" w:rsidP="00DA6AD9">
            <w:pPr>
              <w:spacing w:line="360" w:lineRule="auto"/>
              <w:contextualSpacing/>
              <w:jc w:val="both"/>
              <w:rPr>
                <w:rFonts w:ascii="Times New Roman" w:hAnsi="Times New Roman"/>
                <w:b/>
                <w:color w:val="auto"/>
                <w:sz w:val="20"/>
                <w:szCs w:val="20"/>
              </w:rPr>
            </w:pPr>
            <w:r w:rsidRPr="008707D6">
              <w:rPr>
                <w:rFonts w:ascii="Times New Roman" w:hAnsi="Times New Roman"/>
                <w:b/>
                <w:color w:val="auto"/>
                <w:sz w:val="20"/>
                <w:szCs w:val="20"/>
              </w:rPr>
              <w:t>Supported</w:t>
            </w:r>
          </w:p>
        </w:tc>
        <w:tc>
          <w:tcPr>
            <w:tcW w:w="1171" w:type="dxa"/>
          </w:tcPr>
          <w:p w14:paraId="6FE1CAC0" w14:textId="77777777" w:rsidR="001D69FE" w:rsidRPr="008707D6" w:rsidRDefault="001D69FE" w:rsidP="00DA6AD9">
            <w:pPr>
              <w:spacing w:line="360" w:lineRule="auto"/>
              <w:contextualSpacing/>
              <w:jc w:val="both"/>
              <w:rPr>
                <w:rFonts w:ascii="Times New Roman" w:hAnsi="Times New Roman"/>
                <w:b/>
                <w:color w:val="auto"/>
                <w:sz w:val="20"/>
                <w:szCs w:val="20"/>
              </w:rPr>
            </w:pPr>
            <w:r w:rsidRPr="008707D6">
              <w:rPr>
                <w:rFonts w:ascii="Times New Roman" w:hAnsi="Times New Roman"/>
                <w:b/>
                <w:color w:val="auto"/>
                <w:sz w:val="20"/>
                <w:szCs w:val="20"/>
              </w:rPr>
              <w:t xml:space="preserve">  Not Supported</w:t>
            </w:r>
          </w:p>
          <w:p w14:paraId="442C1106" w14:textId="77777777" w:rsidR="001D69FE" w:rsidRPr="008707D6" w:rsidRDefault="001D69FE" w:rsidP="00DA6AD9">
            <w:pPr>
              <w:spacing w:line="360" w:lineRule="auto"/>
              <w:contextualSpacing/>
              <w:jc w:val="both"/>
              <w:rPr>
                <w:rFonts w:ascii="Times New Roman" w:hAnsi="Times New Roman"/>
                <w:b/>
                <w:color w:val="auto"/>
                <w:sz w:val="20"/>
                <w:szCs w:val="20"/>
              </w:rPr>
            </w:pPr>
          </w:p>
        </w:tc>
        <w:tc>
          <w:tcPr>
            <w:tcW w:w="900" w:type="dxa"/>
          </w:tcPr>
          <w:p w14:paraId="6995F4F5" w14:textId="77777777" w:rsidR="001D69FE" w:rsidRPr="008707D6" w:rsidRDefault="001D69FE" w:rsidP="00DA6AD9">
            <w:pPr>
              <w:spacing w:line="360" w:lineRule="auto"/>
              <w:contextualSpacing/>
              <w:jc w:val="both"/>
              <w:rPr>
                <w:rFonts w:ascii="Times New Roman" w:hAnsi="Times New Roman"/>
                <w:b/>
                <w:color w:val="auto"/>
                <w:sz w:val="20"/>
                <w:szCs w:val="20"/>
              </w:rPr>
            </w:pPr>
            <w:r w:rsidRPr="008707D6">
              <w:rPr>
                <w:rFonts w:ascii="Times New Roman" w:hAnsi="Times New Roman"/>
                <w:b/>
                <w:color w:val="auto"/>
                <w:sz w:val="20"/>
                <w:szCs w:val="20"/>
              </w:rPr>
              <w:t>Noting</w:t>
            </w:r>
          </w:p>
        </w:tc>
        <w:tc>
          <w:tcPr>
            <w:tcW w:w="990" w:type="dxa"/>
          </w:tcPr>
          <w:p w14:paraId="38E35CC8" w14:textId="77777777" w:rsidR="001D69FE" w:rsidRPr="008707D6" w:rsidRDefault="001D69FE" w:rsidP="00DA6AD9">
            <w:pPr>
              <w:spacing w:line="360" w:lineRule="auto"/>
              <w:contextualSpacing/>
              <w:jc w:val="both"/>
              <w:rPr>
                <w:rFonts w:ascii="Times New Roman" w:hAnsi="Times New Roman"/>
                <w:b/>
                <w:color w:val="auto"/>
                <w:sz w:val="20"/>
                <w:szCs w:val="20"/>
              </w:rPr>
            </w:pPr>
            <w:r w:rsidRPr="008707D6">
              <w:rPr>
                <w:rFonts w:ascii="Times New Roman" w:hAnsi="Times New Roman"/>
                <w:b/>
                <w:color w:val="auto"/>
                <w:sz w:val="20"/>
                <w:szCs w:val="20"/>
              </w:rPr>
              <w:t>Pending</w:t>
            </w:r>
          </w:p>
        </w:tc>
      </w:tr>
      <w:tr w:rsidR="001D69FE" w:rsidRPr="008707D6" w14:paraId="33F4DA15" w14:textId="77777777" w:rsidTr="005915E7">
        <w:tc>
          <w:tcPr>
            <w:tcW w:w="3505" w:type="dxa"/>
          </w:tcPr>
          <w:p w14:paraId="7BFEFA30" w14:textId="77777777" w:rsidR="001D69FE" w:rsidRPr="008707D6" w:rsidRDefault="001D69FE" w:rsidP="00DA6AD9">
            <w:pPr>
              <w:spacing w:line="360" w:lineRule="auto"/>
              <w:contextualSpacing/>
              <w:jc w:val="both"/>
              <w:rPr>
                <w:rFonts w:ascii="Times New Roman" w:hAnsi="Times New Roman"/>
                <w:color w:val="auto"/>
                <w:sz w:val="20"/>
                <w:szCs w:val="20"/>
              </w:rPr>
            </w:pPr>
            <w:r w:rsidRPr="008707D6">
              <w:rPr>
                <w:rFonts w:ascii="Times New Roman" w:hAnsi="Times New Roman"/>
                <w:color w:val="auto"/>
                <w:sz w:val="20"/>
                <w:szCs w:val="20"/>
              </w:rPr>
              <w:t>ESKOM</w:t>
            </w:r>
          </w:p>
        </w:tc>
        <w:tc>
          <w:tcPr>
            <w:tcW w:w="1254" w:type="dxa"/>
          </w:tcPr>
          <w:p w14:paraId="7FD0FFE4"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11</w:t>
            </w:r>
          </w:p>
        </w:tc>
        <w:tc>
          <w:tcPr>
            <w:tcW w:w="1176" w:type="dxa"/>
          </w:tcPr>
          <w:p w14:paraId="0FF5C2CB"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2</w:t>
            </w:r>
          </w:p>
        </w:tc>
        <w:tc>
          <w:tcPr>
            <w:tcW w:w="1171" w:type="dxa"/>
          </w:tcPr>
          <w:p w14:paraId="623EAE0D"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8</w:t>
            </w:r>
          </w:p>
        </w:tc>
        <w:tc>
          <w:tcPr>
            <w:tcW w:w="900" w:type="dxa"/>
          </w:tcPr>
          <w:p w14:paraId="19A80D6E"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c>
          <w:tcPr>
            <w:tcW w:w="990" w:type="dxa"/>
          </w:tcPr>
          <w:p w14:paraId="5F17ED3B"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1</w:t>
            </w:r>
          </w:p>
        </w:tc>
      </w:tr>
      <w:tr w:rsidR="001D69FE" w:rsidRPr="008707D6" w14:paraId="5E5EC5CB" w14:textId="77777777" w:rsidTr="005915E7">
        <w:tc>
          <w:tcPr>
            <w:tcW w:w="3505" w:type="dxa"/>
          </w:tcPr>
          <w:p w14:paraId="535F35D0" w14:textId="77777777" w:rsidR="001D69FE" w:rsidRPr="008707D6" w:rsidRDefault="001D69FE" w:rsidP="00DA6AD9">
            <w:pPr>
              <w:spacing w:line="360" w:lineRule="auto"/>
              <w:contextualSpacing/>
              <w:jc w:val="both"/>
              <w:rPr>
                <w:rFonts w:ascii="Times New Roman" w:hAnsi="Times New Roman"/>
                <w:color w:val="auto"/>
                <w:sz w:val="20"/>
                <w:szCs w:val="20"/>
              </w:rPr>
            </w:pPr>
            <w:r w:rsidRPr="008707D6">
              <w:rPr>
                <w:rFonts w:ascii="Times New Roman" w:hAnsi="Times New Roman"/>
                <w:color w:val="auto"/>
                <w:sz w:val="20"/>
                <w:szCs w:val="20"/>
              </w:rPr>
              <w:t>Public Works</w:t>
            </w:r>
          </w:p>
        </w:tc>
        <w:tc>
          <w:tcPr>
            <w:tcW w:w="1254" w:type="dxa"/>
          </w:tcPr>
          <w:p w14:paraId="06A052C5"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11</w:t>
            </w:r>
          </w:p>
        </w:tc>
        <w:tc>
          <w:tcPr>
            <w:tcW w:w="1176" w:type="dxa"/>
          </w:tcPr>
          <w:p w14:paraId="4F93F9C0"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1</w:t>
            </w:r>
          </w:p>
        </w:tc>
        <w:tc>
          <w:tcPr>
            <w:tcW w:w="1171" w:type="dxa"/>
          </w:tcPr>
          <w:p w14:paraId="7AE11EB3"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2</w:t>
            </w:r>
          </w:p>
        </w:tc>
        <w:tc>
          <w:tcPr>
            <w:tcW w:w="900" w:type="dxa"/>
          </w:tcPr>
          <w:p w14:paraId="2963C512"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4</w:t>
            </w:r>
          </w:p>
        </w:tc>
        <w:tc>
          <w:tcPr>
            <w:tcW w:w="990" w:type="dxa"/>
          </w:tcPr>
          <w:p w14:paraId="738C09BE"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4</w:t>
            </w:r>
          </w:p>
        </w:tc>
      </w:tr>
      <w:tr w:rsidR="001D69FE" w:rsidRPr="008707D6" w14:paraId="6ADEB28C" w14:textId="77777777" w:rsidTr="005915E7">
        <w:tc>
          <w:tcPr>
            <w:tcW w:w="3505" w:type="dxa"/>
          </w:tcPr>
          <w:p w14:paraId="74D6DBAD" w14:textId="48D77C9B" w:rsidR="001D69FE" w:rsidRPr="008707D6" w:rsidRDefault="00AC1E36" w:rsidP="00DA6AD9">
            <w:pPr>
              <w:spacing w:line="360" w:lineRule="auto"/>
              <w:contextualSpacing/>
              <w:jc w:val="both"/>
              <w:rPr>
                <w:rFonts w:ascii="Times New Roman" w:hAnsi="Times New Roman"/>
                <w:color w:val="auto"/>
                <w:sz w:val="20"/>
                <w:szCs w:val="20"/>
              </w:rPr>
            </w:pPr>
            <w:r w:rsidRPr="00AC1E36">
              <w:rPr>
                <w:rFonts w:ascii="Times New Roman" w:hAnsi="Times New Roman"/>
                <w:color w:val="auto"/>
                <w:sz w:val="20"/>
                <w:szCs w:val="20"/>
              </w:rPr>
              <w:t>Sout</w:t>
            </w:r>
            <w:r>
              <w:rPr>
                <w:rFonts w:ascii="Times New Roman" w:hAnsi="Times New Roman"/>
                <w:color w:val="auto"/>
                <w:sz w:val="20"/>
                <w:szCs w:val="20"/>
              </w:rPr>
              <w:t xml:space="preserve">h African Revenue Service (SARS) </w:t>
            </w:r>
          </w:p>
        </w:tc>
        <w:tc>
          <w:tcPr>
            <w:tcW w:w="1254" w:type="dxa"/>
          </w:tcPr>
          <w:p w14:paraId="71B6815E"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7</w:t>
            </w:r>
          </w:p>
        </w:tc>
        <w:tc>
          <w:tcPr>
            <w:tcW w:w="1176" w:type="dxa"/>
          </w:tcPr>
          <w:p w14:paraId="018DE75E"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1</w:t>
            </w:r>
          </w:p>
        </w:tc>
        <w:tc>
          <w:tcPr>
            <w:tcW w:w="1171" w:type="dxa"/>
          </w:tcPr>
          <w:p w14:paraId="3BF1AA23"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5</w:t>
            </w:r>
          </w:p>
        </w:tc>
        <w:tc>
          <w:tcPr>
            <w:tcW w:w="900" w:type="dxa"/>
          </w:tcPr>
          <w:p w14:paraId="4118C1E7"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c>
          <w:tcPr>
            <w:tcW w:w="990" w:type="dxa"/>
          </w:tcPr>
          <w:p w14:paraId="6DD3A144"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1</w:t>
            </w:r>
          </w:p>
        </w:tc>
      </w:tr>
      <w:tr w:rsidR="001D69FE" w:rsidRPr="008707D6" w14:paraId="69C9A50B" w14:textId="77777777" w:rsidTr="005915E7">
        <w:tc>
          <w:tcPr>
            <w:tcW w:w="3505" w:type="dxa"/>
          </w:tcPr>
          <w:p w14:paraId="7C74A702" w14:textId="0DD411B1" w:rsidR="001D69FE" w:rsidRPr="008707D6" w:rsidRDefault="00AC1E36" w:rsidP="00DA6AD9">
            <w:pPr>
              <w:spacing w:line="360" w:lineRule="auto"/>
              <w:contextualSpacing/>
              <w:jc w:val="both"/>
              <w:rPr>
                <w:rFonts w:ascii="Times New Roman" w:hAnsi="Times New Roman"/>
                <w:color w:val="auto"/>
                <w:sz w:val="20"/>
                <w:szCs w:val="20"/>
              </w:rPr>
            </w:pPr>
            <w:r w:rsidRPr="00AC1E36">
              <w:rPr>
                <w:rFonts w:ascii="Times New Roman" w:hAnsi="Times New Roman"/>
                <w:color w:val="auto"/>
                <w:sz w:val="20"/>
                <w:szCs w:val="20"/>
              </w:rPr>
              <w:t>South African Social Security Agency (SASSA)</w:t>
            </w:r>
          </w:p>
        </w:tc>
        <w:tc>
          <w:tcPr>
            <w:tcW w:w="1254" w:type="dxa"/>
          </w:tcPr>
          <w:p w14:paraId="2237E533"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7</w:t>
            </w:r>
          </w:p>
        </w:tc>
        <w:tc>
          <w:tcPr>
            <w:tcW w:w="1176" w:type="dxa"/>
          </w:tcPr>
          <w:p w14:paraId="5560978A"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3</w:t>
            </w:r>
          </w:p>
        </w:tc>
        <w:tc>
          <w:tcPr>
            <w:tcW w:w="1171" w:type="dxa"/>
          </w:tcPr>
          <w:p w14:paraId="75A263F1"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4</w:t>
            </w:r>
          </w:p>
        </w:tc>
        <w:tc>
          <w:tcPr>
            <w:tcW w:w="900" w:type="dxa"/>
          </w:tcPr>
          <w:p w14:paraId="71E11A72"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c>
          <w:tcPr>
            <w:tcW w:w="990" w:type="dxa"/>
          </w:tcPr>
          <w:p w14:paraId="63C07808"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r>
      <w:tr w:rsidR="001D69FE" w:rsidRPr="008707D6" w14:paraId="6AB12D22" w14:textId="77777777" w:rsidTr="005915E7">
        <w:tc>
          <w:tcPr>
            <w:tcW w:w="3505" w:type="dxa"/>
          </w:tcPr>
          <w:p w14:paraId="77CD848A" w14:textId="5D61FBC7" w:rsidR="001D69FE" w:rsidRPr="008707D6" w:rsidRDefault="001D69FE" w:rsidP="00DA6AD9">
            <w:pPr>
              <w:spacing w:line="360" w:lineRule="auto"/>
              <w:contextualSpacing/>
              <w:jc w:val="both"/>
              <w:rPr>
                <w:rFonts w:ascii="Times New Roman" w:hAnsi="Times New Roman"/>
                <w:color w:val="auto"/>
                <w:sz w:val="20"/>
                <w:szCs w:val="20"/>
              </w:rPr>
            </w:pPr>
            <w:r w:rsidRPr="008707D6">
              <w:rPr>
                <w:rFonts w:ascii="Times New Roman" w:hAnsi="Times New Roman"/>
                <w:color w:val="auto"/>
                <w:sz w:val="20"/>
                <w:szCs w:val="20"/>
              </w:rPr>
              <w:t>Medical Research Council</w:t>
            </w:r>
            <w:r w:rsidR="00AC1E36">
              <w:rPr>
                <w:rFonts w:ascii="Times New Roman" w:hAnsi="Times New Roman"/>
                <w:color w:val="auto"/>
                <w:sz w:val="20"/>
                <w:szCs w:val="20"/>
              </w:rPr>
              <w:t xml:space="preserve"> (MRC)</w:t>
            </w:r>
            <w:r w:rsidRPr="008707D6">
              <w:rPr>
                <w:rFonts w:ascii="Times New Roman" w:hAnsi="Times New Roman"/>
                <w:color w:val="auto"/>
                <w:sz w:val="20"/>
                <w:szCs w:val="20"/>
              </w:rPr>
              <w:t xml:space="preserve"> of RSA</w:t>
            </w:r>
          </w:p>
        </w:tc>
        <w:tc>
          <w:tcPr>
            <w:tcW w:w="1254" w:type="dxa"/>
          </w:tcPr>
          <w:p w14:paraId="22629167"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6</w:t>
            </w:r>
          </w:p>
        </w:tc>
        <w:tc>
          <w:tcPr>
            <w:tcW w:w="1176" w:type="dxa"/>
          </w:tcPr>
          <w:p w14:paraId="3A70EC38"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4</w:t>
            </w:r>
          </w:p>
        </w:tc>
        <w:tc>
          <w:tcPr>
            <w:tcW w:w="1171" w:type="dxa"/>
          </w:tcPr>
          <w:p w14:paraId="1922E4FB"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2</w:t>
            </w:r>
          </w:p>
        </w:tc>
        <w:tc>
          <w:tcPr>
            <w:tcW w:w="900" w:type="dxa"/>
          </w:tcPr>
          <w:p w14:paraId="6AB73358"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c>
          <w:tcPr>
            <w:tcW w:w="990" w:type="dxa"/>
          </w:tcPr>
          <w:p w14:paraId="11399FB9"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r>
      <w:tr w:rsidR="001D69FE" w:rsidRPr="008707D6" w14:paraId="2E9B2074" w14:textId="77777777" w:rsidTr="005915E7">
        <w:tc>
          <w:tcPr>
            <w:tcW w:w="3505" w:type="dxa"/>
          </w:tcPr>
          <w:p w14:paraId="2A1D62A5" w14:textId="59DEB04A" w:rsidR="001D69FE" w:rsidRPr="008707D6" w:rsidRDefault="001D69FE" w:rsidP="00DA6AD9">
            <w:pPr>
              <w:spacing w:line="360" w:lineRule="auto"/>
              <w:contextualSpacing/>
              <w:jc w:val="both"/>
              <w:rPr>
                <w:rFonts w:ascii="Times New Roman" w:hAnsi="Times New Roman"/>
                <w:color w:val="auto"/>
                <w:sz w:val="20"/>
                <w:szCs w:val="20"/>
              </w:rPr>
            </w:pPr>
            <w:r w:rsidRPr="008707D6">
              <w:rPr>
                <w:rFonts w:ascii="Times New Roman" w:hAnsi="Times New Roman"/>
                <w:color w:val="auto"/>
                <w:sz w:val="20"/>
                <w:szCs w:val="20"/>
              </w:rPr>
              <w:t>Road Accident Fund</w:t>
            </w:r>
            <w:r w:rsidR="00AC1E36">
              <w:rPr>
                <w:rFonts w:ascii="Times New Roman" w:hAnsi="Times New Roman"/>
                <w:color w:val="auto"/>
                <w:sz w:val="20"/>
                <w:szCs w:val="20"/>
              </w:rPr>
              <w:t xml:space="preserve"> (RAF)</w:t>
            </w:r>
          </w:p>
        </w:tc>
        <w:tc>
          <w:tcPr>
            <w:tcW w:w="1254" w:type="dxa"/>
          </w:tcPr>
          <w:p w14:paraId="445E1FFE"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6</w:t>
            </w:r>
          </w:p>
        </w:tc>
        <w:tc>
          <w:tcPr>
            <w:tcW w:w="1176" w:type="dxa"/>
          </w:tcPr>
          <w:p w14:paraId="69FE3B1F"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3</w:t>
            </w:r>
          </w:p>
        </w:tc>
        <w:tc>
          <w:tcPr>
            <w:tcW w:w="1171" w:type="dxa"/>
          </w:tcPr>
          <w:p w14:paraId="592F0B06"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1</w:t>
            </w:r>
          </w:p>
        </w:tc>
        <w:tc>
          <w:tcPr>
            <w:tcW w:w="900" w:type="dxa"/>
          </w:tcPr>
          <w:p w14:paraId="7CC6BB32"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1</w:t>
            </w:r>
          </w:p>
        </w:tc>
        <w:tc>
          <w:tcPr>
            <w:tcW w:w="990" w:type="dxa"/>
          </w:tcPr>
          <w:p w14:paraId="6F085B15"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1</w:t>
            </w:r>
          </w:p>
        </w:tc>
      </w:tr>
      <w:tr w:rsidR="001D69FE" w:rsidRPr="008707D6" w14:paraId="4578FD0B" w14:textId="77777777" w:rsidTr="005915E7">
        <w:tc>
          <w:tcPr>
            <w:tcW w:w="3505" w:type="dxa"/>
          </w:tcPr>
          <w:p w14:paraId="1038C44E" w14:textId="20CF93EF" w:rsidR="001D69FE" w:rsidRPr="008707D6" w:rsidRDefault="001D69FE" w:rsidP="00DA6AD9">
            <w:pPr>
              <w:spacing w:line="360" w:lineRule="auto"/>
              <w:contextualSpacing/>
              <w:jc w:val="both"/>
              <w:rPr>
                <w:rFonts w:ascii="Times New Roman" w:hAnsi="Times New Roman"/>
                <w:color w:val="auto"/>
                <w:sz w:val="20"/>
                <w:szCs w:val="20"/>
              </w:rPr>
            </w:pPr>
            <w:r w:rsidRPr="008707D6">
              <w:rPr>
                <w:rFonts w:ascii="Times New Roman" w:hAnsi="Times New Roman"/>
                <w:color w:val="auto"/>
                <w:sz w:val="20"/>
                <w:szCs w:val="20"/>
              </w:rPr>
              <w:lastRenderedPageBreak/>
              <w:t>South African Weather Services</w:t>
            </w:r>
            <w:r w:rsidR="00AC1E36">
              <w:rPr>
                <w:rFonts w:ascii="Times New Roman" w:hAnsi="Times New Roman"/>
                <w:color w:val="auto"/>
                <w:sz w:val="20"/>
                <w:szCs w:val="20"/>
              </w:rPr>
              <w:t xml:space="preserve"> (SAWS)</w:t>
            </w:r>
          </w:p>
        </w:tc>
        <w:tc>
          <w:tcPr>
            <w:tcW w:w="1254" w:type="dxa"/>
          </w:tcPr>
          <w:p w14:paraId="6CCFA6B8"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5</w:t>
            </w:r>
          </w:p>
        </w:tc>
        <w:tc>
          <w:tcPr>
            <w:tcW w:w="1176" w:type="dxa"/>
          </w:tcPr>
          <w:p w14:paraId="753BDE7F"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1</w:t>
            </w:r>
          </w:p>
        </w:tc>
        <w:tc>
          <w:tcPr>
            <w:tcW w:w="1171" w:type="dxa"/>
          </w:tcPr>
          <w:p w14:paraId="14D39F82"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1</w:t>
            </w:r>
          </w:p>
        </w:tc>
        <w:tc>
          <w:tcPr>
            <w:tcW w:w="900" w:type="dxa"/>
          </w:tcPr>
          <w:p w14:paraId="159AEAF6"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3</w:t>
            </w:r>
          </w:p>
        </w:tc>
        <w:tc>
          <w:tcPr>
            <w:tcW w:w="990" w:type="dxa"/>
          </w:tcPr>
          <w:p w14:paraId="7334A3B3"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r>
      <w:tr w:rsidR="001D69FE" w:rsidRPr="008707D6" w14:paraId="57D6F6CE" w14:textId="77777777" w:rsidTr="005915E7">
        <w:tc>
          <w:tcPr>
            <w:tcW w:w="3505" w:type="dxa"/>
          </w:tcPr>
          <w:p w14:paraId="4D9061F1" w14:textId="77777777" w:rsidR="001D69FE" w:rsidRPr="008707D6" w:rsidRDefault="001D69FE" w:rsidP="00DA6AD9">
            <w:pPr>
              <w:spacing w:line="360" w:lineRule="auto"/>
              <w:contextualSpacing/>
              <w:jc w:val="both"/>
              <w:rPr>
                <w:rFonts w:ascii="Times New Roman" w:hAnsi="Times New Roman"/>
                <w:color w:val="auto"/>
                <w:sz w:val="20"/>
                <w:szCs w:val="20"/>
              </w:rPr>
            </w:pPr>
            <w:r w:rsidRPr="008707D6">
              <w:rPr>
                <w:rFonts w:ascii="Times New Roman" w:hAnsi="Times New Roman"/>
                <w:color w:val="auto"/>
                <w:sz w:val="20"/>
                <w:szCs w:val="20"/>
              </w:rPr>
              <w:t>Wholesale and Retail  SETA</w:t>
            </w:r>
          </w:p>
        </w:tc>
        <w:tc>
          <w:tcPr>
            <w:tcW w:w="1254" w:type="dxa"/>
          </w:tcPr>
          <w:p w14:paraId="370A3750"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5</w:t>
            </w:r>
          </w:p>
        </w:tc>
        <w:tc>
          <w:tcPr>
            <w:tcW w:w="1176" w:type="dxa"/>
          </w:tcPr>
          <w:p w14:paraId="1DF8CCF5"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c>
          <w:tcPr>
            <w:tcW w:w="1171" w:type="dxa"/>
          </w:tcPr>
          <w:p w14:paraId="6CDBA51F"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5</w:t>
            </w:r>
          </w:p>
        </w:tc>
        <w:tc>
          <w:tcPr>
            <w:tcW w:w="900" w:type="dxa"/>
          </w:tcPr>
          <w:p w14:paraId="415A9976"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c>
          <w:tcPr>
            <w:tcW w:w="990" w:type="dxa"/>
          </w:tcPr>
          <w:p w14:paraId="4BBE1FCE"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r>
      <w:tr w:rsidR="001D69FE" w:rsidRPr="008707D6" w14:paraId="62C24D98" w14:textId="77777777" w:rsidTr="005915E7">
        <w:tc>
          <w:tcPr>
            <w:tcW w:w="3505" w:type="dxa"/>
          </w:tcPr>
          <w:p w14:paraId="6CC715EC" w14:textId="77777777" w:rsidR="001D69FE" w:rsidRPr="008707D6" w:rsidRDefault="001D69FE" w:rsidP="00DA6AD9">
            <w:pPr>
              <w:spacing w:line="360" w:lineRule="auto"/>
              <w:contextualSpacing/>
              <w:jc w:val="both"/>
              <w:rPr>
                <w:rFonts w:ascii="Times New Roman" w:hAnsi="Times New Roman"/>
                <w:color w:val="auto"/>
                <w:sz w:val="20"/>
                <w:szCs w:val="20"/>
              </w:rPr>
            </w:pPr>
            <w:r w:rsidRPr="008707D6">
              <w:rPr>
                <w:rFonts w:ascii="Times New Roman" w:hAnsi="Times New Roman"/>
                <w:color w:val="auto"/>
                <w:sz w:val="20"/>
                <w:szCs w:val="20"/>
              </w:rPr>
              <w:t>Labour</w:t>
            </w:r>
          </w:p>
        </w:tc>
        <w:tc>
          <w:tcPr>
            <w:tcW w:w="1254" w:type="dxa"/>
          </w:tcPr>
          <w:p w14:paraId="2CA0FDD0"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4</w:t>
            </w:r>
          </w:p>
        </w:tc>
        <w:tc>
          <w:tcPr>
            <w:tcW w:w="1176" w:type="dxa"/>
          </w:tcPr>
          <w:p w14:paraId="3735F0CD"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2</w:t>
            </w:r>
          </w:p>
        </w:tc>
        <w:tc>
          <w:tcPr>
            <w:tcW w:w="1171" w:type="dxa"/>
          </w:tcPr>
          <w:p w14:paraId="2B63B2F4"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c>
          <w:tcPr>
            <w:tcW w:w="900" w:type="dxa"/>
          </w:tcPr>
          <w:p w14:paraId="2AD5033F"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c>
          <w:tcPr>
            <w:tcW w:w="990" w:type="dxa"/>
          </w:tcPr>
          <w:p w14:paraId="48EA621A"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r>
      <w:tr w:rsidR="001D69FE" w:rsidRPr="008707D6" w14:paraId="0561A765" w14:textId="77777777" w:rsidTr="005915E7">
        <w:tc>
          <w:tcPr>
            <w:tcW w:w="3505" w:type="dxa"/>
          </w:tcPr>
          <w:p w14:paraId="5327AB5E" w14:textId="4B11FB32" w:rsidR="001D69FE" w:rsidRPr="008707D6" w:rsidRDefault="001D69FE" w:rsidP="00DA6AD9">
            <w:pPr>
              <w:spacing w:line="360" w:lineRule="auto"/>
              <w:contextualSpacing/>
              <w:jc w:val="both"/>
              <w:rPr>
                <w:rFonts w:ascii="Times New Roman" w:hAnsi="Times New Roman"/>
                <w:color w:val="auto"/>
                <w:sz w:val="20"/>
                <w:szCs w:val="20"/>
              </w:rPr>
            </w:pPr>
            <w:r w:rsidRPr="008707D6">
              <w:rPr>
                <w:rFonts w:ascii="Times New Roman" w:hAnsi="Times New Roman"/>
                <w:iCs/>
                <w:color w:val="auto"/>
                <w:sz w:val="20"/>
                <w:szCs w:val="20"/>
              </w:rPr>
              <w:t>National Home Builders Registration Council</w:t>
            </w:r>
            <w:r w:rsidR="00AC1E36">
              <w:rPr>
                <w:rFonts w:ascii="Times New Roman" w:hAnsi="Times New Roman"/>
                <w:iCs/>
                <w:color w:val="auto"/>
                <w:sz w:val="20"/>
                <w:szCs w:val="20"/>
              </w:rPr>
              <w:t xml:space="preserve"> </w:t>
            </w:r>
            <w:r w:rsidR="00AC1E36" w:rsidRPr="00AC1E36">
              <w:rPr>
                <w:rFonts w:ascii="Times New Roman" w:hAnsi="Times New Roman"/>
                <w:iCs/>
                <w:color w:val="auto"/>
                <w:sz w:val="20"/>
                <w:szCs w:val="20"/>
              </w:rPr>
              <w:t>(NHBRC)</w:t>
            </w:r>
          </w:p>
        </w:tc>
        <w:tc>
          <w:tcPr>
            <w:tcW w:w="1254" w:type="dxa"/>
          </w:tcPr>
          <w:p w14:paraId="33E6053F"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4</w:t>
            </w:r>
          </w:p>
        </w:tc>
        <w:tc>
          <w:tcPr>
            <w:tcW w:w="1176" w:type="dxa"/>
          </w:tcPr>
          <w:p w14:paraId="1A642266"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3</w:t>
            </w:r>
          </w:p>
        </w:tc>
        <w:tc>
          <w:tcPr>
            <w:tcW w:w="1171" w:type="dxa"/>
          </w:tcPr>
          <w:p w14:paraId="0E8854BC"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1</w:t>
            </w:r>
          </w:p>
        </w:tc>
        <w:tc>
          <w:tcPr>
            <w:tcW w:w="900" w:type="dxa"/>
          </w:tcPr>
          <w:p w14:paraId="1F27742F"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c>
          <w:tcPr>
            <w:tcW w:w="990" w:type="dxa"/>
          </w:tcPr>
          <w:p w14:paraId="47A0F847"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r>
    </w:tbl>
    <w:p w14:paraId="0E5F7AE0" w14:textId="77777777" w:rsidR="001D69FE" w:rsidRPr="008707D6" w:rsidRDefault="001D69FE" w:rsidP="00DA6AD9">
      <w:pPr>
        <w:tabs>
          <w:tab w:val="left" w:pos="1916"/>
        </w:tabs>
        <w:spacing w:line="360" w:lineRule="auto"/>
        <w:contextualSpacing/>
        <w:jc w:val="both"/>
        <w:rPr>
          <w:rFonts w:ascii="Times New Roman" w:hAnsi="Times New Roman"/>
          <w:color w:val="auto"/>
          <w:sz w:val="20"/>
          <w:szCs w:val="20"/>
        </w:rPr>
      </w:pPr>
      <w:r w:rsidRPr="008707D6">
        <w:rPr>
          <w:rFonts w:ascii="Times New Roman" w:hAnsi="Times New Roman"/>
          <w:color w:val="auto"/>
          <w:sz w:val="20"/>
          <w:szCs w:val="20"/>
        </w:rPr>
        <w:t>Source: National Treasury 2018</w:t>
      </w:r>
    </w:p>
    <w:p w14:paraId="7FF9AB27" w14:textId="77777777" w:rsidR="001D69FE" w:rsidRDefault="001D69FE" w:rsidP="00DA6AD9">
      <w:pPr>
        <w:spacing w:line="360" w:lineRule="auto"/>
        <w:contextualSpacing/>
        <w:jc w:val="both"/>
        <w:rPr>
          <w:rFonts w:ascii="Times New Roman" w:hAnsi="Times New Roman"/>
          <w:color w:val="auto"/>
          <w:sz w:val="24"/>
          <w:szCs w:val="24"/>
        </w:rPr>
      </w:pPr>
    </w:p>
    <w:p w14:paraId="205B087C" w14:textId="52BAE50C" w:rsidR="001D69FE" w:rsidRPr="00055E35" w:rsidRDefault="001D69FE" w:rsidP="00DA6AD9">
      <w:pPr>
        <w:spacing w:line="360" w:lineRule="auto"/>
        <w:contextualSpacing/>
        <w:jc w:val="both"/>
        <w:rPr>
          <w:rFonts w:ascii="Times New Roman" w:hAnsi="Times New Roman"/>
          <w:color w:val="auto"/>
          <w:sz w:val="24"/>
          <w:szCs w:val="24"/>
        </w:rPr>
      </w:pPr>
      <w:r>
        <w:rPr>
          <w:rFonts w:ascii="Times New Roman" w:hAnsi="Times New Roman"/>
          <w:color w:val="auto"/>
          <w:sz w:val="24"/>
          <w:szCs w:val="24"/>
        </w:rPr>
        <w:t>Table 3 below</w:t>
      </w:r>
      <w:r w:rsidRPr="00055E35">
        <w:rPr>
          <w:rFonts w:ascii="Times New Roman" w:hAnsi="Times New Roman"/>
          <w:color w:val="auto"/>
          <w:sz w:val="24"/>
          <w:szCs w:val="24"/>
        </w:rPr>
        <w:t xml:space="preserve"> highlight</w:t>
      </w:r>
      <w:r>
        <w:rPr>
          <w:rFonts w:ascii="Times New Roman" w:hAnsi="Times New Roman"/>
          <w:color w:val="auto"/>
          <w:sz w:val="24"/>
          <w:szCs w:val="24"/>
        </w:rPr>
        <w:t>s</w:t>
      </w:r>
      <w:r w:rsidRPr="00055E35">
        <w:rPr>
          <w:rFonts w:ascii="Times New Roman" w:hAnsi="Times New Roman"/>
          <w:color w:val="auto"/>
          <w:sz w:val="24"/>
          <w:szCs w:val="24"/>
        </w:rPr>
        <w:t xml:space="preserve"> departments or entities that requested approval for a high number of </w:t>
      </w:r>
      <w:r>
        <w:rPr>
          <w:rFonts w:ascii="Times New Roman" w:hAnsi="Times New Roman"/>
          <w:color w:val="auto"/>
          <w:sz w:val="24"/>
          <w:szCs w:val="24"/>
        </w:rPr>
        <w:t>expansion</w:t>
      </w:r>
      <w:r w:rsidRPr="00055E35">
        <w:rPr>
          <w:rFonts w:ascii="Times New Roman" w:hAnsi="Times New Roman"/>
          <w:color w:val="auto"/>
          <w:sz w:val="24"/>
          <w:szCs w:val="24"/>
        </w:rPr>
        <w:t xml:space="preserve">s from National Treasury during the first quarter of the 2018/19 financial year. </w:t>
      </w:r>
      <w:r>
        <w:rPr>
          <w:rFonts w:ascii="Times New Roman" w:hAnsi="Times New Roman"/>
          <w:color w:val="auto"/>
          <w:sz w:val="24"/>
          <w:szCs w:val="24"/>
        </w:rPr>
        <w:t xml:space="preserve">The table also reflects whether the expansions were supported or not supported by National Treasury. </w:t>
      </w:r>
    </w:p>
    <w:p w14:paraId="5F6144AD" w14:textId="77777777" w:rsidR="001D69FE" w:rsidRDefault="001D69FE" w:rsidP="00DA6AD9">
      <w:pPr>
        <w:spacing w:line="360" w:lineRule="auto"/>
        <w:contextualSpacing/>
        <w:jc w:val="both"/>
        <w:rPr>
          <w:rFonts w:ascii="Times New Roman" w:hAnsi="Times New Roman"/>
          <w:color w:val="auto"/>
          <w:sz w:val="24"/>
          <w:szCs w:val="24"/>
        </w:rPr>
      </w:pPr>
    </w:p>
    <w:p w14:paraId="31949390" w14:textId="77777777" w:rsidR="001D69FE" w:rsidRPr="00055E35" w:rsidRDefault="001D69FE" w:rsidP="00DA6AD9">
      <w:pPr>
        <w:spacing w:line="360" w:lineRule="auto"/>
        <w:contextualSpacing/>
        <w:jc w:val="both"/>
        <w:rPr>
          <w:rFonts w:ascii="Times New Roman" w:hAnsi="Times New Roman"/>
          <w:color w:val="auto"/>
          <w:sz w:val="24"/>
          <w:szCs w:val="24"/>
        </w:rPr>
      </w:pPr>
      <w:r w:rsidRPr="00055E35">
        <w:rPr>
          <w:rFonts w:ascii="Times New Roman" w:hAnsi="Times New Roman"/>
          <w:color w:val="auto"/>
          <w:sz w:val="24"/>
          <w:szCs w:val="24"/>
        </w:rPr>
        <w:t>Table 3: Expansions –Supported/Not Supported</w:t>
      </w:r>
    </w:p>
    <w:tbl>
      <w:tblPr>
        <w:tblStyle w:val="TableGrid"/>
        <w:tblW w:w="0" w:type="auto"/>
        <w:tblLook w:val="04A0" w:firstRow="1" w:lastRow="0" w:firstColumn="1" w:lastColumn="0" w:noHBand="0" w:noVBand="1"/>
      </w:tblPr>
      <w:tblGrid>
        <w:gridCol w:w="3235"/>
        <w:gridCol w:w="1177"/>
        <w:gridCol w:w="1171"/>
        <w:gridCol w:w="1222"/>
        <w:gridCol w:w="959"/>
        <w:gridCol w:w="1260"/>
      </w:tblGrid>
      <w:tr w:rsidR="001D69FE" w:rsidRPr="008707D6" w14:paraId="76E6C231" w14:textId="77777777" w:rsidTr="00936FB6">
        <w:tc>
          <w:tcPr>
            <w:tcW w:w="3235" w:type="dxa"/>
          </w:tcPr>
          <w:p w14:paraId="2BEDD8AD" w14:textId="77777777" w:rsidR="001D69FE" w:rsidRPr="008707D6" w:rsidRDefault="001D69FE" w:rsidP="00DA6AD9">
            <w:pPr>
              <w:spacing w:line="360" w:lineRule="auto"/>
              <w:contextualSpacing/>
              <w:jc w:val="both"/>
              <w:rPr>
                <w:rFonts w:ascii="Times New Roman" w:hAnsi="Times New Roman"/>
                <w:b/>
                <w:color w:val="auto"/>
                <w:sz w:val="20"/>
                <w:szCs w:val="20"/>
              </w:rPr>
            </w:pPr>
            <w:r w:rsidRPr="008707D6">
              <w:rPr>
                <w:rFonts w:ascii="Times New Roman" w:hAnsi="Times New Roman"/>
                <w:b/>
                <w:color w:val="auto"/>
                <w:sz w:val="20"/>
                <w:szCs w:val="20"/>
              </w:rPr>
              <w:t xml:space="preserve">Department or  Entity   </w:t>
            </w:r>
          </w:p>
        </w:tc>
        <w:tc>
          <w:tcPr>
            <w:tcW w:w="1169" w:type="dxa"/>
          </w:tcPr>
          <w:p w14:paraId="5E9E24C3" w14:textId="77777777" w:rsidR="001D69FE" w:rsidRPr="008707D6" w:rsidRDefault="001D69FE" w:rsidP="00DA6AD9">
            <w:pPr>
              <w:spacing w:line="360" w:lineRule="auto"/>
              <w:contextualSpacing/>
              <w:jc w:val="both"/>
              <w:rPr>
                <w:rFonts w:ascii="Times New Roman" w:hAnsi="Times New Roman"/>
                <w:b/>
                <w:color w:val="auto"/>
                <w:sz w:val="20"/>
                <w:szCs w:val="20"/>
              </w:rPr>
            </w:pPr>
            <w:r w:rsidRPr="008707D6">
              <w:rPr>
                <w:rFonts w:ascii="Times New Roman" w:hAnsi="Times New Roman"/>
                <w:b/>
                <w:color w:val="auto"/>
                <w:sz w:val="20"/>
                <w:szCs w:val="20"/>
              </w:rPr>
              <w:t xml:space="preserve">Total </w:t>
            </w:r>
            <w:r w:rsidRPr="008707D6">
              <w:rPr>
                <w:rFonts w:ascii="Times New Roman" w:hAnsi="Times New Roman"/>
                <w:b/>
                <w:color w:val="auto"/>
                <w:sz w:val="20"/>
                <w:szCs w:val="20"/>
              </w:rPr>
              <w:br/>
              <w:t xml:space="preserve">Deviations Requested  </w:t>
            </w:r>
          </w:p>
        </w:tc>
        <w:tc>
          <w:tcPr>
            <w:tcW w:w="1171" w:type="dxa"/>
          </w:tcPr>
          <w:p w14:paraId="73F5245A" w14:textId="77777777" w:rsidR="001D69FE" w:rsidRPr="008707D6" w:rsidRDefault="001D69FE" w:rsidP="00DA6AD9">
            <w:pPr>
              <w:spacing w:line="360" w:lineRule="auto"/>
              <w:contextualSpacing/>
              <w:jc w:val="both"/>
              <w:rPr>
                <w:rFonts w:ascii="Times New Roman" w:hAnsi="Times New Roman"/>
                <w:b/>
                <w:color w:val="auto"/>
                <w:sz w:val="20"/>
                <w:szCs w:val="20"/>
              </w:rPr>
            </w:pPr>
            <w:r w:rsidRPr="008707D6">
              <w:rPr>
                <w:rFonts w:ascii="Times New Roman" w:hAnsi="Times New Roman"/>
                <w:b/>
                <w:color w:val="auto"/>
                <w:sz w:val="20"/>
                <w:szCs w:val="20"/>
              </w:rPr>
              <w:t>Supported</w:t>
            </w:r>
          </w:p>
        </w:tc>
        <w:tc>
          <w:tcPr>
            <w:tcW w:w="1222" w:type="dxa"/>
          </w:tcPr>
          <w:p w14:paraId="1E8096E5" w14:textId="77777777" w:rsidR="001D69FE" w:rsidRPr="008707D6" w:rsidRDefault="001D69FE" w:rsidP="00DA6AD9">
            <w:pPr>
              <w:spacing w:line="360" w:lineRule="auto"/>
              <w:contextualSpacing/>
              <w:jc w:val="both"/>
              <w:rPr>
                <w:rFonts w:ascii="Times New Roman" w:hAnsi="Times New Roman"/>
                <w:b/>
                <w:color w:val="auto"/>
                <w:sz w:val="20"/>
                <w:szCs w:val="20"/>
              </w:rPr>
            </w:pPr>
            <w:r w:rsidRPr="008707D6">
              <w:rPr>
                <w:rFonts w:ascii="Times New Roman" w:hAnsi="Times New Roman"/>
                <w:b/>
                <w:color w:val="auto"/>
                <w:sz w:val="20"/>
                <w:szCs w:val="20"/>
              </w:rPr>
              <w:t xml:space="preserve">  Not Supported</w:t>
            </w:r>
          </w:p>
          <w:p w14:paraId="46298EF5" w14:textId="77777777" w:rsidR="001D69FE" w:rsidRPr="008707D6" w:rsidRDefault="001D69FE" w:rsidP="00DA6AD9">
            <w:pPr>
              <w:spacing w:line="360" w:lineRule="auto"/>
              <w:contextualSpacing/>
              <w:jc w:val="both"/>
              <w:rPr>
                <w:rFonts w:ascii="Times New Roman" w:hAnsi="Times New Roman"/>
                <w:b/>
                <w:color w:val="auto"/>
                <w:sz w:val="20"/>
                <w:szCs w:val="20"/>
              </w:rPr>
            </w:pPr>
          </w:p>
        </w:tc>
        <w:tc>
          <w:tcPr>
            <w:tcW w:w="959" w:type="dxa"/>
          </w:tcPr>
          <w:p w14:paraId="435E1695" w14:textId="77777777" w:rsidR="001D69FE" w:rsidRPr="008707D6" w:rsidRDefault="001D69FE" w:rsidP="00DA6AD9">
            <w:pPr>
              <w:spacing w:line="360" w:lineRule="auto"/>
              <w:contextualSpacing/>
              <w:jc w:val="both"/>
              <w:rPr>
                <w:rFonts w:ascii="Times New Roman" w:hAnsi="Times New Roman"/>
                <w:b/>
                <w:color w:val="auto"/>
                <w:sz w:val="20"/>
                <w:szCs w:val="20"/>
              </w:rPr>
            </w:pPr>
            <w:r w:rsidRPr="008707D6">
              <w:rPr>
                <w:rFonts w:ascii="Times New Roman" w:hAnsi="Times New Roman"/>
                <w:b/>
                <w:color w:val="auto"/>
                <w:sz w:val="20"/>
                <w:szCs w:val="20"/>
              </w:rPr>
              <w:t xml:space="preserve">Pending </w:t>
            </w:r>
          </w:p>
        </w:tc>
        <w:tc>
          <w:tcPr>
            <w:tcW w:w="1260" w:type="dxa"/>
          </w:tcPr>
          <w:p w14:paraId="0B953A35" w14:textId="77777777" w:rsidR="001D69FE" w:rsidRPr="008707D6" w:rsidRDefault="001D69FE" w:rsidP="00DA6AD9">
            <w:pPr>
              <w:spacing w:line="360" w:lineRule="auto"/>
              <w:contextualSpacing/>
              <w:jc w:val="both"/>
              <w:rPr>
                <w:rFonts w:ascii="Times New Roman" w:hAnsi="Times New Roman"/>
                <w:b/>
                <w:color w:val="auto"/>
                <w:sz w:val="20"/>
                <w:szCs w:val="20"/>
              </w:rPr>
            </w:pPr>
            <w:r w:rsidRPr="008707D6">
              <w:rPr>
                <w:rFonts w:ascii="Times New Roman" w:hAnsi="Times New Roman"/>
                <w:b/>
                <w:color w:val="auto"/>
                <w:sz w:val="20"/>
                <w:szCs w:val="20"/>
              </w:rPr>
              <w:t>Withdrawn</w:t>
            </w:r>
          </w:p>
        </w:tc>
      </w:tr>
      <w:tr w:rsidR="001D69FE" w:rsidRPr="008707D6" w14:paraId="42857BE3" w14:textId="77777777" w:rsidTr="00936FB6">
        <w:tc>
          <w:tcPr>
            <w:tcW w:w="3235" w:type="dxa"/>
          </w:tcPr>
          <w:p w14:paraId="0DB4C1D2" w14:textId="77777777" w:rsidR="001D69FE" w:rsidRPr="008707D6" w:rsidRDefault="001D69FE" w:rsidP="00DA6AD9">
            <w:pPr>
              <w:spacing w:line="360" w:lineRule="auto"/>
              <w:contextualSpacing/>
              <w:jc w:val="both"/>
              <w:rPr>
                <w:rFonts w:ascii="Times New Roman" w:hAnsi="Times New Roman"/>
                <w:color w:val="auto"/>
                <w:sz w:val="20"/>
                <w:szCs w:val="20"/>
              </w:rPr>
            </w:pPr>
            <w:r w:rsidRPr="008707D6">
              <w:rPr>
                <w:rFonts w:ascii="Times New Roman" w:hAnsi="Times New Roman"/>
                <w:color w:val="auto"/>
                <w:sz w:val="20"/>
                <w:szCs w:val="20"/>
              </w:rPr>
              <w:t>ESKOM</w:t>
            </w:r>
          </w:p>
        </w:tc>
        <w:tc>
          <w:tcPr>
            <w:tcW w:w="1169" w:type="dxa"/>
          </w:tcPr>
          <w:p w14:paraId="6A7C5E0B"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47</w:t>
            </w:r>
          </w:p>
        </w:tc>
        <w:tc>
          <w:tcPr>
            <w:tcW w:w="1171" w:type="dxa"/>
          </w:tcPr>
          <w:p w14:paraId="4030B426"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24</w:t>
            </w:r>
          </w:p>
        </w:tc>
        <w:tc>
          <w:tcPr>
            <w:tcW w:w="1222" w:type="dxa"/>
          </w:tcPr>
          <w:p w14:paraId="277BDBB7"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16</w:t>
            </w:r>
          </w:p>
        </w:tc>
        <w:tc>
          <w:tcPr>
            <w:tcW w:w="959" w:type="dxa"/>
          </w:tcPr>
          <w:p w14:paraId="55A8C103"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6</w:t>
            </w:r>
          </w:p>
        </w:tc>
        <w:tc>
          <w:tcPr>
            <w:tcW w:w="1260" w:type="dxa"/>
          </w:tcPr>
          <w:p w14:paraId="46017F82"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r>
      <w:tr w:rsidR="001D69FE" w:rsidRPr="008707D6" w14:paraId="37DC0915" w14:textId="77777777" w:rsidTr="00936FB6">
        <w:tc>
          <w:tcPr>
            <w:tcW w:w="3235" w:type="dxa"/>
          </w:tcPr>
          <w:p w14:paraId="15EE8F41" w14:textId="372D5D74" w:rsidR="001D69FE" w:rsidRPr="008707D6" w:rsidRDefault="001D69FE" w:rsidP="00DA6AD9">
            <w:pPr>
              <w:spacing w:line="360" w:lineRule="auto"/>
              <w:contextualSpacing/>
              <w:jc w:val="both"/>
              <w:rPr>
                <w:rFonts w:ascii="Times New Roman" w:hAnsi="Times New Roman"/>
                <w:color w:val="auto"/>
                <w:sz w:val="20"/>
                <w:szCs w:val="20"/>
              </w:rPr>
            </w:pPr>
            <w:r w:rsidRPr="008707D6">
              <w:rPr>
                <w:rFonts w:ascii="Times New Roman" w:hAnsi="Times New Roman"/>
                <w:iCs/>
                <w:color w:val="auto"/>
                <w:sz w:val="20"/>
                <w:szCs w:val="20"/>
              </w:rPr>
              <w:t>National Home Builders Registration Council</w:t>
            </w:r>
            <w:r w:rsidR="00BE43AA">
              <w:rPr>
                <w:rFonts w:ascii="Times New Roman" w:hAnsi="Times New Roman"/>
                <w:iCs/>
                <w:color w:val="auto"/>
                <w:sz w:val="20"/>
                <w:szCs w:val="20"/>
              </w:rPr>
              <w:t xml:space="preserve"> </w:t>
            </w:r>
            <w:r w:rsidR="00BE43AA" w:rsidRPr="00BE43AA">
              <w:rPr>
                <w:rFonts w:ascii="Times New Roman" w:hAnsi="Times New Roman"/>
                <w:iCs/>
                <w:color w:val="auto"/>
                <w:sz w:val="20"/>
                <w:szCs w:val="20"/>
              </w:rPr>
              <w:t>(NHBRC)</w:t>
            </w:r>
          </w:p>
        </w:tc>
        <w:tc>
          <w:tcPr>
            <w:tcW w:w="1169" w:type="dxa"/>
          </w:tcPr>
          <w:p w14:paraId="7BFA77A4"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11</w:t>
            </w:r>
          </w:p>
        </w:tc>
        <w:tc>
          <w:tcPr>
            <w:tcW w:w="1171" w:type="dxa"/>
          </w:tcPr>
          <w:p w14:paraId="52CCD646"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3</w:t>
            </w:r>
          </w:p>
        </w:tc>
        <w:tc>
          <w:tcPr>
            <w:tcW w:w="1222" w:type="dxa"/>
          </w:tcPr>
          <w:p w14:paraId="17451379"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8</w:t>
            </w:r>
          </w:p>
        </w:tc>
        <w:tc>
          <w:tcPr>
            <w:tcW w:w="959" w:type="dxa"/>
          </w:tcPr>
          <w:p w14:paraId="5008CCD7"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c>
          <w:tcPr>
            <w:tcW w:w="1260" w:type="dxa"/>
          </w:tcPr>
          <w:p w14:paraId="7CA743AC"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r>
      <w:tr w:rsidR="001D69FE" w:rsidRPr="008707D6" w14:paraId="42512AFD" w14:textId="77777777" w:rsidTr="00936FB6">
        <w:tc>
          <w:tcPr>
            <w:tcW w:w="3235" w:type="dxa"/>
          </w:tcPr>
          <w:p w14:paraId="0F553E2D" w14:textId="4A4049AB" w:rsidR="001D69FE" w:rsidRPr="008707D6" w:rsidRDefault="00BE43AA" w:rsidP="00DA6AD9">
            <w:pPr>
              <w:spacing w:line="360" w:lineRule="auto"/>
              <w:contextualSpacing/>
              <w:jc w:val="both"/>
              <w:rPr>
                <w:rFonts w:ascii="Times New Roman" w:hAnsi="Times New Roman"/>
                <w:iCs/>
                <w:color w:val="auto"/>
                <w:sz w:val="20"/>
                <w:szCs w:val="20"/>
              </w:rPr>
            </w:pPr>
            <w:r w:rsidRPr="00BE43AA">
              <w:rPr>
                <w:rFonts w:ascii="Times New Roman" w:hAnsi="Times New Roman"/>
                <w:iCs/>
                <w:color w:val="auto"/>
                <w:sz w:val="20"/>
                <w:szCs w:val="20"/>
              </w:rPr>
              <w:t xml:space="preserve">State Information Technology Agency </w:t>
            </w:r>
            <w:r>
              <w:rPr>
                <w:rFonts w:ascii="Times New Roman" w:hAnsi="Times New Roman"/>
                <w:iCs/>
                <w:color w:val="auto"/>
                <w:sz w:val="20"/>
                <w:szCs w:val="20"/>
              </w:rPr>
              <w:t>(</w:t>
            </w:r>
            <w:r w:rsidR="001D69FE" w:rsidRPr="008707D6">
              <w:rPr>
                <w:rFonts w:ascii="Times New Roman" w:hAnsi="Times New Roman"/>
                <w:iCs/>
                <w:color w:val="auto"/>
                <w:sz w:val="20"/>
                <w:szCs w:val="20"/>
              </w:rPr>
              <w:t>SITA</w:t>
            </w:r>
            <w:r>
              <w:rPr>
                <w:rFonts w:ascii="Times New Roman" w:hAnsi="Times New Roman"/>
                <w:iCs/>
                <w:color w:val="auto"/>
                <w:sz w:val="20"/>
                <w:szCs w:val="20"/>
              </w:rPr>
              <w:t>)</w:t>
            </w:r>
          </w:p>
        </w:tc>
        <w:tc>
          <w:tcPr>
            <w:tcW w:w="1169" w:type="dxa"/>
          </w:tcPr>
          <w:p w14:paraId="543F0C21"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9</w:t>
            </w:r>
          </w:p>
        </w:tc>
        <w:tc>
          <w:tcPr>
            <w:tcW w:w="1171" w:type="dxa"/>
          </w:tcPr>
          <w:p w14:paraId="11C12848"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4</w:t>
            </w:r>
          </w:p>
        </w:tc>
        <w:tc>
          <w:tcPr>
            <w:tcW w:w="1222" w:type="dxa"/>
          </w:tcPr>
          <w:p w14:paraId="3A3300EA"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2</w:t>
            </w:r>
          </w:p>
        </w:tc>
        <w:tc>
          <w:tcPr>
            <w:tcW w:w="959" w:type="dxa"/>
          </w:tcPr>
          <w:p w14:paraId="51B6D1AC"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2</w:t>
            </w:r>
          </w:p>
        </w:tc>
        <w:tc>
          <w:tcPr>
            <w:tcW w:w="1260" w:type="dxa"/>
          </w:tcPr>
          <w:p w14:paraId="6D9683F4"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1</w:t>
            </w:r>
          </w:p>
        </w:tc>
      </w:tr>
      <w:tr w:rsidR="001D69FE" w:rsidRPr="008707D6" w14:paraId="02180CD6" w14:textId="77777777" w:rsidTr="00936FB6">
        <w:tc>
          <w:tcPr>
            <w:tcW w:w="3235" w:type="dxa"/>
          </w:tcPr>
          <w:p w14:paraId="3EEB15C9" w14:textId="705A42A4" w:rsidR="001D69FE" w:rsidRPr="008707D6" w:rsidRDefault="00BE43AA" w:rsidP="00DA6AD9">
            <w:pPr>
              <w:spacing w:line="360" w:lineRule="auto"/>
              <w:contextualSpacing/>
              <w:jc w:val="both"/>
              <w:rPr>
                <w:rFonts w:ascii="Times New Roman" w:hAnsi="Times New Roman"/>
                <w:color w:val="auto"/>
                <w:sz w:val="20"/>
                <w:szCs w:val="20"/>
              </w:rPr>
            </w:pPr>
            <w:r w:rsidRPr="00761FE5">
              <w:rPr>
                <w:rFonts w:ascii="Times New Roman" w:hAnsi="Times New Roman"/>
                <w:iCs/>
                <w:color w:val="auto"/>
                <w:sz w:val="20"/>
                <w:szCs w:val="20"/>
              </w:rPr>
              <w:t xml:space="preserve">Education, Training and Development </w:t>
            </w:r>
            <w:r w:rsidR="00AF4545" w:rsidRPr="00761FE5">
              <w:rPr>
                <w:rFonts w:ascii="Times New Roman" w:hAnsi="Times New Roman"/>
                <w:iCs/>
                <w:color w:val="auto"/>
                <w:sz w:val="20"/>
                <w:szCs w:val="20"/>
              </w:rPr>
              <w:t>Practices</w:t>
            </w:r>
            <w:r w:rsidR="00761FE5">
              <w:rPr>
                <w:rFonts w:ascii="Times New Roman" w:hAnsi="Times New Roman"/>
                <w:iCs/>
                <w:color w:val="auto"/>
                <w:sz w:val="20"/>
                <w:szCs w:val="20"/>
              </w:rPr>
              <w:t xml:space="preserve"> </w:t>
            </w:r>
            <w:r w:rsidR="00AF4545" w:rsidRPr="00761FE5">
              <w:rPr>
                <w:rFonts w:ascii="Times New Roman" w:hAnsi="Times New Roman"/>
                <w:iCs/>
                <w:color w:val="auto"/>
                <w:sz w:val="20"/>
                <w:szCs w:val="20"/>
              </w:rPr>
              <w:t>(</w:t>
            </w:r>
            <w:r w:rsidR="001D69FE" w:rsidRPr="008707D6">
              <w:rPr>
                <w:rFonts w:ascii="Times New Roman" w:hAnsi="Times New Roman"/>
                <w:iCs/>
                <w:color w:val="auto"/>
                <w:sz w:val="20"/>
                <w:szCs w:val="20"/>
              </w:rPr>
              <w:t>ETDP</w:t>
            </w:r>
            <w:r w:rsidR="00AF4545">
              <w:rPr>
                <w:rFonts w:ascii="Times New Roman" w:hAnsi="Times New Roman"/>
                <w:iCs/>
                <w:color w:val="auto"/>
                <w:sz w:val="20"/>
                <w:szCs w:val="20"/>
              </w:rPr>
              <w:t>)</w:t>
            </w:r>
            <w:r w:rsidR="001D69FE" w:rsidRPr="008707D6">
              <w:rPr>
                <w:rFonts w:ascii="Times New Roman" w:hAnsi="Times New Roman"/>
                <w:iCs/>
                <w:color w:val="auto"/>
                <w:sz w:val="20"/>
                <w:szCs w:val="20"/>
              </w:rPr>
              <w:t xml:space="preserve"> SETA</w:t>
            </w:r>
          </w:p>
        </w:tc>
        <w:tc>
          <w:tcPr>
            <w:tcW w:w="1169" w:type="dxa"/>
          </w:tcPr>
          <w:p w14:paraId="5BAF8CBF"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8</w:t>
            </w:r>
          </w:p>
        </w:tc>
        <w:tc>
          <w:tcPr>
            <w:tcW w:w="1171" w:type="dxa"/>
          </w:tcPr>
          <w:p w14:paraId="78B75539"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8</w:t>
            </w:r>
          </w:p>
        </w:tc>
        <w:tc>
          <w:tcPr>
            <w:tcW w:w="1222" w:type="dxa"/>
          </w:tcPr>
          <w:p w14:paraId="2C4D63BE"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c>
          <w:tcPr>
            <w:tcW w:w="959" w:type="dxa"/>
          </w:tcPr>
          <w:p w14:paraId="2FF84990"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c>
          <w:tcPr>
            <w:tcW w:w="1260" w:type="dxa"/>
          </w:tcPr>
          <w:p w14:paraId="632AF579"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r>
      <w:tr w:rsidR="001D69FE" w:rsidRPr="008707D6" w14:paraId="3434022B" w14:textId="77777777" w:rsidTr="00936FB6">
        <w:tc>
          <w:tcPr>
            <w:tcW w:w="3235" w:type="dxa"/>
          </w:tcPr>
          <w:p w14:paraId="6FB1141A" w14:textId="6FD0CB2C" w:rsidR="001D69FE" w:rsidRPr="008707D6" w:rsidRDefault="001D69FE" w:rsidP="00DA6AD9">
            <w:pPr>
              <w:spacing w:line="360" w:lineRule="auto"/>
              <w:contextualSpacing/>
              <w:jc w:val="both"/>
              <w:rPr>
                <w:rFonts w:ascii="Times New Roman" w:hAnsi="Times New Roman"/>
                <w:color w:val="auto"/>
                <w:sz w:val="20"/>
                <w:szCs w:val="20"/>
              </w:rPr>
            </w:pPr>
            <w:r w:rsidRPr="008707D6">
              <w:rPr>
                <w:rFonts w:ascii="Times New Roman" w:hAnsi="Times New Roman"/>
                <w:color w:val="auto"/>
                <w:sz w:val="20"/>
                <w:szCs w:val="20"/>
              </w:rPr>
              <w:t>National Credit Regulator</w:t>
            </w:r>
            <w:r w:rsidR="00BE43AA">
              <w:rPr>
                <w:rFonts w:ascii="Times New Roman" w:hAnsi="Times New Roman"/>
                <w:color w:val="auto"/>
                <w:sz w:val="20"/>
                <w:szCs w:val="20"/>
              </w:rPr>
              <w:t xml:space="preserve"> (NCR)</w:t>
            </w:r>
          </w:p>
        </w:tc>
        <w:tc>
          <w:tcPr>
            <w:tcW w:w="1169" w:type="dxa"/>
          </w:tcPr>
          <w:p w14:paraId="775D29A6"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7</w:t>
            </w:r>
          </w:p>
        </w:tc>
        <w:tc>
          <w:tcPr>
            <w:tcW w:w="1171" w:type="dxa"/>
          </w:tcPr>
          <w:p w14:paraId="4C13ADFB"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2</w:t>
            </w:r>
          </w:p>
        </w:tc>
        <w:tc>
          <w:tcPr>
            <w:tcW w:w="1222" w:type="dxa"/>
          </w:tcPr>
          <w:p w14:paraId="2A064695"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1</w:t>
            </w:r>
          </w:p>
        </w:tc>
        <w:tc>
          <w:tcPr>
            <w:tcW w:w="959" w:type="dxa"/>
          </w:tcPr>
          <w:p w14:paraId="4DCE9825"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4</w:t>
            </w:r>
          </w:p>
        </w:tc>
        <w:tc>
          <w:tcPr>
            <w:tcW w:w="1260" w:type="dxa"/>
          </w:tcPr>
          <w:p w14:paraId="09AFB15D"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r>
      <w:tr w:rsidR="001D69FE" w:rsidRPr="008707D6" w14:paraId="197A0087" w14:textId="77777777" w:rsidTr="00936FB6">
        <w:tc>
          <w:tcPr>
            <w:tcW w:w="3235" w:type="dxa"/>
          </w:tcPr>
          <w:p w14:paraId="4A440D1A" w14:textId="586EA62D" w:rsidR="001D69FE" w:rsidRPr="008707D6" w:rsidRDefault="001D69FE" w:rsidP="00DA6AD9">
            <w:pPr>
              <w:spacing w:line="360" w:lineRule="auto"/>
              <w:contextualSpacing/>
              <w:jc w:val="both"/>
              <w:rPr>
                <w:rFonts w:ascii="Times New Roman" w:hAnsi="Times New Roman"/>
                <w:color w:val="auto"/>
                <w:sz w:val="20"/>
                <w:szCs w:val="20"/>
              </w:rPr>
            </w:pPr>
            <w:r w:rsidRPr="008707D6">
              <w:rPr>
                <w:rFonts w:ascii="Times New Roman" w:hAnsi="Times New Roman"/>
                <w:color w:val="auto"/>
                <w:sz w:val="20"/>
                <w:szCs w:val="20"/>
              </w:rPr>
              <w:t>South African Postal Office</w:t>
            </w:r>
            <w:r w:rsidR="00BE43AA">
              <w:rPr>
                <w:rFonts w:ascii="Times New Roman" w:hAnsi="Times New Roman"/>
                <w:color w:val="auto"/>
                <w:sz w:val="20"/>
                <w:szCs w:val="20"/>
              </w:rPr>
              <w:t xml:space="preserve"> (POSA)</w:t>
            </w:r>
            <w:r w:rsidRPr="008707D6">
              <w:rPr>
                <w:rFonts w:ascii="Times New Roman" w:hAnsi="Times New Roman"/>
                <w:color w:val="auto"/>
                <w:sz w:val="20"/>
                <w:szCs w:val="20"/>
              </w:rPr>
              <w:t xml:space="preserve"> Ltd</w:t>
            </w:r>
          </w:p>
        </w:tc>
        <w:tc>
          <w:tcPr>
            <w:tcW w:w="1169" w:type="dxa"/>
          </w:tcPr>
          <w:p w14:paraId="2FB78459"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7</w:t>
            </w:r>
          </w:p>
        </w:tc>
        <w:tc>
          <w:tcPr>
            <w:tcW w:w="1171" w:type="dxa"/>
          </w:tcPr>
          <w:p w14:paraId="2E5D255F"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1</w:t>
            </w:r>
          </w:p>
        </w:tc>
        <w:tc>
          <w:tcPr>
            <w:tcW w:w="1222" w:type="dxa"/>
          </w:tcPr>
          <w:p w14:paraId="466F7B96"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1</w:t>
            </w:r>
          </w:p>
        </w:tc>
        <w:tc>
          <w:tcPr>
            <w:tcW w:w="959" w:type="dxa"/>
          </w:tcPr>
          <w:p w14:paraId="3DE50DAC"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5</w:t>
            </w:r>
          </w:p>
        </w:tc>
        <w:tc>
          <w:tcPr>
            <w:tcW w:w="1260" w:type="dxa"/>
          </w:tcPr>
          <w:p w14:paraId="174A53B5"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r>
      <w:tr w:rsidR="001D69FE" w:rsidRPr="008707D6" w14:paraId="50BBCE5C" w14:textId="77777777" w:rsidTr="00936FB6">
        <w:tc>
          <w:tcPr>
            <w:tcW w:w="3235" w:type="dxa"/>
          </w:tcPr>
          <w:p w14:paraId="7872F03D" w14:textId="1BB75C70" w:rsidR="001D69FE" w:rsidRPr="008707D6" w:rsidRDefault="00BE43AA" w:rsidP="00DA6AD9">
            <w:pPr>
              <w:spacing w:line="360" w:lineRule="auto"/>
              <w:contextualSpacing/>
              <w:jc w:val="both"/>
              <w:rPr>
                <w:rFonts w:ascii="Times New Roman" w:hAnsi="Times New Roman"/>
                <w:color w:val="auto"/>
                <w:sz w:val="20"/>
                <w:szCs w:val="20"/>
              </w:rPr>
            </w:pPr>
            <w:r w:rsidRPr="00BE43AA">
              <w:rPr>
                <w:rFonts w:ascii="Times New Roman" w:hAnsi="Times New Roman"/>
                <w:color w:val="auto"/>
                <w:sz w:val="20"/>
                <w:szCs w:val="20"/>
              </w:rPr>
              <w:t>Independent Police Investigative Directorate (IPID)</w:t>
            </w:r>
          </w:p>
        </w:tc>
        <w:tc>
          <w:tcPr>
            <w:tcW w:w="1169" w:type="dxa"/>
          </w:tcPr>
          <w:p w14:paraId="6C775303"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6</w:t>
            </w:r>
          </w:p>
        </w:tc>
        <w:tc>
          <w:tcPr>
            <w:tcW w:w="1171" w:type="dxa"/>
          </w:tcPr>
          <w:p w14:paraId="38B887DC"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6</w:t>
            </w:r>
          </w:p>
        </w:tc>
        <w:tc>
          <w:tcPr>
            <w:tcW w:w="1222" w:type="dxa"/>
          </w:tcPr>
          <w:p w14:paraId="1A40E0CF"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c>
          <w:tcPr>
            <w:tcW w:w="959" w:type="dxa"/>
          </w:tcPr>
          <w:p w14:paraId="45FD2F87"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c>
          <w:tcPr>
            <w:tcW w:w="1260" w:type="dxa"/>
          </w:tcPr>
          <w:p w14:paraId="1D152F14"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r>
      <w:tr w:rsidR="001D69FE" w:rsidRPr="008707D6" w14:paraId="4CF769CD" w14:textId="77777777" w:rsidTr="00936FB6">
        <w:tc>
          <w:tcPr>
            <w:tcW w:w="3235" w:type="dxa"/>
          </w:tcPr>
          <w:p w14:paraId="4FE86CD2" w14:textId="1F391536" w:rsidR="001D69FE" w:rsidRPr="008707D6" w:rsidRDefault="00BE43AA" w:rsidP="00DA6AD9">
            <w:pPr>
              <w:spacing w:line="360" w:lineRule="auto"/>
              <w:contextualSpacing/>
              <w:jc w:val="both"/>
              <w:rPr>
                <w:rFonts w:ascii="Times New Roman" w:hAnsi="Times New Roman"/>
                <w:color w:val="auto"/>
                <w:sz w:val="20"/>
                <w:szCs w:val="20"/>
              </w:rPr>
            </w:pPr>
            <w:r w:rsidRPr="00BE43AA">
              <w:rPr>
                <w:rFonts w:ascii="Times New Roman" w:hAnsi="Times New Roman"/>
                <w:color w:val="auto"/>
                <w:sz w:val="20"/>
                <w:szCs w:val="20"/>
              </w:rPr>
              <w:t>South African Revenue Service (SARS)</w:t>
            </w:r>
          </w:p>
        </w:tc>
        <w:tc>
          <w:tcPr>
            <w:tcW w:w="1169" w:type="dxa"/>
          </w:tcPr>
          <w:p w14:paraId="22A3A67B"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5</w:t>
            </w:r>
          </w:p>
        </w:tc>
        <w:tc>
          <w:tcPr>
            <w:tcW w:w="1171" w:type="dxa"/>
          </w:tcPr>
          <w:p w14:paraId="7B368FA0"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3</w:t>
            </w:r>
          </w:p>
        </w:tc>
        <w:tc>
          <w:tcPr>
            <w:tcW w:w="1222" w:type="dxa"/>
          </w:tcPr>
          <w:p w14:paraId="7730F03F"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1</w:t>
            </w:r>
          </w:p>
        </w:tc>
        <w:tc>
          <w:tcPr>
            <w:tcW w:w="959" w:type="dxa"/>
          </w:tcPr>
          <w:p w14:paraId="2B7D9C4C"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1</w:t>
            </w:r>
          </w:p>
        </w:tc>
        <w:tc>
          <w:tcPr>
            <w:tcW w:w="1260" w:type="dxa"/>
          </w:tcPr>
          <w:p w14:paraId="0CE1C962"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r>
      <w:tr w:rsidR="001D69FE" w:rsidRPr="008707D6" w14:paraId="7FC26C46" w14:textId="77777777" w:rsidTr="00936FB6">
        <w:tc>
          <w:tcPr>
            <w:tcW w:w="3235" w:type="dxa"/>
          </w:tcPr>
          <w:p w14:paraId="4AA2B5F6" w14:textId="6BEF7981" w:rsidR="001D69FE" w:rsidRPr="008707D6" w:rsidRDefault="00BE43AA" w:rsidP="00DA6AD9">
            <w:pPr>
              <w:spacing w:line="360" w:lineRule="auto"/>
              <w:contextualSpacing/>
              <w:jc w:val="both"/>
              <w:rPr>
                <w:rFonts w:ascii="Times New Roman" w:hAnsi="Times New Roman"/>
                <w:color w:val="auto"/>
                <w:sz w:val="20"/>
                <w:szCs w:val="20"/>
              </w:rPr>
            </w:pPr>
            <w:r w:rsidRPr="00BE43AA">
              <w:rPr>
                <w:rFonts w:ascii="Times New Roman" w:hAnsi="Times New Roman"/>
                <w:color w:val="auto"/>
                <w:sz w:val="20"/>
                <w:szCs w:val="20"/>
              </w:rPr>
              <w:t>South African Social Security Agency (SASSA)</w:t>
            </w:r>
          </w:p>
        </w:tc>
        <w:tc>
          <w:tcPr>
            <w:tcW w:w="1169" w:type="dxa"/>
          </w:tcPr>
          <w:p w14:paraId="5F2B8C10"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4</w:t>
            </w:r>
          </w:p>
        </w:tc>
        <w:tc>
          <w:tcPr>
            <w:tcW w:w="1171" w:type="dxa"/>
          </w:tcPr>
          <w:p w14:paraId="24A918A8"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1</w:t>
            </w:r>
          </w:p>
        </w:tc>
        <w:tc>
          <w:tcPr>
            <w:tcW w:w="1222" w:type="dxa"/>
          </w:tcPr>
          <w:p w14:paraId="0623AC84"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3</w:t>
            </w:r>
          </w:p>
        </w:tc>
        <w:tc>
          <w:tcPr>
            <w:tcW w:w="959" w:type="dxa"/>
          </w:tcPr>
          <w:p w14:paraId="219E025F"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c>
          <w:tcPr>
            <w:tcW w:w="1260" w:type="dxa"/>
          </w:tcPr>
          <w:p w14:paraId="45CDB5C0"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r>
      <w:tr w:rsidR="001D69FE" w:rsidRPr="008707D6" w14:paraId="198A989D" w14:textId="77777777" w:rsidTr="00936FB6">
        <w:tc>
          <w:tcPr>
            <w:tcW w:w="3235" w:type="dxa"/>
          </w:tcPr>
          <w:p w14:paraId="60C0BE5A" w14:textId="0DB4EA08" w:rsidR="001D69FE" w:rsidRPr="008707D6" w:rsidRDefault="00BE43AA" w:rsidP="00DA6AD9">
            <w:pPr>
              <w:spacing w:line="360" w:lineRule="auto"/>
              <w:contextualSpacing/>
              <w:jc w:val="both"/>
              <w:rPr>
                <w:rFonts w:ascii="Times New Roman" w:hAnsi="Times New Roman"/>
                <w:color w:val="auto"/>
                <w:sz w:val="20"/>
                <w:szCs w:val="20"/>
              </w:rPr>
            </w:pPr>
            <w:r w:rsidRPr="00BE43AA">
              <w:rPr>
                <w:rFonts w:ascii="Times New Roman" w:hAnsi="Times New Roman"/>
                <w:color w:val="auto"/>
                <w:sz w:val="20"/>
                <w:szCs w:val="20"/>
              </w:rPr>
              <w:t xml:space="preserve">South African National Roads Agency SOC Ltd </w:t>
            </w:r>
            <w:r>
              <w:rPr>
                <w:rFonts w:ascii="Times New Roman" w:hAnsi="Times New Roman"/>
                <w:color w:val="auto"/>
                <w:sz w:val="20"/>
                <w:szCs w:val="20"/>
              </w:rPr>
              <w:t>(</w:t>
            </w:r>
            <w:r w:rsidR="001D69FE" w:rsidRPr="008707D6">
              <w:rPr>
                <w:rFonts w:ascii="Times New Roman" w:hAnsi="Times New Roman"/>
                <w:color w:val="auto"/>
                <w:sz w:val="20"/>
                <w:szCs w:val="20"/>
              </w:rPr>
              <w:t>SANRAL</w:t>
            </w:r>
            <w:r>
              <w:rPr>
                <w:rFonts w:ascii="Times New Roman" w:hAnsi="Times New Roman"/>
                <w:color w:val="auto"/>
                <w:sz w:val="20"/>
                <w:szCs w:val="20"/>
              </w:rPr>
              <w:t>)</w:t>
            </w:r>
          </w:p>
        </w:tc>
        <w:tc>
          <w:tcPr>
            <w:tcW w:w="1169" w:type="dxa"/>
          </w:tcPr>
          <w:p w14:paraId="5D536586"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4</w:t>
            </w:r>
          </w:p>
        </w:tc>
        <w:tc>
          <w:tcPr>
            <w:tcW w:w="1171" w:type="dxa"/>
          </w:tcPr>
          <w:p w14:paraId="636AB5EC"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c>
          <w:tcPr>
            <w:tcW w:w="1222" w:type="dxa"/>
          </w:tcPr>
          <w:p w14:paraId="0FD1FC53"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3</w:t>
            </w:r>
          </w:p>
        </w:tc>
        <w:tc>
          <w:tcPr>
            <w:tcW w:w="959" w:type="dxa"/>
          </w:tcPr>
          <w:p w14:paraId="05C9AA9D"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1</w:t>
            </w:r>
          </w:p>
        </w:tc>
        <w:tc>
          <w:tcPr>
            <w:tcW w:w="1260" w:type="dxa"/>
          </w:tcPr>
          <w:p w14:paraId="24A2EDD4"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r>
      <w:tr w:rsidR="001D69FE" w:rsidRPr="008707D6" w14:paraId="7D080A4E" w14:textId="77777777" w:rsidTr="00936FB6">
        <w:tc>
          <w:tcPr>
            <w:tcW w:w="3235" w:type="dxa"/>
          </w:tcPr>
          <w:p w14:paraId="750D7428" w14:textId="77777777" w:rsidR="001D69FE" w:rsidRPr="008707D6" w:rsidRDefault="001D69FE" w:rsidP="00DA6AD9">
            <w:pPr>
              <w:spacing w:line="360" w:lineRule="auto"/>
              <w:contextualSpacing/>
              <w:jc w:val="both"/>
              <w:rPr>
                <w:rFonts w:ascii="Times New Roman" w:hAnsi="Times New Roman"/>
                <w:color w:val="auto"/>
                <w:sz w:val="20"/>
                <w:szCs w:val="20"/>
              </w:rPr>
            </w:pPr>
            <w:r w:rsidRPr="008707D6">
              <w:rPr>
                <w:rFonts w:ascii="Times New Roman" w:hAnsi="Times New Roman"/>
                <w:color w:val="auto"/>
                <w:sz w:val="20"/>
                <w:szCs w:val="20"/>
              </w:rPr>
              <w:t>Environmental Affairs</w:t>
            </w:r>
          </w:p>
        </w:tc>
        <w:tc>
          <w:tcPr>
            <w:tcW w:w="1169" w:type="dxa"/>
          </w:tcPr>
          <w:p w14:paraId="202E1A6B"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4</w:t>
            </w:r>
          </w:p>
        </w:tc>
        <w:tc>
          <w:tcPr>
            <w:tcW w:w="1171" w:type="dxa"/>
          </w:tcPr>
          <w:p w14:paraId="23B84653"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c>
          <w:tcPr>
            <w:tcW w:w="1222" w:type="dxa"/>
          </w:tcPr>
          <w:p w14:paraId="6F6EB49E"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1</w:t>
            </w:r>
          </w:p>
        </w:tc>
        <w:tc>
          <w:tcPr>
            <w:tcW w:w="959" w:type="dxa"/>
          </w:tcPr>
          <w:p w14:paraId="051402C5"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2</w:t>
            </w:r>
          </w:p>
        </w:tc>
        <w:tc>
          <w:tcPr>
            <w:tcW w:w="1260" w:type="dxa"/>
          </w:tcPr>
          <w:p w14:paraId="6BBAEC4C"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r>
      <w:tr w:rsidR="001D69FE" w:rsidRPr="008707D6" w14:paraId="773F5F71" w14:textId="77777777" w:rsidTr="00936FB6">
        <w:tc>
          <w:tcPr>
            <w:tcW w:w="3235" w:type="dxa"/>
          </w:tcPr>
          <w:p w14:paraId="3880455A" w14:textId="77777777" w:rsidR="001D69FE" w:rsidRPr="008707D6" w:rsidRDefault="001D69FE" w:rsidP="00DA6AD9">
            <w:pPr>
              <w:spacing w:line="360" w:lineRule="auto"/>
              <w:contextualSpacing/>
              <w:jc w:val="both"/>
              <w:rPr>
                <w:rFonts w:ascii="Times New Roman" w:hAnsi="Times New Roman"/>
                <w:color w:val="auto"/>
                <w:sz w:val="20"/>
                <w:szCs w:val="20"/>
              </w:rPr>
            </w:pPr>
            <w:r w:rsidRPr="008707D6">
              <w:rPr>
                <w:rFonts w:ascii="Times New Roman" w:hAnsi="Times New Roman"/>
                <w:iCs/>
                <w:color w:val="auto"/>
                <w:sz w:val="20"/>
                <w:szCs w:val="20"/>
              </w:rPr>
              <w:t>South African Tourism</w:t>
            </w:r>
          </w:p>
        </w:tc>
        <w:tc>
          <w:tcPr>
            <w:tcW w:w="1169" w:type="dxa"/>
          </w:tcPr>
          <w:p w14:paraId="2BF160A4"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4</w:t>
            </w:r>
          </w:p>
        </w:tc>
        <w:tc>
          <w:tcPr>
            <w:tcW w:w="1171" w:type="dxa"/>
          </w:tcPr>
          <w:p w14:paraId="66155056"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3</w:t>
            </w:r>
          </w:p>
        </w:tc>
        <w:tc>
          <w:tcPr>
            <w:tcW w:w="1222" w:type="dxa"/>
          </w:tcPr>
          <w:p w14:paraId="5AB7EE7F"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c>
          <w:tcPr>
            <w:tcW w:w="959" w:type="dxa"/>
          </w:tcPr>
          <w:p w14:paraId="5D45769F"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1</w:t>
            </w:r>
          </w:p>
        </w:tc>
        <w:tc>
          <w:tcPr>
            <w:tcW w:w="1260" w:type="dxa"/>
          </w:tcPr>
          <w:p w14:paraId="4CE48E99" w14:textId="77777777" w:rsidR="001D69FE" w:rsidRPr="008707D6" w:rsidRDefault="001D69FE" w:rsidP="00DA6AD9">
            <w:pPr>
              <w:spacing w:line="360" w:lineRule="auto"/>
              <w:contextualSpacing/>
              <w:jc w:val="right"/>
              <w:rPr>
                <w:rFonts w:ascii="Times New Roman" w:hAnsi="Times New Roman"/>
                <w:color w:val="auto"/>
                <w:sz w:val="20"/>
                <w:szCs w:val="20"/>
              </w:rPr>
            </w:pPr>
            <w:r w:rsidRPr="008707D6">
              <w:rPr>
                <w:rFonts w:ascii="Times New Roman" w:hAnsi="Times New Roman"/>
                <w:color w:val="auto"/>
                <w:sz w:val="20"/>
                <w:szCs w:val="20"/>
              </w:rPr>
              <w:t>0</w:t>
            </w:r>
          </w:p>
        </w:tc>
      </w:tr>
    </w:tbl>
    <w:p w14:paraId="553D666A" w14:textId="77777777" w:rsidR="001D69FE" w:rsidRPr="008707D6" w:rsidRDefault="001D69FE" w:rsidP="00DA6AD9">
      <w:pPr>
        <w:tabs>
          <w:tab w:val="left" w:pos="1916"/>
        </w:tabs>
        <w:spacing w:line="360" w:lineRule="auto"/>
        <w:contextualSpacing/>
        <w:jc w:val="both"/>
        <w:rPr>
          <w:rFonts w:ascii="Times New Roman" w:hAnsi="Times New Roman"/>
          <w:color w:val="auto"/>
          <w:sz w:val="20"/>
          <w:szCs w:val="20"/>
        </w:rPr>
      </w:pPr>
      <w:r w:rsidRPr="008707D6">
        <w:rPr>
          <w:rFonts w:ascii="Times New Roman" w:hAnsi="Times New Roman"/>
          <w:color w:val="auto"/>
          <w:sz w:val="20"/>
          <w:szCs w:val="20"/>
        </w:rPr>
        <w:t>Source: National Treasury 2018</w:t>
      </w:r>
    </w:p>
    <w:p w14:paraId="2F8ECDCB" w14:textId="77777777" w:rsidR="001D69FE" w:rsidRPr="00055E35" w:rsidRDefault="001D69FE" w:rsidP="00DA6AD9">
      <w:pPr>
        <w:spacing w:line="360" w:lineRule="auto"/>
        <w:contextualSpacing/>
        <w:jc w:val="both"/>
        <w:rPr>
          <w:rFonts w:ascii="Times New Roman" w:hAnsi="Times New Roman"/>
          <w:b/>
          <w:color w:val="auto"/>
          <w:sz w:val="24"/>
          <w:szCs w:val="24"/>
        </w:rPr>
      </w:pPr>
    </w:p>
    <w:p w14:paraId="1479C40F" w14:textId="77777777" w:rsidR="001D69FE" w:rsidRPr="00055E35" w:rsidRDefault="001D69FE" w:rsidP="00DA6AD9">
      <w:pPr>
        <w:spacing w:line="360" w:lineRule="auto"/>
        <w:contextualSpacing/>
        <w:jc w:val="both"/>
        <w:rPr>
          <w:rFonts w:ascii="Times New Roman" w:hAnsi="Times New Roman"/>
          <w:color w:val="auto"/>
          <w:sz w:val="24"/>
          <w:szCs w:val="24"/>
        </w:rPr>
      </w:pPr>
      <w:r w:rsidRPr="00055E35">
        <w:rPr>
          <w:rFonts w:ascii="Times New Roman" w:hAnsi="Times New Roman"/>
          <w:color w:val="auto"/>
          <w:sz w:val="24"/>
          <w:szCs w:val="24"/>
        </w:rPr>
        <w:t xml:space="preserve">National Treasury reported the following concerns regarding the </w:t>
      </w:r>
      <w:r>
        <w:rPr>
          <w:rFonts w:ascii="Times New Roman" w:hAnsi="Times New Roman"/>
          <w:color w:val="auto"/>
          <w:sz w:val="24"/>
          <w:szCs w:val="24"/>
        </w:rPr>
        <w:t>ab</w:t>
      </w:r>
      <w:r w:rsidRPr="00055E35">
        <w:rPr>
          <w:rFonts w:ascii="Times New Roman" w:hAnsi="Times New Roman"/>
          <w:color w:val="auto"/>
          <w:sz w:val="24"/>
          <w:szCs w:val="24"/>
        </w:rPr>
        <w:t>use of deviations and expansions</w:t>
      </w:r>
      <w:r>
        <w:rPr>
          <w:rFonts w:ascii="Times New Roman" w:hAnsi="Times New Roman"/>
          <w:color w:val="auto"/>
          <w:sz w:val="24"/>
          <w:szCs w:val="24"/>
        </w:rPr>
        <w:t xml:space="preserve"> by departments and entities</w:t>
      </w:r>
      <w:r w:rsidRPr="00055E35">
        <w:rPr>
          <w:rFonts w:ascii="Times New Roman" w:hAnsi="Times New Roman"/>
          <w:color w:val="auto"/>
          <w:sz w:val="24"/>
          <w:szCs w:val="24"/>
        </w:rPr>
        <w:t>:</w:t>
      </w:r>
    </w:p>
    <w:p w14:paraId="1E6328BA" w14:textId="77777777" w:rsidR="001D69FE" w:rsidRPr="00055E35" w:rsidRDefault="001D69FE" w:rsidP="00DA6AD9">
      <w:pPr>
        <w:pStyle w:val="Default"/>
        <w:spacing w:line="360" w:lineRule="auto"/>
        <w:contextualSpacing/>
        <w:rPr>
          <w:color w:val="auto"/>
        </w:rPr>
      </w:pPr>
    </w:p>
    <w:p w14:paraId="5D1E20AA" w14:textId="757A577F" w:rsidR="001D69FE" w:rsidRPr="00055E35" w:rsidRDefault="001D69FE" w:rsidP="00DA6AD9">
      <w:pPr>
        <w:pStyle w:val="ListParagraph"/>
        <w:numPr>
          <w:ilvl w:val="0"/>
          <w:numId w:val="9"/>
        </w:numPr>
        <w:spacing w:line="360" w:lineRule="auto"/>
        <w:jc w:val="both"/>
        <w:rPr>
          <w:rFonts w:ascii="Times New Roman" w:hAnsi="Times New Roman"/>
          <w:color w:val="auto"/>
          <w:sz w:val="24"/>
          <w:szCs w:val="24"/>
        </w:rPr>
      </w:pPr>
      <w:r w:rsidRPr="00055E35">
        <w:rPr>
          <w:rFonts w:ascii="Times New Roman" w:hAnsi="Times New Roman"/>
          <w:color w:val="auto"/>
          <w:sz w:val="24"/>
          <w:szCs w:val="24"/>
        </w:rPr>
        <w:t>Deviations below competitive bids are not reported (no obligation to report) by institutions. Abuse is picked</w:t>
      </w:r>
      <w:r w:rsidR="00122623">
        <w:rPr>
          <w:rFonts w:ascii="Times New Roman" w:hAnsi="Times New Roman"/>
          <w:color w:val="auto"/>
          <w:sz w:val="24"/>
          <w:szCs w:val="24"/>
        </w:rPr>
        <w:t xml:space="preserve"> up</w:t>
      </w:r>
      <w:r w:rsidRPr="00055E35">
        <w:rPr>
          <w:rFonts w:ascii="Times New Roman" w:hAnsi="Times New Roman"/>
          <w:color w:val="auto"/>
          <w:sz w:val="24"/>
          <w:szCs w:val="24"/>
        </w:rPr>
        <w:t xml:space="preserve"> by </w:t>
      </w:r>
      <w:r w:rsidR="00122623">
        <w:rPr>
          <w:rFonts w:ascii="Times New Roman" w:hAnsi="Times New Roman"/>
          <w:color w:val="auto"/>
          <w:sz w:val="24"/>
          <w:szCs w:val="24"/>
        </w:rPr>
        <w:t xml:space="preserve">the </w:t>
      </w:r>
      <w:r w:rsidRPr="00055E35">
        <w:rPr>
          <w:rFonts w:ascii="Times New Roman" w:hAnsi="Times New Roman"/>
          <w:color w:val="auto"/>
          <w:sz w:val="24"/>
          <w:szCs w:val="24"/>
        </w:rPr>
        <w:t xml:space="preserve">Auditor General during audits; </w:t>
      </w:r>
    </w:p>
    <w:p w14:paraId="67D80354" w14:textId="77777777" w:rsidR="001D69FE" w:rsidRPr="00055E35" w:rsidRDefault="001D69FE" w:rsidP="00DA6AD9">
      <w:pPr>
        <w:pStyle w:val="ListParagraph"/>
        <w:numPr>
          <w:ilvl w:val="0"/>
          <w:numId w:val="9"/>
        </w:numPr>
        <w:spacing w:line="360" w:lineRule="auto"/>
        <w:jc w:val="both"/>
        <w:rPr>
          <w:rFonts w:ascii="Times New Roman" w:hAnsi="Times New Roman"/>
          <w:color w:val="auto"/>
          <w:sz w:val="24"/>
          <w:szCs w:val="24"/>
        </w:rPr>
      </w:pPr>
      <w:r w:rsidRPr="00055E35">
        <w:rPr>
          <w:rFonts w:ascii="Times New Roman" w:hAnsi="Times New Roman"/>
          <w:color w:val="auto"/>
          <w:sz w:val="24"/>
          <w:szCs w:val="24"/>
        </w:rPr>
        <w:t xml:space="preserve">Some </w:t>
      </w:r>
      <w:r>
        <w:rPr>
          <w:rFonts w:ascii="Times New Roman" w:hAnsi="Times New Roman"/>
          <w:color w:val="auto"/>
          <w:sz w:val="24"/>
          <w:szCs w:val="24"/>
        </w:rPr>
        <w:t>departments and entities</w:t>
      </w:r>
      <w:r w:rsidRPr="00055E35">
        <w:rPr>
          <w:rFonts w:ascii="Times New Roman" w:hAnsi="Times New Roman"/>
          <w:color w:val="auto"/>
          <w:sz w:val="24"/>
          <w:szCs w:val="24"/>
        </w:rPr>
        <w:t xml:space="preserve"> deviate and participate in contracts arranged by other institutions. There is no obligation to report these deviations; </w:t>
      </w:r>
    </w:p>
    <w:p w14:paraId="6504AB18" w14:textId="16288376" w:rsidR="001D69FE" w:rsidRPr="00055E35" w:rsidRDefault="001D69FE" w:rsidP="00DA6AD9">
      <w:pPr>
        <w:pStyle w:val="ListParagraph"/>
        <w:numPr>
          <w:ilvl w:val="0"/>
          <w:numId w:val="9"/>
        </w:numPr>
        <w:spacing w:line="360" w:lineRule="auto"/>
        <w:jc w:val="both"/>
        <w:rPr>
          <w:rFonts w:ascii="Times New Roman" w:hAnsi="Times New Roman"/>
          <w:color w:val="auto"/>
          <w:sz w:val="24"/>
          <w:szCs w:val="24"/>
        </w:rPr>
      </w:pPr>
      <w:r w:rsidRPr="00055E35">
        <w:rPr>
          <w:rFonts w:ascii="Times New Roman" w:hAnsi="Times New Roman"/>
          <w:color w:val="auto"/>
          <w:sz w:val="24"/>
          <w:szCs w:val="24"/>
        </w:rPr>
        <w:t xml:space="preserve">Some </w:t>
      </w:r>
      <w:r>
        <w:rPr>
          <w:rFonts w:ascii="Times New Roman" w:hAnsi="Times New Roman"/>
          <w:color w:val="auto"/>
          <w:sz w:val="24"/>
          <w:szCs w:val="24"/>
        </w:rPr>
        <w:t>departments and entities</w:t>
      </w:r>
      <w:r w:rsidRPr="00055E35">
        <w:rPr>
          <w:rFonts w:ascii="Times New Roman" w:hAnsi="Times New Roman"/>
          <w:color w:val="auto"/>
          <w:sz w:val="24"/>
          <w:szCs w:val="24"/>
        </w:rPr>
        <w:t xml:space="preserve"> use </w:t>
      </w:r>
      <w:r w:rsidR="00761FE5">
        <w:rPr>
          <w:rFonts w:ascii="Times New Roman" w:hAnsi="Times New Roman"/>
          <w:color w:val="auto"/>
          <w:sz w:val="24"/>
          <w:szCs w:val="24"/>
        </w:rPr>
        <w:t xml:space="preserve">the </w:t>
      </w:r>
      <w:r w:rsidRPr="00055E35">
        <w:rPr>
          <w:rFonts w:ascii="Times New Roman" w:hAnsi="Times New Roman"/>
          <w:color w:val="auto"/>
          <w:sz w:val="24"/>
          <w:szCs w:val="24"/>
        </w:rPr>
        <w:t>emergency provision to enter into long term contracts;</w:t>
      </w:r>
    </w:p>
    <w:p w14:paraId="7F24A20A" w14:textId="61CFAC5C" w:rsidR="001D69FE" w:rsidRPr="00055E35" w:rsidRDefault="001D69FE" w:rsidP="00DA6AD9">
      <w:pPr>
        <w:pStyle w:val="ListParagraph"/>
        <w:numPr>
          <w:ilvl w:val="0"/>
          <w:numId w:val="9"/>
        </w:numPr>
        <w:spacing w:line="360" w:lineRule="auto"/>
        <w:jc w:val="both"/>
        <w:rPr>
          <w:rFonts w:ascii="Times New Roman" w:hAnsi="Times New Roman"/>
          <w:color w:val="auto"/>
          <w:sz w:val="24"/>
          <w:szCs w:val="24"/>
        </w:rPr>
      </w:pPr>
      <w:r w:rsidRPr="00055E35">
        <w:rPr>
          <w:rFonts w:ascii="Times New Roman" w:hAnsi="Times New Roman"/>
          <w:color w:val="auto"/>
          <w:sz w:val="24"/>
          <w:szCs w:val="24"/>
        </w:rPr>
        <w:t xml:space="preserve">Some </w:t>
      </w:r>
      <w:r>
        <w:rPr>
          <w:rFonts w:ascii="Times New Roman" w:hAnsi="Times New Roman"/>
          <w:color w:val="auto"/>
          <w:sz w:val="24"/>
          <w:szCs w:val="24"/>
        </w:rPr>
        <w:t>departments and entities</w:t>
      </w:r>
      <w:r w:rsidRPr="00055E35">
        <w:rPr>
          <w:rFonts w:ascii="Times New Roman" w:hAnsi="Times New Roman"/>
          <w:color w:val="auto"/>
          <w:sz w:val="24"/>
          <w:szCs w:val="24"/>
        </w:rPr>
        <w:t xml:space="preserve"> think the role of National Treasury is to approve the appointment of a supplier, whereas the role of National Treasury is </w:t>
      </w:r>
      <w:r w:rsidR="000A061D">
        <w:rPr>
          <w:rFonts w:ascii="Times New Roman" w:hAnsi="Times New Roman"/>
          <w:color w:val="auto"/>
          <w:sz w:val="24"/>
          <w:szCs w:val="24"/>
        </w:rPr>
        <w:t xml:space="preserve">to </w:t>
      </w:r>
      <w:r w:rsidRPr="00055E35">
        <w:rPr>
          <w:rFonts w:ascii="Times New Roman" w:hAnsi="Times New Roman"/>
          <w:color w:val="auto"/>
          <w:sz w:val="24"/>
          <w:szCs w:val="24"/>
        </w:rPr>
        <w:t>allow an institution not to advertise a bid but invite as many suppliers as possible and assess the proposals or quotations through bid committees;</w:t>
      </w:r>
    </w:p>
    <w:p w14:paraId="3B69502C" w14:textId="77777777" w:rsidR="001D69FE" w:rsidRPr="00055E35" w:rsidRDefault="001D69FE" w:rsidP="00DA6AD9">
      <w:pPr>
        <w:pStyle w:val="ListParagraph"/>
        <w:numPr>
          <w:ilvl w:val="0"/>
          <w:numId w:val="9"/>
        </w:numPr>
        <w:spacing w:line="360" w:lineRule="auto"/>
        <w:jc w:val="both"/>
        <w:rPr>
          <w:rFonts w:ascii="Times New Roman" w:hAnsi="Times New Roman"/>
          <w:color w:val="auto"/>
          <w:sz w:val="24"/>
          <w:szCs w:val="24"/>
        </w:rPr>
      </w:pPr>
      <w:r w:rsidRPr="00055E35">
        <w:rPr>
          <w:rFonts w:ascii="Times New Roman" w:hAnsi="Times New Roman"/>
          <w:color w:val="auto"/>
          <w:sz w:val="24"/>
          <w:szCs w:val="24"/>
        </w:rPr>
        <w:t xml:space="preserve">Some </w:t>
      </w:r>
      <w:r>
        <w:rPr>
          <w:rFonts w:ascii="Times New Roman" w:hAnsi="Times New Roman"/>
          <w:color w:val="auto"/>
          <w:sz w:val="24"/>
          <w:szCs w:val="24"/>
        </w:rPr>
        <w:t>departments and entities</w:t>
      </w:r>
      <w:r w:rsidRPr="00055E35">
        <w:rPr>
          <w:rFonts w:ascii="Times New Roman" w:hAnsi="Times New Roman"/>
          <w:color w:val="auto"/>
          <w:sz w:val="24"/>
          <w:szCs w:val="24"/>
        </w:rPr>
        <w:t xml:space="preserve"> procure through deviation even though National Treasury has said no to such a deviation; and</w:t>
      </w:r>
    </w:p>
    <w:p w14:paraId="5235693F" w14:textId="77777777" w:rsidR="001D69FE" w:rsidRPr="00055E35" w:rsidRDefault="001D69FE" w:rsidP="00DA6AD9">
      <w:pPr>
        <w:pStyle w:val="ListParagraph"/>
        <w:numPr>
          <w:ilvl w:val="0"/>
          <w:numId w:val="9"/>
        </w:numPr>
        <w:spacing w:line="360" w:lineRule="auto"/>
        <w:jc w:val="both"/>
        <w:rPr>
          <w:rFonts w:ascii="Times New Roman" w:hAnsi="Times New Roman"/>
          <w:color w:val="auto"/>
          <w:sz w:val="24"/>
          <w:szCs w:val="24"/>
        </w:rPr>
      </w:pPr>
      <w:r w:rsidRPr="00055E35">
        <w:rPr>
          <w:rFonts w:ascii="Times New Roman" w:hAnsi="Times New Roman"/>
          <w:color w:val="auto"/>
          <w:sz w:val="24"/>
          <w:szCs w:val="24"/>
        </w:rPr>
        <w:t xml:space="preserve">Some </w:t>
      </w:r>
      <w:r>
        <w:rPr>
          <w:rFonts w:ascii="Times New Roman" w:hAnsi="Times New Roman"/>
          <w:color w:val="auto"/>
          <w:sz w:val="24"/>
          <w:szCs w:val="24"/>
        </w:rPr>
        <w:t>departments and entities</w:t>
      </w:r>
      <w:r w:rsidRPr="00055E35">
        <w:rPr>
          <w:rFonts w:ascii="Times New Roman" w:hAnsi="Times New Roman"/>
          <w:color w:val="auto"/>
          <w:sz w:val="24"/>
          <w:szCs w:val="24"/>
        </w:rPr>
        <w:t xml:space="preserve"> do not request prior approval from National Treasury for single source procurements. </w:t>
      </w:r>
    </w:p>
    <w:p w14:paraId="215DDEED" w14:textId="4DC48595" w:rsidR="00AC1E36" w:rsidRDefault="00AC1E36" w:rsidP="00484579">
      <w:pPr>
        <w:spacing w:line="360" w:lineRule="auto"/>
        <w:contextualSpacing/>
        <w:jc w:val="both"/>
        <w:rPr>
          <w:rFonts w:ascii="Times New Roman" w:hAnsi="Times New Roman"/>
          <w:b/>
          <w:color w:val="auto"/>
          <w:sz w:val="24"/>
          <w:szCs w:val="24"/>
        </w:rPr>
      </w:pPr>
    </w:p>
    <w:p w14:paraId="074589E9" w14:textId="77777777" w:rsidR="00D427A3" w:rsidRDefault="00D427A3" w:rsidP="00484579">
      <w:pPr>
        <w:spacing w:line="360" w:lineRule="auto"/>
        <w:contextualSpacing/>
        <w:jc w:val="both"/>
        <w:rPr>
          <w:rFonts w:ascii="Times New Roman" w:hAnsi="Times New Roman"/>
          <w:b/>
          <w:color w:val="auto"/>
          <w:sz w:val="24"/>
          <w:szCs w:val="24"/>
        </w:rPr>
      </w:pPr>
    </w:p>
    <w:p w14:paraId="41787F37" w14:textId="589DD176" w:rsidR="00792A91" w:rsidRDefault="00792A91" w:rsidP="00DA6AD9">
      <w:pPr>
        <w:numPr>
          <w:ilvl w:val="0"/>
          <w:numId w:val="1"/>
        </w:numPr>
        <w:tabs>
          <w:tab w:val="clear" w:pos="720"/>
          <w:tab w:val="num" w:pos="540"/>
        </w:tabs>
        <w:spacing w:line="360" w:lineRule="auto"/>
        <w:ind w:hanging="720"/>
        <w:contextualSpacing/>
        <w:jc w:val="both"/>
        <w:rPr>
          <w:rFonts w:ascii="Times New Roman" w:hAnsi="Times New Roman"/>
          <w:b/>
          <w:color w:val="auto"/>
          <w:sz w:val="24"/>
          <w:szCs w:val="24"/>
        </w:rPr>
      </w:pPr>
      <w:r>
        <w:rPr>
          <w:rFonts w:ascii="Times New Roman" w:hAnsi="Times New Roman"/>
          <w:b/>
          <w:color w:val="auto"/>
          <w:sz w:val="24"/>
          <w:szCs w:val="24"/>
        </w:rPr>
        <w:t>Invited Departments</w:t>
      </w:r>
    </w:p>
    <w:p w14:paraId="23B6D039" w14:textId="77777777" w:rsidR="00163D48" w:rsidRDefault="00163D48" w:rsidP="00DA6AD9">
      <w:pPr>
        <w:spacing w:after="160" w:line="360" w:lineRule="auto"/>
        <w:contextualSpacing/>
        <w:rPr>
          <w:rFonts w:ascii="Times New Roman" w:hAnsi="Times New Roman"/>
          <w:color w:val="auto"/>
          <w:sz w:val="24"/>
          <w:szCs w:val="24"/>
        </w:rPr>
      </w:pPr>
    </w:p>
    <w:p w14:paraId="52243FA2" w14:textId="56750DC8" w:rsidR="00792A91" w:rsidRDefault="00792A91" w:rsidP="00DA6AD9">
      <w:pPr>
        <w:spacing w:after="160" w:line="360" w:lineRule="auto"/>
        <w:contextualSpacing/>
        <w:rPr>
          <w:rFonts w:ascii="Times New Roman" w:hAnsi="Times New Roman"/>
          <w:color w:val="auto"/>
          <w:sz w:val="24"/>
          <w:szCs w:val="24"/>
        </w:rPr>
      </w:pPr>
      <w:r w:rsidRPr="00055E35">
        <w:rPr>
          <w:rFonts w:ascii="Times New Roman" w:hAnsi="Times New Roman"/>
          <w:color w:val="auto"/>
          <w:sz w:val="24"/>
          <w:szCs w:val="24"/>
        </w:rPr>
        <w:t>The Committee invited the following departments for hearings on the First Quarter Expenditure for the 2018/19 financial year:</w:t>
      </w:r>
    </w:p>
    <w:p w14:paraId="639E8F9D" w14:textId="77777777" w:rsidR="001D69FE" w:rsidRPr="00792A91" w:rsidRDefault="001D69FE" w:rsidP="00DA6AD9">
      <w:pPr>
        <w:spacing w:after="160" w:line="360" w:lineRule="auto"/>
        <w:contextualSpacing/>
        <w:rPr>
          <w:rFonts w:ascii="Times New Roman" w:eastAsiaTheme="minorHAnsi" w:hAnsi="Times New Roman"/>
          <w:color w:val="auto"/>
          <w:spacing w:val="0"/>
          <w:sz w:val="24"/>
          <w:szCs w:val="24"/>
          <w:lang w:val="en-ZA" w:eastAsia="en-US"/>
        </w:rPr>
      </w:pPr>
    </w:p>
    <w:p w14:paraId="3B8E7724" w14:textId="67040887" w:rsidR="00792A91" w:rsidRPr="001D69FE" w:rsidRDefault="00792A91" w:rsidP="00DA6AD9">
      <w:pPr>
        <w:pStyle w:val="ListParagraph"/>
        <w:numPr>
          <w:ilvl w:val="1"/>
          <w:numId w:val="13"/>
        </w:numPr>
        <w:spacing w:line="360" w:lineRule="auto"/>
        <w:jc w:val="both"/>
        <w:rPr>
          <w:rFonts w:ascii="Times New Roman" w:hAnsi="Times New Roman"/>
          <w:b/>
          <w:color w:val="auto"/>
          <w:sz w:val="24"/>
          <w:szCs w:val="24"/>
          <w:lang w:val="en-ZA"/>
        </w:rPr>
      </w:pPr>
      <w:r w:rsidRPr="001D69FE">
        <w:rPr>
          <w:rFonts w:ascii="Times New Roman" w:hAnsi="Times New Roman"/>
          <w:b/>
          <w:color w:val="auto"/>
          <w:sz w:val="24"/>
          <w:szCs w:val="24"/>
          <w:lang w:val="en-ZA"/>
        </w:rPr>
        <w:t>Department of Water and Sanitation (Vote 36)</w:t>
      </w:r>
    </w:p>
    <w:p w14:paraId="637D6E3A" w14:textId="77777777" w:rsidR="00792A91" w:rsidRPr="00055E35" w:rsidRDefault="00792A91" w:rsidP="00DA6AD9">
      <w:pPr>
        <w:spacing w:line="360" w:lineRule="auto"/>
        <w:contextualSpacing/>
        <w:jc w:val="both"/>
        <w:rPr>
          <w:rFonts w:ascii="Times New Roman" w:hAnsi="Times New Roman"/>
          <w:b/>
          <w:color w:val="auto"/>
          <w:sz w:val="24"/>
          <w:szCs w:val="24"/>
          <w:lang w:val="en-ZA"/>
        </w:rPr>
      </w:pPr>
    </w:p>
    <w:p w14:paraId="5DFA9237" w14:textId="77777777" w:rsidR="00792A91" w:rsidRPr="00055E35" w:rsidRDefault="00792A91" w:rsidP="00DA6AD9">
      <w:pPr>
        <w:spacing w:line="360" w:lineRule="auto"/>
        <w:contextualSpacing/>
        <w:jc w:val="both"/>
        <w:rPr>
          <w:rFonts w:ascii="Times New Roman" w:hAnsi="Times New Roman"/>
          <w:color w:val="auto"/>
          <w:sz w:val="24"/>
          <w:szCs w:val="24"/>
          <w:lang w:val="en-ZA"/>
        </w:rPr>
      </w:pPr>
      <w:r w:rsidRPr="00055E35">
        <w:rPr>
          <w:rFonts w:ascii="Times New Roman" w:hAnsi="Times New Roman"/>
          <w:color w:val="auto"/>
          <w:sz w:val="24"/>
          <w:szCs w:val="24"/>
          <w:lang w:val="en-ZA"/>
        </w:rPr>
        <w:t xml:space="preserve">The Department of Water and Sanitation (DWS) spent R2.3 billion or 14.5 per cent of its total allocated budget of R15.6 billion in the first quarter of the 2018/19 financial year. </w:t>
      </w:r>
      <w:proofErr w:type="gramStart"/>
      <w:r w:rsidRPr="00055E35">
        <w:rPr>
          <w:rFonts w:ascii="Times New Roman" w:hAnsi="Times New Roman"/>
          <w:color w:val="auto"/>
          <w:sz w:val="24"/>
          <w:szCs w:val="24"/>
          <w:lang w:val="en-ZA"/>
        </w:rPr>
        <w:t>This represent</w:t>
      </w:r>
      <w:proofErr w:type="gramEnd"/>
      <w:r w:rsidRPr="00055E35">
        <w:rPr>
          <w:rFonts w:ascii="Times New Roman" w:hAnsi="Times New Roman"/>
          <w:color w:val="auto"/>
          <w:sz w:val="24"/>
          <w:szCs w:val="24"/>
          <w:lang w:val="en-ZA"/>
        </w:rPr>
        <w:t xml:space="preserve"> underspending of R1.1 billion or 32.1 per cent against the projected expenditure of R3.3 billion for the first quarter.  The underspending was mainly attributed to delays in the payment of outstanding cost of living adjustments and pay progressions, vacant posts across all four programmes of the DWS; outstanding </w:t>
      </w:r>
      <w:r w:rsidRPr="00055E35">
        <w:rPr>
          <w:rFonts w:ascii="Times New Roman" w:hAnsi="Times New Roman"/>
          <w:color w:val="auto"/>
          <w:sz w:val="24"/>
          <w:szCs w:val="24"/>
          <w:lang w:val="en-ZA"/>
        </w:rPr>
        <w:lastRenderedPageBreak/>
        <w:t xml:space="preserve">transfers to the Water Trading Entity and Water Boards; and delays in the verification and approval of payments of invoices in respect of work done on the Indirect (Schedule 6B) Regional Bulk Infrastructure as well as the Water Services Infrastructure Grant. </w:t>
      </w:r>
    </w:p>
    <w:p w14:paraId="70C83E70" w14:textId="77777777" w:rsidR="00792A91" w:rsidRPr="00055E35" w:rsidRDefault="00792A91" w:rsidP="00DA6AD9">
      <w:pPr>
        <w:spacing w:line="360" w:lineRule="auto"/>
        <w:contextualSpacing/>
        <w:jc w:val="both"/>
        <w:rPr>
          <w:rFonts w:ascii="Times New Roman" w:hAnsi="Times New Roman"/>
          <w:b/>
          <w:color w:val="auto"/>
          <w:sz w:val="24"/>
          <w:szCs w:val="24"/>
          <w:lang w:val="en-ZA"/>
        </w:rPr>
      </w:pPr>
    </w:p>
    <w:p w14:paraId="0248F90A" w14:textId="5D152F3D" w:rsidR="00792A91" w:rsidRDefault="00792A91" w:rsidP="00DA6AD9">
      <w:pPr>
        <w:spacing w:line="360" w:lineRule="auto"/>
        <w:contextualSpacing/>
        <w:jc w:val="both"/>
        <w:rPr>
          <w:rFonts w:ascii="Times New Roman" w:hAnsi="Times New Roman"/>
          <w:color w:val="auto"/>
          <w:sz w:val="24"/>
          <w:szCs w:val="24"/>
          <w:lang w:val="en-ZA"/>
        </w:rPr>
      </w:pPr>
      <w:r w:rsidRPr="00055E35">
        <w:rPr>
          <w:rFonts w:ascii="Times New Roman" w:hAnsi="Times New Roman"/>
          <w:color w:val="auto"/>
          <w:sz w:val="24"/>
          <w:szCs w:val="24"/>
          <w:lang w:val="en-ZA"/>
        </w:rPr>
        <w:t xml:space="preserve">The Department also reported on its performance against the targets as per the 2018/19 Annual Performance Plan. The DWS submitted that 65 percent of the targets for </w:t>
      </w:r>
      <w:r w:rsidR="008135D8">
        <w:rPr>
          <w:rFonts w:ascii="Times New Roman" w:hAnsi="Times New Roman"/>
          <w:color w:val="auto"/>
          <w:sz w:val="24"/>
          <w:szCs w:val="24"/>
          <w:lang w:val="en-ZA"/>
        </w:rPr>
        <w:t xml:space="preserve">the first </w:t>
      </w:r>
      <w:r w:rsidRPr="00055E35">
        <w:rPr>
          <w:rFonts w:ascii="Times New Roman" w:hAnsi="Times New Roman"/>
          <w:color w:val="auto"/>
          <w:sz w:val="24"/>
          <w:szCs w:val="24"/>
          <w:lang w:val="en-ZA"/>
        </w:rPr>
        <w:t xml:space="preserve">quarter were achieved, while 16 per percent were partially achieved and 19 per cent were not achieved. In terms of the Water Trading Entity, it was reported that 50 per cent of the targets were achieved while the other 50 per cent were partially achieved during quarter 1 of the 2018/19 financial year. </w:t>
      </w:r>
    </w:p>
    <w:p w14:paraId="6AA3234A" w14:textId="4FC3BD5F" w:rsidR="00792A91" w:rsidRDefault="00792A91" w:rsidP="00DA6AD9">
      <w:pPr>
        <w:spacing w:line="360" w:lineRule="auto"/>
        <w:contextualSpacing/>
        <w:jc w:val="both"/>
        <w:rPr>
          <w:rFonts w:ascii="Times New Roman" w:hAnsi="Times New Roman"/>
          <w:color w:val="auto"/>
          <w:sz w:val="24"/>
          <w:szCs w:val="24"/>
          <w:lang w:val="en-ZA"/>
        </w:rPr>
      </w:pPr>
    </w:p>
    <w:p w14:paraId="0BEF7F32" w14:textId="56B31F48" w:rsidR="00792A91" w:rsidRPr="001D69FE" w:rsidRDefault="00792A91" w:rsidP="00DA6AD9">
      <w:pPr>
        <w:pStyle w:val="ListParagraph"/>
        <w:numPr>
          <w:ilvl w:val="1"/>
          <w:numId w:val="13"/>
        </w:numPr>
        <w:spacing w:line="360" w:lineRule="auto"/>
        <w:jc w:val="both"/>
        <w:rPr>
          <w:rFonts w:ascii="Times New Roman" w:hAnsi="Times New Roman"/>
          <w:b/>
          <w:color w:val="auto"/>
          <w:sz w:val="24"/>
          <w:szCs w:val="24"/>
          <w:lang w:val="en-ZA"/>
        </w:rPr>
      </w:pPr>
      <w:r w:rsidRPr="001D69FE">
        <w:rPr>
          <w:rFonts w:ascii="Times New Roman" w:hAnsi="Times New Roman"/>
          <w:b/>
          <w:color w:val="auto"/>
          <w:sz w:val="24"/>
          <w:szCs w:val="24"/>
          <w:lang w:val="en-ZA"/>
        </w:rPr>
        <w:t>Department of Higher Education and Training (Vote 15)</w:t>
      </w:r>
    </w:p>
    <w:p w14:paraId="7DEF6280" w14:textId="77777777" w:rsidR="00792A91" w:rsidRPr="00055E35" w:rsidRDefault="00792A91" w:rsidP="00DA6AD9">
      <w:pPr>
        <w:pStyle w:val="ListParagraph"/>
        <w:spacing w:line="360" w:lineRule="auto"/>
        <w:ind w:left="480"/>
        <w:jc w:val="both"/>
        <w:rPr>
          <w:rFonts w:ascii="Times New Roman" w:hAnsi="Times New Roman"/>
          <w:b/>
          <w:color w:val="auto"/>
          <w:sz w:val="24"/>
          <w:szCs w:val="24"/>
          <w:lang w:val="en-ZA"/>
        </w:rPr>
      </w:pPr>
    </w:p>
    <w:p w14:paraId="63A2B153" w14:textId="4D629EC0" w:rsidR="00792A91" w:rsidRPr="00055E35" w:rsidRDefault="00792A91" w:rsidP="00DA6AD9">
      <w:pPr>
        <w:spacing w:line="360" w:lineRule="auto"/>
        <w:contextualSpacing/>
        <w:jc w:val="both"/>
        <w:rPr>
          <w:rFonts w:ascii="Times New Roman" w:hAnsi="Times New Roman"/>
          <w:color w:val="auto"/>
          <w:sz w:val="24"/>
          <w:szCs w:val="24"/>
          <w:lang w:val="en-ZA"/>
        </w:rPr>
      </w:pPr>
      <w:r w:rsidRPr="00055E35">
        <w:rPr>
          <w:rFonts w:ascii="Times New Roman" w:hAnsi="Times New Roman"/>
          <w:color w:val="auto"/>
          <w:sz w:val="24"/>
          <w:szCs w:val="24"/>
          <w:lang w:val="en-ZA"/>
        </w:rPr>
        <w:t>The Department of Higher Ed</w:t>
      </w:r>
      <w:r w:rsidR="00761FE5">
        <w:rPr>
          <w:rFonts w:ascii="Times New Roman" w:hAnsi="Times New Roman"/>
          <w:color w:val="auto"/>
          <w:sz w:val="24"/>
          <w:szCs w:val="24"/>
          <w:lang w:val="en-ZA"/>
        </w:rPr>
        <w:t>ucation and Training spent R32.</w:t>
      </w:r>
      <w:r w:rsidRPr="00055E35">
        <w:rPr>
          <w:rFonts w:ascii="Times New Roman" w:hAnsi="Times New Roman"/>
          <w:color w:val="auto"/>
          <w:sz w:val="24"/>
          <w:szCs w:val="24"/>
          <w:lang w:val="en-ZA"/>
        </w:rPr>
        <w:t xml:space="preserve">7 billion or 44.8 per cent of its total allocated budget of R73.0 billion in the first quarter of the 2018/19 financial year. This represents an underspending of R2.0 billion or 5.9 per cent against the projected expenditure for the first quarter.  The underspending is mainly attributed to delays in the transfers of the earmarked grants to higher education institutions (i.e. </w:t>
      </w:r>
      <w:r w:rsidRPr="00055E35">
        <w:rPr>
          <w:rFonts w:ascii="Times New Roman" w:hAnsi="Times New Roman"/>
          <w:color w:val="auto"/>
          <w:sz w:val="24"/>
          <w:szCs w:val="24"/>
        </w:rPr>
        <w:t>Clinical Training; Infrastructure and Efficiency; University Capacity Development; New University Establishment Costs; and Historically Disadvantaged Institutions)</w:t>
      </w:r>
      <w:r w:rsidRPr="00055E35">
        <w:rPr>
          <w:rFonts w:ascii="Times New Roman" w:hAnsi="Times New Roman"/>
          <w:color w:val="auto"/>
          <w:sz w:val="24"/>
          <w:szCs w:val="24"/>
          <w:lang w:val="en-ZA"/>
        </w:rPr>
        <w:t xml:space="preserve"> and the Infrastructure and Efficiency Grant (EIG) earmarked for infrastructure refurbishment and maintenance in Technical and Vocational Education and Training (TVET) colleges.</w:t>
      </w:r>
    </w:p>
    <w:p w14:paraId="73799B7C" w14:textId="77777777" w:rsidR="00792A91" w:rsidRPr="00055E35" w:rsidRDefault="00792A91" w:rsidP="00DA6AD9">
      <w:pPr>
        <w:spacing w:line="360" w:lineRule="auto"/>
        <w:contextualSpacing/>
        <w:jc w:val="both"/>
        <w:rPr>
          <w:rFonts w:ascii="Times New Roman" w:hAnsi="Times New Roman"/>
          <w:color w:val="auto"/>
          <w:sz w:val="24"/>
          <w:szCs w:val="24"/>
          <w:lang w:val="en-ZA"/>
        </w:rPr>
      </w:pPr>
    </w:p>
    <w:p w14:paraId="1B4ED830" w14:textId="77777777" w:rsidR="00792A91" w:rsidRPr="00055E35" w:rsidRDefault="00792A91" w:rsidP="00DA6AD9">
      <w:pPr>
        <w:spacing w:line="360" w:lineRule="auto"/>
        <w:contextualSpacing/>
        <w:jc w:val="both"/>
        <w:rPr>
          <w:rFonts w:ascii="Times New Roman" w:hAnsi="Times New Roman"/>
          <w:color w:val="auto"/>
          <w:sz w:val="24"/>
          <w:szCs w:val="24"/>
          <w:lang w:val="en-ZA"/>
        </w:rPr>
      </w:pPr>
      <w:r w:rsidRPr="00055E35">
        <w:rPr>
          <w:rFonts w:ascii="Times New Roman" w:hAnsi="Times New Roman"/>
          <w:color w:val="auto"/>
          <w:sz w:val="24"/>
          <w:szCs w:val="24"/>
          <w:lang w:val="en-ZA"/>
        </w:rPr>
        <w:t xml:space="preserve">In terms of performance on its targets as per the Annual Performance Plan, the Department has a total of 110 targets of which 75 are direct outputs of the Department and 35 relate to performance of the Post School Education and Training (PSET) system. During the first quarter the Department met 21 milestones which contribute towards the attainment of annual targets.  The Department also reported that in 2017/18 the following targets were not achieved: disciplinary cases, filling of advertised posts, and payment of creditors within 30 days. </w:t>
      </w:r>
    </w:p>
    <w:p w14:paraId="3AC871E5" w14:textId="636328D2" w:rsidR="00792A91" w:rsidRDefault="00792A91" w:rsidP="00DA6AD9">
      <w:pPr>
        <w:spacing w:line="360" w:lineRule="auto"/>
        <w:contextualSpacing/>
        <w:jc w:val="both"/>
        <w:rPr>
          <w:rFonts w:ascii="Times New Roman" w:hAnsi="Times New Roman"/>
          <w:b/>
          <w:color w:val="auto"/>
          <w:sz w:val="24"/>
          <w:szCs w:val="24"/>
          <w:lang w:val="en-ZA"/>
        </w:rPr>
      </w:pPr>
    </w:p>
    <w:p w14:paraId="6E21E238" w14:textId="36C12A59" w:rsidR="00D427A3" w:rsidRDefault="00D427A3" w:rsidP="00DA6AD9">
      <w:pPr>
        <w:spacing w:line="360" w:lineRule="auto"/>
        <w:contextualSpacing/>
        <w:jc w:val="both"/>
        <w:rPr>
          <w:rFonts w:ascii="Times New Roman" w:hAnsi="Times New Roman"/>
          <w:b/>
          <w:color w:val="auto"/>
          <w:sz w:val="24"/>
          <w:szCs w:val="24"/>
          <w:lang w:val="en-ZA"/>
        </w:rPr>
      </w:pPr>
    </w:p>
    <w:p w14:paraId="2B8278C4" w14:textId="79EA656A" w:rsidR="00D427A3" w:rsidRDefault="00D427A3" w:rsidP="00DA6AD9">
      <w:pPr>
        <w:spacing w:line="360" w:lineRule="auto"/>
        <w:contextualSpacing/>
        <w:jc w:val="both"/>
        <w:rPr>
          <w:rFonts w:ascii="Times New Roman" w:hAnsi="Times New Roman"/>
          <w:b/>
          <w:color w:val="auto"/>
          <w:sz w:val="24"/>
          <w:szCs w:val="24"/>
          <w:lang w:val="en-ZA"/>
        </w:rPr>
      </w:pPr>
    </w:p>
    <w:p w14:paraId="3041968F" w14:textId="35054020" w:rsidR="00D427A3" w:rsidRDefault="00D427A3" w:rsidP="00DA6AD9">
      <w:pPr>
        <w:spacing w:line="360" w:lineRule="auto"/>
        <w:contextualSpacing/>
        <w:jc w:val="both"/>
        <w:rPr>
          <w:rFonts w:ascii="Times New Roman" w:hAnsi="Times New Roman"/>
          <w:b/>
          <w:color w:val="auto"/>
          <w:sz w:val="24"/>
          <w:szCs w:val="24"/>
          <w:lang w:val="en-ZA"/>
        </w:rPr>
      </w:pPr>
    </w:p>
    <w:p w14:paraId="2579E1F2" w14:textId="77777777" w:rsidR="00D427A3" w:rsidRPr="00055E35" w:rsidRDefault="00D427A3" w:rsidP="00DA6AD9">
      <w:pPr>
        <w:spacing w:line="360" w:lineRule="auto"/>
        <w:contextualSpacing/>
        <w:jc w:val="both"/>
        <w:rPr>
          <w:rFonts w:ascii="Times New Roman" w:hAnsi="Times New Roman"/>
          <w:b/>
          <w:color w:val="auto"/>
          <w:sz w:val="24"/>
          <w:szCs w:val="24"/>
          <w:lang w:val="en-ZA"/>
        </w:rPr>
      </w:pPr>
    </w:p>
    <w:p w14:paraId="64681F22" w14:textId="0BB45ED2" w:rsidR="00792A91" w:rsidRPr="001D69FE" w:rsidRDefault="00792A91" w:rsidP="00DA6AD9">
      <w:pPr>
        <w:pStyle w:val="ListParagraph"/>
        <w:numPr>
          <w:ilvl w:val="1"/>
          <w:numId w:val="13"/>
        </w:numPr>
        <w:spacing w:line="360" w:lineRule="auto"/>
        <w:jc w:val="both"/>
        <w:rPr>
          <w:rFonts w:ascii="Times New Roman" w:hAnsi="Times New Roman"/>
          <w:b/>
          <w:color w:val="auto"/>
          <w:sz w:val="24"/>
          <w:szCs w:val="24"/>
          <w:lang w:val="en-ZA"/>
        </w:rPr>
      </w:pPr>
      <w:r w:rsidRPr="001D69FE">
        <w:rPr>
          <w:rFonts w:ascii="Times New Roman" w:hAnsi="Times New Roman"/>
          <w:b/>
          <w:color w:val="auto"/>
          <w:sz w:val="24"/>
          <w:szCs w:val="24"/>
          <w:lang w:val="en-ZA"/>
        </w:rPr>
        <w:t>Department of Energy (Vote 26)</w:t>
      </w:r>
    </w:p>
    <w:p w14:paraId="097F4C6C" w14:textId="77777777" w:rsidR="00792A91" w:rsidRPr="00055E35" w:rsidRDefault="00792A91" w:rsidP="00DA6AD9">
      <w:pPr>
        <w:pStyle w:val="ListParagraph"/>
        <w:spacing w:line="360" w:lineRule="auto"/>
        <w:ind w:left="480"/>
        <w:jc w:val="both"/>
        <w:rPr>
          <w:rFonts w:ascii="Times New Roman" w:hAnsi="Times New Roman"/>
          <w:b/>
          <w:color w:val="auto"/>
          <w:sz w:val="24"/>
          <w:szCs w:val="24"/>
          <w:lang w:val="en-ZA"/>
        </w:rPr>
      </w:pPr>
    </w:p>
    <w:p w14:paraId="37DDF44E" w14:textId="77777777" w:rsidR="00761FE5" w:rsidRDefault="00792A91" w:rsidP="00761FE5">
      <w:pPr>
        <w:spacing w:line="360" w:lineRule="auto"/>
        <w:contextualSpacing/>
        <w:jc w:val="both"/>
        <w:rPr>
          <w:rFonts w:ascii="Times New Roman" w:hAnsi="Times New Roman"/>
          <w:color w:val="auto"/>
          <w:sz w:val="24"/>
          <w:szCs w:val="24"/>
          <w:lang w:val="en-ZA"/>
        </w:rPr>
      </w:pPr>
      <w:r w:rsidRPr="00055E35">
        <w:rPr>
          <w:rFonts w:ascii="Times New Roman" w:hAnsi="Times New Roman"/>
          <w:color w:val="auto"/>
          <w:sz w:val="24"/>
          <w:szCs w:val="24"/>
          <w:lang w:val="en-ZA"/>
        </w:rPr>
        <w:t xml:space="preserve">The Department of Energy spent R889.2 million or 12.6 per cent of its total allocated budget of R7.0 billion in the first quarter of the 2018/19 financial year. </w:t>
      </w:r>
      <w:proofErr w:type="gramStart"/>
      <w:r w:rsidRPr="00055E35">
        <w:rPr>
          <w:rFonts w:ascii="Times New Roman" w:hAnsi="Times New Roman"/>
          <w:color w:val="auto"/>
          <w:sz w:val="24"/>
          <w:szCs w:val="24"/>
          <w:lang w:val="en-ZA"/>
        </w:rPr>
        <w:t>This represent</w:t>
      </w:r>
      <w:proofErr w:type="gramEnd"/>
      <w:r w:rsidRPr="00055E35">
        <w:rPr>
          <w:rFonts w:ascii="Times New Roman" w:hAnsi="Times New Roman"/>
          <w:color w:val="auto"/>
          <w:sz w:val="24"/>
          <w:szCs w:val="24"/>
          <w:lang w:val="en-ZA"/>
        </w:rPr>
        <w:t xml:space="preserve"> underspending of R612.8 million or 40.8 per cent against the projected expenditure of R1.5 billion for the first quarter.  </w:t>
      </w:r>
      <w:r w:rsidR="00761FE5" w:rsidRPr="00055E35">
        <w:rPr>
          <w:rFonts w:ascii="Times New Roman" w:hAnsi="Times New Roman"/>
          <w:color w:val="auto"/>
          <w:sz w:val="24"/>
          <w:szCs w:val="24"/>
          <w:lang w:val="en-ZA"/>
        </w:rPr>
        <w:t xml:space="preserve">The underspending was mainly attributed to </w:t>
      </w:r>
      <w:r w:rsidR="00761FE5">
        <w:rPr>
          <w:rFonts w:ascii="Times New Roman" w:hAnsi="Times New Roman"/>
          <w:color w:val="auto"/>
          <w:sz w:val="24"/>
          <w:szCs w:val="24"/>
          <w:lang w:val="en-ZA"/>
        </w:rPr>
        <w:t xml:space="preserve">the following: </w:t>
      </w:r>
    </w:p>
    <w:p w14:paraId="58F2379D" w14:textId="77777777" w:rsidR="00761FE5" w:rsidRDefault="00761FE5" w:rsidP="00761FE5">
      <w:pPr>
        <w:spacing w:line="360" w:lineRule="auto"/>
        <w:contextualSpacing/>
        <w:jc w:val="both"/>
        <w:rPr>
          <w:rFonts w:ascii="Times New Roman" w:hAnsi="Times New Roman"/>
          <w:color w:val="auto"/>
          <w:sz w:val="24"/>
          <w:szCs w:val="24"/>
          <w:lang w:val="en-ZA"/>
        </w:rPr>
      </w:pPr>
    </w:p>
    <w:p w14:paraId="5F4C75B9" w14:textId="77777777" w:rsidR="00761FE5" w:rsidRDefault="00761FE5" w:rsidP="00761FE5">
      <w:pPr>
        <w:pStyle w:val="ListParagraph"/>
        <w:numPr>
          <w:ilvl w:val="0"/>
          <w:numId w:val="20"/>
        </w:numPr>
        <w:spacing w:line="360" w:lineRule="auto"/>
        <w:jc w:val="both"/>
        <w:rPr>
          <w:rFonts w:ascii="Times New Roman" w:hAnsi="Times New Roman"/>
          <w:color w:val="auto"/>
          <w:sz w:val="24"/>
          <w:szCs w:val="24"/>
          <w:lang w:val="en-ZA"/>
        </w:rPr>
      </w:pPr>
      <w:r w:rsidRPr="006A56BD">
        <w:rPr>
          <w:rFonts w:ascii="Times New Roman" w:hAnsi="Times New Roman"/>
          <w:color w:val="auto"/>
          <w:sz w:val="24"/>
          <w:szCs w:val="24"/>
          <w:lang w:val="en-ZA"/>
        </w:rPr>
        <w:t xml:space="preserve">delays in the implementation of the 2018 wage agreement and filling of vacant posts; </w:t>
      </w:r>
    </w:p>
    <w:p w14:paraId="134D256F" w14:textId="77777777" w:rsidR="00761FE5" w:rsidRDefault="00761FE5" w:rsidP="00761FE5">
      <w:pPr>
        <w:pStyle w:val="ListParagraph"/>
        <w:numPr>
          <w:ilvl w:val="0"/>
          <w:numId w:val="20"/>
        </w:numPr>
        <w:spacing w:line="360" w:lineRule="auto"/>
        <w:jc w:val="both"/>
        <w:rPr>
          <w:rFonts w:ascii="Times New Roman" w:hAnsi="Times New Roman"/>
          <w:color w:val="auto"/>
          <w:sz w:val="24"/>
          <w:szCs w:val="24"/>
          <w:lang w:val="en-ZA"/>
        </w:rPr>
      </w:pPr>
      <w:r w:rsidRPr="006A56BD">
        <w:rPr>
          <w:rFonts w:ascii="Times New Roman" w:hAnsi="Times New Roman"/>
          <w:color w:val="auto"/>
          <w:sz w:val="24"/>
          <w:szCs w:val="24"/>
          <w:lang w:val="en-ZA"/>
        </w:rPr>
        <w:t>late receipt of invoices in respect of operating leases for office accommodation as well as international membership fees to the African Power Pool Association;</w:t>
      </w:r>
    </w:p>
    <w:p w14:paraId="11A1C408" w14:textId="77777777" w:rsidR="00761FE5" w:rsidRDefault="00761FE5" w:rsidP="00761FE5">
      <w:pPr>
        <w:pStyle w:val="ListParagraph"/>
        <w:numPr>
          <w:ilvl w:val="0"/>
          <w:numId w:val="20"/>
        </w:numPr>
        <w:spacing w:line="360" w:lineRule="auto"/>
        <w:jc w:val="both"/>
        <w:rPr>
          <w:rFonts w:ascii="Times New Roman" w:hAnsi="Times New Roman"/>
          <w:color w:val="auto"/>
          <w:sz w:val="24"/>
          <w:szCs w:val="24"/>
          <w:lang w:val="en-ZA"/>
        </w:rPr>
      </w:pPr>
      <w:r w:rsidRPr="006A56BD">
        <w:rPr>
          <w:rFonts w:ascii="Times New Roman" w:hAnsi="Times New Roman"/>
          <w:color w:val="auto"/>
          <w:sz w:val="24"/>
          <w:szCs w:val="24"/>
          <w:lang w:val="en-ZA"/>
        </w:rPr>
        <w:t xml:space="preserve">delayed payments to Eskom and non-grid households in respect of the Integrated National Electrification </w:t>
      </w:r>
      <w:proofErr w:type="spellStart"/>
      <w:r w:rsidRPr="006A56BD">
        <w:rPr>
          <w:rFonts w:ascii="Times New Roman" w:hAnsi="Times New Roman"/>
          <w:color w:val="auto"/>
          <w:sz w:val="24"/>
          <w:szCs w:val="24"/>
          <w:lang w:val="en-ZA"/>
        </w:rPr>
        <w:t>Progamme</w:t>
      </w:r>
      <w:proofErr w:type="spellEnd"/>
      <w:r w:rsidRPr="006A56BD">
        <w:rPr>
          <w:rFonts w:ascii="Times New Roman" w:hAnsi="Times New Roman"/>
          <w:color w:val="auto"/>
          <w:sz w:val="24"/>
          <w:szCs w:val="24"/>
          <w:lang w:val="en-ZA"/>
        </w:rPr>
        <w:t xml:space="preserve"> (INEP); </w:t>
      </w:r>
    </w:p>
    <w:p w14:paraId="05EA1CEF" w14:textId="77777777" w:rsidR="00761FE5" w:rsidRDefault="00761FE5" w:rsidP="00761FE5">
      <w:pPr>
        <w:pStyle w:val="ListParagraph"/>
        <w:numPr>
          <w:ilvl w:val="0"/>
          <w:numId w:val="20"/>
        </w:numPr>
        <w:spacing w:line="360" w:lineRule="auto"/>
        <w:jc w:val="both"/>
        <w:rPr>
          <w:rFonts w:ascii="Times New Roman" w:hAnsi="Times New Roman"/>
          <w:color w:val="auto"/>
          <w:sz w:val="24"/>
          <w:szCs w:val="24"/>
          <w:lang w:val="en-ZA"/>
        </w:rPr>
      </w:pPr>
      <w:r w:rsidRPr="006A56BD">
        <w:rPr>
          <w:rFonts w:ascii="Times New Roman" w:hAnsi="Times New Roman"/>
          <w:color w:val="auto"/>
          <w:sz w:val="24"/>
          <w:szCs w:val="24"/>
          <w:lang w:val="en-ZA"/>
        </w:rPr>
        <w:t xml:space="preserve">outstanding claims from the State Attorney in respect of </w:t>
      </w:r>
      <w:proofErr w:type="spellStart"/>
      <w:r w:rsidRPr="006A56BD">
        <w:rPr>
          <w:rFonts w:ascii="Times New Roman" w:hAnsi="Times New Roman"/>
          <w:color w:val="auto"/>
          <w:sz w:val="24"/>
          <w:szCs w:val="24"/>
          <w:lang w:val="en-ZA"/>
        </w:rPr>
        <w:t>Earthlife</w:t>
      </w:r>
      <w:proofErr w:type="spellEnd"/>
      <w:r w:rsidRPr="006A56BD">
        <w:rPr>
          <w:rFonts w:ascii="Times New Roman" w:hAnsi="Times New Roman"/>
          <w:color w:val="auto"/>
          <w:sz w:val="24"/>
          <w:szCs w:val="24"/>
          <w:lang w:val="en-ZA"/>
        </w:rPr>
        <w:t xml:space="preserve"> judgement delivered against the Department with costs; and </w:t>
      </w:r>
    </w:p>
    <w:p w14:paraId="0164AEE1" w14:textId="77777777" w:rsidR="00761FE5" w:rsidRPr="006A56BD" w:rsidRDefault="00761FE5" w:rsidP="00761FE5">
      <w:pPr>
        <w:pStyle w:val="ListParagraph"/>
        <w:numPr>
          <w:ilvl w:val="0"/>
          <w:numId w:val="20"/>
        </w:numPr>
        <w:spacing w:line="360" w:lineRule="auto"/>
        <w:jc w:val="both"/>
        <w:rPr>
          <w:rFonts w:ascii="Times New Roman" w:hAnsi="Times New Roman"/>
          <w:color w:val="auto"/>
          <w:sz w:val="24"/>
          <w:szCs w:val="24"/>
          <w:lang w:val="en-ZA"/>
        </w:rPr>
      </w:pPr>
      <w:proofErr w:type="gramStart"/>
      <w:r>
        <w:rPr>
          <w:rFonts w:ascii="Times New Roman" w:hAnsi="Times New Roman"/>
          <w:color w:val="auto"/>
          <w:sz w:val="24"/>
          <w:szCs w:val="24"/>
          <w:lang w:val="en-ZA"/>
        </w:rPr>
        <w:t>delayed</w:t>
      </w:r>
      <w:proofErr w:type="gramEnd"/>
      <w:r>
        <w:rPr>
          <w:rFonts w:ascii="Times New Roman" w:hAnsi="Times New Roman"/>
          <w:color w:val="auto"/>
          <w:sz w:val="24"/>
          <w:szCs w:val="24"/>
          <w:lang w:val="en-ZA"/>
        </w:rPr>
        <w:t xml:space="preserve"> </w:t>
      </w:r>
      <w:r w:rsidRPr="006A56BD">
        <w:rPr>
          <w:rFonts w:ascii="Times New Roman" w:hAnsi="Times New Roman"/>
          <w:color w:val="auto"/>
          <w:sz w:val="24"/>
          <w:szCs w:val="24"/>
          <w:lang w:val="en-ZA"/>
        </w:rPr>
        <w:t xml:space="preserve">disbursements in respect of the Clean Energy Programme pending finalisation of Supply Chain Management (SCM) processes. </w:t>
      </w:r>
    </w:p>
    <w:p w14:paraId="62CDB773" w14:textId="370E3A43" w:rsidR="00792A91" w:rsidRPr="00055E35" w:rsidRDefault="00792A91" w:rsidP="00DA6AD9">
      <w:pPr>
        <w:spacing w:line="360" w:lineRule="auto"/>
        <w:contextualSpacing/>
        <w:jc w:val="both"/>
        <w:rPr>
          <w:rFonts w:ascii="Times New Roman" w:hAnsi="Times New Roman"/>
          <w:b/>
          <w:color w:val="auto"/>
          <w:sz w:val="24"/>
          <w:szCs w:val="24"/>
          <w:lang w:val="en-ZA"/>
        </w:rPr>
      </w:pPr>
    </w:p>
    <w:p w14:paraId="0903AC7E" w14:textId="04740C3D" w:rsidR="00792A91" w:rsidRPr="00055E35" w:rsidRDefault="00792A91" w:rsidP="00DA6AD9">
      <w:pPr>
        <w:spacing w:line="360" w:lineRule="auto"/>
        <w:contextualSpacing/>
        <w:jc w:val="both"/>
        <w:rPr>
          <w:rFonts w:ascii="Times New Roman" w:hAnsi="Times New Roman"/>
          <w:color w:val="auto"/>
          <w:sz w:val="24"/>
          <w:szCs w:val="24"/>
          <w:lang w:val="en-ZA"/>
        </w:rPr>
      </w:pPr>
      <w:r w:rsidRPr="00055E35">
        <w:rPr>
          <w:rFonts w:ascii="Times New Roman" w:hAnsi="Times New Roman"/>
          <w:color w:val="auto"/>
          <w:sz w:val="24"/>
          <w:szCs w:val="24"/>
          <w:lang w:val="en-ZA"/>
        </w:rPr>
        <w:t>In terms of performance on its targets as per the 2018/19 Annual Performance Plan, the Department had 30 quarterly targets from which 18 or 60 per cent were achieved, 2 or 7 per cent were partially achieved</w:t>
      </w:r>
      <w:r w:rsidR="008135D8">
        <w:rPr>
          <w:rFonts w:ascii="Times New Roman" w:hAnsi="Times New Roman"/>
          <w:color w:val="auto"/>
          <w:sz w:val="24"/>
          <w:szCs w:val="24"/>
          <w:lang w:val="en-ZA"/>
        </w:rPr>
        <w:t xml:space="preserve">, </w:t>
      </w:r>
      <w:r w:rsidRPr="00055E35">
        <w:rPr>
          <w:rFonts w:ascii="Times New Roman" w:hAnsi="Times New Roman"/>
          <w:color w:val="auto"/>
          <w:sz w:val="24"/>
          <w:szCs w:val="24"/>
          <w:lang w:val="en-ZA"/>
        </w:rPr>
        <w:t xml:space="preserve">while 10 or 33 per cent were not achieved.  </w:t>
      </w:r>
    </w:p>
    <w:p w14:paraId="2344C1D3" w14:textId="33C0352F" w:rsidR="00792A91" w:rsidRPr="00055E35" w:rsidRDefault="00792A91" w:rsidP="00DA6AD9">
      <w:pPr>
        <w:spacing w:line="360" w:lineRule="auto"/>
        <w:contextualSpacing/>
        <w:jc w:val="both"/>
        <w:rPr>
          <w:rFonts w:ascii="Times New Roman" w:hAnsi="Times New Roman"/>
          <w:color w:val="auto"/>
          <w:sz w:val="24"/>
          <w:szCs w:val="24"/>
          <w:lang w:val="en-ZA"/>
        </w:rPr>
      </w:pPr>
    </w:p>
    <w:p w14:paraId="3C304482" w14:textId="77777777" w:rsidR="00792A91" w:rsidRPr="00055E35" w:rsidRDefault="00792A91" w:rsidP="00DA6AD9">
      <w:pPr>
        <w:pStyle w:val="ListParagraph"/>
        <w:numPr>
          <w:ilvl w:val="1"/>
          <w:numId w:val="13"/>
        </w:numPr>
        <w:spacing w:line="360" w:lineRule="auto"/>
        <w:jc w:val="both"/>
        <w:rPr>
          <w:rFonts w:ascii="Times New Roman" w:hAnsi="Times New Roman"/>
          <w:b/>
          <w:color w:val="auto"/>
          <w:sz w:val="24"/>
          <w:szCs w:val="24"/>
          <w:lang w:val="en-ZA"/>
        </w:rPr>
      </w:pPr>
      <w:r w:rsidRPr="00055E35">
        <w:rPr>
          <w:rFonts w:ascii="Times New Roman" w:hAnsi="Times New Roman"/>
          <w:b/>
          <w:color w:val="auto"/>
          <w:sz w:val="24"/>
          <w:szCs w:val="24"/>
          <w:lang w:val="en-ZA"/>
        </w:rPr>
        <w:t>Department of Agriculture, Forestry and Fisheries (Vote 24)</w:t>
      </w:r>
    </w:p>
    <w:p w14:paraId="22C0F25D" w14:textId="77777777" w:rsidR="00792A91" w:rsidRPr="00055E35" w:rsidRDefault="00792A91" w:rsidP="00DA6AD9">
      <w:pPr>
        <w:spacing w:after="160" w:line="360" w:lineRule="auto"/>
        <w:contextualSpacing/>
        <w:jc w:val="both"/>
        <w:rPr>
          <w:rFonts w:ascii="Times New Roman" w:hAnsi="Times New Roman"/>
          <w:b/>
          <w:color w:val="auto"/>
          <w:sz w:val="24"/>
          <w:szCs w:val="24"/>
        </w:rPr>
      </w:pPr>
    </w:p>
    <w:p w14:paraId="5F1EAA08" w14:textId="77777777" w:rsidR="00792A91" w:rsidRPr="00055E35" w:rsidRDefault="00792A91" w:rsidP="00DA6AD9">
      <w:pPr>
        <w:spacing w:line="360" w:lineRule="auto"/>
        <w:contextualSpacing/>
        <w:jc w:val="both"/>
        <w:rPr>
          <w:rFonts w:ascii="Times New Roman" w:hAnsi="Times New Roman"/>
          <w:color w:val="auto"/>
          <w:sz w:val="24"/>
          <w:szCs w:val="24"/>
          <w:lang w:val="en-ZA"/>
        </w:rPr>
      </w:pPr>
      <w:r w:rsidRPr="00055E35">
        <w:rPr>
          <w:rFonts w:ascii="Times New Roman" w:hAnsi="Times New Roman"/>
          <w:color w:val="auto"/>
          <w:sz w:val="24"/>
          <w:szCs w:val="24"/>
          <w:lang w:val="en-ZA"/>
        </w:rPr>
        <w:t xml:space="preserve">As at the end of the first quarter of the 2018/19 financial year, the Department of Agriculture, Forestry and Fisheries spent R1.8 billion or 25.4 per cent of its allocated budget of R7.2 billion. </w:t>
      </w:r>
      <w:proofErr w:type="gramStart"/>
      <w:r w:rsidRPr="00055E35">
        <w:rPr>
          <w:rFonts w:ascii="Times New Roman" w:hAnsi="Times New Roman"/>
          <w:color w:val="auto"/>
          <w:sz w:val="24"/>
          <w:szCs w:val="24"/>
          <w:lang w:val="en-ZA"/>
        </w:rPr>
        <w:t>This represent</w:t>
      </w:r>
      <w:proofErr w:type="gramEnd"/>
      <w:r w:rsidRPr="00055E35">
        <w:rPr>
          <w:rFonts w:ascii="Times New Roman" w:hAnsi="Times New Roman"/>
          <w:color w:val="auto"/>
          <w:sz w:val="24"/>
          <w:szCs w:val="24"/>
          <w:lang w:val="en-ZA"/>
        </w:rPr>
        <w:t xml:space="preserve"> underspending of R442.7 million or 19.5 per cent against the projected expenditure for the first quarter.  The underspending is mainly attributed to vacancies, slow implementation of the agricultural census and farmer register project and delayed transfer of earmarked funds to the Land Bank for the </w:t>
      </w:r>
      <w:r w:rsidRPr="00055E35">
        <w:rPr>
          <w:rFonts w:ascii="Times New Roman" w:hAnsi="Times New Roman"/>
          <w:color w:val="auto"/>
          <w:sz w:val="24"/>
          <w:szCs w:val="24"/>
          <w:lang w:val="en-ZA"/>
        </w:rPr>
        <w:lastRenderedPageBreak/>
        <w:t>support of small emerging farmers and black economic empowerment in the sector (</w:t>
      </w:r>
      <w:proofErr w:type="spellStart"/>
      <w:r w:rsidRPr="00055E35">
        <w:rPr>
          <w:rFonts w:ascii="Times New Roman" w:hAnsi="Times New Roman"/>
          <w:color w:val="auto"/>
          <w:sz w:val="24"/>
          <w:szCs w:val="24"/>
          <w:lang w:val="en-ZA"/>
        </w:rPr>
        <w:t>AgriBEE</w:t>
      </w:r>
      <w:proofErr w:type="spellEnd"/>
      <w:r w:rsidRPr="00055E35">
        <w:rPr>
          <w:rFonts w:ascii="Times New Roman" w:hAnsi="Times New Roman"/>
          <w:color w:val="auto"/>
          <w:sz w:val="24"/>
          <w:szCs w:val="24"/>
          <w:lang w:val="en-ZA"/>
        </w:rPr>
        <w:t xml:space="preserve">). </w:t>
      </w:r>
    </w:p>
    <w:p w14:paraId="366DE35A" w14:textId="77777777" w:rsidR="00792A91" w:rsidRPr="00055E35" w:rsidRDefault="00792A91" w:rsidP="00DA6AD9">
      <w:pPr>
        <w:spacing w:line="360" w:lineRule="auto"/>
        <w:contextualSpacing/>
        <w:jc w:val="both"/>
        <w:rPr>
          <w:rFonts w:ascii="Times New Roman" w:hAnsi="Times New Roman"/>
          <w:color w:val="auto"/>
          <w:sz w:val="24"/>
          <w:szCs w:val="24"/>
          <w:highlight w:val="yellow"/>
          <w:lang w:val="en-ZA"/>
        </w:rPr>
      </w:pPr>
    </w:p>
    <w:p w14:paraId="5815AD3F" w14:textId="67E0016C" w:rsidR="00055E35" w:rsidRPr="00761FE5" w:rsidRDefault="00792A91" w:rsidP="00DA6AD9">
      <w:pPr>
        <w:spacing w:line="360" w:lineRule="auto"/>
        <w:contextualSpacing/>
        <w:jc w:val="both"/>
        <w:rPr>
          <w:rFonts w:ascii="Times New Roman" w:hAnsi="Times New Roman"/>
          <w:color w:val="auto"/>
          <w:sz w:val="24"/>
          <w:szCs w:val="24"/>
          <w:lang w:val="en-ZA"/>
        </w:rPr>
      </w:pPr>
      <w:r w:rsidRPr="00055E35">
        <w:rPr>
          <w:rFonts w:ascii="Times New Roman" w:hAnsi="Times New Roman"/>
          <w:color w:val="auto"/>
          <w:sz w:val="24"/>
          <w:szCs w:val="24"/>
          <w:lang w:val="en-ZA"/>
        </w:rPr>
        <w:t xml:space="preserve">In terms of performance on its targets as per the Annual Performance Plan, the Department has a total of 67 annual targets and in the first quarter there were 43 milestones to be met towards the attainment of the annual targets.  The Department met 32 milestones while 10 were in progress </w:t>
      </w:r>
      <w:r w:rsidR="00761FE5">
        <w:rPr>
          <w:rFonts w:ascii="Times New Roman" w:hAnsi="Times New Roman"/>
          <w:color w:val="auto"/>
          <w:sz w:val="24"/>
          <w:szCs w:val="24"/>
          <w:lang w:val="en-ZA"/>
        </w:rPr>
        <w:t xml:space="preserve">and one milestone was not met. </w:t>
      </w:r>
    </w:p>
    <w:p w14:paraId="180F7EBA" w14:textId="25C066CC" w:rsidR="00055E35" w:rsidRPr="00055E35" w:rsidRDefault="00055E35" w:rsidP="00DA6AD9">
      <w:pPr>
        <w:spacing w:line="360" w:lineRule="auto"/>
        <w:ind w:left="720"/>
        <w:contextualSpacing/>
        <w:jc w:val="both"/>
        <w:rPr>
          <w:rFonts w:ascii="Times New Roman" w:hAnsi="Times New Roman"/>
          <w:b/>
          <w:color w:val="auto"/>
          <w:sz w:val="24"/>
          <w:szCs w:val="24"/>
        </w:rPr>
      </w:pPr>
    </w:p>
    <w:p w14:paraId="2B50F0F7" w14:textId="24709666" w:rsidR="00503871" w:rsidRPr="00055E35" w:rsidRDefault="00503871" w:rsidP="00DA6AD9">
      <w:pPr>
        <w:pStyle w:val="ListParagraph"/>
        <w:numPr>
          <w:ilvl w:val="0"/>
          <w:numId w:val="1"/>
        </w:numPr>
        <w:tabs>
          <w:tab w:val="clear" w:pos="720"/>
          <w:tab w:val="num" w:pos="567"/>
        </w:tabs>
        <w:spacing w:line="360" w:lineRule="auto"/>
        <w:ind w:left="709" w:hanging="709"/>
        <w:jc w:val="both"/>
        <w:rPr>
          <w:rFonts w:ascii="Times New Roman" w:hAnsi="Times New Roman"/>
          <w:b/>
          <w:color w:val="auto"/>
          <w:sz w:val="24"/>
          <w:szCs w:val="24"/>
        </w:rPr>
      </w:pPr>
      <w:r w:rsidRPr="00055E35">
        <w:rPr>
          <w:rFonts w:ascii="Times New Roman" w:hAnsi="Times New Roman"/>
          <w:b/>
          <w:color w:val="auto"/>
          <w:sz w:val="24"/>
          <w:szCs w:val="24"/>
        </w:rPr>
        <w:t>Findings</w:t>
      </w:r>
    </w:p>
    <w:p w14:paraId="5B38EB40" w14:textId="77777777" w:rsidR="00503871" w:rsidRPr="00055E35" w:rsidRDefault="00503871" w:rsidP="00DA6AD9">
      <w:pPr>
        <w:spacing w:line="360" w:lineRule="auto"/>
        <w:contextualSpacing/>
        <w:jc w:val="both"/>
        <w:rPr>
          <w:rFonts w:ascii="Times New Roman" w:hAnsi="Times New Roman"/>
          <w:color w:val="auto"/>
          <w:sz w:val="24"/>
          <w:szCs w:val="24"/>
        </w:rPr>
      </w:pPr>
    </w:p>
    <w:p w14:paraId="31A5E6F1" w14:textId="168F6574" w:rsidR="00503871" w:rsidRPr="00055E35" w:rsidRDefault="00503871" w:rsidP="00DA6AD9">
      <w:pPr>
        <w:spacing w:line="360" w:lineRule="auto"/>
        <w:contextualSpacing/>
        <w:jc w:val="both"/>
        <w:rPr>
          <w:rFonts w:ascii="Times New Roman" w:hAnsi="Times New Roman"/>
          <w:color w:val="auto"/>
          <w:sz w:val="24"/>
          <w:szCs w:val="24"/>
        </w:rPr>
      </w:pPr>
      <w:r w:rsidRPr="00055E35">
        <w:rPr>
          <w:rFonts w:ascii="Times New Roman" w:hAnsi="Times New Roman"/>
          <w:color w:val="auto"/>
          <w:sz w:val="24"/>
          <w:szCs w:val="24"/>
        </w:rPr>
        <w:t xml:space="preserve">The Standing Committee on Appropriations, having </w:t>
      </w:r>
      <w:r w:rsidR="00F34BD2">
        <w:rPr>
          <w:rFonts w:ascii="Times New Roman" w:hAnsi="Times New Roman"/>
          <w:color w:val="auto"/>
          <w:sz w:val="24"/>
          <w:szCs w:val="24"/>
        </w:rPr>
        <w:t xml:space="preserve">engaged with National Treasury and </w:t>
      </w:r>
      <w:r w:rsidRPr="00055E35">
        <w:rPr>
          <w:rFonts w:ascii="Times New Roman" w:hAnsi="Times New Roman"/>
          <w:color w:val="auto"/>
          <w:sz w:val="24"/>
          <w:szCs w:val="24"/>
        </w:rPr>
        <w:t>deliberated with the i</w:t>
      </w:r>
      <w:r w:rsidR="00F4031C" w:rsidRPr="00055E35">
        <w:rPr>
          <w:rFonts w:ascii="Times New Roman" w:hAnsi="Times New Roman"/>
          <w:color w:val="auto"/>
          <w:sz w:val="24"/>
          <w:szCs w:val="24"/>
        </w:rPr>
        <w:t>nvited departments on the first</w:t>
      </w:r>
      <w:r w:rsidRPr="00055E35">
        <w:rPr>
          <w:rFonts w:ascii="Times New Roman" w:hAnsi="Times New Roman"/>
          <w:color w:val="auto"/>
          <w:sz w:val="24"/>
          <w:szCs w:val="24"/>
        </w:rPr>
        <w:t xml:space="preserve"> quarter e</w:t>
      </w:r>
      <w:r w:rsidR="00F4031C" w:rsidRPr="00055E35">
        <w:rPr>
          <w:rFonts w:ascii="Times New Roman" w:hAnsi="Times New Roman"/>
          <w:color w:val="auto"/>
          <w:sz w:val="24"/>
          <w:szCs w:val="24"/>
        </w:rPr>
        <w:t>xpenditure patterns for the 2018/19</w:t>
      </w:r>
      <w:r w:rsidRPr="00055E35">
        <w:rPr>
          <w:rFonts w:ascii="Times New Roman" w:hAnsi="Times New Roman"/>
          <w:color w:val="auto"/>
          <w:sz w:val="24"/>
          <w:szCs w:val="24"/>
        </w:rPr>
        <w:t xml:space="preserve"> financial year, makes the following findings:</w:t>
      </w:r>
    </w:p>
    <w:p w14:paraId="44998C95" w14:textId="348E64B1" w:rsidR="00503871" w:rsidRDefault="00503871" w:rsidP="00DA6AD9">
      <w:pPr>
        <w:spacing w:line="360" w:lineRule="auto"/>
        <w:contextualSpacing/>
        <w:jc w:val="both"/>
        <w:rPr>
          <w:rFonts w:ascii="Times New Roman" w:hAnsi="Times New Roman"/>
          <w:color w:val="auto"/>
          <w:sz w:val="24"/>
          <w:szCs w:val="24"/>
        </w:rPr>
      </w:pPr>
    </w:p>
    <w:p w14:paraId="55B9AEE5" w14:textId="77777777" w:rsidR="005915E7" w:rsidRPr="00055E35" w:rsidRDefault="005915E7" w:rsidP="00DA6AD9">
      <w:pPr>
        <w:spacing w:line="360" w:lineRule="auto"/>
        <w:contextualSpacing/>
        <w:jc w:val="both"/>
        <w:rPr>
          <w:rFonts w:ascii="Times New Roman" w:hAnsi="Times New Roman"/>
          <w:color w:val="auto"/>
          <w:sz w:val="24"/>
          <w:szCs w:val="24"/>
        </w:rPr>
      </w:pPr>
    </w:p>
    <w:p w14:paraId="51B31295" w14:textId="09245D4F" w:rsidR="00503871" w:rsidRPr="00055E35" w:rsidRDefault="001B746A" w:rsidP="00DA6AD9">
      <w:pPr>
        <w:spacing w:line="360" w:lineRule="auto"/>
        <w:ind w:left="720" w:hanging="720"/>
        <w:contextualSpacing/>
        <w:jc w:val="both"/>
        <w:rPr>
          <w:rFonts w:ascii="Times New Roman" w:hAnsi="Times New Roman"/>
          <w:b/>
          <w:color w:val="auto"/>
          <w:sz w:val="24"/>
          <w:szCs w:val="24"/>
        </w:rPr>
      </w:pPr>
      <w:r>
        <w:rPr>
          <w:rFonts w:ascii="Times New Roman" w:hAnsi="Times New Roman"/>
          <w:b/>
          <w:color w:val="auto"/>
          <w:sz w:val="24"/>
          <w:szCs w:val="24"/>
        </w:rPr>
        <w:t>5</w:t>
      </w:r>
      <w:r w:rsidR="00503871" w:rsidRPr="00055E35">
        <w:rPr>
          <w:rFonts w:ascii="Times New Roman" w:hAnsi="Times New Roman"/>
          <w:b/>
          <w:color w:val="auto"/>
          <w:sz w:val="24"/>
          <w:szCs w:val="24"/>
        </w:rPr>
        <w:t>.1</w:t>
      </w:r>
      <w:r w:rsidR="00503871" w:rsidRPr="00055E35">
        <w:rPr>
          <w:rFonts w:ascii="Times New Roman" w:hAnsi="Times New Roman"/>
          <w:b/>
          <w:color w:val="auto"/>
          <w:sz w:val="24"/>
          <w:szCs w:val="24"/>
        </w:rPr>
        <w:tab/>
        <w:t>Overall Spending Performance as at end of First Quarter 2018/19</w:t>
      </w:r>
    </w:p>
    <w:p w14:paraId="5DDCD1E4" w14:textId="77777777" w:rsidR="00503871" w:rsidRPr="00055E35" w:rsidRDefault="00503871" w:rsidP="00DA6AD9">
      <w:pPr>
        <w:spacing w:line="360" w:lineRule="auto"/>
        <w:ind w:left="720" w:hanging="720"/>
        <w:contextualSpacing/>
        <w:jc w:val="both"/>
        <w:rPr>
          <w:rFonts w:ascii="Times New Roman" w:hAnsi="Times New Roman"/>
          <w:color w:val="auto"/>
          <w:sz w:val="24"/>
          <w:szCs w:val="24"/>
        </w:rPr>
      </w:pPr>
    </w:p>
    <w:p w14:paraId="212634C4" w14:textId="6B11E888" w:rsidR="00B25C0F" w:rsidRPr="00055E35" w:rsidRDefault="001B746A" w:rsidP="005F4430">
      <w:pPr>
        <w:spacing w:line="360" w:lineRule="auto"/>
        <w:ind w:left="720" w:hanging="720"/>
        <w:contextualSpacing/>
        <w:jc w:val="both"/>
        <w:rPr>
          <w:rFonts w:ascii="Times New Roman" w:hAnsi="Times New Roman"/>
          <w:color w:val="auto"/>
          <w:sz w:val="24"/>
          <w:szCs w:val="24"/>
        </w:rPr>
      </w:pPr>
      <w:r>
        <w:rPr>
          <w:rFonts w:ascii="Times New Roman" w:hAnsi="Times New Roman"/>
          <w:b/>
          <w:color w:val="auto"/>
          <w:sz w:val="24"/>
          <w:szCs w:val="24"/>
        </w:rPr>
        <w:t>5</w:t>
      </w:r>
      <w:r w:rsidR="00503871" w:rsidRPr="00055E35">
        <w:rPr>
          <w:rFonts w:ascii="Times New Roman" w:hAnsi="Times New Roman"/>
          <w:b/>
          <w:color w:val="auto"/>
          <w:sz w:val="24"/>
          <w:szCs w:val="24"/>
        </w:rPr>
        <w:t>.1.1</w:t>
      </w:r>
      <w:r w:rsidR="00503871" w:rsidRPr="00055E35">
        <w:rPr>
          <w:rFonts w:ascii="Times New Roman" w:hAnsi="Times New Roman"/>
          <w:b/>
          <w:color w:val="auto"/>
          <w:sz w:val="24"/>
          <w:szCs w:val="24"/>
        </w:rPr>
        <w:tab/>
      </w:r>
      <w:r w:rsidR="00B25C0F" w:rsidRPr="00055E35">
        <w:rPr>
          <w:rFonts w:ascii="Times New Roman" w:hAnsi="Times New Roman"/>
          <w:color w:val="auto"/>
          <w:sz w:val="24"/>
          <w:szCs w:val="24"/>
        </w:rPr>
        <w:t xml:space="preserve">The Committee found the following challenges </w:t>
      </w:r>
      <w:r w:rsidR="006D7ED3" w:rsidRPr="00055E35">
        <w:rPr>
          <w:rFonts w:ascii="Times New Roman" w:hAnsi="Times New Roman"/>
          <w:color w:val="auto"/>
          <w:sz w:val="24"/>
          <w:szCs w:val="24"/>
        </w:rPr>
        <w:t>that contribute towards under spending and the no</w:t>
      </w:r>
      <w:r w:rsidR="00761FE5">
        <w:rPr>
          <w:rFonts w:ascii="Times New Roman" w:hAnsi="Times New Roman"/>
          <w:color w:val="auto"/>
          <w:sz w:val="24"/>
          <w:szCs w:val="24"/>
        </w:rPr>
        <w:t>n-</w:t>
      </w:r>
      <w:r w:rsidR="006D7ED3" w:rsidRPr="00055E35">
        <w:rPr>
          <w:rFonts w:ascii="Times New Roman" w:hAnsi="Times New Roman"/>
          <w:color w:val="auto"/>
          <w:sz w:val="24"/>
          <w:szCs w:val="24"/>
        </w:rPr>
        <w:t>achievement of target</w:t>
      </w:r>
      <w:r w:rsidR="006D7ED3">
        <w:rPr>
          <w:rFonts w:ascii="Times New Roman" w:hAnsi="Times New Roman"/>
          <w:color w:val="auto"/>
          <w:sz w:val="24"/>
          <w:szCs w:val="24"/>
        </w:rPr>
        <w:t xml:space="preserve"> a</w:t>
      </w:r>
      <w:r w:rsidR="00B25C0F" w:rsidRPr="00055E35">
        <w:rPr>
          <w:rFonts w:ascii="Times New Roman" w:hAnsi="Times New Roman"/>
          <w:color w:val="auto"/>
          <w:sz w:val="24"/>
          <w:szCs w:val="24"/>
        </w:rPr>
        <w:t>cross departments</w:t>
      </w:r>
      <w:r w:rsidR="001127C2">
        <w:rPr>
          <w:rFonts w:ascii="Times New Roman" w:hAnsi="Times New Roman"/>
          <w:color w:val="auto"/>
          <w:sz w:val="24"/>
          <w:szCs w:val="24"/>
        </w:rPr>
        <w:t xml:space="preserve"> and public entities</w:t>
      </w:r>
      <w:r w:rsidR="006D7ED3">
        <w:rPr>
          <w:rFonts w:ascii="Times New Roman" w:hAnsi="Times New Roman"/>
          <w:color w:val="auto"/>
          <w:sz w:val="24"/>
          <w:szCs w:val="24"/>
        </w:rPr>
        <w:t>:</w:t>
      </w:r>
      <w:r w:rsidR="00B25C0F" w:rsidRPr="00055E35">
        <w:rPr>
          <w:rFonts w:ascii="Times New Roman" w:hAnsi="Times New Roman"/>
          <w:color w:val="auto"/>
          <w:sz w:val="24"/>
          <w:szCs w:val="24"/>
        </w:rPr>
        <w:t xml:space="preserve"> </w:t>
      </w:r>
    </w:p>
    <w:p w14:paraId="51C2F9AD" w14:textId="7B6CB9FA" w:rsidR="00B25C0F" w:rsidRPr="00055E35" w:rsidRDefault="003128CE" w:rsidP="00DA6AD9">
      <w:pPr>
        <w:pStyle w:val="ListParagraph"/>
        <w:numPr>
          <w:ilvl w:val="0"/>
          <w:numId w:val="3"/>
        </w:numPr>
        <w:spacing w:line="360" w:lineRule="auto"/>
        <w:ind w:left="1080"/>
        <w:jc w:val="both"/>
        <w:rPr>
          <w:rFonts w:ascii="Times New Roman" w:hAnsi="Times New Roman"/>
          <w:color w:val="auto"/>
          <w:sz w:val="24"/>
          <w:szCs w:val="24"/>
          <w:lang w:val="en-ZA"/>
        </w:rPr>
      </w:pPr>
      <w:r>
        <w:rPr>
          <w:rFonts w:ascii="Times New Roman" w:hAnsi="Times New Roman"/>
          <w:color w:val="auto"/>
          <w:sz w:val="24"/>
          <w:szCs w:val="24"/>
          <w:lang w:val="en-ZA"/>
        </w:rPr>
        <w:t xml:space="preserve">Inadequate application of </w:t>
      </w:r>
      <w:r w:rsidR="00B25C0F" w:rsidRPr="00055E35">
        <w:rPr>
          <w:rFonts w:ascii="Times New Roman" w:hAnsi="Times New Roman"/>
          <w:color w:val="auto"/>
          <w:sz w:val="24"/>
          <w:szCs w:val="24"/>
          <w:lang w:val="en-ZA"/>
        </w:rPr>
        <w:t>Me</w:t>
      </w:r>
      <w:r w:rsidR="00761FE5">
        <w:rPr>
          <w:rFonts w:ascii="Times New Roman" w:hAnsi="Times New Roman"/>
          <w:color w:val="auto"/>
          <w:sz w:val="24"/>
          <w:szCs w:val="24"/>
          <w:lang w:val="en-ZA"/>
        </w:rPr>
        <w:t xml:space="preserve">dium Term Expenditure Framework </w:t>
      </w:r>
      <w:r w:rsidR="00B25C0F" w:rsidRPr="00055E35">
        <w:rPr>
          <w:rFonts w:ascii="Times New Roman" w:hAnsi="Times New Roman"/>
          <w:color w:val="auto"/>
          <w:sz w:val="24"/>
          <w:szCs w:val="24"/>
          <w:lang w:val="en-ZA"/>
        </w:rPr>
        <w:t>planning tools and mechanisms</w:t>
      </w:r>
      <w:r w:rsidR="00A85053">
        <w:rPr>
          <w:rFonts w:ascii="Times New Roman" w:hAnsi="Times New Roman"/>
          <w:color w:val="auto"/>
          <w:sz w:val="24"/>
          <w:szCs w:val="24"/>
          <w:lang w:val="en-ZA"/>
        </w:rPr>
        <w:t>;</w:t>
      </w:r>
    </w:p>
    <w:p w14:paraId="3D0A851C" w14:textId="4A73642A" w:rsidR="00A55960" w:rsidRPr="006D7ED3" w:rsidRDefault="003128CE" w:rsidP="006D7ED3">
      <w:pPr>
        <w:pStyle w:val="ListParagraph"/>
        <w:numPr>
          <w:ilvl w:val="0"/>
          <w:numId w:val="3"/>
        </w:numPr>
        <w:spacing w:line="360" w:lineRule="auto"/>
        <w:ind w:left="1080"/>
        <w:jc w:val="both"/>
        <w:rPr>
          <w:rFonts w:ascii="Times New Roman" w:hAnsi="Times New Roman"/>
          <w:color w:val="auto"/>
          <w:sz w:val="24"/>
          <w:szCs w:val="24"/>
          <w:lang w:val="en-ZA"/>
        </w:rPr>
      </w:pPr>
      <w:r>
        <w:rPr>
          <w:rFonts w:ascii="Times New Roman" w:hAnsi="Times New Roman"/>
          <w:color w:val="auto"/>
          <w:sz w:val="24"/>
          <w:szCs w:val="24"/>
          <w:lang w:val="en-ZA"/>
        </w:rPr>
        <w:t xml:space="preserve">Delays in </w:t>
      </w:r>
      <w:r w:rsidR="00761FE5">
        <w:rPr>
          <w:rFonts w:ascii="Times New Roman" w:hAnsi="Times New Roman"/>
          <w:color w:val="auto"/>
          <w:sz w:val="24"/>
          <w:szCs w:val="24"/>
          <w:lang w:val="en-ZA"/>
        </w:rPr>
        <w:t xml:space="preserve">the </w:t>
      </w:r>
      <w:r>
        <w:rPr>
          <w:rFonts w:ascii="Times New Roman" w:hAnsi="Times New Roman"/>
          <w:color w:val="auto"/>
          <w:sz w:val="24"/>
          <w:szCs w:val="24"/>
          <w:lang w:val="en-ZA"/>
        </w:rPr>
        <w:t xml:space="preserve">filling </w:t>
      </w:r>
      <w:r w:rsidR="00122623">
        <w:rPr>
          <w:rFonts w:ascii="Times New Roman" w:hAnsi="Times New Roman"/>
          <w:color w:val="auto"/>
          <w:sz w:val="24"/>
          <w:szCs w:val="24"/>
          <w:lang w:val="en-ZA"/>
        </w:rPr>
        <w:t xml:space="preserve">of </w:t>
      </w:r>
      <w:r>
        <w:rPr>
          <w:rFonts w:ascii="Times New Roman" w:hAnsi="Times New Roman"/>
          <w:color w:val="auto"/>
          <w:sz w:val="24"/>
          <w:szCs w:val="24"/>
          <w:lang w:val="en-ZA"/>
        </w:rPr>
        <w:t>critical and funded positions</w:t>
      </w:r>
      <w:r w:rsidR="00CA6729">
        <w:rPr>
          <w:rFonts w:ascii="Times New Roman" w:hAnsi="Times New Roman"/>
          <w:color w:val="auto"/>
          <w:sz w:val="24"/>
          <w:szCs w:val="24"/>
          <w:lang w:val="en-ZA"/>
        </w:rPr>
        <w:t>;</w:t>
      </w:r>
      <w:r w:rsidR="00822B8A">
        <w:rPr>
          <w:rFonts w:ascii="Times New Roman" w:hAnsi="Times New Roman"/>
          <w:color w:val="auto"/>
          <w:sz w:val="24"/>
          <w:szCs w:val="24"/>
          <w:lang w:val="en-ZA"/>
        </w:rPr>
        <w:t xml:space="preserve"> </w:t>
      </w:r>
    </w:p>
    <w:p w14:paraId="7E401387" w14:textId="3F814ED6" w:rsidR="006D7ED3" w:rsidRDefault="00B11824" w:rsidP="006D7ED3">
      <w:pPr>
        <w:pStyle w:val="ListParagraph"/>
        <w:numPr>
          <w:ilvl w:val="0"/>
          <w:numId w:val="3"/>
        </w:numPr>
        <w:spacing w:line="360" w:lineRule="auto"/>
        <w:ind w:left="1080"/>
        <w:jc w:val="both"/>
        <w:rPr>
          <w:rFonts w:ascii="Times New Roman" w:hAnsi="Times New Roman"/>
          <w:color w:val="auto"/>
          <w:sz w:val="24"/>
          <w:szCs w:val="24"/>
          <w:lang w:val="en-ZA"/>
        </w:rPr>
      </w:pPr>
      <w:r w:rsidRPr="00055E35">
        <w:rPr>
          <w:rFonts w:ascii="Times New Roman" w:hAnsi="Times New Roman"/>
          <w:color w:val="auto"/>
          <w:sz w:val="24"/>
          <w:szCs w:val="24"/>
          <w:lang w:val="en-ZA"/>
        </w:rPr>
        <w:t>Non-p</w:t>
      </w:r>
      <w:r w:rsidR="00A55960" w:rsidRPr="00055E35">
        <w:rPr>
          <w:rFonts w:ascii="Times New Roman" w:hAnsi="Times New Roman"/>
          <w:color w:val="auto"/>
          <w:sz w:val="24"/>
          <w:szCs w:val="24"/>
          <w:lang w:val="en-ZA"/>
        </w:rPr>
        <w:t>ayment of</w:t>
      </w:r>
      <w:r w:rsidR="003128CE">
        <w:rPr>
          <w:rFonts w:ascii="Times New Roman" w:hAnsi="Times New Roman"/>
          <w:color w:val="auto"/>
          <w:sz w:val="24"/>
          <w:szCs w:val="24"/>
          <w:lang w:val="en-ZA"/>
        </w:rPr>
        <w:t xml:space="preserve"> suppliers within 30 </w:t>
      </w:r>
      <w:r w:rsidR="006D7ED3">
        <w:rPr>
          <w:rFonts w:ascii="Times New Roman" w:hAnsi="Times New Roman"/>
          <w:color w:val="auto"/>
          <w:sz w:val="24"/>
          <w:szCs w:val="24"/>
          <w:lang w:val="en-ZA"/>
        </w:rPr>
        <w:t>days from receipt of an invoice; and</w:t>
      </w:r>
    </w:p>
    <w:p w14:paraId="64409059" w14:textId="07CE79FC" w:rsidR="00B25C0F" w:rsidRPr="006D7ED3" w:rsidRDefault="00B25C0F" w:rsidP="006D7ED3">
      <w:pPr>
        <w:pStyle w:val="ListParagraph"/>
        <w:numPr>
          <w:ilvl w:val="0"/>
          <w:numId w:val="3"/>
        </w:numPr>
        <w:spacing w:line="360" w:lineRule="auto"/>
        <w:ind w:left="1080"/>
        <w:jc w:val="both"/>
        <w:rPr>
          <w:rFonts w:ascii="Times New Roman" w:hAnsi="Times New Roman"/>
          <w:color w:val="auto"/>
          <w:sz w:val="24"/>
          <w:szCs w:val="24"/>
          <w:lang w:val="en-ZA"/>
        </w:rPr>
      </w:pPr>
      <w:r w:rsidRPr="006D7ED3">
        <w:rPr>
          <w:rFonts w:ascii="Times New Roman" w:hAnsi="Times New Roman"/>
          <w:color w:val="auto"/>
          <w:sz w:val="24"/>
          <w:szCs w:val="24"/>
          <w:lang w:val="en-ZA"/>
        </w:rPr>
        <w:t>C</w:t>
      </w:r>
      <w:r w:rsidR="006D7ED3">
        <w:rPr>
          <w:rFonts w:ascii="Times New Roman" w:hAnsi="Times New Roman"/>
          <w:color w:val="auto"/>
          <w:sz w:val="24"/>
          <w:szCs w:val="24"/>
          <w:lang w:val="en-ZA"/>
        </w:rPr>
        <w:t>apacity c</w:t>
      </w:r>
      <w:r w:rsidRPr="006D7ED3">
        <w:rPr>
          <w:rFonts w:ascii="Times New Roman" w:hAnsi="Times New Roman"/>
          <w:color w:val="auto"/>
          <w:sz w:val="24"/>
          <w:szCs w:val="24"/>
          <w:lang w:val="en-ZA"/>
        </w:rPr>
        <w:t>hallenges in departments for the effective implementation of sound financial administration and management.</w:t>
      </w:r>
    </w:p>
    <w:p w14:paraId="1BEE856B" w14:textId="77777777" w:rsidR="00503871" w:rsidRPr="00CA6729" w:rsidRDefault="00503871" w:rsidP="00AF4545">
      <w:pPr>
        <w:pStyle w:val="ListParagraph"/>
        <w:spacing w:line="360" w:lineRule="auto"/>
        <w:ind w:left="1080"/>
        <w:jc w:val="both"/>
        <w:rPr>
          <w:rFonts w:ascii="Times New Roman" w:hAnsi="Times New Roman"/>
          <w:color w:val="auto"/>
          <w:sz w:val="24"/>
          <w:szCs w:val="24"/>
        </w:rPr>
      </w:pPr>
    </w:p>
    <w:p w14:paraId="2881209B" w14:textId="7D94A2D1" w:rsidR="00675F2B" w:rsidRPr="00055E35" w:rsidRDefault="001B746A" w:rsidP="00DA6AD9">
      <w:pPr>
        <w:spacing w:line="360" w:lineRule="auto"/>
        <w:ind w:left="720" w:hanging="720"/>
        <w:contextualSpacing/>
        <w:jc w:val="both"/>
        <w:rPr>
          <w:rFonts w:ascii="Times New Roman" w:hAnsi="Times New Roman"/>
          <w:color w:val="auto"/>
          <w:sz w:val="24"/>
          <w:szCs w:val="24"/>
          <w:lang w:val="en-ZA"/>
        </w:rPr>
      </w:pPr>
      <w:r>
        <w:rPr>
          <w:rFonts w:ascii="Times New Roman" w:hAnsi="Times New Roman"/>
          <w:b/>
          <w:color w:val="auto"/>
          <w:sz w:val="24"/>
          <w:szCs w:val="24"/>
        </w:rPr>
        <w:t>5</w:t>
      </w:r>
      <w:r w:rsidR="00675F2B" w:rsidRPr="00055E35">
        <w:rPr>
          <w:rFonts w:ascii="Times New Roman" w:hAnsi="Times New Roman"/>
          <w:b/>
          <w:color w:val="auto"/>
          <w:sz w:val="24"/>
          <w:szCs w:val="24"/>
        </w:rPr>
        <w:t>.1.2</w:t>
      </w:r>
      <w:r w:rsidR="002E312F" w:rsidRPr="00055E35">
        <w:rPr>
          <w:rFonts w:ascii="Times New Roman" w:hAnsi="Times New Roman"/>
          <w:color w:val="auto"/>
          <w:sz w:val="24"/>
          <w:szCs w:val="24"/>
        </w:rPr>
        <w:tab/>
      </w:r>
      <w:r w:rsidR="00675F2B" w:rsidRPr="00055E35">
        <w:rPr>
          <w:rFonts w:ascii="Times New Roman" w:hAnsi="Times New Roman"/>
          <w:color w:val="auto"/>
          <w:sz w:val="24"/>
          <w:szCs w:val="24"/>
        </w:rPr>
        <w:t>The Committee found that the practice of payment of accruals from the previous yea</w:t>
      </w:r>
      <w:r w:rsidR="00F3436C">
        <w:rPr>
          <w:rFonts w:ascii="Times New Roman" w:hAnsi="Times New Roman"/>
          <w:color w:val="auto"/>
          <w:sz w:val="24"/>
          <w:szCs w:val="24"/>
        </w:rPr>
        <w:t xml:space="preserve">r using the current year budget </w:t>
      </w:r>
      <w:r w:rsidR="00675F2B" w:rsidRPr="00055E35">
        <w:rPr>
          <w:rFonts w:ascii="Times New Roman" w:hAnsi="Times New Roman"/>
          <w:color w:val="auto"/>
          <w:sz w:val="24"/>
          <w:szCs w:val="24"/>
        </w:rPr>
        <w:t xml:space="preserve">still persists. The Committee was concerned about this diversion of allocated funds from their intended purpose. The Committee viewed this as </w:t>
      </w:r>
      <w:r w:rsidR="00A75016">
        <w:rPr>
          <w:rFonts w:ascii="Times New Roman" w:hAnsi="Times New Roman"/>
          <w:color w:val="auto"/>
          <w:sz w:val="24"/>
          <w:szCs w:val="24"/>
        </w:rPr>
        <w:t>a sign</w:t>
      </w:r>
      <w:r w:rsidR="00675F2B" w:rsidRPr="00055E35">
        <w:rPr>
          <w:rFonts w:ascii="Times New Roman" w:hAnsi="Times New Roman"/>
          <w:color w:val="auto"/>
          <w:sz w:val="24"/>
          <w:szCs w:val="24"/>
        </w:rPr>
        <w:t xml:space="preserve"> of poor planning and </w:t>
      </w:r>
      <w:r w:rsidR="009A33D0">
        <w:rPr>
          <w:rFonts w:ascii="Times New Roman" w:hAnsi="Times New Roman"/>
          <w:color w:val="auto"/>
          <w:sz w:val="24"/>
          <w:szCs w:val="24"/>
        </w:rPr>
        <w:t>financial management.</w:t>
      </w:r>
    </w:p>
    <w:p w14:paraId="7CCC9FC4" w14:textId="77777777" w:rsidR="00675F2B" w:rsidRPr="00055E35" w:rsidRDefault="00675F2B" w:rsidP="00DA6AD9">
      <w:pPr>
        <w:spacing w:line="360" w:lineRule="auto"/>
        <w:ind w:left="720" w:hanging="720"/>
        <w:contextualSpacing/>
        <w:jc w:val="both"/>
        <w:rPr>
          <w:rFonts w:ascii="Times New Roman" w:hAnsi="Times New Roman"/>
          <w:color w:val="auto"/>
          <w:sz w:val="24"/>
          <w:szCs w:val="24"/>
        </w:rPr>
      </w:pPr>
    </w:p>
    <w:p w14:paraId="08E85022" w14:textId="11D63A1D" w:rsidR="00B45C49" w:rsidRPr="005915E7" w:rsidRDefault="001B746A" w:rsidP="005915E7">
      <w:pPr>
        <w:spacing w:line="360" w:lineRule="auto"/>
        <w:ind w:left="720" w:hanging="720"/>
        <w:contextualSpacing/>
        <w:jc w:val="both"/>
        <w:rPr>
          <w:rFonts w:ascii="Times New Roman" w:hAnsi="Times New Roman"/>
          <w:color w:val="auto"/>
          <w:sz w:val="24"/>
          <w:szCs w:val="24"/>
          <w:lang w:val="en-ZA"/>
        </w:rPr>
      </w:pPr>
      <w:r>
        <w:rPr>
          <w:rFonts w:ascii="Times New Roman" w:hAnsi="Times New Roman"/>
          <w:b/>
          <w:color w:val="auto"/>
          <w:sz w:val="24"/>
          <w:szCs w:val="24"/>
        </w:rPr>
        <w:lastRenderedPageBreak/>
        <w:t>5</w:t>
      </w:r>
      <w:r w:rsidR="00675F2B" w:rsidRPr="00B45C49">
        <w:rPr>
          <w:rFonts w:ascii="Times New Roman" w:hAnsi="Times New Roman"/>
          <w:b/>
          <w:color w:val="auto"/>
          <w:sz w:val="24"/>
          <w:szCs w:val="24"/>
        </w:rPr>
        <w:t>.1.3</w:t>
      </w:r>
      <w:r w:rsidR="00675F2B" w:rsidRPr="00B45C49">
        <w:rPr>
          <w:rFonts w:ascii="Times New Roman" w:hAnsi="Times New Roman"/>
          <w:color w:val="auto"/>
          <w:sz w:val="24"/>
          <w:szCs w:val="24"/>
        </w:rPr>
        <w:tab/>
      </w:r>
      <w:r w:rsidR="00F3436C" w:rsidRPr="00B45C49">
        <w:rPr>
          <w:rFonts w:ascii="Times New Roman" w:hAnsi="Times New Roman"/>
          <w:color w:val="auto"/>
          <w:sz w:val="24"/>
          <w:szCs w:val="24"/>
        </w:rPr>
        <w:t xml:space="preserve">The Committee </w:t>
      </w:r>
      <w:r w:rsidR="008707D6">
        <w:rPr>
          <w:rFonts w:ascii="Times New Roman" w:hAnsi="Times New Roman"/>
          <w:color w:val="auto"/>
          <w:sz w:val="24"/>
          <w:szCs w:val="24"/>
        </w:rPr>
        <w:t xml:space="preserve">found that there were </w:t>
      </w:r>
      <w:r w:rsidR="008707D6" w:rsidRPr="00B45C49">
        <w:rPr>
          <w:rFonts w:ascii="Times New Roman" w:hAnsi="Times New Roman"/>
          <w:color w:val="auto"/>
          <w:sz w:val="24"/>
          <w:szCs w:val="24"/>
          <w:lang w:val="en-ZA"/>
        </w:rPr>
        <w:t>challenges</w:t>
      </w:r>
      <w:r w:rsidR="00B45C49" w:rsidRPr="00B45C49">
        <w:rPr>
          <w:rFonts w:ascii="Times New Roman" w:hAnsi="Times New Roman"/>
          <w:color w:val="auto"/>
          <w:sz w:val="24"/>
          <w:szCs w:val="24"/>
          <w:lang w:val="en-ZA"/>
        </w:rPr>
        <w:t xml:space="preserve"> in procurement planning and </w:t>
      </w:r>
      <w:r w:rsidR="00B45C49">
        <w:rPr>
          <w:rFonts w:ascii="Times New Roman" w:hAnsi="Times New Roman"/>
          <w:color w:val="auto"/>
          <w:sz w:val="24"/>
          <w:szCs w:val="24"/>
          <w:lang w:val="en-ZA"/>
        </w:rPr>
        <w:t>supply chain management across departments and entities. Some of the challenges include:</w:t>
      </w:r>
    </w:p>
    <w:p w14:paraId="058D0AF1" w14:textId="71F6F8FC" w:rsidR="00B45C49" w:rsidRPr="00B45C49" w:rsidRDefault="00B45C49" w:rsidP="00DA6AD9">
      <w:pPr>
        <w:pStyle w:val="Default"/>
        <w:numPr>
          <w:ilvl w:val="0"/>
          <w:numId w:val="10"/>
        </w:numPr>
        <w:spacing w:after="290" w:line="360" w:lineRule="auto"/>
        <w:contextualSpacing/>
        <w:rPr>
          <w:rFonts w:ascii="Times New Roman" w:eastAsia="Times New Roman" w:hAnsi="Times New Roman" w:cs="Times New Roman"/>
          <w:color w:val="auto"/>
          <w:spacing w:val="6"/>
          <w:lang w:val="en-GB" w:eastAsia="en-GB"/>
        </w:rPr>
      </w:pPr>
      <w:r>
        <w:rPr>
          <w:rFonts w:ascii="Times New Roman" w:eastAsia="Times New Roman" w:hAnsi="Times New Roman" w:cs="Times New Roman"/>
          <w:color w:val="auto"/>
          <w:spacing w:val="6"/>
          <w:lang w:val="en-GB" w:eastAsia="en-GB"/>
        </w:rPr>
        <w:t>Poor demand and p</w:t>
      </w:r>
      <w:r w:rsidRPr="00B45C49">
        <w:rPr>
          <w:rFonts w:ascii="Times New Roman" w:eastAsia="Times New Roman" w:hAnsi="Times New Roman" w:cs="Times New Roman"/>
          <w:color w:val="auto"/>
          <w:spacing w:val="6"/>
          <w:lang w:val="en-GB" w:eastAsia="en-GB"/>
        </w:rPr>
        <w:t>ro</w:t>
      </w:r>
      <w:r>
        <w:rPr>
          <w:rFonts w:ascii="Times New Roman" w:eastAsia="Times New Roman" w:hAnsi="Times New Roman" w:cs="Times New Roman"/>
          <w:color w:val="auto"/>
          <w:spacing w:val="6"/>
          <w:lang w:val="en-GB" w:eastAsia="en-GB"/>
        </w:rPr>
        <w:t>curement planning;</w:t>
      </w:r>
    </w:p>
    <w:p w14:paraId="4522725D" w14:textId="01564519" w:rsidR="00B45C49" w:rsidRPr="00B45C49" w:rsidRDefault="00B45C49" w:rsidP="00DA6AD9">
      <w:pPr>
        <w:pStyle w:val="Default"/>
        <w:numPr>
          <w:ilvl w:val="0"/>
          <w:numId w:val="10"/>
        </w:numPr>
        <w:spacing w:after="290" w:line="360" w:lineRule="auto"/>
        <w:contextualSpacing/>
        <w:rPr>
          <w:rFonts w:ascii="Times New Roman" w:eastAsia="Times New Roman" w:hAnsi="Times New Roman" w:cs="Times New Roman"/>
          <w:color w:val="auto"/>
          <w:spacing w:val="6"/>
          <w:lang w:val="en-GB" w:eastAsia="en-GB"/>
        </w:rPr>
      </w:pPr>
      <w:r>
        <w:rPr>
          <w:rFonts w:ascii="Times New Roman" w:eastAsia="Times New Roman" w:hAnsi="Times New Roman" w:cs="Times New Roman"/>
          <w:color w:val="auto"/>
          <w:spacing w:val="6"/>
          <w:lang w:val="en-GB" w:eastAsia="en-GB"/>
        </w:rPr>
        <w:t>Abuse of deviations;</w:t>
      </w:r>
    </w:p>
    <w:p w14:paraId="579DA09D" w14:textId="21B7FDDB" w:rsidR="00B45C49" w:rsidRPr="00B45C49" w:rsidRDefault="00B45C49" w:rsidP="00DA6AD9">
      <w:pPr>
        <w:pStyle w:val="Default"/>
        <w:numPr>
          <w:ilvl w:val="0"/>
          <w:numId w:val="10"/>
        </w:numPr>
        <w:spacing w:after="290" w:line="360" w:lineRule="auto"/>
        <w:contextualSpacing/>
        <w:rPr>
          <w:rFonts w:ascii="Times New Roman" w:eastAsia="Times New Roman" w:hAnsi="Times New Roman" w:cs="Times New Roman"/>
          <w:color w:val="auto"/>
          <w:spacing w:val="6"/>
          <w:lang w:val="en-GB" w:eastAsia="en-GB"/>
        </w:rPr>
      </w:pPr>
      <w:r w:rsidRPr="00B45C49">
        <w:rPr>
          <w:rFonts w:ascii="Times New Roman" w:eastAsia="Times New Roman" w:hAnsi="Times New Roman" w:cs="Times New Roman"/>
          <w:color w:val="auto"/>
          <w:spacing w:val="6"/>
          <w:lang w:val="en-GB" w:eastAsia="en-GB"/>
        </w:rPr>
        <w:t>Poor</w:t>
      </w:r>
      <w:r>
        <w:rPr>
          <w:rFonts w:ascii="Times New Roman" w:eastAsia="Times New Roman" w:hAnsi="Times New Roman" w:cs="Times New Roman"/>
          <w:color w:val="auto"/>
          <w:spacing w:val="6"/>
          <w:lang w:val="en-GB" w:eastAsia="en-GB"/>
        </w:rPr>
        <w:t xml:space="preserve"> bid</w:t>
      </w:r>
      <w:r w:rsidRPr="00B45C49">
        <w:rPr>
          <w:rFonts w:ascii="Times New Roman" w:eastAsia="Times New Roman" w:hAnsi="Times New Roman" w:cs="Times New Roman"/>
          <w:color w:val="auto"/>
          <w:spacing w:val="6"/>
          <w:lang w:val="en-GB" w:eastAsia="en-GB"/>
        </w:rPr>
        <w:t xml:space="preserve"> specifications and amendments</w:t>
      </w:r>
      <w:r w:rsidR="005F4430">
        <w:rPr>
          <w:rFonts w:ascii="Times New Roman" w:eastAsia="Times New Roman" w:hAnsi="Times New Roman" w:cs="Times New Roman"/>
          <w:color w:val="auto"/>
          <w:spacing w:val="6"/>
          <w:lang w:val="en-GB" w:eastAsia="en-GB"/>
        </w:rPr>
        <w:t xml:space="preserve"> thereto</w:t>
      </w:r>
      <w:r w:rsidRPr="00B45C49">
        <w:rPr>
          <w:rFonts w:ascii="Times New Roman" w:eastAsia="Times New Roman" w:hAnsi="Times New Roman" w:cs="Times New Roman"/>
          <w:color w:val="auto"/>
          <w:spacing w:val="6"/>
          <w:lang w:val="en-GB" w:eastAsia="en-GB"/>
        </w:rPr>
        <w:t xml:space="preserve"> </w:t>
      </w:r>
      <w:r w:rsidR="005F4430">
        <w:rPr>
          <w:rFonts w:ascii="Times New Roman" w:eastAsia="Times New Roman" w:hAnsi="Times New Roman" w:cs="Times New Roman"/>
          <w:color w:val="auto"/>
          <w:spacing w:val="6"/>
          <w:lang w:val="en-GB" w:eastAsia="en-GB"/>
        </w:rPr>
        <w:t>during</w:t>
      </w:r>
      <w:r w:rsidR="00AF4545">
        <w:rPr>
          <w:rFonts w:ascii="Times New Roman" w:eastAsia="Times New Roman" w:hAnsi="Times New Roman" w:cs="Times New Roman"/>
          <w:color w:val="auto"/>
          <w:spacing w:val="6"/>
          <w:lang w:val="en-GB" w:eastAsia="en-GB"/>
        </w:rPr>
        <w:t xml:space="preserve"> </w:t>
      </w:r>
      <w:r w:rsidR="005F4430">
        <w:rPr>
          <w:rFonts w:ascii="Times New Roman" w:eastAsia="Times New Roman" w:hAnsi="Times New Roman" w:cs="Times New Roman"/>
          <w:color w:val="auto"/>
          <w:spacing w:val="6"/>
          <w:lang w:val="en-GB" w:eastAsia="en-GB"/>
        </w:rPr>
        <w:t>bidding process;</w:t>
      </w:r>
    </w:p>
    <w:p w14:paraId="69EE2C9F" w14:textId="7935DDA4" w:rsidR="00B45C49" w:rsidRDefault="00B45C49" w:rsidP="00DA6AD9">
      <w:pPr>
        <w:pStyle w:val="Default"/>
        <w:numPr>
          <w:ilvl w:val="0"/>
          <w:numId w:val="10"/>
        </w:numPr>
        <w:spacing w:after="290" w:line="360" w:lineRule="auto"/>
        <w:contextualSpacing/>
        <w:rPr>
          <w:rFonts w:ascii="Times New Roman" w:eastAsia="Times New Roman" w:hAnsi="Times New Roman" w:cs="Times New Roman"/>
          <w:color w:val="auto"/>
          <w:spacing w:val="6"/>
          <w:lang w:val="en-GB" w:eastAsia="en-GB"/>
        </w:rPr>
      </w:pPr>
      <w:r w:rsidRPr="00B45C49">
        <w:rPr>
          <w:rFonts w:ascii="Times New Roman" w:eastAsia="Times New Roman" w:hAnsi="Times New Roman" w:cs="Times New Roman"/>
          <w:color w:val="auto"/>
          <w:spacing w:val="6"/>
          <w:lang w:val="en-GB" w:eastAsia="en-GB"/>
        </w:rPr>
        <w:t>Contract overruns/</w:t>
      </w:r>
      <w:r>
        <w:rPr>
          <w:rFonts w:ascii="Times New Roman" w:eastAsia="Times New Roman" w:hAnsi="Times New Roman" w:cs="Times New Roman"/>
          <w:color w:val="auto"/>
          <w:spacing w:val="6"/>
          <w:lang w:val="en-GB" w:eastAsia="en-GB"/>
        </w:rPr>
        <w:t>Expansions due to poor planning; and</w:t>
      </w:r>
    </w:p>
    <w:p w14:paraId="763E6CF8" w14:textId="7CC2B7AC" w:rsidR="00F3436C" w:rsidRPr="00B45C49" w:rsidRDefault="00B45C49" w:rsidP="00DA6AD9">
      <w:pPr>
        <w:pStyle w:val="Default"/>
        <w:numPr>
          <w:ilvl w:val="0"/>
          <w:numId w:val="10"/>
        </w:numPr>
        <w:spacing w:after="290" w:line="360" w:lineRule="auto"/>
        <w:contextualSpacing/>
        <w:rPr>
          <w:rFonts w:ascii="Times New Roman" w:eastAsia="Times New Roman" w:hAnsi="Times New Roman" w:cs="Times New Roman"/>
          <w:color w:val="auto"/>
          <w:spacing w:val="6"/>
          <w:lang w:val="en-GB" w:eastAsia="en-GB"/>
        </w:rPr>
      </w:pPr>
      <w:r w:rsidRPr="00B45C49">
        <w:rPr>
          <w:rFonts w:ascii="Times New Roman" w:eastAsia="Times New Roman" w:hAnsi="Times New Roman" w:cs="Times New Roman"/>
          <w:color w:val="auto"/>
          <w:spacing w:val="6"/>
          <w:lang w:val="en-GB" w:eastAsia="en-GB"/>
        </w:rPr>
        <w:t>Incorr</w:t>
      </w:r>
      <w:r>
        <w:rPr>
          <w:rFonts w:ascii="Times New Roman" w:eastAsia="Times New Roman" w:hAnsi="Times New Roman" w:cs="Times New Roman"/>
          <w:color w:val="auto"/>
          <w:spacing w:val="6"/>
          <w:lang w:val="en-GB" w:eastAsia="en-GB"/>
        </w:rPr>
        <w:t>ect application of the policies.</w:t>
      </w:r>
    </w:p>
    <w:p w14:paraId="5BD4ACB7" w14:textId="77777777" w:rsidR="00F3436C" w:rsidRDefault="00F3436C" w:rsidP="00DA6AD9">
      <w:pPr>
        <w:spacing w:line="360" w:lineRule="auto"/>
        <w:ind w:left="720" w:hanging="720"/>
        <w:contextualSpacing/>
        <w:jc w:val="both"/>
        <w:rPr>
          <w:rFonts w:ascii="Times New Roman" w:hAnsi="Times New Roman"/>
          <w:color w:val="auto"/>
          <w:sz w:val="24"/>
          <w:szCs w:val="24"/>
        </w:rPr>
      </w:pPr>
    </w:p>
    <w:p w14:paraId="511A0AA7" w14:textId="28A0FDC9" w:rsidR="00503871" w:rsidRPr="00055E35" w:rsidRDefault="001B746A" w:rsidP="00DA6AD9">
      <w:pPr>
        <w:spacing w:line="360" w:lineRule="auto"/>
        <w:ind w:left="720" w:hanging="720"/>
        <w:contextualSpacing/>
        <w:jc w:val="both"/>
        <w:rPr>
          <w:rFonts w:ascii="Times New Roman" w:hAnsi="Times New Roman"/>
          <w:color w:val="auto"/>
          <w:sz w:val="24"/>
          <w:szCs w:val="24"/>
          <w:lang w:val="en-ZA"/>
        </w:rPr>
      </w:pPr>
      <w:r>
        <w:rPr>
          <w:rFonts w:ascii="Times New Roman" w:hAnsi="Times New Roman"/>
          <w:b/>
          <w:color w:val="auto"/>
          <w:sz w:val="24"/>
          <w:szCs w:val="24"/>
        </w:rPr>
        <w:t>5</w:t>
      </w:r>
      <w:r w:rsidR="00F3436C" w:rsidRPr="00F3436C">
        <w:rPr>
          <w:rFonts w:ascii="Times New Roman" w:hAnsi="Times New Roman"/>
          <w:b/>
          <w:color w:val="auto"/>
          <w:sz w:val="24"/>
          <w:szCs w:val="24"/>
        </w:rPr>
        <w:t>.1.4</w:t>
      </w:r>
      <w:r w:rsidR="00F3436C">
        <w:rPr>
          <w:rFonts w:ascii="Times New Roman" w:hAnsi="Times New Roman"/>
          <w:color w:val="auto"/>
          <w:sz w:val="24"/>
          <w:szCs w:val="24"/>
        </w:rPr>
        <w:tab/>
      </w:r>
      <w:r w:rsidR="002E312F" w:rsidRPr="00055E35">
        <w:rPr>
          <w:rFonts w:ascii="Times New Roman" w:hAnsi="Times New Roman"/>
          <w:color w:val="auto"/>
          <w:sz w:val="24"/>
          <w:szCs w:val="24"/>
        </w:rPr>
        <w:t>The Committee found</w:t>
      </w:r>
      <w:r w:rsidR="00503871" w:rsidRPr="00055E35">
        <w:rPr>
          <w:rFonts w:ascii="Times New Roman" w:hAnsi="Times New Roman"/>
          <w:color w:val="auto"/>
          <w:sz w:val="24"/>
          <w:szCs w:val="24"/>
        </w:rPr>
        <w:t xml:space="preserve"> that in general there is minimal consequence management in national departments for non-compliance and transgression of the Public Financial Management Act (PFMA) and Treasury regulations.  The Committee </w:t>
      </w:r>
      <w:r w:rsidR="009E15AF">
        <w:rPr>
          <w:rFonts w:ascii="Times New Roman" w:hAnsi="Times New Roman"/>
          <w:color w:val="auto"/>
          <w:sz w:val="24"/>
          <w:szCs w:val="24"/>
        </w:rPr>
        <w:t>emphasised</w:t>
      </w:r>
      <w:r w:rsidR="00503871" w:rsidRPr="00055E35">
        <w:rPr>
          <w:rFonts w:ascii="Times New Roman" w:hAnsi="Times New Roman"/>
          <w:color w:val="auto"/>
          <w:sz w:val="24"/>
          <w:szCs w:val="24"/>
        </w:rPr>
        <w:t xml:space="preserve"> that implementing punitive measures as prescribed by the PFMA will curb trends in non-compliance that results in irregular expenditure, fruitless and wasteful expenditure and the non-payment of suppliers within 30 days</w:t>
      </w:r>
      <w:r w:rsidR="001127C2">
        <w:rPr>
          <w:rFonts w:ascii="Times New Roman" w:hAnsi="Times New Roman"/>
          <w:color w:val="auto"/>
          <w:sz w:val="24"/>
          <w:szCs w:val="24"/>
        </w:rPr>
        <w:t xml:space="preserve"> from receipt of an invoice</w:t>
      </w:r>
      <w:r w:rsidR="00503871" w:rsidRPr="00055E35">
        <w:rPr>
          <w:rFonts w:ascii="Times New Roman" w:hAnsi="Times New Roman"/>
          <w:color w:val="auto"/>
          <w:sz w:val="24"/>
          <w:szCs w:val="24"/>
        </w:rPr>
        <w:t>.</w:t>
      </w:r>
    </w:p>
    <w:p w14:paraId="6F178A99" w14:textId="2FABEFC7" w:rsidR="00503871" w:rsidRPr="00055E35" w:rsidRDefault="00503871" w:rsidP="00DA6AD9">
      <w:pPr>
        <w:spacing w:line="360" w:lineRule="auto"/>
        <w:contextualSpacing/>
        <w:jc w:val="both"/>
        <w:rPr>
          <w:rFonts w:ascii="Times New Roman" w:hAnsi="Times New Roman"/>
          <w:b/>
          <w:color w:val="auto"/>
          <w:sz w:val="24"/>
          <w:szCs w:val="24"/>
          <w:lang w:val="en-ZA"/>
        </w:rPr>
      </w:pPr>
    </w:p>
    <w:p w14:paraId="721A7E28" w14:textId="77777777" w:rsidR="00055E35" w:rsidRPr="00055E35" w:rsidRDefault="00055E35" w:rsidP="00DA6AD9">
      <w:pPr>
        <w:spacing w:line="360" w:lineRule="auto"/>
        <w:contextualSpacing/>
        <w:jc w:val="both"/>
        <w:rPr>
          <w:rFonts w:ascii="Times New Roman" w:hAnsi="Times New Roman"/>
          <w:b/>
          <w:color w:val="auto"/>
          <w:sz w:val="24"/>
          <w:szCs w:val="24"/>
          <w:lang w:val="en-ZA"/>
        </w:rPr>
      </w:pPr>
    </w:p>
    <w:p w14:paraId="752CF8EE" w14:textId="5F23DC8F" w:rsidR="00503871" w:rsidRPr="001B746A" w:rsidRDefault="00503871" w:rsidP="00DA6AD9">
      <w:pPr>
        <w:pStyle w:val="ListParagraph"/>
        <w:numPr>
          <w:ilvl w:val="1"/>
          <w:numId w:val="14"/>
        </w:numPr>
        <w:spacing w:line="360" w:lineRule="auto"/>
        <w:jc w:val="both"/>
        <w:rPr>
          <w:rFonts w:ascii="Times New Roman" w:hAnsi="Times New Roman"/>
          <w:b/>
          <w:color w:val="auto"/>
          <w:sz w:val="24"/>
          <w:szCs w:val="24"/>
          <w:lang w:val="en-ZA"/>
        </w:rPr>
      </w:pPr>
      <w:r w:rsidRPr="001B746A">
        <w:rPr>
          <w:rFonts w:ascii="Times New Roman" w:hAnsi="Times New Roman"/>
          <w:b/>
          <w:color w:val="auto"/>
          <w:sz w:val="24"/>
          <w:szCs w:val="24"/>
          <w:lang w:val="en-ZA"/>
        </w:rPr>
        <w:t>Department of Water and Sanitation</w:t>
      </w:r>
      <w:r w:rsidR="00F4031C" w:rsidRPr="001B746A">
        <w:rPr>
          <w:rFonts w:ascii="Times New Roman" w:hAnsi="Times New Roman"/>
          <w:b/>
          <w:color w:val="auto"/>
          <w:sz w:val="24"/>
          <w:szCs w:val="24"/>
          <w:lang w:val="en-ZA"/>
        </w:rPr>
        <w:t xml:space="preserve"> (Vote 36)</w:t>
      </w:r>
    </w:p>
    <w:p w14:paraId="0207364F" w14:textId="7958C692" w:rsidR="00F4031C" w:rsidRPr="00055E35" w:rsidRDefault="00F4031C" w:rsidP="00DA6AD9">
      <w:pPr>
        <w:spacing w:line="360" w:lineRule="auto"/>
        <w:contextualSpacing/>
        <w:jc w:val="both"/>
        <w:rPr>
          <w:rFonts w:ascii="Times New Roman" w:hAnsi="Times New Roman"/>
          <w:b/>
          <w:color w:val="auto"/>
          <w:sz w:val="24"/>
          <w:szCs w:val="24"/>
          <w:lang w:val="en-ZA"/>
        </w:rPr>
      </w:pPr>
    </w:p>
    <w:p w14:paraId="1FCFAEC5" w14:textId="160E4F2F" w:rsidR="00FF1D0A" w:rsidRDefault="009E15AF" w:rsidP="008B7AE0">
      <w:pPr>
        <w:pStyle w:val="ListParagraph"/>
        <w:numPr>
          <w:ilvl w:val="2"/>
          <w:numId w:val="14"/>
        </w:numPr>
        <w:spacing w:line="360" w:lineRule="auto"/>
        <w:jc w:val="both"/>
        <w:rPr>
          <w:rFonts w:ascii="Times New Roman" w:hAnsi="Times New Roman"/>
          <w:color w:val="auto"/>
          <w:sz w:val="24"/>
          <w:szCs w:val="24"/>
          <w:lang w:val="en-ZA"/>
        </w:rPr>
      </w:pPr>
      <w:r w:rsidRPr="008B7AE0">
        <w:rPr>
          <w:rFonts w:ascii="Times New Roman" w:hAnsi="Times New Roman"/>
          <w:color w:val="auto"/>
          <w:sz w:val="24"/>
          <w:szCs w:val="24"/>
          <w:lang w:val="en-ZA"/>
        </w:rPr>
        <w:t>The Committee</w:t>
      </w:r>
      <w:r w:rsidR="00F4031C" w:rsidRPr="008B7AE0">
        <w:rPr>
          <w:rFonts w:ascii="Times New Roman" w:hAnsi="Times New Roman"/>
          <w:color w:val="auto"/>
          <w:sz w:val="24"/>
          <w:szCs w:val="24"/>
          <w:lang w:val="en-ZA"/>
        </w:rPr>
        <w:t xml:space="preserve"> </w:t>
      </w:r>
      <w:r w:rsidR="00FF1D0A" w:rsidRPr="008B7AE0">
        <w:rPr>
          <w:rFonts w:ascii="Times New Roman" w:hAnsi="Times New Roman"/>
          <w:color w:val="auto"/>
          <w:sz w:val="24"/>
          <w:szCs w:val="24"/>
          <w:lang w:val="en-ZA"/>
        </w:rPr>
        <w:t>found that the Department is facing significant fiscal difficulties</w:t>
      </w:r>
      <w:r w:rsidR="00F84628">
        <w:rPr>
          <w:rFonts w:ascii="Times New Roman" w:hAnsi="Times New Roman"/>
          <w:color w:val="auto"/>
          <w:sz w:val="24"/>
          <w:szCs w:val="24"/>
          <w:lang w:val="en-ZA"/>
        </w:rPr>
        <w:t>,</w:t>
      </w:r>
      <w:r w:rsidR="00FF1D0A" w:rsidRPr="008B7AE0">
        <w:rPr>
          <w:rFonts w:ascii="Times New Roman" w:hAnsi="Times New Roman"/>
          <w:color w:val="auto"/>
          <w:sz w:val="24"/>
          <w:szCs w:val="24"/>
          <w:lang w:val="en-ZA"/>
        </w:rPr>
        <w:t xml:space="preserve"> which undermine the effective and efficient performance of its functions. </w:t>
      </w:r>
      <w:r w:rsidR="008B7AE0">
        <w:rPr>
          <w:rFonts w:ascii="Times New Roman" w:hAnsi="Times New Roman"/>
          <w:color w:val="auto"/>
          <w:sz w:val="24"/>
          <w:szCs w:val="24"/>
          <w:lang w:val="en-ZA"/>
        </w:rPr>
        <w:t>T</w:t>
      </w:r>
      <w:r w:rsidR="000A061D" w:rsidRPr="008B7AE0">
        <w:rPr>
          <w:rFonts w:ascii="Times New Roman" w:hAnsi="Times New Roman"/>
          <w:color w:val="auto"/>
          <w:sz w:val="24"/>
          <w:szCs w:val="24"/>
          <w:lang w:val="en-ZA"/>
        </w:rPr>
        <w:t xml:space="preserve">he Department </w:t>
      </w:r>
      <w:r w:rsidR="008B7AE0">
        <w:rPr>
          <w:rFonts w:ascii="Times New Roman" w:hAnsi="Times New Roman"/>
          <w:color w:val="auto"/>
          <w:sz w:val="24"/>
          <w:szCs w:val="24"/>
          <w:lang w:val="en-ZA"/>
        </w:rPr>
        <w:t xml:space="preserve">reported that it </w:t>
      </w:r>
      <w:r w:rsidR="000A061D" w:rsidRPr="008B7AE0">
        <w:rPr>
          <w:rFonts w:ascii="Times New Roman" w:hAnsi="Times New Roman"/>
          <w:color w:val="auto"/>
          <w:sz w:val="24"/>
          <w:szCs w:val="24"/>
          <w:lang w:val="en-ZA"/>
        </w:rPr>
        <w:t>has no budget for contractual obligations</w:t>
      </w:r>
      <w:r w:rsidR="00807018">
        <w:rPr>
          <w:rFonts w:ascii="Times New Roman" w:hAnsi="Times New Roman"/>
          <w:color w:val="auto"/>
          <w:sz w:val="24"/>
          <w:szCs w:val="24"/>
          <w:lang w:val="en-ZA"/>
        </w:rPr>
        <w:t>, transfers</w:t>
      </w:r>
      <w:r w:rsidR="000A061D" w:rsidRPr="008B7AE0">
        <w:rPr>
          <w:rFonts w:ascii="Times New Roman" w:hAnsi="Times New Roman"/>
          <w:color w:val="auto"/>
          <w:sz w:val="24"/>
          <w:szCs w:val="24"/>
          <w:lang w:val="en-ZA"/>
        </w:rPr>
        <w:t xml:space="preserve"> and</w:t>
      </w:r>
      <w:r w:rsidR="0071070E">
        <w:rPr>
          <w:rFonts w:ascii="Times New Roman" w:hAnsi="Times New Roman"/>
          <w:color w:val="auto"/>
          <w:sz w:val="24"/>
          <w:szCs w:val="24"/>
          <w:lang w:val="en-ZA"/>
        </w:rPr>
        <w:t xml:space="preserve"> recurrent expenditure such as audit fees, computer s</w:t>
      </w:r>
      <w:r w:rsidR="000A061D" w:rsidRPr="008B7AE0">
        <w:rPr>
          <w:rFonts w:ascii="Times New Roman" w:hAnsi="Times New Roman"/>
          <w:color w:val="auto"/>
          <w:sz w:val="24"/>
          <w:szCs w:val="24"/>
          <w:lang w:val="en-ZA"/>
        </w:rPr>
        <w:t>ervices, etc.</w:t>
      </w:r>
      <w:r w:rsidR="008B7AE0">
        <w:rPr>
          <w:rFonts w:ascii="Times New Roman" w:hAnsi="Times New Roman"/>
          <w:color w:val="auto"/>
          <w:sz w:val="24"/>
          <w:szCs w:val="24"/>
          <w:lang w:val="en-ZA"/>
        </w:rPr>
        <w:t xml:space="preserve">  The Department </w:t>
      </w:r>
      <w:r w:rsidR="008B7AE0" w:rsidRPr="008B7AE0">
        <w:rPr>
          <w:rFonts w:ascii="Times New Roman" w:hAnsi="Times New Roman"/>
          <w:color w:val="auto"/>
          <w:sz w:val="24"/>
          <w:szCs w:val="24"/>
          <w:lang w:val="en-ZA"/>
        </w:rPr>
        <w:t xml:space="preserve">also </w:t>
      </w:r>
      <w:r w:rsidR="008B7AE0">
        <w:rPr>
          <w:rFonts w:ascii="Times New Roman" w:hAnsi="Times New Roman"/>
          <w:color w:val="auto"/>
          <w:sz w:val="24"/>
          <w:szCs w:val="24"/>
          <w:lang w:val="en-ZA"/>
        </w:rPr>
        <w:t xml:space="preserve">has </w:t>
      </w:r>
      <w:r w:rsidR="008B7AE0" w:rsidRPr="008B7AE0">
        <w:rPr>
          <w:rFonts w:ascii="Times New Roman" w:hAnsi="Times New Roman"/>
          <w:color w:val="auto"/>
          <w:sz w:val="24"/>
          <w:szCs w:val="24"/>
          <w:lang w:val="en-ZA"/>
        </w:rPr>
        <w:t>current liabilities arising from unfunded projects includ</w:t>
      </w:r>
      <w:r w:rsidR="008B7AE0">
        <w:rPr>
          <w:rFonts w:ascii="Times New Roman" w:hAnsi="Times New Roman"/>
          <w:color w:val="auto"/>
          <w:sz w:val="24"/>
          <w:szCs w:val="24"/>
          <w:lang w:val="en-ZA"/>
        </w:rPr>
        <w:t>ing the War on Leaks Programme.</w:t>
      </w:r>
    </w:p>
    <w:p w14:paraId="41447DE3" w14:textId="77777777" w:rsidR="008B7AE0" w:rsidRPr="008B7AE0" w:rsidRDefault="008B7AE0" w:rsidP="008B7AE0">
      <w:pPr>
        <w:pStyle w:val="ListParagraph"/>
        <w:spacing w:line="360" w:lineRule="auto"/>
        <w:jc w:val="both"/>
        <w:rPr>
          <w:rFonts w:ascii="Times New Roman" w:hAnsi="Times New Roman"/>
          <w:color w:val="auto"/>
          <w:sz w:val="24"/>
          <w:szCs w:val="24"/>
          <w:lang w:val="en-ZA"/>
        </w:rPr>
      </w:pPr>
    </w:p>
    <w:p w14:paraId="58AC2F0C" w14:textId="5EE09C8F" w:rsidR="009E15AF" w:rsidRPr="001B746A" w:rsidRDefault="00FF1D0A" w:rsidP="00DA6AD9">
      <w:pPr>
        <w:pStyle w:val="ListParagraph"/>
        <w:numPr>
          <w:ilvl w:val="2"/>
          <w:numId w:val="14"/>
        </w:numPr>
        <w:spacing w:line="360" w:lineRule="auto"/>
        <w:jc w:val="both"/>
        <w:rPr>
          <w:rFonts w:ascii="Times New Roman" w:hAnsi="Times New Roman"/>
          <w:color w:val="auto"/>
          <w:sz w:val="24"/>
          <w:szCs w:val="24"/>
          <w:lang w:val="en-ZA"/>
        </w:rPr>
      </w:pPr>
      <w:r>
        <w:rPr>
          <w:rFonts w:ascii="Times New Roman" w:hAnsi="Times New Roman"/>
          <w:color w:val="auto"/>
          <w:sz w:val="24"/>
          <w:szCs w:val="24"/>
          <w:lang w:val="en-ZA"/>
        </w:rPr>
        <w:t xml:space="preserve">The Committee </w:t>
      </w:r>
      <w:r w:rsidR="009E15AF" w:rsidRPr="001B746A">
        <w:rPr>
          <w:rFonts w:ascii="Times New Roman" w:hAnsi="Times New Roman"/>
          <w:color w:val="auto"/>
          <w:sz w:val="24"/>
          <w:szCs w:val="24"/>
          <w:lang w:val="en-ZA"/>
        </w:rPr>
        <w:t xml:space="preserve">noted with concern </w:t>
      </w:r>
      <w:r w:rsidR="00F4031C" w:rsidRPr="001B746A">
        <w:rPr>
          <w:rFonts w:ascii="Times New Roman" w:hAnsi="Times New Roman"/>
          <w:color w:val="auto"/>
          <w:sz w:val="24"/>
          <w:szCs w:val="24"/>
          <w:lang w:val="en-ZA"/>
        </w:rPr>
        <w:t>the Department’s accruals and payables</w:t>
      </w:r>
      <w:r w:rsidR="00A75016">
        <w:rPr>
          <w:rFonts w:ascii="Times New Roman" w:hAnsi="Times New Roman"/>
          <w:color w:val="auto"/>
          <w:sz w:val="24"/>
          <w:szCs w:val="24"/>
          <w:lang w:val="en-ZA"/>
        </w:rPr>
        <w:t>,</w:t>
      </w:r>
      <w:r w:rsidR="00F4031C" w:rsidRPr="001B746A">
        <w:rPr>
          <w:rFonts w:ascii="Times New Roman" w:hAnsi="Times New Roman"/>
          <w:color w:val="auto"/>
          <w:sz w:val="24"/>
          <w:szCs w:val="24"/>
          <w:lang w:val="en-ZA"/>
        </w:rPr>
        <w:t xml:space="preserve"> which totalled R2.0</w:t>
      </w:r>
      <w:r w:rsidR="009E15AF" w:rsidRPr="001B746A">
        <w:rPr>
          <w:rFonts w:ascii="Times New Roman" w:hAnsi="Times New Roman"/>
          <w:color w:val="auto"/>
          <w:sz w:val="24"/>
          <w:szCs w:val="24"/>
          <w:lang w:val="en-ZA"/>
        </w:rPr>
        <w:t xml:space="preserve"> billion. The Committee</w:t>
      </w:r>
      <w:r w:rsidR="00F4031C" w:rsidRPr="001B746A">
        <w:rPr>
          <w:rFonts w:ascii="Times New Roman" w:hAnsi="Times New Roman"/>
          <w:color w:val="auto"/>
          <w:sz w:val="24"/>
          <w:szCs w:val="24"/>
          <w:lang w:val="en-ZA"/>
        </w:rPr>
        <w:t xml:space="preserve"> </w:t>
      </w:r>
      <w:r w:rsidR="009E15AF" w:rsidRPr="001B746A">
        <w:rPr>
          <w:rFonts w:ascii="Times New Roman" w:hAnsi="Times New Roman"/>
          <w:color w:val="auto"/>
          <w:sz w:val="24"/>
          <w:szCs w:val="24"/>
          <w:lang w:val="en-ZA"/>
        </w:rPr>
        <w:t>highlighted</w:t>
      </w:r>
      <w:r w:rsidR="00F4031C" w:rsidRPr="001B746A">
        <w:rPr>
          <w:rFonts w:ascii="Times New Roman" w:hAnsi="Times New Roman"/>
          <w:color w:val="auto"/>
          <w:sz w:val="24"/>
          <w:szCs w:val="24"/>
          <w:lang w:val="en-ZA"/>
        </w:rPr>
        <w:t xml:space="preserve"> that the </w:t>
      </w:r>
      <w:r w:rsidR="00A75016">
        <w:rPr>
          <w:rFonts w:ascii="Times New Roman" w:hAnsi="Times New Roman"/>
          <w:color w:val="auto"/>
          <w:sz w:val="24"/>
          <w:szCs w:val="24"/>
          <w:lang w:val="en-ZA"/>
        </w:rPr>
        <w:t>reported</w:t>
      </w:r>
      <w:r w:rsidR="00F4031C" w:rsidRPr="001B746A">
        <w:rPr>
          <w:rFonts w:ascii="Times New Roman" w:hAnsi="Times New Roman"/>
          <w:color w:val="auto"/>
          <w:sz w:val="24"/>
          <w:szCs w:val="24"/>
          <w:lang w:val="en-ZA"/>
        </w:rPr>
        <w:t xml:space="preserve"> accruals seriously compromised the ability of the Department to function and to achieve its targets as per the 2018/19 Annual Performance Plan (APP). The Department had spent R1.7 billion towards the accruals in the first quarter of </w:t>
      </w:r>
      <w:r w:rsidR="00F4031C" w:rsidRPr="001B746A">
        <w:rPr>
          <w:rFonts w:ascii="Times New Roman" w:hAnsi="Times New Roman"/>
          <w:color w:val="auto"/>
          <w:sz w:val="24"/>
          <w:szCs w:val="24"/>
          <w:lang w:val="en-ZA"/>
        </w:rPr>
        <w:lastRenderedPageBreak/>
        <w:t xml:space="preserve">2018/19. </w:t>
      </w:r>
      <w:r w:rsidR="009E15AF" w:rsidRPr="001B746A">
        <w:rPr>
          <w:rFonts w:ascii="Times New Roman" w:hAnsi="Times New Roman"/>
          <w:color w:val="auto"/>
          <w:sz w:val="24"/>
          <w:szCs w:val="24"/>
          <w:lang w:val="en-ZA"/>
        </w:rPr>
        <w:t>The actual expenditure of the Department excluding the accruals paid was only 3 per cent of the total allocation at the</w:t>
      </w:r>
      <w:r w:rsidR="00A75016">
        <w:rPr>
          <w:rFonts w:ascii="Times New Roman" w:hAnsi="Times New Roman"/>
          <w:color w:val="auto"/>
          <w:sz w:val="24"/>
          <w:szCs w:val="24"/>
          <w:lang w:val="en-ZA"/>
        </w:rPr>
        <w:t xml:space="preserve"> first quarter of 2018/19.</w:t>
      </w:r>
      <w:r w:rsidR="009E15AF" w:rsidRPr="001B746A">
        <w:rPr>
          <w:rFonts w:ascii="Times New Roman" w:hAnsi="Times New Roman"/>
          <w:color w:val="auto"/>
          <w:sz w:val="24"/>
          <w:szCs w:val="24"/>
          <w:lang w:val="en-ZA"/>
        </w:rPr>
        <w:t xml:space="preserve"> </w:t>
      </w:r>
    </w:p>
    <w:p w14:paraId="4FB65893" w14:textId="77777777" w:rsidR="009E15AF" w:rsidRPr="00055E35" w:rsidRDefault="009E15AF" w:rsidP="00DA6AD9">
      <w:pPr>
        <w:pStyle w:val="ListParagraph"/>
        <w:spacing w:line="360" w:lineRule="auto"/>
        <w:jc w:val="both"/>
        <w:rPr>
          <w:rFonts w:ascii="Times New Roman" w:hAnsi="Times New Roman"/>
          <w:color w:val="auto"/>
          <w:sz w:val="24"/>
          <w:szCs w:val="24"/>
          <w:lang w:val="en-ZA"/>
        </w:rPr>
      </w:pPr>
    </w:p>
    <w:p w14:paraId="105C613E" w14:textId="77777777" w:rsidR="00F4031C" w:rsidRPr="00055E35" w:rsidRDefault="00F4031C" w:rsidP="00DA6AD9">
      <w:pPr>
        <w:pStyle w:val="ListParagraph"/>
        <w:numPr>
          <w:ilvl w:val="2"/>
          <w:numId w:val="14"/>
        </w:numPr>
        <w:spacing w:line="360" w:lineRule="auto"/>
        <w:jc w:val="both"/>
        <w:rPr>
          <w:rFonts w:ascii="Times New Roman" w:hAnsi="Times New Roman"/>
          <w:color w:val="auto"/>
          <w:sz w:val="24"/>
          <w:szCs w:val="24"/>
          <w:lang w:val="en-ZA"/>
        </w:rPr>
      </w:pPr>
      <w:r w:rsidRPr="00055E35">
        <w:rPr>
          <w:rFonts w:ascii="Times New Roman" w:hAnsi="Times New Roman"/>
          <w:color w:val="auto"/>
          <w:sz w:val="24"/>
          <w:szCs w:val="24"/>
          <w:lang w:val="en-ZA"/>
        </w:rPr>
        <w:t>Transfers totalling R222.8 million could not be made in the 2017/18 financial year to the following institutions:</w:t>
      </w:r>
    </w:p>
    <w:p w14:paraId="430B3B73" w14:textId="77777777" w:rsidR="00F4031C" w:rsidRPr="00055E35" w:rsidRDefault="00F4031C" w:rsidP="00DA6AD9">
      <w:pPr>
        <w:pStyle w:val="ListParagraph"/>
        <w:numPr>
          <w:ilvl w:val="0"/>
          <w:numId w:val="6"/>
        </w:numPr>
        <w:spacing w:line="360" w:lineRule="auto"/>
        <w:ind w:left="1170" w:hanging="180"/>
        <w:jc w:val="both"/>
        <w:rPr>
          <w:rFonts w:ascii="Times New Roman" w:hAnsi="Times New Roman"/>
          <w:color w:val="auto"/>
          <w:sz w:val="24"/>
          <w:szCs w:val="24"/>
          <w:lang w:val="en-ZA"/>
        </w:rPr>
      </w:pPr>
      <w:r w:rsidRPr="00055E35">
        <w:rPr>
          <w:rFonts w:ascii="Times New Roman" w:hAnsi="Times New Roman"/>
          <w:color w:val="auto"/>
          <w:sz w:val="24"/>
          <w:szCs w:val="24"/>
          <w:lang w:val="en-ZA"/>
        </w:rPr>
        <w:t>Sub Fees to the African Ministers’ Council on Water (R140 thousand);</w:t>
      </w:r>
    </w:p>
    <w:p w14:paraId="20F47FE6" w14:textId="77777777" w:rsidR="00F4031C" w:rsidRPr="00055E35" w:rsidRDefault="00F4031C" w:rsidP="00DA6AD9">
      <w:pPr>
        <w:pStyle w:val="ListParagraph"/>
        <w:numPr>
          <w:ilvl w:val="0"/>
          <w:numId w:val="6"/>
        </w:numPr>
        <w:spacing w:line="360" w:lineRule="auto"/>
        <w:ind w:left="1170" w:hanging="180"/>
        <w:jc w:val="both"/>
        <w:rPr>
          <w:rFonts w:ascii="Times New Roman" w:hAnsi="Times New Roman"/>
          <w:color w:val="auto"/>
          <w:sz w:val="24"/>
          <w:szCs w:val="24"/>
          <w:lang w:val="en-ZA"/>
        </w:rPr>
      </w:pPr>
      <w:r w:rsidRPr="00055E35">
        <w:rPr>
          <w:rFonts w:ascii="Times New Roman" w:hAnsi="Times New Roman"/>
          <w:color w:val="auto"/>
          <w:sz w:val="24"/>
          <w:szCs w:val="24"/>
          <w:lang w:val="en-ZA"/>
        </w:rPr>
        <w:t>Regional Bulk Infrastructure Direct Grant (R36.0 million);</w:t>
      </w:r>
    </w:p>
    <w:p w14:paraId="5EDB5B37" w14:textId="77777777" w:rsidR="00F4031C" w:rsidRPr="00055E35" w:rsidRDefault="00F4031C" w:rsidP="00DA6AD9">
      <w:pPr>
        <w:pStyle w:val="ListParagraph"/>
        <w:numPr>
          <w:ilvl w:val="0"/>
          <w:numId w:val="6"/>
        </w:numPr>
        <w:spacing w:line="360" w:lineRule="auto"/>
        <w:ind w:left="1170" w:hanging="180"/>
        <w:jc w:val="both"/>
        <w:rPr>
          <w:rFonts w:ascii="Times New Roman" w:hAnsi="Times New Roman"/>
          <w:color w:val="auto"/>
          <w:sz w:val="24"/>
          <w:szCs w:val="24"/>
          <w:lang w:val="en-ZA"/>
        </w:rPr>
      </w:pPr>
      <w:r w:rsidRPr="00055E35">
        <w:rPr>
          <w:rFonts w:ascii="Times New Roman" w:hAnsi="Times New Roman"/>
          <w:color w:val="auto"/>
          <w:sz w:val="24"/>
          <w:szCs w:val="24"/>
          <w:lang w:val="en-ZA"/>
        </w:rPr>
        <w:t>Water Services Infrastructure Grant (R24.2 million);</w:t>
      </w:r>
    </w:p>
    <w:p w14:paraId="204743D2" w14:textId="77777777" w:rsidR="00F4031C" w:rsidRPr="00055E35" w:rsidRDefault="00F4031C" w:rsidP="00DA6AD9">
      <w:pPr>
        <w:pStyle w:val="ListParagraph"/>
        <w:numPr>
          <w:ilvl w:val="0"/>
          <w:numId w:val="6"/>
        </w:numPr>
        <w:spacing w:line="360" w:lineRule="auto"/>
        <w:ind w:left="1170" w:hanging="180"/>
        <w:jc w:val="both"/>
        <w:rPr>
          <w:rFonts w:ascii="Times New Roman" w:hAnsi="Times New Roman"/>
          <w:color w:val="auto"/>
          <w:sz w:val="24"/>
          <w:szCs w:val="24"/>
          <w:lang w:val="en-ZA"/>
        </w:rPr>
      </w:pPr>
      <w:proofErr w:type="spellStart"/>
      <w:r w:rsidRPr="00055E35">
        <w:rPr>
          <w:rFonts w:ascii="Times New Roman" w:hAnsi="Times New Roman"/>
          <w:color w:val="auto"/>
          <w:sz w:val="24"/>
          <w:szCs w:val="24"/>
          <w:lang w:val="en-ZA"/>
        </w:rPr>
        <w:t>Magalies</w:t>
      </w:r>
      <w:proofErr w:type="spellEnd"/>
      <w:r w:rsidRPr="00055E35">
        <w:rPr>
          <w:rFonts w:ascii="Times New Roman" w:hAnsi="Times New Roman"/>
          <w:color w:val="auto"/>
          <w:sz w:val="24"/>
          <w:szCs w:val="24"/>
          <w:lang w:val="en-ZA"/>
        </w:rPr>
        <w:t xml:space="preserve"> Water Board (R6.2 million);</w:t>
      </w:r>
    </w:p>
    <w:p w14:paraId="690185E9" w14:textId="77777777" w:rsidR="00F4031C" w:rsidRPr="00055E35" w:rsidRDefault="00F4031C" w:rsidP="00DA6AD9">
      <w:pPr>
        <w:pStyle w:val="ListParagraph"/>
        <w:numPr>
          <w:ilvl w:val="0"/>
          <w:numId w:val="6"/>
        </w:numPr>
        <w:spacing w:line="360" w:lineRule="auto"/>
        <w:ind w:left="1170" w:hanging="180"/>
        <w:jc w:val="both"/>
        <w:rPr>
          <w:rFonts w:ascii="Times New Roman" w:hAnsi="Times New Roman"/>
          <w:color w:val="auto"/>
          <w:sz w:val="24"/>
          <w:szCs w:val="24"/>
          <w:lang w:val="en-ZA"/>
        </w:rPr>
      </w:pPr>
      <w:r w:rsidRPr="00055E35">
        <w:rPr>
          <w:rFonts w:ascii="Times New Roman" w:hAnsi="Times New Roman"/>
          <w:color w:val="auto"/>
          <w:sz w:val="24"/>
          <w:szCs w:val="24"/>
          <w:lang w:val="en-ZA"/>
        </w:rPr>
        <w:t xml:space="preserve">Sedibeng Water Board (R70.0 million); and </w:t>
      </w:r>
    </w:p>
    <w:p w14:paraId="7A7B2571" w14:textId="77777777" w:rsidR="00F4031C" w:rsidRPr="00055E35" w:rsidRDefault="00F4031C" w:rsidP="00DA6AD9">
      <w:pPr>
        <w:pStyle w:val="ListParagraph"/>
        <w:numPr>
          <w:ilvl w:val="0"/>
          <w:numId w:val="6"/>
        </w:numPr>
        <w:spacing w:line="360" w:lineRule="auto"/>
        <w:ind w:left="1170" w:hanging="180"/>
        <w:jc w:val="both"/>
        <w:rPr>
          <w:rFonts w:ascii="Times New Roman" w:hAnsi="Times New Roman"/>
          <w:color w:val="auto"/>
          <w:sz w:val="24"/>
          <w:szCs w:val="24"/>
          <w:lang w:val="en-ZA"/>
        </w:rPr>
      </w:pPr>
      <w:r w:rsidRPr="00055E35">
        <w:rPr>
          <w:rFonts w:ascii="Times New Roman" w:hAnsi="Times New Roman"/>
          <w:color w:val="auto"/>
          <w:sz w:val="24"/>
          <w:szCs w:val="24"/>
          <w:lang w:val="en-ZA"/>
        </w:rPr>
        <w:t xml:space="preserve">Infrastructure Komai Basin Water Authority (R86.3 million).  </w:t>
      </w:r>
    </w:p>
    <w:p w14:paraId="61584C2C" w14:textId="77777777" w:rsidR="00F4031C" w:rsidRPr="00055E35" w:rsidRDefault="00F4031C" w:rsidP="00DA6AD9">
      <w:pPr>
        <w:pStyle w:val="ListParagraph"/>
        <w:spacing w:line="360" w:lineRule="auto"/>
        <w:ind w:left="1170"/>
        <w:jc w:val="both"/>
        <w:rPr>
          <w:rFonts w:ascii="Times New Roman" w:hAnsi="Times New Roman"/>
          <w:color w:val="auto"/>
          <w:sz w:val="24"/>
          <w:szCs w:val="24"/>
          <w:lang w:val="en-ZA"/>
        </w:rPr>
      </w:pPr>
    </w:p>
    <w:p w14:paraId="27132215" w14:textId="46FF7CD6" w:rsidR="00F4031C" w:rsidRPr="00C24FAE" w:rsidRDefault="00F4031C" w:rsidP="00DA6AD9">
      <w:pPr>
        <w:pStyle w:val="ListParagraph"/>
        <w:numPr>
          <w:ilvl w:val="2"/>
          <w:numId w:val="14"/>
        </w:numPr>
        <w:spacing w:line="360" w:lineRule="auto"/>
        <w:jc w:val="both"/>
        <w:rPr>
          <w:rFonts w:ascii="Times New Roman" w:hAnsi="Times New Roman"/>
          <w:color w:val="auto"/>
          <w:sz w:val="24"/>
          <w:szCs w:val="24"/>
          <w:lang w:val="en-ZA"/>
        </w:rPr>
      </w:pPr>
      <w:r w:rsidRPr="00055E35">
        <w:rPr>
          <w:rFonts w:ascii="Times New Roman" w:hAnsi="Times New Roman"/>
          <w:color w:val="auto"/>
          <w:sz w:val="24"/>
          <w:szCs w:val="24"/>
          <w:lang w:val="en-ZA"/>
        </w:rPr>
        <w:t>The Committee noted that the Department of Water and Sanitation would table a revised 2018/19 Annual Performance Plan before the Portfolio Committee on Water and Sanitation before the end of September 2018.</w:t>
      </w:r>
    </w:p>
    <w:p w14:paraId="7BBFE413" w14:textId="77777777" w:rsidR="00F4031C" w:rsidRPr="00055E35" w:rsidRDefault="00F4031C" w:rsidP="00DA6AD9">
      <w:pPr>
        <w:spacing w:line="360" w:lineRule="auto"/>
        <w:contextualSpacing/>
        <w:jc w:val="both"/>
        <w:rPr>
          <w:rFonts w:ascii="Times New Roman" w:hAnsi="Times New Roman"/>
          <w:color w:val="auto"/>
          <w:sz w:val="24"/>
          <w:szCs w:val="24"/>
          <w:lang w:val="en-ZA"/>
        </w:rPr>
      </w:pPr>
    </w:p>
    <w:p w14:paraId="0B9D99A0" w14:textId="47D102F4" w:rsidR="00F4031C" w:rsidRPr="00055E35" w:rsidRDefault="00F4031C" w:rsidP="00DA6AD9">
      <w:pPr>
        <w:pStyle w:val="ListParagraph"/>
        <w:numPr>
          <w:ilvl w:val="2"/>
          <w:numId w:val="14"/>
        </w:numPr>
        <w:spacing w:line="360" w:lineRule="auto"/>
        <w:jc w:val="both"/>
        <w:rPr>
          <w:rFonts w:ascii="Times New Roman" w:hAnsi="Times New Roman"/>
          <w:b/>
          <w:color w:val="auto"/>
          <w:sz w:val="24"/>
          <w:szCs w:val="24"/>
          <w:lang w:val="en-ZA"/>
        </w:rPr>
      </w:pPr>
      <w:r w:rsidRPr="00055E35">
        <w:rPr>
          <w:rFonts w:ascii="Times New Roman" w:hAnsi="Times New Roman"/>
          <w:color w:val="auto"/>
          <w:sz w:val="24"/>
          <w:szCs w:val="24"/>
          <w:lang w:val="en-ZA"/>
        </w:rPr>
        <w:t xml:space="preserve">The Committee was concerned about the </w:t>
      </w:r>
      <w:r w:rsidR="006B606D" w:rsidRPr="00055E35">
        <w:rPr>
          <w:rFonts w:ascii="Times New Roman" w:hAnsi="Times New Roman"/>
          <w:color w:val="auto"/>
          <w:sz w:val="24"/>
          <w:szCs w:val="24"/>
          <w:lang w:val="en-ZA"/>
        </w:rPr>
        <w:t>dis</w:t>
      </w:r>
      <w:r w:rsidR="006B606D">
        <w:rPr>
          <w:rFonts w:ascii="Times New Roman" w:hAnsi="Times New Roman"/>
          <w:color w:val="auto"/>
          <w:sz w:val="24"/>
          <w:szCs w:val="24"/>
          <w:lang w:val="en-ZA"/>
        </w:rPr>
        <w:t>crepancy</w:t>
      </w:r>
      <w:r w:rsidRPr="00055E35">
        <w:rPr>
          <w:rFonts w:ascii="Times New Roman" w:hAnsi="Times New Roman"/>
          <w:color w:val="auto"/>
          <w:sz w:val="24"/>
          <w:szCs w:val="24"/>
          <w:lang w:val="en-ZA"/>
        </w:rPr>
        <w:t xml:space="preserve"> between budget expenditure and performance against pre-determined targets. The Committee was of the view that the underperformance of the Department would affect the overall budget expenditure at the end of the 2018/19 financial year. </w:t>
      </w:r>
    </w:p>
    <w:p w14:paraId="381B582E" w14:textId="77777777" w:rsidR="00F4031C" w:rsidRPr="00055E35" w:rsidRDefault="00F4031C" w:rsidP="00DA6AD9">
      <w:pPr>
        <w:spacing w:line="360" w:lineRule="auto"/>
        <w:contextualSpacing/>
        <w:jc w:val="both"/>
        <w:rPr>
          <w:rFonts w:ascii="Times New Roman" w:hAnsi="Times New Roman"/>
          <w:b/>
          <w:color w:val="auto"/>
          <w:sz w:val="24"/>
          <w:szCs w:val="24"/>
          <w:lang w:val="en-ZA"/>
        </w:rPr>
      </w:pPr>
    </w:p>
    <w:p w14:paraId="0C12BA60" w14:textId="386B2082" w:rsidR="00F4031C" w:rsidRPr="00055E35" w:rsidRDefault="009E15AF" w:rsidP="00DA6AD9">
      <w:pPr>
        <w:pStyle w:val="ListParagraph"/>
        <w:numPr>
          <w:ilvl w:val="2"/>
          <w:numId w:val="14"/>
        </w:numPr>
        <w:spacing w:line="360" w:lineRule="auto"/>
        <w:jc w:val="both"/>
        <w:rPr>
          <w:rFonts w:ascii="Times New Roman" w:hAnsi="Times New Roman"/>
          <w:b/>
          <w:color w:val="auto"/>
          <w:sz w:val="24"/>
          <w:szCs w:val="24"/>
          <w:lang w:val="en-ZA"/>
        </w:rPr>
      </w:pPr>
      <w:r>
        <w:rPr>
          <w:rFonts w:ascii="Times New Roman" w:hAnsi="Times New Roman"/>
          <w:color w:val="auto"/>
          <w:sz w:val="24"/>
          <w:szCs w:val="24"/>
          <w:lang w:val="en-ZA"/>
        </w:rPr>
        <w:t>The Committee noted</w:t>
      </w:r>
      <w:r w:rsidR="00F4031C" w:rsidRPr="00055E35">
        <w:rPr>
          <w:rFonts w:ascii="Times New Roman" w:hAnsi="Times New Roman"/>
          <w:color w:val="auto"/>
          <w:sz w:val="24"/>
          <w:szCs w:val="24"/>
          <w:lang w:val="en-ZA"/>
        </w:rPr>
        <w:t xml:space="preserve"> with concern the report from the Department that 26 or 46 per cent of the 56 targets for the 2018/19 financial may not be achieved due to the</w:t>
      </w:r>
      <w:r w:rsidR="00A75016">
        <w:rPr>
          <w:rFonts w:ascii="Times New Roman" w:hAnsi="Times New Roman"/>
          <w:color w:val="auto"/>
          <w:sz w:val="24"/>
          <w:szCs w:val="24"/>
          <w:lang w:val="en-ZA"/>
        </w:rPr>
        <w:t xml:space="preserve"> current</w:t>
      </w:r>
      <w:r w:rsidR="00F4031C" w:rsidRPr="00055E35">
        <w:rPr>
          <w:rFonts w:ascii="Times New Roman" w:hAnsi="Times New Roman"/>
          <w:color w:val="auto"/>
          <w:sz w:val="24"/>
          <w:szCs w:val="24"/>
          <w:lang w:val="en-ZA"/>
        </w:rPr>
        <w:t xml:space="preserve"> financial</w:t>
      </w:r>
      <w:r w:rsidR="00A75016">
        <w:rPr>
          <w:rFonts w:ascii="Times New Roman" w:hAnsi="Times New Roman"/>
          <w:color w:val="auto"/>
          <w:sz w:val="24"/>
          <w:szCs w:val="24"/>
          <w:lang w:val="en-ZA"/>
        </w:rPr>
        <w:t xml:space="preserve"> constrain</w:t>
      </w:r>
      <w:r w:rsidR="00AC1E36">
        <w:rPr>
          <w:rFonts w:ascii="Times New Roman" w:hAnsi="Times New Roman"/>
          <w:color w:val="auto"/>
          <w:sz w:val="24"/>
          <w:szCs w:val="24"/>
          <w:lang w:val="en-ZA"/>
        </w:rPr>
        <w:t>ts</w:t>
      </w:r>
      <w:r w:rsidR="00A75016">
        <w:rPr>
          <w:rFonts w:ascii="Times New Roman" w:hAnsi="Times New Roman"/>
          <w:color w:val="auto"/>
          <w:sz w:val="24"/>
          <w:szCs w:val="24"/>
          <w:lang w:val="en-ZA"/>
        </w:rPr>
        <w:t>.</w:t>
      </w:r>
      <w:r w:rsidR="00F4031C" w:rsidRPr="00055E35">
        <w:rPr>
          <w:rFonts w:ascii="Times New Roman" w:hAnsi="Times New Roman"/>
          <w:color w:val="auto"/>
          <w:sz w:val="24"/>
          <w:szCs w:val="24"/>
          <w:lang w:val="en-ZA"/>
        </w:rPr>
        <w:t xml:space="preserve"> </w:t>
      </w:r>
    </w:p>
    <w:p w14:paraId="4584AA4D" w14:textId="77777777" w:rsidR="00F4031C" w:rsidRPr="00055E35" w:rsidRDefault="00F4031C" w:rsidP="00DA6AD9">
      <w:pPr>
        <w:spacing w:line="360" w:lineRule="auto"/>
        <w:contextualSpacing/>
        <w:jc w:val="both"/>
        <w:rPr>
          <w:rFonts w:ascii="Times New Roman" w:hAnsi="Times New Roman"/>
          <w:b/>
          <w:color w:val="auto"/>
          <w:sz w:val="24"/>
          <w:szCs w:val="24"/>
          <w:lang w:val="en-ZA"/>
        </w:rPr>
      </w:pPr>
    </w:p>
    <w:p w14:paraId="0D861302" w14:textId="00CAFB37" w:rsidR="00F4031C" w:rsidRPr="00055E35" w:rsidRDefault="00F4031C" w:rsidP="00DA6AD9">
      <w:pPr>
        <w:pStyle w:val="ListParagraph"/>
        <w:numPr>
          <w:ilvl w:val="2"/>
          <w:numId w:val="14"/>
        </w:numPr>
        <w:spacing w:line="360" w:lineRule="auto"/>
        <w:jc w:val="both"/>
        <w:rPr>
          <w:rFonts w:ascii="Times New Roman" w:hAnsi="Times New Roman"/>
          <w:b/>
          <w:color w:val="auto"/>
          <w:sz w:val="24"/>
          <w:szCs w:val="24"/>
          <w:lang w:val="en-ZA"/>
        </w:rPr>
      </w:pPr>
      <w:r w:rsidRPr="00055E35">
        <w:rPr>
          <w:rFonts w:ascii="Times New Roman" w:hAnsi="Times New Roman"/>
          <w:color w:val="auto"/>
          <w:sz w:val="24"/>
          <w:szCs w:val="24"/>
          <w:lang w:val="en-ZA"/>
        </w:rPr>
        <w:t>The Committee was concerned about the current liabilities</w:t>
      </w:r>
      <w:r w:rsidR="00AC1E36">
        <w:rPr>
          <w:rFonts w:ascii="Times New Roman" w:hAnsi="Times New Roman"/>
          <w:color w:val="auto"/>
          <w:sz w:val="24"/>
          <w:szCs w:val="24"/>
          <w:lang w:val="en-ZA"/>
        </w:rPr>
        <w:t>,</w:t>
      </w:r>
      <w:r w:rsidRPr="00055E35">
        <w:rPr>
          <w:rFonts w:ascii="Times New Roman" w:hAnsi="Times New Roman"/>
          <w:color w:val="auto"/>
          <w:sz w:val="24"/>
          <w:szCs w:val="24"/>
          <w:lang w:val="en-ZA"/>
        </w:rPr>
        <w:t xml:space="preserve"> which arose from unfunded projects including the War on Leaks programme where R580.</w:t>
      </w:r>
      <w:r w:rsidR="00C24FAE">
        <w:rPr>
          <w:rFonts w:ascii="Times New Roman" w:hAnsi="Times New Roman"/>
          <w:color w:val="auto"/>
          <w:sz w:val="24"/>
          <w:szCs w:val="24"/>
          <w:lang w:val="en-ZA"/>
        </w:rPr>
        <w:t>3</w:t>
      </w:r>
      <w:r w:rsidRPr="00055E35">
        <w:rPr>
          <w:rFonts w:ascii="Times New Roman" w:hAnsi="Times New Roman"/>
          <w:color w:val="auto"/>
          <w:sz w:val="24"/>
          <w:szCs w:val="24"/>
          <w:lang w:val="en-ZA"/>
        </w:rPr>
        <w:t xml:space="preserve"> million has been paid to date through shifting funds from various programmes within the budget vote. The Committee attributed </w:t>
      </w:r>
      <w:r w:rsidR="00A75016">
        <w:rPr>
          <w:rFonts w:ascii="Times New Roman" w:hAnsi="Times New Roman"/>
          <w:color w:val="auto"/>
          <w:sz w:val="24"/>
          <w:szCs w:val="24"/>
          <w:lang w:val="en-ZA"/>
        </w:rPr>
        <w:t xml:space="preserve">the challenge of unfunded projects </w:t>
      </w:r>
      <w:r w:rsidRPr="00055E35">
        <w:rPr>
          <w:rFonts w:ascii="Times New Roman" w:hAnsi="Times New Roman"/>
          <w:color w:val="auto"/>
          <w:sz w:val="24"/>
          <w:szCs w:val="24"/>
          <w:lang w:val="en-ZA"/>
        </w:rPr>
        <w:t xml:space="preserve">to poor planning by the Department and was of the view that these would add to the accruals and payables. </w:t>
      </w:r>
    </w:p>
    <w:p w14:paraId="6B93EEB1" w14:textId="77777777" w:rsidR="00F4031C" w:rsidRPr="00055E35" w:rsidRDefault="00F4031C" w:rsidP="00DA6AD9">
      <w:pPr>
        <w:spacing w:line="360" w:lineRule="auto"/>
        <w:contextualSpacing/>
        <w:jc w:val="both"/>
        <w:rPr>
          <w:rFonts w:ascii="Times New Roman" w:hAnsi="Times New Roman"/>
          <w:b/>
          <w:color w:val="auto"/>
          <w:sz w:val="24"/>
          <w:szCs w:val="24"/>
          <w:lang w:val="en-ZA"/>
        </w:rPr>
      </w:pPr>
    </w:p>
    <w:p w14:paraId="642061A8" w14:textId="70C7F198" w:rsidR="009E15AF" w:rsidRPr="00491427" w:rsidRDefault="00F4031C" w:rsidP="00DA6AD9">
      <w:pPr>
        <w:pStyle w:val="ListParagraph"/>
        <w:numPr>
          <w:ilvl w:val="2"/>
          <w:numId w:val="14"/>
        </w:numPr>
        <w:spacing w:line="360" w:lineRule="auto"/>
        <w:jc w:val="both"/>
        <w:rPr>
          <w:rFonts w:ascii="Times New Roman" w:hAnsi="Times New Roman"/>
          <w:color w:val="auto"/>
          <w:sz w:val="24"/>
          <w:szCs w:val="24"/>
          <w:lang w:val="en-ZA"/>
        </w:rPr>
      </w:pPr>
      <w:r w:rsidRPr="009E15AF">
        <w:rPr>
          <w:rFonts w:ascii="Times New Roman" w:hAnsi="Times New Roman"/>
          <w:color w:val="auto"/>
          <w:sz w:val="24"/>
          <w:szCs w:val="24"/>
          <w:lang w:val="en-ZA"/>
        </w:rPr>
        <w:t>The Committ</w:t>
      </w:r>
      <w:r w:rsidR="00C24FAE">
        <w:rPr>
          <w:rFonts w:ascii="Times New Roman" w:hAnsi="Times New Roman"/>
          <w:color w:val="auto"/>
          <w:sz w:val="24"/>
          <w:szCs w:val="24"/>
          <w:lang w:val="en-ZA"/>
        </w:rPr>
        <w:t xml:space="preserve">ee was concerned </w:t>
      </w:r>
      <w:r w:rsidR="00C340E4">
        <w:rPr>
          <w:rFonts w:ascii="Times New Roman" w:hAnsi="Times New Roman"/>
          <w:color w:val="auto"/>
          <w:sz w:val="24"/>
          <w:szCs w:val="24"/>
          <w:lang w:val="en-ZA"/>
        </w:rPr>
        <w:t>about</w:t>
      </w:r>
      <w:r w:rsidR="00C24FAE">
        <w:rPr>
          <w:rFonts w:ascii="Times New Roman" w:hAnsi="Times New Roman"/>
          <w:color w:val="auto"/>
          <w:sz w:val="24"/>
          <w:szCs w:val="24"/>
          <w:lang w:val="en-ZA"/>
        </w:rPr>
        <w:t xml:space="preserve"> the R551.7</w:t>
      </w:r>
      <w:r w:rsidRPr="009E15AF">
        <w:rPr>
          <w:rFonts w:ascii="Times New Roman" w:hAnsi="Times New Roman"/>
          <w:color w:val="auto"/>
          <w:sz w:val="24"/>
          <w:szCs w:val="24"/>
          <w:lang w:val="en-ZA"/>
        </w:rPr>
        <w:t xml:space="preserve"> million in invoices which have not been paid within</w:t>
      </w:r>
      <w:r w:rsidR="00C340E4">
        <w:rPr>
          <w:rFonts w:ascii="Times New Roman" w:hAnsi="Times New Roman"/>
          <w:color w:val="auto"/>
          <w:sz w:val="24"/>
          <w:szCs w:val="24"/>
          <w:lang w:val="en-ZA"/>
        </w:rPr>
        <w:t xml:space="preserve"> 30</w:t>
      </w:r>
      <w:r w:rsidRPr="009E15AF">
        <w:rPr>
          <w:rFonts w:ascii="Times New Roman" w:hAnsi="Times New Roman"/>
          <w:color w:val="auto"/>
          <w:sz w:val="24"/>
          <w:szCs w:val="24"/>
          <w:lang w:val="en-ZA"/>
        </w:rPr>
        <w:t xml:space="preserve"> days </w:t>
      </w:r>
      <w:r w:rsidR="002D63D3">
        <w:rPr>
          <w:rFonts w:ascii="Times New Roman" w:hAnsi="Times New Roman"/>
          <w:color w:val="auto"/>
          <w:sz w:val="24"/>
          <w:szCs w:val="24"/>
          <w:lang w:val="en-ZA"/>
        </w:rPr>
        <w:t>from</w:t>
      </w:r>
      <w:r w:rsidRPr="009E15AF">
        <w:rPr>
          <w:rFonts w:ascii="Times New Roman" w:hAnsi="Times New Roman"/>
          <w:color w:val="auto"/>
          <w:sz w:val="24"/>
          <w:szCs w:val="24"/>
          <w:lang w:val="en-ZA"/>
        </w:rPr>
        <w:t xml:space="preserve"> receipt of invoices</w:t>
      </w:r>
      <w:r w:rsidR="009E15AF" w:rsidRPr="009E15AF">
        <w:rPr>
          <w:rFonts w:ascii="Times New Roman" w:hAnsi="Times New Roman"/>
          <w:color w:val="auto"/>
          <w:sz w:val="24"/>
          <w:szCs w:val="24"/>
          <w:lang w:val="en-ZA"/>
        </w:rPr>
        <w:t xml:space="preserve"> from suppliers. The </w:t>
      </w:r>
      <w:r w:rsidR="009E15AF" w:rsidRPr="009E15AF">
        <w:rPr>
          <w:rFonts w:ascii="Times New Roman" w:hAnsi="Times New Roman"/>
          <w:color w:val="auto"/>
          <w:sz w:val="24"/>
          <w:szCs w:val="24"/>
          <w:lang w:val="en-ZA"/>
        </w:rPr>
        <w:lastRenderedPageBreak/>
        <w:t xml:space="preserve">Committee </w:t>
      </w:r>
      <w:r w:rsidRPr="009E15AF">
        <w:rPr>
          <w:rFonts w:ascii="Times New Roman" w:hAnsi="Times New Roman"/>
          <w:color w:val="auto"/>
          <w:sz w:val="24"/>
          <w:szCs w:val="24"/>
          <w:lang w:val="en-ZA"/>
        </w:rPr>
        <w:t>viewed compliance with Treasury Regulations and legislation as non-negotiable</w:t>
      </w:r>
      <w:r w:rsidR="009E15AF" w:rsidRPr="009E15AF">
        <w:rPr>
          <w:rFonts w:ascii="Times New Roman" w:hAnsi="Times New Roman"/>
          <w:color w:val="auto"/>
          <w:sz w:val="24"/>
          <w:szCs w:val="24"/>
          <w:lang w:val="en-ZA"/>
        </w:rPr>
        <w:t xml:space="preserve">. </w:t>
      </w:r>
      <w:r w:rsidRPr="009E15AF">
        <w:rPr>
          <w:rFonts w:ascii="Times New Roman" w:hAnsi="Times New Roman"/>
          <w:color w:val="auto"/>
          <w:sz w:val="24"/>
          <w:szCs w:val="24"/>
          <w:lang w:val="en-ZA"/>
        </w:rPr>
        <w:t xml:space="preserve"> </w:t>
      </w:r>
    </w:p>
    <w:p w14:paraId="56FCE027" w14:textId="77777777" w:rsidR="009E15AF" w:rsidRPr="009E15AF" w:rsidRDefault="009E15AF" w:rsidP="00DA6AD9">
      <w:pPr>
        <w:pStyle w:val="ListParagraph"/>
        <w:spacing w:line="360" w:lineRule="auto"/>
        <w:jc w:val="both"/>
        <w:rPr>
          <w:rFonts w:ascii="Times New Roman" w:hAnsi="Times New Roman"/>
          <w:color w:val="auto"/>
          <w:sz w:val="24"/>
          <w:szCs w:val="24"/>
          <w:lang w:val="en-ZA"/>
        </w:rPr>
      </w:pPr>
    </w:p>
    <w:p w14:paraId="466273A2" w14:textId="77777777" w:rsidR="00F4031C" w:rsidRPr="00055E35" w:rsidRDefault="00F4031C" w:rsidP="00DA6AD9">
      <w:pPr>
        <w:pStyle w:val="ListParagraph"/>
        <w:numPr>
          <w:ilvl w:val="2"/>
          <w:numId w:val="14"/>
        </w:numPr>
        <w:spacing w:line="360" w:lineRule="auto"/>
        <w:jc w:val="both"/>
        <w:rPr>
          <w:rFonts w:ascii="Times New Roman" w:hAnsi="Times New Roman"/>
          <w:color w:val="auto"/>
          <w:sz w:val="24"/>
          <w:szCs w:val="24"/>
          <w:lang w:val="en-ZA"/>
        </w:rPr>
      </w:pPr>
      <w:r w:rsidRPr="00055E35">
        <w:rPr>
          <w:rFonts w:ascii="Times New Roman" w:hAnsi="Times New Roman"/>
          <w:color w:val="auto"/>
          <w:sz w:val="24"/>
          <w:szCs w:val="24"/>
          <w:lang w:val="en-ZA"/>
        </w:rPr>
        <w:t>The Committee also highlighted the recurring issue of project cost escalations and used the Giyani project as an example where the project escalated to R3 billion.</w:t>
      </w:r>
    </w:p>
    <w:p w14:paraId="49FAF0D5" w14:textId="77777777" w:rsidR="00F4031C" w:rsidRPr="00055E35" w:rsidRDefault="00F4031C" w:rsidP="00DA6AD9">
      <w:pPr>
        <w:spacing w:line="360" w:lineRule="auto"/>
        <w:contextualSpacing/>
        <w:jc w:val="both"/>
        <w:rPr>
          <w:rFonts w:ascii="Times New Roman" w:hAnsi="Times New Roman"/>
          <w:color w:val="auto"/>
          <w:sz w:val="24"/>
          <w:szCs w:val="24"/>
          <w:lang w:val="en-ZA"/>
        </w:rPr>
      </w:pPr>
    </w:p>
    <w:p w14:paraId="77C4123F" w14:textId="2F074AB5" w:rsidR="00C340E4" w:rsidRPr="005915E7" w:rsidRDefault="00F4031C" w:rsidP="00DA6AD9">
      <w:pPr>
        <w:pStyle w:val="ListParagraph"/>
        <w:numPr>
          <w:ilvl w:val="2"/>
          <w:numId w:val="14"/>
        </w:numPr>
        <w:spacing w:line="360" w:lineRule="auto"/>
        <w:jc w:val="both"/>
        <w:rPr>
          <w:rFonts w:ascii="Times New Roman" w:hAnsi="Times New Roman"/>
          <w:color w:val="auto"/>
          <w:sz w:val="24"/>
          <w:szCs w:val="24"/>
          <w:lang w:val="en-ZA"/>
        </w:rPr>
      </w:pPr>
      <w:r w:rsidRPr="00055E35">
        <w:rPr>
          <w:rFonts w:ascii="Times New Roman" w:hAnsi="Times New Roman"/>
          <w:color w:val="auto"/>
          <w:sz w:val="24"/>
          <w:szCs w:val="24"/>
          <w:lang w:val="en-ZA"/>
        </w:rPr>
        <w:t>The Committee viewed the debtor</w:t>
      </w:r>
      <w:r w:rsidR="00F84628">
        <w:rPr>
          <w:rFonts w:ascii="Times New Roman" w:hAnsi="Times New Roman"/>
          <w:color w:val="auto"/>
          <w:sz w:val="24"/>
          <w:szCs w:val="24"/>
          <w:lang w:val="en-ZA"/>
        </w:rPr>
        <w:t>s</w:t>
      </w:r>
      <w:r w:rsidRPr="00055E35">
        <w:rPr>
          <w:rFonts w:ascii="Times New Roman" w:hAnsi="Times New Roman"/>
          <w:color w:val="auto"/>
          <w:sz w:val="24"/>
          <w:szCs w:val="24"/>
          <w:lang w:val="en-ZA"/>
        </w:rPr>
        <w:t>’ age analy</w:t>
      </w:r>
      <w:r w:rsidR="00EA7A69">
        <w:rPr>
          <w:rFonts w:ascii="Times New Roman" w:hAnsi="Times New Roman"/>
          <w:color w:val="auto"/>
          <w:sz w:val="24"/>
          <w:szCs w:val="24"/>
          <w:lang w:val="en-ZA"/>
        </w:rPr>
        <w:t xml:space="preserve">sis of the Water Trading Entity </w:t>
      </w:r>
      <w:r w:rsidR="00C340E4" w:rsidRPr="00C340E4">
        <w:rPr>
          <w:rFonts w:ascii="Times New Roman" w:hAnsi="Times New Roman"/>
          <w:color w:val="auto"/>
          <w:sz w:val="24"/>
          <w:szCs w:val="24"/>
          <w:lang w:val="en-ZA"/>
        </w:rPr>
        <w:t>as a cause for serious concern</w:t>
      </w:r>
      <w:r w:rsidR="00C340E4">
        <w:rPr>
          <w:rFonts w:ascii="Times New Roman" w:hAnsi="Times New Roman"/>
          <w:color w:val="auto"/>
          <w:sz w:val="24"/>
          <w:szCs w:val="24"/>
          <w:lang w:val="en-ZA"/>
        </w:rPr>
        <w:t xml:space="preserve">, particularly given that it </w:t>
      </w:r>
      <w:r w:rsidRPr="00055E35">
        <w:rPr>
          <w:rFonts w:ascii="Times New Roman" w:hAnsi="Times New Roman"/>
          <w:color w:val="auto"/>
          <w:sz w:val="24"/>
          <w:szCs w:val="24"/>
          <w:lang w:val="en-ZA"/>
        </w:rPr>
        <w:t>amounted to R12.3 billion at the end of June 2018</w:t>
      </w:r>
      <w:r w:rsidR="00C340E4">
        <w:rPr>
          <w:rFonts w:ascii="Times New Roman" w:hAnsi="Times New Roman"/>
          <w:color w:val="auto"/>
          <w:sz w:val="24"/>
          <w:szCs w:val="24"/>
          <w:lang w:val="en-ZA"/>
        </w:rPr>
        <w:t>.</w:t>
      </w:r>
      <w:r w:rsidRPr="00055E35">
        <w:rPr>
          <w:rFonts w:ascii="Times New Roman" w:hAnsi="Times New Roman"/>
          <w:color w:val="auto"/>
          <w:sz w:val="24"/>
          <w:szCs w:val="24"/>
          <w:lang w:val="en-ZA"/>
        </w:rPr>
        <w:t xml:space="preserve"> </w:t>
      </w:r>
    </w:p>
    <w:p w14:paraId="65E46678" w14:textId="47FD9780" w:rsidR="00C340E4" w:rsidRPr="00055E35" w:rsidRDefault="00C340E4" w:rsidP="00DA6AD9">
      <w:pPr>
        <w:spacing w:line="360" w:lineRule="auto"/>
        <w:contextualSpacing/>
        <w:jc w:val="both"/>
        <w:rPr>
          <w:rFonts w:ascii="Times New Roman" w:hAnsi="Times New Roman"/>
          <w:b/>
          <w:color w:val="auto"/>
          <w:sz w:val="24"/>
          <w:szCs w:val="24"/>
          <w:lang w:val="en-ZA"/>
        </w:rPr>
      </w:pPr>
    </w:p>
    <w:p w14:paraId="225742CC" w14:textId="77777777" w:rsidR="00503871" w:rsidRPr="00055E35" w:rsidRDefault="00503871" w:rsidP="00DA6AD9">
      <w:pPr>
        <w:pStyle w:val="ListParagraph"/>
        <w:numPr>
          <w:ilvl w:val="1"/>
          <w:numId w:val="14"/>
        </w:numPr>
        <w:spacing w:line="360" w:lineRule="auto"/>
        <w:jc w:val="both"/>
        <w:rPr>
          <w:rFonts w:ascii="Times New Roman" w:hAnsi="Times New Roman"/>
          <w:b/>
          <w:color w:val="auto"/>
          <w:sz w:val="24"/>
          <w:szCs w:val="24"/>
          <w:lang w:val="en-ZA"/>
        </w:rPr>
      </w:pPr>
      <w:r w:rsidRPr="00055E35">
        <w:rPr>
          <w:rFonts w:ascii="Times New Roman" w:hAnsi="Times New Roman"/>
          <w:b/>
          <w:color w:val="auto"/>
          <w:sz w:val="24"/>
          <w:szCs w:val="24"/>
          <w:lang w:val="en-ZA"/>
        </w:rPr>
        <w:t>Department of Higher Education and Training</w:t>
      </w:r>
      <w:r w:rsidR="00F4031C" w:rsidRPr="00055E35">
        <w:rPr>
          <w:rFonts w:ascii="Times New Roman" w:hAnsi="Times New Roman"/>
          <w:b/>
          <w:color w:val="auto"/>
          <w:sz w:val="24"/>
          <w:szCs w:val="24"/>
          <w:lang w:val="en-ZA"/>
        </w:rPr>
        <w:t xml:space="preserve"> (Vote 15)</w:t>
      </w:r>
    </w:p>
    <w:p w14:paraId="40225613" w14:textId="180D51D2" w:rsidR="004F0E15" w:rsidRPr="00055E35" w:rsidRDefault="004F0E15" w:rsidP="00DA6AD9">
      <w:pPr>
        <w:spacing w:line="360" w:lineRule="auto"/>
        <w:contextualSpacing/>
        <w:jc w:val="both"/>
        <w:rPr>
          <w:rFonts w:ascii="Times New Roman" w:hAnsi="Times New Roman"/>
          <w:b/>
          <w:color w:val="auto"/>
          <w:sz w:val="24"/>
          <w:szCs w:val="24"/>
          <w:lang w:val="en-ZA"/>
        </w:rPr>
      </w:pPr>
    </w:p>
    <w:p w14:paraId="004D001B" w14:textId="260502E3" w:rsidR="002B111D" w:rsidRPr="00055E35" w:rsidRDefault="00314C9E" w:rsidP="00DA6AD9">
      <w:pPr>
        <w:pStyle w:val="ListParagraph"/>
        <w:numPr>
          <w:ilvl w:val="2"/>
          <w:numId w:val="14"/>
        </w:numPr>
        <w:suppressAutoHyphens/>
        <w:autoSpaceDN w:val="0"/>
        <w:spacing w:line="360" w:lineRule="auto"/>
        <w:jc w:val="both"/>
        <w:textAlignment w:val="baseline"/>
        <w:rPr>
          <w:rFonts w:ascii="Times New Roman" w:hAnsi="Times New Roman"/>
          <w:color w:val="auto"/>
          <w:sz w:val="24"/>
          <w:szCs w:val="24"/>
          <w:lang w:val="en-ZA"/>
        </w:rPr>
      </w:pPr>
      <w:r w:rsidRPr="00055E35">
        <w:rPr>
          <w:rFonts w:ascii="Times New Roman" w:hAnsi="Times New Roman"/>
          <w:color w:val="auto"/>
          <w:sz w:val="24"/>
          <w:szCs w:val="24"/>
          <w:lang w:val="en-ZA"/>
        </w:rPr>
        <w:t xml:space="preserve">The Committee </w:t>
      </w:r>
      <w:r w:rsidR="0096293B" w:rsidRPr="00055E35">
        <w:rPr>
          <w:rFonts w:ascii="Times New Roman" w:hAnsi="Times New Roman"/>
          <w:color w:val="auto"/>
          <w:sz w:val="24"/>
          <w:szCs w:val="24"/>
          <w:lang w:val="en-ZA"/>
        </w:rPr>
        <w:t xml:space="preserve">noted with concern the delays in transfer of earmarked grants to higher education institutions and TVET colleges especially those related to </w:t>
      </w:r>
      <w:r w:rsidRPr="00055E35">
        <w:rPr>
          <w:rFonts w:ascii="Times New Roman" w:hAnsi="Times New Roman"/>
          <w:color w:val="auto"/>
          <w:sz w:val="24"/>
          <w:szCs w:val="24"/>
          <w:lang w:val="en-ZA"/>
        </w:rPr>
        <w:t>infrastructure development</w:t>
      </w:r>
      <w:r w:rsidR="0096293B" w:rsidRPr="00055E35">
        <w:rPr>
          <w:rFonts w:ascii="Times New Roman" w:hAnsi="Times New Roman"/>
          <w:color w:val="auto"/>
          <w:sz w:val="24"/>
          <w:szCs w:val="24"/>
          <w:lang w:val="en-ZA"/>
        </w:rPr>
        <w:t xml:space="preserve">. The Committee was concerned about the </w:t>
      </w:r>
      <w:r w:rsidRPr="00055E35">
        <w:rPr>
          <w:rFonts w:ascii="Times New Roman" w:hAnsi="Times New Roman"/>
          <w:color w:val="auto"/>
          <w:sz w:val="24"/>
          <w:szCs w:val="24"/>
          <w:lang w:val="en-ZA"/>
        </w:rPr>
        <w:t>impact of the</w:t>
      </w:r>
      <w:r w:rsidR="0096293B" w:rsidRPr="00055E35">
        <w:rPr>
          <w:rFonts w:ascii="Times New Roman" w:hAnsi="Times New Roman"/>
          <w:color w:val="auto"/>
          <w:sz w:val="24"/>
          <w:szCs w:val="24"/>
          <w:lang w:val="en-ZA"/>
        </w:rPr>
        <w:t>se</w:t>
      </w:r>
      <w:r w:rsidRPr="00055E35">
        <w:rPr>
          <w:rFonts w:ascii="Times New Roman" w:hAnsi="Times New Roman"/>
          <w:color w:val="auto"/>
          <w:sz w:val="24"/>
          <w:szCs w:val="24"/>
          <w:lang w:val="en-ZA"/>
        </w:rPr>
        <w:t xml:space="preserve"> delays on student</w:t>
      </w:r>
      <w:r w:rsidR="00C340E4">
        <w:rPr>
          <w:rFonts w:ascii="Times New Roman" w:hAnsi="Times New Roman"/>
          <w:color w:val="auto"/>
          <w:sz w:val="24"/>
          <w:szCs w:val="24"/>
          <w:lang w:val="en-ZA"/>
        </w:rPr>
        <w:t>s’</w:t>
      </w:r>
      <w:r w:rsidRPr="00055E35">
        <w:rPr>
          <w:rFonts w:ascii="Times New Roman" w:hAnsi="Times New Roman"/>
          <w:color w:val="auto"/>
          <w:sz w:val="24"/>
          <w:szCs w:val="24"/>
          <w:lang w:val="en-ZA"/>
        </w:rPr>
        <w:t xml:space="preserve"> needs for accommodation as well as the need for equipment in TVET colleges. The Department indicated that the delays were to ensure that the funds would be spent in accordance with grants criteria and requirements and assured the Committee that funds would be transferred </w:t>
      </w:r>
      <w:r w:rsidR="00B60FE8" w:rsidRPr="00055E35">
        <w:rPr>
          <w:rFonts w:ascii="Times New Roman" w:hAnsi="Times New Roman"/>
          <w:color w:val="auto"/>
          <w:sz w:val="24"/>
          <w:szCs w:val="24"/>
          <w:lang w:val="en-ZA"/>
        </w:rPr>
        <w:t xml:space="preserve">and </w:t>
      </w:r>
      <w:r w:rsidR="002B111D" w:rsidRPr="00055E35">
        <w:rPr>
          <w:rFonts w:ascii="Times New Roman" w:hAnsi="Times New Roman"/>
          <w:color w:val="auto"/>
          <w:sz w:val="24"/>
          <w:szCs w:val="24"/>
          <w:lang w:val="en-ZA"/>
        </w:rPr>
        <w:t>that there were no service delivery implications</w:t>
      </w:r>
      <w:r w:rsidR="00B60FE8" w:rsidRPr="00055E35">
        <w:rPr>
          <w:rFonts w:ascii="Times New Roman" w:hAnsi="Times New Roman"/>
          <w:color w:val="auto"/>
          <w:sz w:val="24"/>
          <w:szCs w:val="24"/>
          <w:lang w:val="en-ZA"/>
        </w:rPr>
        <w:t xml:space="preserve"> within the first quarter</w:t>
      </w:r>
      <w:r w:rsidR="002B111D" w:rsidRPr="00055E35">
        <w:rPr>
          <w:rFonts w:ascii="Times New Roman" w:hAnsi="Times New Roman"/>
          <w:color w:val="auto"/>
          <w:sz w:val="24"/>
          <w:szCs w:val="24"/>
          <w:lang w:val="en-ZA"/>
        </w:rPr>
        <w:t xml:space="preserve"> for the reported underspending</w:t>
      </w:r>
      <w:r w:rsidR="00B60FE8" w:rsidRPr="00055E35">
        <w:rPr>
          <w:rFonts w:ascii="Times New Roman" w:hAnsi="Times New Roman"/>
          <w:color w:val="auto"/>
          <w:sz w:val="24"/>
          <w:szCs w:val="24"/>
          <w:lang w:val="en-ZA"/>
        </w:rPr>
        <w:t xml:space="preserve">. </w:t>
      </w:r>
    </w:p>
    <w:p w14:paraId="2509C02F" w14:textId="77777777" w:rsidR="00DF65EA" w:rsidRPr="00055E35" w:rsidRDefault="00DF65EA" w:rsidP="00DA6AD9">
      <w:pPr>
        <w:pStyle w:val="ListParagraph"/>
        <w:suppressAutoHyphens/>
        <w:autoSpaceDN w:val="0"/>
        <w:spacing w:line="360" w:lineRule="auto"/>
        <w:jc w:val="both"/>
        <w:textAlignment w:val="baseline"/>
        <w:rPr>
          <w:rFonts w:ascii="Times New Roman" w:hAnsi="Times New Roman"/>
          <w:color w:val="auto"/>
          <w:sz w:val="24"/>
          <w:szCs w:val="24"/>
          <w:lang w:val="en-ZA"/>
        </w:rPr>
      </w:pPr>
    </w:p>
    <w:p w14:paraId="021EA3A5" w14:textId="5037D72E" w:rsidR="00F63937" w:rsidRPr="00055E35" w:rsidRDefault="006E191E" w:rsidP="00DA6AD9">
      <w:pPr>
        <w:pStyle w:val="ListParagraph"/>
        <w:numPr>
          <w:ilvl w:val="2"/>
          <w:numId w:val="14"/>
        </w:numPr>
        <w:suppressAutoHyphens/>
        <w:autoSpaceDN w:val="0"/>
        <w:spacing w:line="360" w:lineRule="auto"/>
        <w:jc w:val="both"/>
        <w:textAlignment w:val="baseline"/>
        <w:rPr>
          <w:rFonts w:ascii="Times New Roman" w:hAnsi="Times New Roman"/>
          <w:color w:val="auto"/>
          <w:sz w:val="24"/>
          <w:szCs w:val="24"/>
          <w:lang w:val="en-ZA"/>
        </w:rPr>
      </w:pPr>
      <w:r w:rsidRPr="00055E35">
        <w:rPr>
          <w:rFonts w:ascii="Times New Roman" w:hAnsi="Times New Roman"/>
          <w:color w:val="auto"/>
          <w:sz w:val="24"/>
          <w:szCs w:val="24"/>
          <w:lang w:val="en-ZA"/>
        </w:rPr>
        <w:t xml:space="preserve">The Committee </w:t>
      </w:r>
      <w:r w:rsidR="00F63937" w:rsidRPr="00055E35">
        <w:rPr>
          <w:rFonts w:ascii="Times New Roman" w:hAnsi="Times New Roman"/>
          <w:color w:val="auto"/>
          <w:sz w:val="24"/>
          <w:szCs w:val="24"/>
          <w:lang w:val="en-ZA"/>
        </w:rPr>
        <w:t xml:space="preserve">noted the challenges about the implementation of the new </w:t>
      </w:r>
      <w:r w:rsidR="00975186" w:rsidRPr="00055E35">
        <w:rPr>
          <w:rFonts w:ascii="Times New Roman" w:hAnsi="Times New Roman"/>
          <w:color w:val="auto"/>
          <w:sz w:val="24"/>
          <w:szCs w:val="24"/>
          <w:lang w:val="en-ZA"/>
        </w:rPr>
        <w:t xml:space="preserve">National Student Financial Aid Scheme (NSFAS) </w:t>
      </w:r>
      <w:r w:rsidR="00F63937" w:rsidRPr="00055E35">
        <w:rPr>
          <w:rFonts w:ascii="Times New Roman" w:hAnsi="Times New Roman"/>
          <w:color w:val="auto"/>
          <w:sz w:val="24"/>
          <w:szCs w:val="24"/>
          <w:lang w:val="en-ZA"/>
        </w:rPr>
        <w:t>bursary scheme</w:t>
      </w:r>
      <w:r w:rsidR="002F57AC" w:rsidRPr="00055E35">
        <w:rPr>
          <w:rFonts w:ascii="Times New Roman" w:hAnsi="Times New Roman"/>
          <w:color w:val="auto"/>
          <w:sz w:val="24"/>
          <w:szCs w:val="24"/>
          <w:lang w:val="en-ZA"/>
        </w:rPr>
        <w:t xml:space="preserve"> and was concerned about funding not reaching students timeously given that the academic year was already in the second semester. The Department highlighted that challenges relate to a lack of data integration between the </w:t>
      </w:r>
      <w:r w:rsidR="00975186" w:rsidRPr="00055E35">
        <w:rPr>
          <w:rFonts w:ascii="Times New Roman" w:hAnsi="Times New Roman"/>
          <w:color w:val="auto"/>
          <w:sz w:val="24"/>
          <w:szCs w:val="24"/>
          <w:lang w:val="en-ZA"/>
        </w:rPr>
        <w:t>NSFAS</w:t>
      </w:r>
      <w:r w:rsidR="002F57AC" w:rsidRPr="00055E35">
        <w:rPr>
          <w:rFonts w:ascii="Times New Roman" w:hAnsi="Times New Roman"/>
          <w:color w:val="auto"/>
          <w:sz w:val="24"/>
          <w:szCs w:val="24"/>
          <w:lang w:val="en-ZA"/>
        </w:rPr>
        <w:t xml:space="preserve"> systems and the institutions’ systems.</w:t>
      </w:r>
      <w:r w:rsidR="0001328C" w:rsidRPr="00055E35">
        <w:rPr>
          <w:rFonts w:ascii="Times New Roman" w:hAnsi="Times New Roman"/>
          <w:color w:val="auto"/>
          <w:sz w:val="24"/>
          <w:szCs w:val="24"/>
          <w:lang w:val="en-ZA"/>
        </w:rPr>
        <w:t xml:space="preserve"> The Committee </w:t>
      </w:r>
      <w:r w:rsidR="00975186" w:rsidRPr="00055E35">
        <w:rPr>
          <w:rFonts w:ascii="Times New Roman" w:hAnsi="Times New Roman"/>
          <w:color w:val="auto"/>
          <w:sz w:val="24"/>
          <w:szCs w:val="24"/>
          <w:lang w:val="en-ZA"/>
        </w:rPr>
        <w:t>welcomed</w:t>
      </w:r>
      <w:r w:rsidR="0001328C" w:rsidRPr="00055E35">
        <w:rPr>
          <w:rFonts w:ascii="Times New Roman" w:hAnsi="Times New Roman"/>
          <w:color w:val="auto"/>
          <w:sz w:val="24"/>
          <w:szCs w:val="24"/>
          <w:lang w:val="en-ZA"/>
        </w:rPr>
        <w:t xml:space="preserve"> the </w:t>
      </w:r>
      <w:r w:rsidR="00975186" w:rsidRPr="00055E35">
        <w:rPr>
          <w:rFonts w:ascii="Times New Roman" w:hAnsi="Times New Roman"/>
          <w:color w:val="auto"/>
          <w:sz w:val="24"/>
          <w:szCs w:val="24"/>
          <w:lang w:val="en-ZA"/>
        </w:rPr>
        <w:t>appointment of</w:t>
      </w:r>
      <w:r w:rsidR="0001328C" w:rsidRPr="00055E35">
        <w:rPr>
          <w:rFonts w:ascii="Times New Roman" w:hAnsi="Times New Roman"/>
          <w:color w:val="auto"/>
          <w:sz w:val="24"/>
          <w:szCs w:val="24"/>
          <w:lang w:val="en-ZA"/>
        </w:rPr>
        <w:t xml:space="preserve"> an Administrator</w:t>
      </w:r>
      <w:r w:rsidR="002F57AC" w:rsidRPr="00055E35">
        <w:rPr>
          <w:rFonts w:ascii="Times New Roman" w:hAnsi="Times New Roman"/>
          <w:color w:val="auto"/>
          <w:sz w:val="24"/>
          <w:szCs w:val="24"/>
          <w:lang w:val="en-ZA"/>
        </w:rPr>
        <w:t xml:space="preserve"> </w:t>
      </w:r>
      <w:r w:rsidR="00975186" w:rsidRPr="00055E35">
        <w:rPr>
          <w:rFonts w:ascii="Times New Roman" w:hAnsi="Times New Roman"/>
          <w:color w:val="auto"/>
          <w:sz w:val="24"/>
          <w:szCs w:val="24"/>
          <w:lang w:val="en-ZA"/>
        </w:rPr>
        <w:t>by th</w:t>
      </w:r>
      <w:r w:rsidR="00F4031C" w:rsidRPr="00055E35">
        <w:rPr>
          <w:rFonts w:ascii="Times New Roman" w:hAnsi="Times New Roman"/>
          <w:color w:val="auto"/>
          <w:sz w:val="24"/>
          <w:szCs w:val="24"/>
          <w:lang w:val="en-ZA"/>
        </w:rPr>
        <w:t>e Minister of Higher Education and</w:t>
      </w:r>
      <w:r w:rsidR="00975186" w:rsidRPr="00055E35">
        <w:rPr>
          <w:rFonts w:ascii="Times New Roman" w:hAnsi="Times New Roman"/>
          <w:color w:val="auto"/>
          <w:sz w:val="24"/>
          <w:szCs w:val="24"/>
          <w:lang w:val="en-ZA"/>
        </w:rPr>
        <w:t xml:space="preserve"> Training </w:t>
      </w:r>
      <w:r w:rsidR="00185FB7" w:rsidRPr="00055E35">
        <w:rPr>
          <w:rFonts w:ascii="Times New Roman" w:hAnsi="Times New Roman"/>
          <w:color w:val="auto"/>
          <w:sz w:val="24"/>
          <w:szCs w:val="24"/>
          <w:lang w:val="en-ZA"/>
        </w:rPr>
        <w:t xml:space="preserve">to ensure </w:t>
      </w:r>
      <w:r w:rsidR="00D3102B" w:rsidRPr="00055E35">
        <w:rPr>
          <w:rFonts w:ascii="Times New Roman" w:hAnsi="Times New Roman"/>
          <w:color w:val="auto"/>
          <w:sz w:val="24"/>
          <w:szCs w:val="24"/>
          <w:lang w:val="en-ZA"/>
        </w:rPr>
        <w:t xml:space="preserve">that the funding decisions and disbursements for 2018 were carried out and </w:t>
      </w:r>
      <w:r w:rsidR="00F466DF" w:rsidRPr="00055E35">
        <w:rPr>
          <w:rFonts w:ascii="Times New Roman" w:hAnsi="Times New Roman"/>
          <w:color w:val="auto"/>
          <w:sz w:val="24"/>
          <w:szCs w:val="24"/>
          <w:lang w:val="en-ZA"/>
        </w:rPr>
        <w:t xml:space="preserve">to also </w:t>
      </w:r>
      <w:r w:rsidR="00491427">
        <w:rPr>
          <w:rFonts w:ascii="Times New Roman" w:hAnsi="Times New Roman"/>
          <w:color w:val="auto"/>
          <w:sz w:val="24"/>
          <w:szCs w:val="24"/>
          <w:lang w:val="en-ZA"/>
        </w:rPr>
        <w:t>develop</w:t>
      </w:r>
      <w:r w:rsidR="00D3102B" w:rsidRPr="00055E35">
        <w:rPr>
          <w:rFonts w:ascii="Times New Roman" w:hAnsi="Times New Roman"/>
          <w:color w:val="auto"/>
          <w:sz w:val="24"/>
          <w:szCs w:val="24"/>
          <w:lang w:val="en-ZA"/>
        </w:rPr>
        <w:t xml:space="preserve"> a pla</w:t>
      </w:r>
      <w:r w:rsidR="00541436" w:rsidRPr="00055E35">
        <w:rPr>
          <w:rFonts w:ascii="Times New Roman" w:hAnsi="Times New Roman"/>
          <w:color w:val="auto"/>
          <w:sz w:val="24"/>
          <w:szCs w:val="24"/>
          <w:lang w:val="en-ZA"/>
        </w:rPr>
        <w:t>n for the 20</w:t>
      </w:r>
      <w:r w:rsidR="00C340E4">
        <w:rPr>
          <w:rFonts w:ascii="Times New Roman" w:hAnsi="Times New Roman"/>
          <w:color w:val="auto"/>
          <w:sz w:val="24"/>
          <w:szCs w:val="24"/>
          <w:lang w:val="en-ZA"/>
        </w:rPr>
        <w:t>1</w:t>
      </w:r>
      <w:r w:rsidR="00541436" w:rsidRPr="00055E35">
        <w:rPr>
          <w:rFonts w:ascii="Times New Roman" w:hAnsi="Times New Roman"/>
          <w:color w:val="auto"/>
          <w:sz w:val="24"/>
          <w:szCs w:val="24"/>
          <w:lang w:val="en-ZA"/>
        </w:rPr>
        <w:t xml:space="preserve">9 </w:t>
      </w:r>
      <w:r w:rsidR="00D3102B" w:rsidRPr="00055E35">
        <w:rPr>
          <w:rFonts w:ascii="Times New Roman" w:hAnsi="Times New Roman"/>
          <w:color w:val="auto"/>
          <w:sz w:val="24"/>
          <w:szCs w:val="24"/>
          <w:lang w:val="en-ZA"/>
        </w:rPr>
        <w:t>funding cycle.</w:t>
      </w:r>
    </w:p>
    <w:p w14:paraId="6C78A743" w14:textId="77777777" w:rsidR="00F63937" w:rsidRPr="00055E35" w:rsidRDefault="00F63937" w:rsidP="00DA6AD9">
      <w:pPr>
        <w:pStyle w:val="ListParagraph"/>
        <w:spacing w:line="360" w:lineRule="auto"/>
        <w:rPr>
          <w:rFonts w:ascii="Times New Roman" w:hAnsi="Times New Roman"/>
          <w:color w:val="auto"/>
          <w:sz w:val="24"/>
          <w:szCs w:val="24"/>
          <w:lang w:val="en-ZA"/>
        </w:rPr>
      </w:pPr>
    </w:p>
    <w:p w14:paraId="6BB5A9A1" w14:textId="278200BA" w:rsidR="00702991" w:rsidRPr="00055E35" w:rsidRDefault="00F33E30" w:rsidP="00DA6AD9">
      <w:pPr>
        <w:pStyle w:val="ListParagraph"/>
        <w:numPr>
          <w:ilvl w:val="2"/>
          <w:numId w:val="14"/>
        </w:numPr>
        <w:suppressAutoHyphens/>
        <w:autoSpaceDN w:val="0"/>
        <w:spacing w:line="360" w:lineRule="auto"/>
        <w:jc w:val="both"/>
        <w:textAlignment w:val="baseline"/>
        <w:rPr>
          <w:rFonts w:ascii="Times New Roman" w:hAnsi="Times New Roman"/>
          <w:color w:val="auto"/>
          <w:sz w:val="24"/>
          <w:szCs w:val="24"/>
          <w:lang w:val="en-ZA"/>
        </w:rPr>
      </w:pPr>
      <w:r w:rsidRPr="00055E35">
        <w:rPr>
          <w:rFonts w:ascii="Times New Roman" w:hAnsi="Times New Roman"/>
          <w:color w:val="auto"/>
          <w:sz w:val="24"/>
          <w:szCs w:val="24"/>
          <w:lang w:val="en-ZA"/>
        </w:rPr>
        <w:lastRenderedPageBreak/>
        <w:t xml:space="preserve">The Committee </w:t>
      </w:r>
      <w:r w:rsidR="00F626C5" w:rsidRPr="00055E35">
        <w:rPr>
          <w:rFonts w:ascii="Times New Roman" w:hAnsi="Times New Roman"/>
          <w:color w:val="auto"/>
          <w:sz w:val="24"/>
          <w:szCs w:val="24"/>
          <w:lang w:val="en-ZA"/>
        </w:rPr>
        <w:t>wa</w:t>
      </w:r>
      <w:r w:rsidR="00975186" w:rsidRPr="00055E35">
        <w:rPr>
          <w:rFonts w:ascii="Times New Roman" w:hAnsi="Times New Roman"/>
          <w:color w:val="auto"/>
          <w:sz w:val="24"/>
          <w:szCs w:val="24"/>
          <w:lang w:val="en-ZA"/>
        </w:rPr>
        <w:t>s concerned that the Department</w:t>
      </w:r>
      <w:r w:rsidR="00F626C5" w:rsidRPr="00055E35">
        <w:rPr>
          <w:rFonts w:ascii="Times New Roman" w:hAnsi="Times New Roman"/>
          <w:color w:val="auto"/>
          <w:sz w:val="24"/>
          <w:szCs w:val="24"/>
          <w:lang w:val="en-ZA"/>
        </w:rPr>
        <w:t xml:space="preserve"> did not achieve the target </w:t>
      </w:r>
      <w:r w:rsidR="006E191E" w:rsidRPr="00055E35">
        <w:rPr>
          <w:rFonts w:ascii="Times New Roman" w:hAnsi="Times New Roman"/>
          <w:color w:val="auto"/>
          <w:sz w:val="24"/>
          <w:szCs w:val="24"/>
          <w:lang w:val="en-ZA"/>
        </w:rPr>
        <w:t>of paying invoices within 30 days</w:t>
      </w:r>
      <w:r w:rsidR="00F51DB5">
        <w:rPr>
          <w:rFonts w:ascii="Times New Roman" w:hAnsi="Times New Roman"/>
          <w:color w:val="auto"/>
          <w:sz w:val="24"/>
          <w:szCs w:val="24"/>
          <w:lang w:val="en-ZA"/>
        </w:rPr>
        <w:t xml:space="preserve"> of receipt from suppliers</w:t>
      </w:r>
      <w:r w:rsidR="00F626C5" w:rsidRPr="00055E35">
        <w:rPr>
          <w:rFonts w:ascii="Times New Roman" w:hAnsi="Times New Roman"/>
          <w:color w:val="auto"/>
          <w:sz w:val="24"/>
          <w:szCs w:val="24"/>
          <w:lang w:val="en-ZA"/>
        </w:rPr>
        <w:t xml:space="preserve">. </w:t>
      </w:r>
      <w:r w:rsidR="007144A6" w:rsidRPr="00055E35">
        <w:rPr>
          <w:rFonts w:ascii="Times New Roman" w:hAnsi="Times New Roman"/>
          <w:color w:val="auto"/>
          <w:sz w:val="24"/>
          <w:szCs w:val="24"/>
          <w:lang w:val="en-ZA"/>
        </w:rPr>
        <w:t>The Department highlighted challenges with verification of banking details and indicated that the envisaged improvements on the National Treasury Supplier database would assist in this regard.</w:t>
      </w:r>
      <w:r w:rsidR="00491427">
        <w:rPr>
          <w:rFonts w:ascii="Times New Roman" w:hAnsi="Times New Roman"/>
          <w:color w:val="auto"/>
          <w:sz w:val="24"/>
          <w:szCs w:val="24"/>
          <w:lang w:val="en-ZA"/>
        </w:rPr>
        <w:t xml:space="preserve"> </w:t>
      </w:r>
      <w:r w:rsidR="00F626C5" w:rsidRPr="00055E35">
        <w:rPr>
          <w:rFonts w:ascii="Times New Roman" w:hAnsi="Times New Roman"/>
          <w:color w:val="auto"/>
          <w:sz w:val="24"/>
          <w:szCs w:val="24"/>
          <w:lang w:val="en-ZA"/>
        </w:rPr>
        <w:t xml:space="preserve">The Committee viewed this non-compliance </w:t>
      </w:r>
      <w:r w:rsidR="00975186" w:rsidRPr="00055E35">
        <w:rPr>
          <w:rFonts w:ascii="Times New Roman" w:hAnsi="Times New Roman"/>
          <w:color w:val="auto"/>
          <w:sz w:val="24"/>
          <w:szCs w:val="24"/>
          <w:lang w:val="en-ZA"/>
        </w:rPr>
        <w:t xml:space="preserve">as concerning given the </w:t>
      </w:r>
      <w:r w:rsidR="008336EA" w:rsidRPr="00055E35">
        <w:rPr>
          <w:rFonts w:ascii="Times New Roman" w:hAnsi="Times New Roman"/>
          <w:color w:val="auto"/>
          <w:sz w:val="24"/>
          <w:szCs w:val="24"/>
          <w:lang w:val="en-ZA"/>
        </w:rPr>
        <w:t xml:space="preserve">negative </w:t>
      </w:r>
      <w:r w:rsidR="00975186" w:rsidRPr="00055E35">
        <w:rPr>
          <w:rFonts w:ascii="Times New Roman" w:hAnsi="Times New Roman"/>
          <w:color w:val="auto"/>
          <w:sz w:val="24"/>
          <w:szCs w:val="24"/>
          <w:lang w:val="en-ZA"/>
        </w:rPr>
        <w:t xml:space="preserve">effect </w:t>
      </w:r>
      <w:r w:rsidR="008336EA" w:rsidRPr="00055E35">
        <w:rPr>
          <w:rFonts w:ascii="Times New Roman" w:hAnsi="Times New Roman"/>
          <w:color w:val="auto"/>
          <w:sz w:val="24"/>
          <w:szCs w:val="24"/>
          <w:lang w:val="en-ZA"/>
        </w:rPr>
        <w:t xml:space="preserve">of </w:t>
      </w:r>
      <w:r w:rsidR="00975186" w:rsidRPr="00055E35">
        <w:rPr>
          <w:rFonts w:ascii="Times New Roman" w:hAnsi="Times New Roman"/>
          <w:color w:val="auto"/>
          <w:sz w:val="24"/>
          <w:szCs w:val="24"/>
          <w:lang w:val="en-ZA"/>
        </w:rPr>
        <w:t>non-payment on</w:t>
      </w:r>
      <w:r w:rsidR="008336EA" w:rsidRPr="00055E35">
        <w:rPr>
          <w:rFonts w:ascii="Times New Roman" w:hAnsi="Times New Roman"/>
          <w:color w:val="auto"/>
          <w:sz w:val="24"/>
          <w:szCs w:val="24"/>
          <w:lang w:val="en-ZA"/>
        </w:rPr>
        <w:t xml:space="preserve"> the</w:t>
      </w:r>
      <w:r w:rsidR="00975186" w:rsidRPr="00055E35">
        <w:rPr>
          <w:rFonts w:ascii="Times New Roman" w:hAnsi="Times New Roman"/>
          <w:color w:val="auto"/>
          <w:sz w:val="24"/>
          <w:szCs w:val="24"/>
          <w:lang w:val="en-ZA"/>
        </w:rPr>
        <w:t xml:space="preserve"> sustainability of Small, Medium</w:t>
      </w:r>
      <w:r w:rsidR="00F51DB5">
        <w:rPr>
          <w:rFonts w:ascii="Times New Roman" w:hAnsi="Times New Roman"/>
          <w:color w:val="auto"/>
          <w:sz w:val="24"/>
          <w:szCs w:val="24"/>
          <w:lang w:val="en-ZA"/>
        </w:rPr>
        <w:t xml:space="preserve"> and Micro-sized</w:t>
      </w:r>
      <w:r w:rsidR="00975186" w:rsidRPr="00055E35">
        <w:rPr>
          <w:rFonts w:ascii="Times New Roman" w:hAnsi="Times New Roman"/>
          <w:color w:val="auto"/>
          <w:sz w:val="24"/>
          <w:szCs w:val="24"/>
          <w:lang w:val="en-ZA"/>
        </w:rPr>
        <w:t xml:space="preserve"> Enterprises (SMMEs). </w:t>
      </w:r>
    </w:p>
    <w:p w14:paraId="333972CF" w14:textId="77777777" w:rsidR="00702991" w:rsidRPr="00055E35" w:rsidRDefault="00702991" w:rsidP="00DA6AD9">
      <w:pPr>
        <w:pStyle w:val="ListParagraph"/>
        <w:spacing w:line="360" w:lineRule="auto"/>
        <w:rPr>
          <w:rFonts w:ascii="Times New Roman" w:hAnsi="Times New Roman"/>
          <w:color w:val="auto"/>
          <w:sz w:val="24"/>
          <w:szCs w:val="24"/>
          <w:lang w:val="en-ZA"/>
        </w:rPr>
      </w:pPr>
    </w:p>
    <w:p w14:paraId="3328660A" w14:textId="77777777" w:rsidR="00D427A3" w:rsidRDefault="006E191E" w:rsidP="00D427A3">
      <w:pPr>
        <w:pStyle w:val="ListParagraph"/>
        <w:numPr>
          <w:ilvl w:val="2"/>
          <w:numId w:val="14"/>
        </w:numPr>
        <w:suppressAutoHyphens/>
        <w:autoSpaceDN w:val="0"/>
        <w:spacing w:line="360" w:lineRule="auto"/>
        <w:jc w:val="both"/>
        <w:textAlignment w:val="baseline"/>
        <w:rPr>
          <w:rFonts w:ascii="Times New Roman" w:hAnsi="Times New Roman"/>
          <w:color w:val="auto"/>
          <w:sz w:val="24"/>
          <w:szCs w:val="24"/>
          <w:lang w:val="en-ZA"/>
        </w:rPr>
      </w:pPr>
      <w:r w:rsidRPr="00055E35">
        <w:rPr>
          <w:rFonts w:ascii="Times New Roman" w:hAnsi="Times New Roman"/>
          <w:color w:val="auto"/>
          <w:sz w:val="24"/>
          <w:szCs w:val="24"/>
          <w:lang w:val="en-ZA"/>
        </w:rPr>
        <w:t>The</w:t>
      </w:r>
      <w:r w:rsidR="007F5144" w:rsidRPr="00055E35">
        <w:rPr>
          <w:rFonts w:ascii="Times New Roman" w:hAnsi="Times New Roman"/>
          <w:color w:val="auto"/>
          <w:sz w:val="24"/>
          <w:szCs w:val="24"/>
          <w:lang w:val="en-ZA"/>
        </w:rPr>
        <w:t xml:space="preserve"> Committee noted that the </w:t>
      </w:r>
      <w:r w:rsidRPr="00055E35">
        <w:rPr>
          <w:rFonts w:ascii="Times New Roman" w:hAnsi="Times New Roman"/>
          <w:color w:val="auto"/>
          <w:sz w:val="24"/>
          <w:szCs w:val="24"/>
          <w:lang w:val="en-ZA"/>
        </w:rPr>
        <w:t xml:space="preserve">Department </w:t>
      </w:r>
      <w:r w:rsidR="007F5144" w:rsidRPr="00055E35">
        <w:rPr>
          <w:rFonts w:ascii="Times New Roman" w:hAnsi="Times New Roman"/>
          <w:color w:val="auto"/>
          <w:sz w:val="24"/>
          <w:szCs w:val="24"/>
          <w:lang w:val="en-ZA"/>
        </w:rPr>
        <w:t xml:space="preserve">projects overspending </w:t>
      </w:r>
      <w:r w:rsidRPr="00055E35">
        <w:rPr>
          <w:rFonts w:ascii="Times New Roman" w:hAnsi="Times New Roman"/>
          <w:color w:val="auto"/>
          <w:sz w:val="24"/>
          <w:szCs w:val="24"/>
          <w:lang w:val="en-ZA"/>
        </w:rPr>
        <w:t>on Examination Services</w:t>
      </w:r>
      <w:r w:rsidR="007F5144" w:rsidRPr="00055E35">
        <w:rPr>
          <w:rFonts w:ascii="Times New Roman" w:hAnsi="Times New Roman"/>
          <w:color w:val="auto"/>
          <w:sz w:val="24"/>
          <w:szCs w:val="24"/>
          <w:lang w:val="en-ZA"/>
        </w:rPr>
        <w:t xml:space="preserve"> in the 2018/19 financial year</w:t>
      </w:r>
      <w:r w:rsidR="00AE7E98" w:rsidRPr="00055E35">
        <w:rPr>
          <w:rFonts w:ascii="Times New Roman" w:hAnsi="Times New Roman"/>
          <w:color w:val="auto"/>
          <w:sz w:val="24"/>
          <w:szCs w:val="24"/>
          <w:lang w:val="en-ZA"/>
        </w:rPr>
        <w:t xml:space="preserve">. </w:t>
      </w:r>
      <w:r w:rsidRPr="00055E35">
        <w:rPr>
          <w:rFonts w:ascii="Times New Roman" w:hAnsi="Times New Roman"/>
          <w:color w:val="auto"/>
          <w:sz w:val="24"/>
          <w:szCs w:val="24"/>
          <w:lang w:val="en-ZA"/>
        </w:rPr>
        <w:t xml:space="preserve"> </w:t>
      </w:r>
      <w:r w:rsidR="0095253C" w:rsidRPr="00055E35">
        <w:rPr>
          <w:rFonts w:ascii="Times New Roman" w:hAnsi="Times New Roman"/>
          <w:color w:val="auto"/>
          <w:sz w:val="24"/>
          <w:szCs w:val="24"/>
          <w:lang w:val="en-ZA"/>
        </w:rPr>
        <w:t>The Department was not able to quantify this projected overspending when it appeared befo</w:t>
      </w:r>
      <w:r w:rsidR="006D02D7" w:rsidRPr="00055E35">
        <w:rPr>
          <w:rFonts w:ascii="Times New Roman" w:hAnsi="Times New Roman"/>
          <w:color w:val="auto"/>
          <w:sz w:val="24"/>
          <w:szCs w:val="24"/>
          <w:lang w:val="en-ZA"/>
        </w:rPr>
        <w:t xml:space="preserve">re the Committee. </w:t>
      </w:r>
      <w:r w:rsidR="0095253C" w:rsidRPr="00055E35">
        <w:rPr>
          <w:rFonts w:ascii="Times New Roman" w:hAnsi="Times New Roman"/>
          <w:color w:val="auto"/>
          <w:sz w:val="24"/>
          <w:szCs w:val="24"/>
          <w:lang w:val="en-ZA"/>
        </w:rPr>
        <w:t xml:space="preserve">The Department reported that the projected overspending would be provided for in the Adjustments process. The Committee viewed this as indicative of poor budgeting and planning.   </w:t>
      </w:r>
    </w:p>
    <w:p w14:paraId="5DD05FE5" w14:textId="77777777" w:rsidR="00D427A3" w:rsidRPr="00D427A3" w:rsidRDefault="00D427A3" w:rsidP="00D427A3">
      <w:pPr>
        <w:pStyle w:val="ListParagraph"/>
        <w:rPr>
          <w:rFonts w:ascii="Times New Roman" w:hAnsi="Times New Roman"/>
          <w:color w:val="auto"/>
          <w:sz w:val="24"/>
          <w:szCs w:val="24"/>
          <w:lang w:val="en-ZA"/>
        </w:rPr>
      </w:pPr>
    </w:p>
    <w:p w14:paraId="7287D030" w14:textId="77777777" w:rsidR="00D427A3" w:rsidRDefault="0070189C" w:rsidP="00D427A3">
      <w:pPr>
        <w:pStyle w:val="ListParagraph"/>
        <w:numPr>
          <w:ilvl w:val="2"/>
          <w:numId w:val="14"/>
        </w:numPr>
        <w:suppressAutoHyphens/>
        <w:autoSpaceDN w:val="0"/>
        <w:spacing w:line="360" w:lineRule="auto"/>
        <w:jc w:val="both"/>
        <w:textAlignment w:val="baseline"/>
        <w:rPr>
          <w:rFonts w:ascii="Times New Roman" w:hAnsi="Times New Roman"/>
          <w:color w:val="auto"/>
          <w:sz w:val="24"/>
          <w:szCs w:val="24"/>
          <w:lang w:val="en-ZA"/>
        </w:rPr>
      </w:pPr>
      <w:r w:rsidRPr="00D427A3">
        <w:rPr>
          <w:rFonts w:ascii="Times New Roman" w:hAnsi="Times New Roman"/>
          <w:color w:val="auto"/>
          <w:sz w:val="24"/>
          <w:szCs w:val="24"/>
          <w:lang w:val="en-ZA"/>
        </w:rPr>
        <w:t xml:space="preserve">The Committee </w:t>
      </w:r>
      <w:r w:rsidR="00822125" w:rsidRPr="00D427A3">
        <w:rPr>
          <w:rFonts w:ascii="Times New Roman" w:hAnsi="Times New Roman"/>
          <w:color w:val="auto"/>
          <w:sz w:val="24"/>
          <w:szCs w:val="24"/>
          <w:lang w:val="en-ZA"/>
        </w:rPr>
        <w:t>was</w:t>
      </w:r>
      <w:r w:rsidRPr="00D427A3">
        <w:rPr>
          <w:rFonts w:ascii="Times New Roman" w:hAnsi="Times New Roman"/>
          <w:color w:val="auto"/>
          <w:sz w:val="24"/>
          <w:szCs w:val="24"/>
          <w:lang w:val="en-ZA"/>
        </w:rPr>
        <w:t xml:space="preserve"> concerned about the significant number of vacancies in the Department especially in Technical Vocational Education and Training (TVET) Colleges and </w:t>
      </w:r>
      <w:r w:rsidR="00822125" w:rsidRPr="00D427A3">
        <w:rPr>
          <w:rFonts w:ascii="Times New Roman" w:hAnsi="Times New Roman"/>
          <w:color w:val="auto"/>
          <w:sz w:val="24"/>
          <w:szCs w:val="24"/>
          <w:lang w:val="en-ZA"/>
        </w:rPr>
        <w:t>viewed</w:t>
      </w:r>
      <w:r w:rsidRPr="00D427A3">
        <w:rPr>
          <w:rFonts w:ascii="Times New Roman" w:hAnsi="Times New Roman"/>
          <w:color w:val="auto"/>
          <w:sz w:val="24"/>
          <w:szCs w:val="24"/>
          <w:lang w:val="en-ZA"/>
        </w:rPr>
        <w:t xml:space="preserve"> this as counter-productive in closing the skills gap in the country. The Committee </w:t>
      </w:r>
      <w:r w:rsidR="00822125" w:rsidRPr="00D427A3">
        <w:rPr>
          <w:rFonts w:ascii="Times New Roman" w:hAnsi="Times New Roman"/>
          <w:color w:val="auto"/>
          <w:sz w:val="24"/>
          <w:szCs w:val="24"/>
          <w:lang w:val="en-ZA"/>
        </w:rPr>
        <w:t>noted</w:t>
      </w:r>
      <w:r w:rsidRPr="00D427A3">
        <w:rPr>
          <w:rFonts w:ascii="Times New Roman" w:hAnsi="Times New Roman"/>
          <w:color w:val="auto"/>
          <w:sz w:val="24"/>
          <w:szCs w:val="24"/>
          <w:lang w:val="en-ZA"/>
        </w:rPr>
        <w:t xml:space="preserve"> that the Department receives huge volumes of applications for vacancies and that it does not have</w:t>
      </w:r>
      <w:r w:rsidR="00F51DB5" w:rsidRPr="00D427A3">
        <w:rPr>
          <w:rFonts w:ascii="Times New Roman" w:hAnsi="Times New Roman"/>
          <w:color w:val="auto"/>
          <w:sz w:val="24"/>
          <w:szCs w:val="24"/>
          <w:lang w:val="en-ZA"/>
        </w:rPr>
        <w:t xml:space="preserve"> enough human resource capacity</w:t>
      </w:r>
      <w:r w:rsidRPr="00D427A3">
        <w:rPr>
          <w:rFonts w:ascii="Times New Roman" w:hAnsi="Times New Roman"/>
          <w:color w:val="auto"/>
          <w:sz w:val="24"/>
          <w:szCs w:val="24"/>
          <w:lang w:val="en-ZA"/>
        </w:rPr>
        <w:t xml:space="preserve"> for processing these applications.  The Com</w:t>
      </w:r>
      <w:r w:rsidR="00822125" w:rsidRPr="00D427A3">
        <w:rPr>
          <w:rFonts w:ascii="Times New Roman" w:hAnsi="Times New Roman"/>
          <w:color w:val="auto"/>
          <w:sz w:val="24"/>
          <w:szCs w:val="24"/>
          <w:lang w:val="en-ZA"/>
        </w:rPr>
        <w:t>mittee also noted</w:t>
      </w:r>
      <w:r w:rsidRPr="00D427A3">
        <w:rPr>
          <w:rFonts w:ascii="Times New Roman" w:hAnsi="Times New Roman"/>
          <w:color w:val="auto"/>
          <w:sz w:val="24"/>
          <w:szCs w:val="24"/>
          <w:lang w:val="en-ZA"/>
        </w:rPr>
        <w:t xml:space="preserve"> that the Department is currently utilising an external service provider </w:t>
      </w:r>
      <w:r w:rsidR="00180BC5" w:rsidRPr="00D427A3">
        <w:rPr>
          <w:rFonts w:ascii="Times New Roman" w:hAnsi="Times New Roman"/>
          <w:color w:val="auto"/>
          <w:sz w:val="24"/>
          <w:szCs w:val="24"/>
          <w:lang w:val="en-ZA"/>
        </w:rPr>
        <w:t>to fast track the processing of applications</w:t>
      </w:r>
      <w:r w:rsidRPr="00D427A3">
        <w:rPr>
          <w:rFonts w:ascii="Times New Roman" w:hAnsi="Times New Roman"/>
          <w:color w:val="auto"/>
          <w:sz w:val="24"/>
          <w:szCs w:val="24"/>
          <w:lang w:val="en-ZA"/>
        </w:rPr>
        <w:t xml:space="preserve">. </w:t>
      </w:r>
    </w:p>
    <w:p w14:paraId="510C1F81" w14:textId="77777777" w:rsidR="00D427A3" w:rsidRPr="00D427A3" w:rsidRDefault="00D427A3" w:rsidP="00D427A3">
      <w:pPr>
        <w:pStyle w:val="ListParagraph"/>
        <w:rPr>
          <w:rFonts w:ascii="Times New Roman" w:hAnsi="Times New Roman"/>
          <w:color w:val="auto"/>
          <w:sz w:val="24"/>
          <w:szCs w:val="24"/>
          <w:lang w:val="en-ZA"/>
        </w:rPr>
      </w:pPr>
    </w:p>
    <w:p w14:paraId="1295DC9D" w14:textId="2BDA58A7" w:rsidR="0058106D" w:rsidRPr="00D427A3" w:rsidRDefault="0058106D" w:rsidP="00D427A3">
      <w:pPr>
        <w:pStyle w:val="ListParagraph"/>
        <w:numPr>
          <w:ilvl w:val="2"/>
          <w:numId w:val="14"/>
        </w:numPr>
        <w:suppressAutoHyphens/>
        <w:autoSpaceDN w:val="0"/>
        <w:spacing w:line="360" w:lineRule="auto"/>
        <w:jc w:val="both"/>
        <w:textAlignment w:val="baseline"/>
        <w:rPr>
          <w:rFonts w:ascii="Times New Roman" w:hAnsi="Times New Roman"/>
          <w:color w:val="auto"/>
          <w:sz w:val="24"/>
          <w:szCs w:val="24"/>
          <w:lang w:val="en-ZA"/>
        </w:rPr>
      </w:pPr>
      <w:r w:rsidRPr="00D427A3">
        <w:rPr>
          <w:rFonts w:ascii="Times New Roman" w:hAnsi="Times New Roman"/>
          <w:color w:val="auto"/>
          <w:sz w:val="24"/>
          <w:szCs w:val="24"/>
          <w:lang w:val="en-ZA"/>
        </w:rPr>
        <w:t>The Committee noted and commended the Department’s improvement on the issuing of graduation certificates to student</w:t>
      </w:r>
      <w:r w:rsidR="002D63D3" w:rsidRPr="00D427A3">
        <w:rPr>
          <w:rFonts w:ascii="Times New Roman" w:hAnsi="Times New Roman"/>
          <w:color w:val="auto"/>
          <w:sz w:val="24"/>
          <w:szCs w:val="24"/>
          <w:lang w:val="en-ZA"/>
        </w:rPr>
        <w:t>s</w:t>
      </w:r>
      <w:r w:rsidRPr="00D427A3">
        <w:rPr>
          <w:rFonts w:ascii="Times New Roman" w:hAnsi="Times New Roman"/>
          <w:color w:val="auto"/>
          <w:sz w:val="24"/>
          <w:szCs w:val="24"/>
          <w:lang w:val="en-ZA"/>
        </w:rPr>
        <w:t>, especially at TVET Colleges.</w:t>
      </w:r>
    </w:p>
    <w:p w14:paraId="4175905E" w14:textId="1E95D8F8" w:rsidR="00AC1E36" w:rsidRPr="00491427" w:rsidRDefault="00AC1E36" w:rsidP="00491427">
      <w:pPr>
        <w:spacing w:line="360" w:lineRule="auto"/>
        <w:jc w:val="both"/>
        <w:rPr>
          <w:rFonts w:ascii="Times New Roman" w:hAnsi="Times New Roman"/>
          <w:b/>
          <w:color w:val="auto"/>
          <w:sz w:val="24"/>
          <w:szCs w:val="24"/>
          <w:lang w:val="en-ZA"/>
        </w:rPr>
      </w:pPr>
    </w:p>
    <w:p w14:paraId="09FF0285" w14:textId="77777777" w:rsidR="002D04D9" w:rsidRPr="00055E35" w:rsidRDefault="00503871" w:rsidP="00DA6AD9">
      <w:pPr>
        <w:pStyle w:val="ListParagraph"/>
        <w:numPr>
          <w:ilvl w:val="1"/>
          <w:numId w:val="14"/>
        </w:numPr>
        <w:spacing w:line="360" w:lineRule="auto"/>
        <w:jc w:val="both"/>
        <w:rPr>
          <w:rFonts w:ascii="Times New Roman" w:hAnsi="Times New Roman"/>
          <w:b/>
          <w:color w:val="auto"/>
          <w:sz w:val="24"/>
          <w:szCs w:val="24"/>
          <w:lang w:val="en-ZA"/>
        </w:rPr>
      </w:pPr>
      <w:r w:rsidRPr="00055E35">
        <w:rPr>
          <w:rFonts w:ascii="Times New Roman" w:hAnsi="Times New Roman"/>
          <w:b/>
          <w:color w:val="auto"/>
          <w:sz w:val="24"/>
          <w:szCs w:val="24"/>
          <w:lang w:val="en-ZA"/>
        </w:rPr>
        <w:t>Department of Energy</w:t>
      </w:r>
      <w:r w:rsidR="00F4031C" w:rsidRPr="00055E35">
        <w:rPr>
          <w:rFonts w:ascii="Times New Roman" w:hAnsi="Times New Roman"/>
          <w:b/>
          <w:color w:val="auto"/>
          <w:sz w:val="24"/>
          <w:szCs w:val="24"/>
          <w:lang w:val="en-ZA"/>
        </w:rPr>
        <w:t xml:space="preserve"> (Vote 26)</w:t>
      </w:r>
    </w:p>
    <w:p w14:paraId="4B8685FD" w14:textId="3DE828C4" w:rsidR="005A4C41" w:rsidRPr="00055E35" w:rsidRDefault="005A4C41" w:rsidP="00DA6AD9">
      <w:pPr>
        <w:spacing w:line="360" w:lineRule="auto"/>
        <w:contextualSpacing/>
        <w:jc w:val="both"/>
        <w:rPr>
          <w:rFonts w:ascii="Times New Roman" w:hAnsi="Times New Roman"/>
          <w:b/>
          <w:color w:val="auto"/>
          <w:sz w:val="24"/>
          <w:szCs w:val="24"/>
          <w:lang w:val="en-ZA"/>
        </w:rPr>
      </w:pPr>
    </w:p>
    <w:p w14:paraId="02CF0A6A" w14:textId="5947B115" w:rsidR="005A4C41" w:rsidRPr="00055E35" w:rsidRDefault="00F4031C" w:rsidP="00DA6AD9">
      <w:pPr>
        <w:pStyle w:val="ListParagraph"/>
        <w:numPr>
          <w:ilvl w:val="2"/>
          <w:numId w:val="14"/>
        </w:numPr>
        <w:spacing w:line="360" w:lineRule="auto"/>
        <w:jc w:val="both"/>
        <w:rPr>
          <w:rFonts w:ascii="Times New Roman" w:hAnsi="Times New Roman"/>
          <w:color w:val="auto"/>
          <w:sz w:val="24"/>
          <w:szCs w:val="24"/>
          <w:u w:val="single"/>
          <w:lang w:val="en-ZA"/>
        </w:rPr>
      </w:pPr>
      <w:r w:rsidRPr="00055E35">
        <w:rPr>
          <w:rFonts w:ascii="Times New Roman" w:hAnsi="Times New Roman"/>
          <w:color w:val="auto"/>
          <w:sz w:val="24"/>
          <w:szCs w:val="24"/>
          <w:lang w:val="en-ZA"/>
        </w:rPr>
        <w:t xml:space="preserve">The Committee </w:t>
      </w:r>
      <w:r w:rsidR="00A40E0F">
        <w:rPr>
          <w:rFonts w:ascii="Times New Roman" w:hAnsi="Times New Roman"/>
          <w:color w:val="auto"/>
          <w:sz w:val="24"/>
          <w:szCs w:val="24"/>
          <w:lang w:val="en-ZA"/>
        </w:rPr>
        <w:t>was concerned about</w:t>
      </w:r>
      <w:r w:rsidRPr="00055E35">
        <w:rPr>
          <w:rFonts w:ascii="Times New Roman" w:hAnsi="Times New Roman"/>
          <w:color w:val="auto"/>
          <w:sz w:val="24"/>
          <w:szCs w:val="24"/>
          <w:lang w:val="en-ZA"/>
        </w:rPr>
        <w:t xml:space="preserve"> the R612 million under expendit</w:t>
      </w:r>
      <w:r w:rsidR="00C24FAE">
        <w:rPr>
          <w:rFonts w:ascii="Times New Roman" w:hAnsi="Times New Roman"/>
          <w:color w:val="auto"/>
          <w:sz w:val="24"/>
          <w:szCs w:val="24"/>
          <w:lang w:val="en-ZA"/>
        </w:rPr>
        <w:t>ure against the projected</w:t>
      </w:r>
      <w:r w:rsidR="00AA1DD8">
        <w:rPr>
          <w:rFonts w:ascii="Times New Roman" w:hAnsi="Times New Roman"/>
          <w:color w:val="auto"/>
          <w:sz w:val="24"/>
          <w:szCs w:val="24"/>
          <w:lang w:val="en-ZA"/>
        </w:rPr>
        <w:t xml:space="preserve"> expenditure of</w:t>
      </w:r>
      <w:r w:rsidR="00C24FAE">
        <w:rPr>
          <w:rFonts w:ascii="Times New Roman" w:hAnsi="Times New Roman"/>
          <w:color w:val="auto"/>
          <w:sz w:val="24"/>
          <w:szCs w:val="24"/>
          <w:lang w:val="en-ZA"/>
        </w:rPr>
        <w:t xml:space="preserve"> R1.5</w:t>
      </w:r>
      <w:r w:rsidRPr="00055E35">
        <w:rPr>
          <w:rFonts w:ascii="Times New Roman" w:hAnsi="Times New Roman"/>
          <w:color w:val="auto"/>
          <w:sz w:val="24"/>
          <w:szCs w:val="24"/>
          <w:lang w:val="en-ZA"/>
        </w:rPr>
        <w:t xml:space="preserve"> billion at the end of the first quarter of the 2018/19 financial year. The Committee </w:t>
      </w:r>
      <w:r w:rsidR="00D65E9E">
        <w:rPr>
          <w:rFonts w:ascii="Times New Roman" w:hAnsi="Times New Roman"/>
          <w:color w:val="auto"/>
          <w:sz w:val="24"/>
          <w:szCs w:val="24"/>
          <w:lang w:val="en-ZA"/>
        </w:rPr>
        <w:t xml:space="preserve">viewed this as raising doubts about the Department’s ability to spend its allocation and </w:t>
      </w:r>
      <w:r w:rsidRPr="00055E35">
        <w:rPr>
          <w:rFonts w:ascii="Times New Roman" w:hAnsi="Times New Roman"/>
          <w:color w:val="auto"/>
          <w:sz w:val="24"/>
          <w:szCs w:val="24"/>
          <w:lang w:val="en-ZA"/>
        </w:rPr>
        <w:t xml:space="preserve">achieve its targets for the financial year. </w:t>
      </w:r>
    </w:p>
    <w:p w14:paraId="5BCF2D44" w14:textId="77777777" w:rsidR="00F4031C" w:rsidRPr="00055E35" w:rsidRDefault="00F4031C" w:rsidP="00DA6AD9">
      <w:pPr>
        <w:pStyle w:val="ListParagraph"/>
        <w:spacing w:line="360" w:lineRule="auto"/>
        <w:jc w:val="both"/>
        <w:rPr>
          <w:rFonts w:ascii="Times New Roman" w:hAnsi="Times New Roman"/>
          <w:color w:val="auto"/>
          <w:sz w:val="24"/>
          <w:szCs w:val="24"/>
          <w:u w:val="single"/>
          <w:lang w:val="en-ZA"/>
        </w:rPr>
      </w:pPr>
    </w:p>
    <w:p w14:paraId="360882B7" w14:textId="621CDF8A" w:rsidR="00F4031C" w:rsidRPr="00055E35" w:rsidRDefault="00F4031C" w:rsidP="00DA6AD9">
      <w:pPr>
        <w:pStyle w:val="ListParagraph"/>
        <w:numPr>
          <w:ilvl w:val="2"/>
          <w:numId w:val="14"/>
        </w:numPr>
        <w:spacing w:line="360" w:lineRule="auto"/>
        <w:jc w:val="both"/>
        <w:rPr>
          <w:rFonts w:ascii="Times New Roman" w:hAnsi="Times New Roman"/>
          <w:color w:val="auto"/>
          <w:sz w:val="24"/>
          <w:szCs w:val="24"/>
          <w:lang w:val="en-ZA"/>
        </w:rPr>
      </w:pPr>
      <w:r w:rsidRPr="00055E35">
        <w:rPr>
          <w:rFonts w:ascii="Times New Roman" w:hAnsi="Times New Roman"/>
          <w:color w:val="auto"/>
          <w:sz w:val="24"/>
          <w:szCs w:val="24"/>
          <w:lang w:val="en-ZA"/>
        </w:rPr>
        <w:lastRenderedPageBreak/>
        <w:t xml:space="preserve">The Committee </w:t>
      </w:r>
      <w:r w:rsidR="00A40E0F">
        <w:rPr>
          <w:rFonts w:ascii="Times New Roman" w:hAnsi="Times New Roman"/>
          <w:color w:val="auto"/>
          <w:sz w:val="24"/>
          <w:szCs w:val="24"/>
          <w:lang w:val="en-ZA"/>
        </w:rPr>
        <w:t xml:space="preserve">noted that </w:t>
      </w:r>
      <w:r w:rsidRPr="00055E35">
        <w:rPr>
          <w:rFonts w:ascii="Times New Roman" w:hAnsi="Times New Roman"/>
          <w:color w:val="auto"/>
          <w:sz w:val="24"/>
          <w:szCs w:val="24"/>
          <w:lang w:val="en-ZA"/>
        </w:rPr>
        <w:t>the significant variance in expenditure as at the end of the period under review were due to lack of capacity within the Department</w:t>
      </w:r>
      <w:r w:rsidR="00AA1DD8">
        <w:rPr>
          <w:rFonts w:ascii="Times New Roman" w:hAnsi="Times New Roman"/>
          <w:color w:val="auto"/>
          <w:sz w:val="24"/>
          <w:szCs w:val="24"/>
          <w:lang w:val="en-ZA"/>
        </w:rPr>
        <w:t xml:space="preserve"> and its entities.</w:t>
      </w:r>
      <w:r w:rsidRPr="00055E35">
        <w:rPr>
          <w:rFonts w:ascii="Times New Roman" w:hAnsi="Times New Roman"/>
          <w:color w:val="auto"/>
          <w:sz w:val="24"/>
          <w:szCs w:val="24"/>
          <w:lang w:val="en-ZA"/>
        </w:rPr>
        <w:t xml:space="preserve">  The Department reported that there was a correlation between the targets which were not met at the end of the period under review and the shortage of skilled personnel. Specific reference was made to programme 2, Energy Policy and Planning, where none of the seven targets for </w:t>
      </w:r>
      <w:r w:rsidR="00AA1DD8">
        <w:rPr>
          <w:rFonts w:ascii="Times New Roman" w:hAnsi="Times New Roman"/>
          <w:color w:val="auto"/>
          <w:sz w:val="24"/>
          <w:szCs w:val="24"/>
          <w:lang w:val="en-ZA"/>
        </w:rPr>
        <w:t xml:space="preserve">the first </w:t>
      </w:r>
      <w:r w:rsidRPr="00055E35">
        <w:rPr>
          <w:rFonts w:ascii="Times New Roman" w:hAnsi="Times New Roman"/>
          <w:color w:val="auto"/>
          <w:sz w:val="24"/>
          <w:szCs w:val="24"/>
          <w:lang w:val="en-ZA"/>
        </w:rPr>
        <w:t>quarter were met. The Committee noted that a report has been compiled for the Minister of Energy in this regard with a view to finding a lasting solution to the problem.</w:t>
      </w:r>
    </w:p>
    <w:p w14:paraId="7F8B7E5E" w14:textId="77777777" w:rsidR="00F4031C" w:rsidRPr="00055E35" w:rsidRDefault="00F4031C" w:rsidP="00DA6AD9">
      <w:pPr>
        <w:spacing w:line="360" w:lineRule="auto"/>
        <w:contextualSpacing/>
        <w:jc w:val="both"/>
        <w:rPr>
          <w:rFonts w:ascii="Times New Roman" w:hAnsi="Times New Roman"/>
          <w:color w:val="auto"/>
          <w:sz w:val="24"/>
          <w:szCs w:val="24"/>
          <w:lang w:val="en-ZA"/>
        </w:rPr>
      </w:pPr>
    </w:p>
    <w:p w14:paraId="257BDED3" w14:textId="08B8A26E" w:rsidR="00F4031C" w:rsidRPr="00055E35" w:rsidRDefault="00F4031C" w:rsidP="00DA6AD9">
      <w:pPr>
        <w:pStyle w:val="ListParagraph"/>
        <w:numPr>
          <w:ilvl w:val="2"/>
          <w:numId w:val="14"/>
        </w:numPr>
        <w:spacing w:line="360" w:lineRule="auto"/>
        <w:jc w:val="both"/>
        <w:rPr>
          <w:rFonts w:ascii="Times New Roman" w:hAnsi="Times New Roman"/>
          <w:color w:val="auto"/>
          <w:sz w:val="24"/>
          <w:szCs w:val="24"/>
          <w:lang w:val="en-ZA"/>
        </w:rPr>
      </w:pPr>
      <w:r w:rsidRPr="00055E35">
        <w:rPr>
          <w:rFonts w:ascii="Times New Roman" w:hAnsi="Times New Roman"/>
          <w:color w:val="auto"/>
          <w:sz w:val="24"/>
          <w:szCs w:val="24"/>
          <w:lang w:val="en-ZA"/>
        </w:rPr>
        <w:t xml:space="preserve">The Committee was concerned about the reported theft of materials, especially at Eskom, and </w:t>
      </w:r>
      <w:r w:rsidR="00AA1DD8">
        <w:rPr>
          <w:rFonts w:ascii="Times New Roman" w:hAnsi="Times New Roman"/>
          <w:color w:val="auto"/>
          <w:sz w:val="24"/>
          <w:szCs w:val="24"/>
          <w:lang w:val="en-ZA"/>
        </w:rPr>
        <w:t>urged</w:t>
      </w:r>
      <w:r w:rsidRPr="00055E35">
        <w:rPr>
          <w:rFonts w:ascii="Times New Roman" w:hAnsi="Times New Roman"/>
          <w:color w:val="auto"/>
          <w:sz w:val="24"/>
          <w:szCs w:val="24"/>
          <w:lang w:val="en-ZA"/>
        </w:rPr>
        <w:t xml:space="preserve"> the Department to address the security issues urgently.</w:t>
      </w:r>
    </w:p>
    <w:p w14:paraId="1C20161A" w14:textId="77777777" w:rsidR="00F4031C" w:rsidRPr="00055E35" w:rsidRDefault="00F4031C" w:rsidP="00DA6AD9">
      <w:pPr>
        <w:spacing w:line="360" w:lineRule="auto"/>
        <w:contextualSpacing/>
        <w:jc w:val="both"/>
        <w:rPr>
          <w:rFonts w:ascii="Times New Roman" w:hAnsi="Times New Roman"/>
          <w:color w:val="auto"/>
          <w:sz w:val="24"/>
          <w:szCs w:val="24"/>
          <w:lang w:val="en-ZA"/>
        </w:rPr>
      </w:pPr>
    </w:p>
    <w:p w14:paraId="185D7975" w14:textId="77777777" w:rsidR="00D427A3" w:rsidRDefault="00F4031C" w:rsidP="00D427A3">
      <w:pPr>
        <w:pStyle w:val="ListParagraph"/>
        <w:numPr>
          <w:ilvl w:val="2"/>
          <w:numId w:val="14"/>
        </w:numPr>
        <w:spacing w:line="360" w:lineRule="auto"/>
        <w:jc w:val="both"/>
        <w:rPr>
          <w:rFonts w:ascii="Times New Roman" w:hAnsi="Times New Roman"/>
          <w:color w:val="auto"/>
          <w:sz w:val="24"/>
          <w:szCs w:val="24"/>
          <w:lang w:val="en-ZA"/>
        </w:rPr>
      </w:pPr>
      <w:r w:rsidRPr="00055E35">
        <w:rPr>
          <w:rFonts w:ascii="Times New Roman" w:hAnsi="Times New Roman"/>
          <w:color w:val="auto"/>
          <w:sz w:val="24"/>
          <w:szCs w:val="24"/>
          <w:lang w:val="en-ZA"/>
        </w:rPr>
        <w:t xml:space="preserve">The Committee noted with concern the report that </w:t>
      </w:r>
      <w:proofErr w:type="spellStart"/>
      <w:r w:rsidRPr="00055E35">
        <w:rPr>
          <w:rFonts w:ascii="Times New Roman" w:hAnsi="Times New Roman"/>
          <w:color w:val="auto"/>
          <w:sz w:val="24"/>
          <w:szCs w:val="24"/>
          <w:lang w:val="en-ZA"/>
        </w:rPr>
        <w:t>PetroSA</w:t>
      </w:r>
      <w:proofErr w:type="spellEnd"/>
      <w:r w:rsidRPr="00055E35">
        <w:rPr>
          <w:rFonts w:ascii="Times New Roman" w:hAnsi="Times New Roman"/>
          <w:color w:val="auto"/>
          <w:sz w:val="24"/>
          <w:szCs w:val="24"/>
          <w:lang w:val="en-ZA"/>
        </w:rPr>
        <w:t xml:space="preserve"> had a</w:t>
      </w:r>
      <w:r w:rsidR="005739A7">
        <w:rPr>
          <w:rFonts w:ascii="Times New Roman" w:hAnsi="Times New Roman"/>
          <w:color w:val="auto"/>
          <w:sz w:val="24"/>
          <w:szCs w:val="24"/>
          <w:lang w:val="en-ZA"/>
        </w:rPr>
        <w:t xml:space="preserve"> shortfall of </w:t>
      </w:r>
      <w:r w:rsidR="005739A7" w:rsidRPr="00055E35">
        <w:rPr>
          <w:rFonts w:ascii="Times New Roman" w:hAnsi="Times New Roman"/>
          <w:color w:val="auto"/>
          <w:sz w:val="24"/>
          <w:szCs w:val="24"/>
          <w:lang w:val="en-ZA"/>
        </w:rPr>
        <w:t>R8.8</w:t>
      </w:r>
      <w:r w:rsidRPr="00055E35">
        <w:rPr>
          <w:rFonts w:ascii="Times New Roman" w:hAnsi="Times New Roman"/>
          <w:color w:val="auto"/>
          <w:sz w:val="24"/>
          <w:szCs w:val="24"/>
          <w:lang w:val="en-ZA"/>
        </w:rPr>
        <w:t xml:space="preserve"> billion for its decommissioning liabilities. </w:t>
      </w:r>
    </w:p>
    <w:p w14:paraId="1C54D621" w14:textId="77777777" w:rsidR="00D427A3" w:rsidRPr="00D427A3" w:rsidRDefault="00D427A3" w:rsidP="00D427A3">
      <w:pPr>
        <w:pStyle w:val="ListParagraph"/>
        <w:rPr>
          <w:rFonts w:ascii="Times New Roman" w:hAnsi="Times New Roman"/>
          <w:color w:val="auto"/>
          <w:sz w:val="24"/>
          <w:szCs w:val="24"/>
          <w:lang w:val="en-ZA"/>
        </w:rPr>
      </w:pPr>
    </w:p>
    <w:p w14:paraId="35D13FA1" w14:textId="77777777" w:rsidR="00D427A3" w:rsidRDefault="006B606D" w:rsidP="00D427A3">
      <w:pPr>
        <w:pStyle w:val="ListParagraph"/>
        <w:numPr>
          <w:ilvl w:val="2"/>
          <w:numId w:val="14"/>
        </w:numPr>
        <w:spacing w:line="360" w:lineRule="auto"/>
        <w:jc w:val="both"/>
        <w:rPr>
          <w:rFonts w:ascii="Times New Roman" w:hAnsi="Times New Roman"/>
          <w:color w:val="auto"/>
          <w:sz w:val="24"/>
          <w:szCs w:val="24"/>
          <w:lang w:val="en-ZA"/>
        </w:rPr>
      </w:pPr>
      <w:r w:rsidRPr="00D427A3">
        <w:rPr>
          <w:rFonts w:ascii="Times New Roman" w:hAnsi="Times New Roman"/>
          <w:color w:val="auto"/>
          <w:sz w:val="24"/>
          <w:szCs w:val="24"/>
          <w:lang w:val="en-ZA"/>
        </w:rPr>
        <w:t xml:space="preserve">The Committee expressed </w:t>
      </w:r>
      <w:proofErr w:type="gramStart"/>
      <w:r w:rsidRPr="00D427A3">
        <w:rPr>
          <w:rFonts w:ascii="Times New Roman" w:hAnsi="Times New Roman"/>
          <w:color w:val="auto"/>
          <w:sz w:val="24"/>
          <w:szCs w:val="24"/>
          <w:lang w:val="en-ZA"/>
        </w:rPr>
        <w:t>that serious concerns</w:t>
      </w:r>
      <w:proofErr w:type="gramEnd"/>
      <w:r w:rsidRPr="00D427A3">
        <w:rPr>
          <w:rFonts w:ascii="Times New Roman" w:hAnsi="Times New Roman"/>
          <w:color w:val="auto"/>
          <w:sz w:val="24"/>
          <w:szCs w:val="24"/>
          <w:lang w:val="en-ZA"/>
        </w:rPr>
        <w:t xml:space="preserve"> about the report that a</w:t>
      </w:r>
      <w:r w:rsidR="008144C1" w:rsidRPr="00D427A3">
        <w:rPr>
          <w:rFonts w:ascii="Times New Roman" w:hAnsi="Times New Roman"/>
          <w:color w:val="auto"/>
          <w:sz w:val="24"/>
          <w:szCs w:val="24"/>
          <w:lang w:val="en-ZA"/>
        </w:rPr>
        <w:t>lmost all strategic entities reporting under the Department of Energy have vacancies in critical positions.</w:t>
      </w:r>
      <w:r w:rsidRPr="00D427A3">
        <w:rPr>
          <w:rFonts w:ascii="Times New Roman" w:hAnsi="Times New Roman"/>
          <w:color w:val="auto"/>
          <w:sz w:val="24"/>
          <w:szCs w:val="24"/>
          <w:lang w:val="en-ZA"/>
        </w:rPr>
        <w:t xml:space="preserve"> The Committee’s main concern was with </w:t>
      </w:r>
      <w:proofErr w:type="spellStart"/>
      <w:r w:rsidRPr="00D427A3">
        <w:rPr>
          <w:rFonts w:ascii="Times New Roman" w:hAnsi="Times New Roman"/>
          <w:color w:val="auto"/>
          <w:sz w:val="24"/>
          <w:szCs w:val="24"/>
          <w:lang w:val="en-ZA"/>
        </w:rPr>
        <w:t>PetroSA</w:t>
      </w:r>
      <w:proofErr w:type="spellEnd"/>
      <w:r w:rsidRPr="00D427A3">
        <w:rPr>
          <w:rFonts w:ascii="Times New Roman" w:hAnsi="Times New Roman"/>
          <w:color w:val="auto"/>
          <w:sz w:val="24"/>
          <w:szCs w:val="24"/>
          <w:lang w:val="en-ZA"/>
        </w:rPr>
        <w:t>,</w:t>
      </w:r>
      <w:r w:rsidR="008144C1" w:rsidRPr="00D427A3">
        <w:rPr>
          <w:rFonts w:ascii="Times New Roman" w:hAnsi="Times New Roman"/>
          <w:color w:val="auto"/>
          <w:sz w:val="24"/>
          <w:szCs w:val="24"/>
          <w:lang w:val="en-ZA"/>
        </w:rPr>
        <w:t xml:space="preserve"> which is operating with an interim Board and most of the Executive Management positions remain vacant. The Department </w:t>
      </w:r>
      <w:r w:rsidR="00491427" w:rsidRPr="00D427A3">
        <w:rPr>
          <w:rFonts w:ascii="Times New Roman" w:hAnsi="Times New Roman"/>
          <w:color w:val="auto"/>
          <w:sz w:val="24"/>
          <w:szCs w:val="24"/>
          <w:lang w:val="en-ZA"/>
        </w:rPr>
        <w:t xml:space="preserve">reported </w:t>
      </w:r>
      <w:r w:rsidR="008144C1" w:rsidRPr="00D427A3">
        <w:rPr>
          <w:rFonts w:ascii="Times New Roman" w:hAnsi="Times New Roman"/>
          <w:color w:val="auto"/>
          <w:sz w:val="24"/>
          <w:szCs w:val="24"/>
          <w:lang w:val="en-ZA"/>
        </w:rPr>
        <w:t>that it has compiled a comprehensive report to the Minister, and that it has identified key entities and key positions that should be filled as a matter of priority.</w:t>
      </w:r>
    </w:p>
    <w:p w14:paraId="46E7048E" w14:textId="77777777" w:rsidR="00D427A3" w:rsidRPr="00D427A3" w:rsidRDefault="00D427A3" w:rsidP="00D427A3">
      <w:pPr>
        <w:pStyle w:val="ListParagraph"/>
        <w:rPr>
          <w:rFonts w:ascii="Times New Roman" w:hAnsi="Times New Roman"/>
          <w:color w:val="auto"/>
          <w:sz w:val="24"/>
          <w:szCs w:val="24"/>
          <w:lang w:val="en-ZA"/>
        </w:rPr>
      </w:pPr>
    </w:p>
    <w:p w14:paraId="3300E61E" w14:textId="1D3282D1" w:rsidR="00B91E31" w:rsidRPr="00D427A3" w:rsidRDefault="00B91E31" w:rsidP="00D427A3">
      <w:pPr>
        <w:pStyle w:val="ListParagraph"/>
        <w:numPr>
          <w:ilvl w:val="2"/>
          <w:numId w:val="14"/>
        </w:numPr>
        <w:spacing w:line="360" w:lineRule="auto"/>
        <w:jc w:val="both"/>
        <w:rPr>
          <w:rFonts w:ascii="Times New Roman" w:hAnsi="Times New Roman"/>
          <w:color w:val="auto"/>
          <w:sz w:val="24"/>
          <w:szCs w:val="24"/>
          <w:lang w:val="en-ZA"/>
        </w:rPr>
      </w:pPr>
      <w:r w:rsidRPr="00D427A3">
        <w:rPr>
          <w:rFonts w:ascii="Times New Roman" w:hAnsi="Times New Roman"/>
          <w:color w:val="auto"/>
          <w:sz w:val="24"/>
          <w:szCs w:val="24"/>
          <w:lang w:val="en-ZA"/>
        </w:rPr>
        <w:t xml:space="preserve">The Committee </w:t>
      </w:r>
      <w:r w:rsidR="006B606D" w:rsidRPr="00D427A3">
        <w:rPr>
          <w:rFonts w:ascii="Times New Roman" w:hAnsi="Times New Roman"/>
          <w:color w:val="auto"/>
          <w:sz w:val="24"/>
          <w:szCs w:val="24"/>
          <w:lang w:val="en-ZA"/>
        </w:rPr>
        <w:t xml:space="preserve">also </w:t>
      </w:r>
      <w:r w:rsidRPr="00D427A3">
        <w:rPr>
          <w:rFonts w:ascii="Times New Roman" w:hAnsi="Times New Roman"/>
          <w:color w:val="auto"/>
          <w:sz w:val="24"/>
          <w:szCs w:val="24"/>
          <w:lang w:val="en-ZA"/>
        </w:rPr>
        <w:t>note</w:t>
      </w:r>
      <w:r w:rsidR="00396639" w:rsidRPr="00D427A3">
        <w:rPr>
          <w:rFonts w:ascii="Times New Roman" w:hAnsi="Times New Roman"/>
          <w:color w:val="auto"/>
          <w:sz w:val="24"/>
          <w:szCs w:val="24"/>
          <w:lang w:val="en-ZA"/>
        </w:rPr>
        <w:t>d</w:t>
      </w:r>
      <w:r w:rsidRPr="00D427A3">
        <w:rPr>
          <w:rFonts w:ascii="Times New Roman" w:hAnsi="Times New Roman"/>
          <w:color w:val="auto"/>
          <w:sz w:val="24"/>
          <w:szCs w:val="24"/>
          <w:lang w:val="en-ZA"/>
        </w:rPr>
        <w:t xml:space="preserve"> with concern that </w:t>
      </w:r>
      <w:r w:rsidR="008E04A2" w:rsidRPr="00D427A3">
        <w:rPr>
          <w:rFonts w:ascii="Times New Roman" w:hAnsi="Times New Roman"/>
          <w:color w:val="auto"/>
          <w:sz w:val="24"/>
          <w:szCs w:val="24"/>
          <w:lang w:val="en-ZA"/>
        </w:rPr>
        <w:t>the Central Energy Fund has not submitted its Corporate Plan for the 2018/19 financial year.</w:t>
      </w:r>
    </w:p>
    <w:p w14:paraId="3D31DE28" w14:textId="77C9A991" w:rsidR="00A40E0F" w:rsidRPr="00491427" w:rsidRDefault="00A40E0F" w:rsidP="00491427">
      <w:pPr>
        <w:spacing w:line="360" w:lineRule="auto"/>
        <w:jc w:val="both"/>
        <w:rPr>
          <w:rFonts w:ascii="Times New Roman" w:hAnsi="Times New Roman"/>
          <w:color w:val="auto"/>
          <w:sz w:val="24"/>
          <w:szCs w:val="24"/>
          <w:lang w:val="en-ZA"/>
        </w:rPr>
      </w:pPr>
    </w:p>
    <w:p w14:paraId="13172D5B" w14:textId="756C79C6" w:rsidR="00503871" w:rsidRPr="00D427A3" w:rsidRDefault="00503871" w:rsidP="00D427A3">
      <w:pPr>
        <w:pStyle w:val="ListParagraph"/>
        <w:numPr>
          <w:ilvl w:val="1"/>
          <w:numId w:val="14"/>
        </w:numPr>
        <w:spacing w:line="360" w:lineRule="auto"/>
        <w:jc w:val="both"/>
        <w:rPr>
          <w:rFonts w:ascii="Times New Roman" w:hAnsi="Times New Roman"/>
          <w:b/>
          <w:color w:val="auto"/>
          <w:sz w:val="24"/>
          <w:szCs w:val="24"/>
          <w:lang w:val="en-ZA"/>
        </w:rPr>
      </w:pPr>
      <w:r w:rsidRPr="00D427A3">
        <w:rPr>
          <w:rFonts w:ascii="Times New Roman" w:hAnsi="Times New Roman"/>
          <w:b/>
          <w:color w:val="auto"/>
          <w:sz w:val="24"/>
          <w:szCs w:val="24"/>
          <w:lang w:val="en-ZA"/>
        </w:rPr>
        <w:t xml:space="preserve">Department of </w:t>
      </w:r>
      <w:r w:rsidR="00F4031C" w:rsidRPr="00D427A3">
        <w:rPr>
          <w:rFonts w:ascii="Times New Roman" w:hAnsi="Times New Roman"/>
          <w:b/>
          <w:color w:val="auto"/>
          <w:sz w:val="24"/>
          <w:szCs w:val="24"/>
          <w:lang w:val="en-ZA"/>
        </w:rPr>
        <w:t>Agriculture, Forestry</w:t>
      </w:r>
      <w:r w:rsidRPr="00D427A3">
        <w:rPr>
          <w:rFonts w:ascii="Times New Roman" w:hAnsi="Times New Roman"/>
          <w:b/>
          <w:color w:val="auto"/>
          <w:sz w:val="24"/>
          <w:szCs w:val="24"/>
          <w:lang w:val="en-ZA"/>
        </w:rPr>
        <w:t xml:space="preserve"> and Fisheries</w:t>
      </w:r>
      <w:r w:rsidR="00F4031C" w:rsidRPr="00D427A3">
        <w:rPr>
          <w:rFonts w:ascii="Times New Roman" w:hAnsi="Times New Roman"/>
          <w:b/>
          <w:color w:val="auto"/>
          <w:sz w:val="24"/>
          <w:szCs w:val="24"/>
          <w:lang w:val="en-ZA"/>
        </w:rPr>
        <w:t xml:space="preserve"> (Vote 24)</w:t>
      </w:r>
    </w:p>
    <w:p w14:paraId="47AE8C17" w14:textId="5FC99804" w:rsidR="005A4C41" w:rsidRPr="00055E35" w:rsidRDefault="005A4C41" w:rsidP="00DA6AD9">
      <w:pPr>
        <w:spacing w:line="360" w:lineRule="auto"/>
        <w:contextualSpacing/>
        <w:jc w:val="both"/>
        <w:rPr>
          <w:rFonts w:ascii="Times New Roman" w:hAnsi="Times New Roman"/>
          <w:b/>
          <w:color w:val="auto"/>
          <w:sz w:val="24"/>
          <w:szCs w:val="24"/>
          <w:lang w:val="en-ZA"/>
        </w:rPr>
      </w:pPr>
    </w:p>
    <w:p w14:paraId="0E41335D" w14:textId="3D14A6B1" w:rsidR="00901613" w:rsidRPr="00055E35" w:rsidRDefault="00901613" w:rsidP="00D427A3">
      <w:pPr>
        <w:pStyle w:val="ListParagraph"/>
        <w:numPr>
          <w:ilvl w:val="2"/>
          <w:numId w:val="14"/>
        </w:numPr>
        <w:spacing w:after="160" w:line="360" w:lineRule="auto"/>
        <w:jc w:val="both"/>
        <w:rPr>
          <w:rFonts w:ascii="Times New Roman" w:hAnsi="Times New Roman"/>
          <w:color w:val="auto"/>
          <w:sz w:val="24"/>
          <w:szCs w:val="24"/>
        </w:rPr>
      </w:pPr>
      <w:r w:rsidRPr="00055E35">
        <w:rPr>
          <w:rFonts w:ascii="Times New Roman" w:hAnsi="Times New Roman"/>
          <w:color w:val="auto"/>
          <w:sz w:val="24"/>
          <w:szCs w:val="24"/>
          <w:lang w:val="en-ZA"/>
        </w:rPr>
        <w:t xml:space="preserve">The Committee noted with concern </w:t>
      </w:r>
      <w:r w:rsidRPr="00055E35">
        <w:rPr>
          <w:rFonts w:ascii="Times New Roman" w:hAnsi="Times New Roman"/>
          <w:color w:val="auto"/>
          <w:sz w:val="24"/>
          <w:szCs w:val="24"/>
        </w:rPr>
        <w:t>the</w:t>
      </w:r>
      <w:r w:rsidR="00BC4771">
        <w:rPr>
          <w:rFonts w:ascii="Times New Roman" w:hAnsi="Times New Roman"/>
          <w:color w:val="auto"/>
          <w:sz w:val="24"/>
          <w:szCs w:val="24"/>
        </w:rPr>
        <w:t xml:space="preserve"> reported underspending resulting from</w:t>
      </w:r>
      <w:r w:rsidRPr="00055E35">
        <w:rPr>
          <w:rFonts w:ascii="Times New Roman" w:hAnsi="Times New Roman"/>
          <w:color w:val="auto"/>
          <w:sz w:val="24"/>
          <w:szCs w:val="24"/>
        </w:rPr>
        <w:t xml:space="preserve"> delays in </w:t>
      </w:r>
      <w:r w:rsidRPr="00055E35">
        <w:rPr>
          <w:rFonts w:ascii="Times New Roman" w:hAnsi="Times New Roman"/>
          <w:color w:val="auto"/>
          <w:sz w:val="24"/>
          <w:szCs w:val="24"/>
          <w:lang w:val="en-ZA"/>
        </w:rPr>
        <w:t xml:space="preserve">transferring funds earmarked for smallholder </w:t>
      </w:r>
      <w:proofErr w:type="gramStart"/>
      <w:r w:rsidRPr="00055E35">
        <w:rPr>
          <w:rFonts w:ascii="Times New Roman" w:hAnsi="Times New Roman"/>
          <w:color w:val="auto"/>
          <w:sz w:val="24"/>
          <w:szCs w:val="24"/>
          <w:lang w:val="en-ZA"/>
        </w:rPr>
        <w:t>farmers</w:t>
      </w:r>
      <w:proofErr w:type="gramEnd"/>
      <w:r w:rsidRPr="00055E35">
        <w:rPr>
          <w:rFonts w:ascii="Times New Roman" w:hAnsi="Times New Roman"/>
          <w:color w:val="auto"/>
          <w:sz w:val="24"/>
          <w:szCs w:val="24"/>
          <w:lang w:val="en-ZA"/>
        </w:rPr>
        <w:t xml:space="preserve"> support and for the </w:t>
      </w:r>
      <w:proofErr w:type="spellStart"/>
      <w:r w:rsidR="00EC6D52" w:rsidRPr="00055E35">
        <w:rPr>
          <w:rFonts w:ascii="Times New Roman" w:hAnsi="Times New Roman"/>
          <w:color w:val="auto"/>
          <w:sz w:val="24"/>
          <w:szCs w:val="24"/>
          <w:lang w:val="en-ZA"/>
        </w:rPr>
        <w:t>AgriBEE</w:t>
      </w:r>
      <w:proofErr w:type="spellEnd"/>
      <w:r w:rsidR="00EC6D52" w:rsidRPr="00055E35">
        <w:rPr>
          <w:rFonts w:ascii="Times New Roman" w:hAnsi="Times New Roman"/>
          <w:color w:val="auto"/>
          <w:sz w:val="24"/>
          <w:szCs w:val="24"/>
          <w:lang w:val="en-ZA"/>
        </w:rPr>
        <w:t xml:space="preserve"> f</w:t>
      </w:r>
      <w:r w:rsidRPr="00055E35">
        <w:rPr>
          <w:rFonts w:ascii="Times New Roman" w:hAnsi="Times New Roman"/>
          <w:color w:val="auto"/>
          <w:sz w:val="24"/>
          <w:szCs w:val="24"/>
          <w:lang w:val="en-ZA"/>
        </w:rPr>
        <w:t>und. The Committee</w:t>
      </w:r>
      <w:r w:rsidR="006226A1">
        <w:rPr>
          <w:rFonts w:ascii="Times New Roman" w:hAnsi="Times New Roman"/>
          <w:color w:val="auto"/>
          <w:sz w:val="24"/>
          <w:szCs w:val="24"/>
          <w:lang w:val="en-ZA"/>
        </w:rPr>
        <w:t xml:space="preserve"> cautioned </w:t>
      </w:r>
      <w:r w:rsidR="00BB5275">
        <w:rPr>
          <w:rFonts w:ascii="Times New Roman" w:hAnsi="Times New Roman"/>
          <w:color w:val="auto"/>
          <w:sz w:val="24"/>
          <w:szCs w:val="24"/>
          <w:lang w:val="en-ZA"/>
        </w:rPr>
        <w:t xml:space="preserve">that </w:t>
      </w:r>
      <w:r w:rsidR="00BC4771">
        <w:rPr>
          <w:rFonts w:ascii="Times New Roman" w:hAnsi="Times New Roman"/>
          <w:color w:val="auto"/>
          <w:sz w:val="24"/>
          <w:szCs w:val="24"/>
          <w:lang w:val="en-ZA"/>
        </w:rPr>
        <w:t xml:space="preserve">this </w:t>
      </w:r>
      <w:r w:rsidR="00491427" w:rsidRPr="00055E35">
        <w:rPr>
          <w:rFonts w:ascii="Times New Roman" w:hAnsi="Times New Roman"/>
          <w:color w:val="auto"/>
          <w:sz w:val="24"/>
          <w:szCs w:val="24"/>
          <w:lang w:val="en-ZA"/>
        </w:rPr>
        <w:t>underm</w:t>
      </w:r>
      <w:r w:rsidR="00491427">
        <w:rPr>
          <w:rFonts w:ascii="Times New Roman" w:hAnsi="Times New Roman"/>
          <w:color w:val="auto"/>
          <w:sz w:val="24"/>
          <w:szCs w:val="24"/>
          <w:lang w:val="en-ZA"/>
        </w:rPr>
        <w:t xml:space="preserve">ines </w:t>
      </w:r>
      <w:r w:rsidR="00491427" w:rsidRPr="00055E35">
        <w:rPr>
          <w:rFonts w:ascii="Times New Roman" w:hAnsi="Times New Roman"/>
          <w:color w:val="auto"/>
          <w:sz w:val="24"/>
          <w:szCs w:val="24"/>
          <w:lang w:val="en-ZA"/>
        </w:rPr>
        <w:t>the</w:t>
      </w:r>
      <w:r w:rsidRPr="00055E35">
        <w:rPr>
          <w:rFonts w:ascii="Times New Roman" w:hAnsi="Times New Roman"/>
          <w:color w:val="auto"/>
          <w:sz w:val="24"/>
          <w:szCs w:val="24"/>
          <w:lang w:val="en-ZA"/>
        </w:rPr>
        <w:t xml:space="preserve"> role of the Department</w:t>
      </w:r>
      <w:r w:rsidR="00BC4771">
        <w:rPr>
          <w:rFonts w:ascii="Times New Roman" w:hAnsi="Times New Roman"/>
          <w:color w:val="auto"/>
          <w:sz w:val="24"/>
          <w:szCs w:val="24"/>
          <w:lang w:val="en-ZA"/>
        </w:rPr>
        <w:t xml:space="preserve"> and the agricultural sector </w:t>
      </w:r>
      <w:r w:rsidRPr="00055E35">
        <w:rPr>
          <w:rFonts w:ascii="Times New Roman" w:hAnsi="Times New Roman"/>
          <w:color w:val="auto"/>
          <w:sz w:val="24"/>
          <w:szCs w:val="24"/>
          <w:lang w:val="en-ZA"/>
        </w:rPr>
        <w:t>in</w:t>
      </w:r>
      <w:r w:rsidR="00BC4771">
        <w:rPr>
          <w:rFonts w:ascii="Times New Roman" w:hAnsi="Times New Roman"/>
          <w:color w:val="auto"/>
          <w:sz w:val="24"/>
          <w:szCs w:val="24"/>
          <w:lang w:val="en-ZA"/>
        </w:rPr>
        <w:t xml:space="preserve"> the growth and transformation of the economy.</w:t>
      </w:r>
      <w:r w:rsidRPr="00055E35">
        <w:rPr>
          <w:rFonts w:ascii="Times New Roman" w:hAnsi="Times New Roman"/>
          <w:color w:val="auto"/>
          <w:sz w:val="24"/>
          <w:szCs w:val="24"/>
          <w:lang w:val="en-ZA"/>
        </w:rPr>
        <w:t xml:space="preserve"> </w:t>
      </w:r>
      <w:r w:rsidRPr="00055E35">
        <w:rPr>
          <w:rFonts w:ascii="Times New Roman" w:hAnsi="Times New Roman"/>
          <w:color w:val="auto"/>
          <w:sz w:val="24"/>
          <w:szCs w:val="24"/>
        </w:rPr>
        <w:t xml:space="preserve">  </w:t>
      </w:r>
    </w:p>
    <w:p w14:paraId="765C2490" w14:textId="77777777" w:rsidR="00B3466D" w:rsidRPr="00055E35" w:rsidRDefault="00B3466D" w:rsidP="00DA6AD9">
      <w:pPr>
        <w:pStyle w:val="ListParagraph"/>
        <w:spacing w:after="160" w:line="360" w:lineRule="auto"/>
        <w:jc w:val="both"/>
        <w:rPr>
          <w:rFonts w:ascii="Times New Roman" w:hAnsi="Times New Roman"/>
          <w:color w:val="auto"/>
          <w:sz w:val="24"/>
          <w:szCs w:val="24"/>
        </w:rPr>
      </w:pPr>
    </w:p>
    <w:p w14:paraId="2C1FFCD7" w14:textId="5F1244A6" w:rsidR="00491427" w:rsidRDefault="00023752" w:rsidP="00D427A3">
      <w:pPr>
        <w:pStyle w:val="ListParagraph"/>
        <w:numPr>
          <w:ilvl w:val="2"/>
          <w:numId w:val="14"/>
        </w:numPr>
        <w:spacing w:after="160" w:line="360" w:lineRule="auto"/>
        <w:jc w:val="both"/>
        <w:rPr>
          <w:rFonts w:ascii="Times New Roman" w:hAnsi="Times New Roman"/>
          <w:color w:val="auto"/>
          <w:sz w:val="24"/>
          <w:szCs w:val="24"/>
          <w:lang w:val="en-ZA"/>
        </w:rPr>
      </w:pPr>
      <w:r w:rsidRPr="00055E35">
        <w:rPr>
          <w:rFonts w:ascii="Times New Roman" w:hAnsi="Times New Roman"/>
          <w:color w:val="auto"/>
          <w:sz w:val="24"/>
          <w:szCs w:val="24"/>
          <w:lang w:val="en-ZA"/>
        </w:rPr>
        <w:lastRenderedPageBreak/>
        <w:t xml:space="preserve">The Committee </w:t>
      </w:r>
      <w:r w:rsidR="00B047F6" w:rsidRPr="00055E35">
        <w:rPr>
          <w:rFonts w:ascii="Times New Roman" w:hAnsi="Times New Roman"/>
          <w:color w:val="auto"/>
          <w:sz w:val="24"/>
          <w:szCs w:val="24"/>
          <w:lang w:val="en-ZA"/>
        </w:rPr>
        <w:t xml:space="preserve">noted the high vacancy rate of 16 per cent within the Department </w:t>
      </w:r>
      <w:r w:rsidR="00663451" w:rsidRPr="00055E35">
        <w:rPr>
          <w:rFonts w:ascii="Times New Roman" w:hAnsi="Times New Roman"/>
          <w:color w:val="auto"/>
          <w:sz w:val="24"/>
          <w:szCs w:val="24"/>
          <w:lang w:val="en-ZA"/>
        </w:rPr>
        <w:t xml:space="preserve">and specifically the vacancy rate of 35.3 per cent within the </w:t>
      </w:r>
      <w:r w:rsidRPr="00055E35">
        <w:rPr>
          <w:rFonts w:ascii="Times New Roman" w:hAnsi="Times New Roman"/>
          <w:color w:val="auto"/>
          <w:sz w:val="24"/>
          <w:szCs w:val="24"/>
          <w:lang w:val="en-ZA"/>
        </w:rPr>
        <w:t>Internal Audit component</w:t>
      </w:r>
      <w:r w:rsidR="00663451" w:rsidRPr="00055E35">
        <w:rPr>
          <w:rFonts w:ascii="Times New Roman" w:hAnsi="Times New Roman"/>
          <w:color w:val="auto"/>
          <w:sz w:val="24"/>
          <w:szCs w:val="24"/>
          <w:lang w:val="en-ZA"/>
        </w:rPr>
        <w:t xml:space="preserve">. </w:t>
      </w:r>
      <w:r w:rsidRPr="00055E35">
        <w:rPr>
          <w:rFonts w:ascii="Times New Roman" w:hAnsi="Times New Roman"/>
          <w:color w:val="auto"/>
          <w:sz w:val="24"/>
          <w:szCs w:val="24"/>
          <w:lang w:val="en-ZA"/>
        </w:rPr>
        <w:t xml:space="preserve"> </w:t>
      </w:r>
      <w:r w:rsidR="00663451" w:rsidRPr="00055E35">
        <w:rPr>
          <w:rFonts w:ascii="Times New Roman" w:hAnsi="Times New Roman"/>
          <w:color w:val="auto"/>
          <w:sz w:val="24"/>
          <w:szCs w:val="24"/>
          <w:lang w:val="en-ZA"/>
        </w:rPr>
        <w:t xml:space="preserve">This raised serious concerns </w:t>
      </w:r>
      <w:r w:rsidRPr="00055E35">
        <w:rPr>
          <w:rFonts w:ascii="Times New Roman" w:hAnsi="Times New Roman"/>
          <w:color w:val="auto"/>
          <w:sz w:val="24"/>
          <w:szCs w:val="24"/>
          <w:lang w:val="en-ZA"/>
        </w:rPr>
        <w:t xml:space="preserve">given the role of </w:t>
      </w:r>
      <w:r w:rsidR="00663451" w:rsidRPr="00055E35">
        <w:rPr>
          <w:rFonts w:ascii="Times New Roman" w:hAnsi="Times New Roman"/>
          <w:color w:val="auto"/>
          <w:sz w:val="24"/>
          <w:szCs w:val="24"/>
          <w:lang w:val="en-ZA"/>
        </w:rPr>
        <w:t xml:space="preserve">internal audit in </w:t>
      </w:r>
      <w:r w:rsidRPr="00055E35">
        <w:rPr>
          <w:rFonts w:ascii="Times New Roman" w:hAnsi="Times New Roman"/>
          <w:color w:val="auto"/>
          <w:sz w:val="24"/>
          <w:szCs w:val="24"/>
          <w:lang w:val="en-ZA"/>
        </w:rPr>
        <w:t xml:space="preserve">ensuring that internal controls are in place within the Department for proper financial management.  </w:t>
      </w:r>
    </w:p>
    <w:p w14:paraId="5028726A" w14:textId="3CDC6A87" w:rsidR="00491427" w:rsidRDefault="00491427" w:rsidP="00491427">
      <w:pPr>
        <w:spacing w:after="160" w:line="360" w:lineRule="auto"/>
        <w:jc w:val="both"/>
        <w:rPr>
          <w:rFonts w:ascii="Times New Roman" w:hAnsi="Times New Roman"/>
          <w:color w:val="auto"/>
          <w:sz w:val="24"/>
          <w:szCs w:val="24"/>
          <w:lang w:val="en-ZA"/>
        </w:rPr>
      </w:pPr>
    </w:p>
    <w:p w14:paraId="6EEF8E0A" w14:textId="77777777" w:rsidR="00491427" w:rsidRPr="00491427" w:rsidRDefault="00491427" w:rsidP="00491427">
      <w:pPr>
        <w:spacing w:after="160" w:line="360" w:lineRule="auto"/>
        <w:jc w:val="both"/>
        <w:rPr>
          <w:rFonts w:ascii="Times New Roman" w:hAnsi="Times New Roman"/>
          <w:color w:val="auto"/>
          <w:sz w:val="24"/>
          <w:szCs w:val="24"/>
          <w:lang w:val="en-ZA"/>
        </w:rPr>
      </w:pPr>
    </w:p>
    <w:p w14:paraId="6D40A822" w14:textId="5109FBEF" w:rsidR="00663451" w:rsidRPr="00055E35" w:rsidRDefault="003F22CC" w:rsidP="00D427A3">
      <w:pPr>
        <w:pStyle w:val="ListParagraph"/>
        <w:numPr>
          <w:ilvl w:val="2"/>
          <w:numId w:val="14"/>
        </w:numPr>
        <w:spacing w:after="160" w:line="360" w:lineRule="auto"/>
        <w:jc w:val="both"/>
        <w:rPr>
          <w:rFonts w:ascii="Times New Roman" w:hAnsi="Times New Roman"/>
          <w:color w:val="auto"/>
          <w:sz w:val="24"/>
          <w:szCs w:val="24"/>
          <w:lang w:val="en-ZA"/>
        </w:rPr>
      </w:pPr>
      <w:r w:rsidRPr="00055E35">
        <w:rPr>
          <w:rFonts w:ascii="Times New Roman" w:hAnsi="Times New Roman"/>
          <w:color w:val="auto"/>
          <w:sz w:val="24"/>
          <w:szCs w:val="24"/>
          <w:lang w:val="en-ZA"/>
        </w:rPr>
        <w:t xml:space="preserve">The Committee noted that the Department overspent by R122 million under </w:t>
      </w:r>
      <w:r w:rsidR="005739A7">
        <w:rPr>
          <w:rFonts w:ascii="Times New Roman" w:hAnsi="Times New Roman"/>
          <w:color w:val="auto"/>
          <w:sz w:val="24"/>
          <w:szCs w:val="24"/>
          <w:lang w:val="en-ZA"/>
        </w:rPr>
        <w:t>the Administration programme (</w:t>
      </w:r>
      <w:r w:rsidR="00D427A3">
        <w:rPr>
          <w:rFonts w:ascii="Times New Roman" w:hAnsi="Times New Roman"/>
          <w:color w:val="auto"/>
          <w:sz w:val="24"/>
          <w:szCs w:val="24"/>
          <w:lang w:val="en-ZA"/>
        </w:rPr>
        <w:t xml:space="preserve">Programme </w:t>
      </w:r>
      <w:r w:rsidRPr="00055E35">
        <w:rPr>
          <w:rFonts w:ascii="Times New Roman" w:hAnsi="Times New Roman"/>
          <w:color w:val="auto"/>
          <w:sz w:val="24"/>
          <w:szCs w:val="24"/>
          <w:lang w:val="en-ZA"/>
        </w:rPr>
        <w:t>1</w:t>
      </w:r>
      <w:r w:rsidR="005739A7">
        <w:rPr>
          <w:rFonts w:ascii="Times New Roman" w:hAnsi="Times New Roman"/>
          <w:color w:val="auto"/>
          <w:sz w:val="24"/>
          <w:szCs w:val="24"/>
          <w:lang w:val="en-ZA"/>
        </w:rPr>
        <w:t>)</w:t>
      </w:r>
      <w:r w:rsidRPr="00055E35">
        <w:rPr>
          <w:rFonts w:ascii="Times New Roman" w:hAnsi="Times New Roman"/>
          <w:color w:val="auto"/>
          <w:sz w:val="24"/>
          <w:szCs w:val="24"/>
          <w:lang w:val="en-ZA"/>
        </w:rPr>
        <w:t xml:space="preserve"> due to accruals related to accommodation charges and municipal fees</w:t>
      </w:r>
      <w:r w:rsidR="004322C9" w:rsidRPr="00055E35">
        <w:rPr>
          <w:rFonts w:ascii="Times New Roman" w:hAnsi="Times New Roman"/>
          <w:color w:val="auto"/>
          <w:sz w:val="24"/>
          <w:szCs w:val="24"/>
          <w:lang w:val="en-ZA"/>
        </w:rPr>
        <w:t xml:space="preserve"> which were paid within the first quarter</w:t>
      </w:r>
      <w:r w:rsidRPr="00055E35">
        <w:rPr>
          <w:rFonts w:ascii="Times New Roman" w:hAnsi="Times New Roman"/>
          <w:color w:val="auto"/>
          <w:sz w:val="24"/>
          <w:szCs w:val="24"/>
          <w:lang w:val="en-ZA"/>
        </w:rPr>
        <w:t xml:space="preserve">. </w:t>
      </w:r>
      <w:r w:rsidR="00E314AB" w:rsidRPr="00055E35">
        <w:rPr>
          <w:rFonts w:ascii="Times New Roman" w:hAnsi="Times New Roman"/>
          <w:color w:val="auto"/>
          <w:sz w:val="24"/>
          <w:szCs w:val="24"/>
          <w:lang w:val="en-ZA"/>
        </w:rPr>
        <w:t xml:space="preserve"> The Committee</w:t>
      </w:r>
      <w:r w:rsidR="000F1FB2" w:rsidRPr="00055E35">
        <w:rPr>
          <w:rFonts w:ascii="Times New Roman" w:hAnsi="Times New Roman"/>
          <w:color w:val="auto"/>
          <w:sz w:val="24"/>
          <w:szCs w:val="24"/>
          <w:lang w:val="en-ZA"/>
        </w:rPr>
        <w:t xml:space="preserve"> viewed accruals as </w:t>
      </w:r>
      <w:r w:rsidR="00325A85" w:rsidRPr="00055E35">
        <w:rPr>
          <w:rFonts w:ascii="Times New Roman" w:hAnsi="Times New Roman"/>
          <w:color w:val="auto"/>
          <w:sz w:val="24"/>
          <w:szCs w:val="24"/>
          <w:lang w:val="en-ZA"/>
        </w:rPr>
        <w:t xml:space="preserve">a diversion </w:t>
      </w:r>
      <w:r w:rsidR="00A55960" w:rsidRPr="00055E35">
        <w:rPr>
          <w:rFonts w:ascii="Times New Roman" w:hAnsi="Times New Roman"/>
          <w:color w:val="auto"/>
          <w:sz w:val="24"/>
          <w:szCs w:val="24"/>
          <w:lang w:val="en-ZA"/>
        </w:rPr>
        <w:t xml:space="preserve">from the purpose that funds were appropriated for. The Committee was also </w:t>
      </w:r>
      <w:r w:rsidR="00E314AB" w:rsidRPr="00055E35">
        <w:rPr>
          <w:rFonts w:ascii="Times New Roman" w:hAnsi="Times New Roman"/>
          <w:color w:val="auto"/>
          <w:sz w:val="24"/>
          <w:szCs w:val="24"/>
          <w:lang w:val="en-ZA"/>
        </w:rPr>
        <w:t xml:space="preserve">concerned </w:t>
      </w:r>
      <w:r w:rsidR="004322C9" w:rsidRPr="00055E35">
        <w:rPr>
          <w:rFonts w:ascii="Times New Roman" w:hAnsi="Times New Roman"/>
          <w:color w:val="auto"/>
          <w:sz w:val="24"/>
          <w:szCs w:val="24"/>
          <w:lang w:val="en-ZA"/>
        </w:rPr>
        <w:t xml:space="preserve">about the effect of the delayed payments on the sustainability of municipal finances. </w:t>
      </w:r>
    </w:p>
    <w:p w14:paraId="16361103" w14:textId="1E7D31E9" w:rsidR="005739A7" w:rsidRPr="00055E35" w:rsidRDefault="005739A7" w:rsidP="00DA6AD9">
      <w:pPr>
        <w:tabs>
          <w:tab w:val="left" w:pos="709"/>
        </w:tabs>
        <w:spacing w:line="360" w:lineRule="auto"/>
        <w:contextualSpacing/>
        <w:jc w:val="both"/>
        <w:rPr>
          <w:rFonts w:ascii="Times New Roman" w:hAnsi="Times New Roman"/>
          <w:color w:val="auto"/>
          <w:sz w:val="24"/>
          <w:szCs w:val="24"/>
        </w:rPr>
      </w:pPr>
    </w:p>
    <w:p w14:paraId="2724691D" w14:textId="30FD3FD0" w:rsidR="003304D9" w:rsidRDefault="003304D9" w:rsidP="00DA6AD9">
      <w:pPr>
        <w:pStyle w:val="ListParagraph"/>
        <w:numPr>
          <w:ilvl w:val="0"/>
          <w:numId w:val="1"/>
        </w:numPr>
        <w:tabs>
          <w:tab w:val="clear" w:pos="720"/>
          <w:tab w:val="num" w:pos="284"/>
        </w:tabs>
        <w:spacing w:line="360" w:lineRule="auto"/>
        <w:ind w:left="426" w:hanging="426"/>
        <w:jc w:val="both"/>
        <w:rPr>
          <w:rFonts w:ascii="Times New Roman" w:hAnsi="Times New Roman"/>
          <w:b/>
          <w:color w:val="auto"/>
          <w:sz w:val="24"/>
          <w:szCs w:val="24"/>
        </w:rPr>
      </w:pPr>
      <w:r w:rsidRPr="003304D9">
        <w:rPr>
          <w:rFonts w:ascii="Times New Roman" w:hAnsi="Times New Roman"/>
          <w:b/>
          <w:color w:val="auto"/>
          <w:sz w:val="24"/>
          <w:szCs w:val="24"/>
        </w:rPr>
        <w:t>Recommendations</w:t>
      </w:r>
    </w:p>
    <w:p w14:paraId="7E85D225" w14:textId="3ECCC2A7" w:rsidR="005B2471" w:rsidRDefault="005B2471" w:rsidP="00DA6AD9">
      <w:pPr>
        <w:pStyle w:val="ListParagraph"/>
        <w:spacing w:line="360" w:lineRule="auto"/>
        <w:ind w:left="426"/>
        <w:jc w:val="both"/>
        <w:rPr>
          <w:rFonts w:ascii="Times New Roman" w:hAnsi="Times New Roman"/>
          <w:b/>
          <w:color w:val="auto"/>
          <w:sz w:val="24"/>
          <w:szCs w:val="24"/>
        </w:rPr>
      </w:pPr>
    </w:p>
    <w:p w14:paraId="5A0342E7" w14:textId="08D57232" w:rsidR="003C0920" w:rsidRDefault="0064720F" w:rsidP="003C0920">
      <w:pPr>
        <w:spacing w:line="360" w:lineRule="auto"/>
        <w:contextualSpacing/>
        <w:jc w:val="both"/>
        <w:rPr>
          <w:rFonts w:ascii="Times New Roman" w:hAnsi="Times New Roman"/>
          <w:color w:val="auto"/>
          <w:sz w:val="24"/>
          <w:szCs w:val="24"/>
        </w:rPr>
      </w:pPr>
      <w:r w:rsidRPr="00E61CAC">
        <w:rPr>
          <w:rFonts w:ascii="Times New Roman" w:hAnsi="Times New Roman"/>
          <w:color w:val="auto"/>
          <w:sz w:val="24"/>
          <w:szCs w:val="24"/>
        </w:rPr>
        <w:t>The Standing Committee on Appropriations having engaged with the i</w:t>
      </w:r>
      <w:r>
        <w:rPr>
          <w:rFonts w:ascii="Times New Roman" w:hAnsi="Times New Roman"/>
          <w:color w:val="auto"/>
          <w:sz w:val="24"/>
          <w:szCs w:val="24"/>
        </w:rPr>
        <w:t>nvited departments on the first</w:t>
      </w:r>
      <w:r w:rsidRPr="00E61CAC">
        <w:rPr>
          <w:rFonts w:ascii="Times New Roman" w:hAnsi="Times New Roman"/>
          <w:color w:val="auto"/>
          <w:sz w:val="24"/>
          <w:szCs w:val="24"/>
        </w:rPr>
        <w:t xml:space="preserve"> quarter expenditur</w:t>
      </w:r>
      <w:r w:rsidR="008D1C52">
        <w:rPr>
          <w:rFonts w:ascii="Times New Roman" w:hAnsi="Times New Roman"/>
          <w:color w:val="auto"/>
          <w:sz w:val="24"/>
          <w:szCs w:val="24"/>
        </w:rPr>
        <w:t>e report for the 2018</w:t>
      </w:r>
      <w:r w:rsidRPr="00E61CAC">
        <w:rPr>
          <w:rFonts w:ascii="Times New Roman" w:hAnsi="Times New Roman"/>
          <w:color w:val="auto"/>
          <w:sz w:val="24"/>
          <w:szCs w:val="24"/>
        </w:rPr>
        <w:t>/1</w:t>
      </w:r>
      <w:r w:rsidR="008D1C52">
        <w:rPr>
          <w:rFonts w:ascii="Times New Roman" w:hAnsi="Times New Roman"/>
          <w:color w:val="auto"/>
          <w:sz w:val="24"/>
          <w:szCs w:val="24"/>
        </w:rPr>
        <w:t>9</w:t>
      </w:r>
      <w:r w:rsidRPr="00E61CAC">
        <w:rPr>
          <w:rFonts w:ascii="Times New Roman" w:hAnsi="Times New Roman"/>
          <w:color w:val="auto"/>
          <w:sz w:val="24"/>
          <w:szCs w:val="24"/>
        </w:rPr>
        <w:t xml:space="preserve"> financi</w:t>
      </w:r>
      <w:r w:rsidR="003C0920">
        <w:rPr>
          <w:rFonts w:ascii="Times New Roman" w:hAnsi="Times New Roman"/>
          <w:color w:val="auto"/>
          <w:sz w:val="24"/>
          <w:szCs w:val="24"/>
        </w:rPr>
        <w:t xml:space="preserve">al </w:t>
      </w:r>
      <w:proofErr w:type="gramStart"/>
      <w:r w:rsidR="003C0920">
        <w:rPr>
          <w:rFonts w:ascii="Times New Roman" w:hAnsi="Times New Roman"/>
          <w:color w:val="auto"/>
          <w:sz w:val="24"/>
          <w:szCs w:val="24"/>
        </w:rPr>
        <w:t>year,</w:t>
      </w:r>
      <w:proofErr w:type="gramEnd"/>
      <w:r w:rsidR="003C0920">
        <w:rPr>
          <w:rFonts w:ascii="Times New Roman" w:hAnsi="Times New Roman"/>
          <w:color w:val="auto"/>
          <w:sz w:val="24"/>
          <w:szCs w:val="24"/>
        </w:rPr>
        <w:t xml:space="preserve"> recommends as follows:</w:t>
      </w:r>
    </w:p>
    <w:p w14:paraId="6B3D01A6" w14:textId="1D228EAC" w:rsidR="003C0920" w:rsidRDefault="003C0920" w:rsidP="003C0920">
      <w:pPr>
        <w:tabs>
          <w:tab w:val="left" w:pos="709"/>
        </w:tabs>
        <w:spacing w:line="360" w:lineRule="auto"/>
        <w:ind w:left="360"/>
        <w:contextualSpacing/>
        <w:jc w:val="both"/>
        <w:rPr>
          <w:rFonts w:ascii="Times New Roman" w:hAnsi="Times New Roman"/>
          <w:color w:val="auto"/>
          <w:sz w:val="24"/>
          <w:szCs w:val="24"/>
        </w:rPr>
      </w:pPr>
    </w:p>
    <w:p w14:paraId="51C8204B" w14:textId="77777777" w:rsidR="005915E7" w:rsidRPr="00E61CAC" w:rsidRDefault="005915E7" w:rsidP="003C0920">
      <w:pPr>
        <w:tabs>
          <w:tab w:val="left" w:pos="709"/>
        </w:tabs>
        <w:spacing w:line="360" w:lineRule="auto"/>
        <w:ind w:left="360"/>
        <w:contextualSpacing/>
        <w:jc w:val="both"/>
        <w:rPr>
          <w:rFonts w:ascii="Times New Roman" w:hAnsi="Times New Roman"/>
          <w:color w:val="auto"/>
          <w:sz w:val="24"/>
          <w:szCs w:val="24"/>
        </w:rPr>
      </w:pPr>
    </w:p>
    <w:p w14:paraId="1301D330" w14:textId="310C32A6" w:rsidR="003C0920" w:rsidRPr="00ED4952" w:rsidRDefault="003C0920" w:rsidP="00A23145">
      <w:pPr>
        <w:numPr>
          <w:ilvl w:val="1"/>
          <w:numId w:val="16"/>
        </w:numPr>
        <w:tabs>
          <w:tab w:val="left" w:pos="709"/>
        </w:tabs>
        <w:spacing w:line="360" w:lineRule="auto"/>
        <w:ind w:left="709" w:hanging="709"/>
        <w:contextualSpacing/>
        <w:jc w:val="both"/>
        <w:rPr>
          <w:rFonts w:ascii="Times New Roman" w:hAnsi="Times New Roman"/>
          <w:color w:val="auto"/>
          <w:sz w:val="24"/>
          <w:szCs w:val="24"/>
        </w:rPr>
      </w:pPr>
      <w:r w:rsidRPr="00E61CAC">
        <w:rPr>
          <w:rFonts w:ascii="Times New Roman" w:hAnsi="Times New Roman"/>
          <w:color w:val="auto"/>
          <w:sz w:val="24"/>
          <w:szCs w:val="24"/>
        </w:rPr>
        <w:t xml:space="preserve">The Minister of Water and Sanitation </w:t>
      </w:r>
      <w:r w:rsidR="00ED4952">
        <w:rPr>
          <w:rFonts w:ascii="Times New Roman" w:hAnsi="Times New Roman"/>
          <w:color w:val="auto"/>
          <w:sz w:val="24"/>
          <w:szCs w:val="24"/>
        </w:rPr>
        <w:t xml:space="preserve">and the Minister of Finance </w:t>
      </w:r>
      <w:r w:rsidRPr="00E61CAC">
        <w:rPr>
          <w:rFonts w:ascii="Times New Roman" w:hAnsi="Times New Roman"/>
          <w:color w:val="auto"/>
          <w:sz w:val="24"/>
          <w:szCs w:val="24"/>
        </w:rPr>
        <w:t xml:space="preserve">should ensure that: </w:t>
      </w:r>
    </w:p>
    <w:p w14:paraId="15ED9366" w14:textId="6FB85D4F" w:rsidR="003C0920" w:rsidRDefault="003C0920" w:rsidP="003C0920">
      <w:pPr>
        <w:numPr>
          <w:ilvl w:val="2"/>
          <w:numId w:val="16"/>
        </w:numPr>
        <w:tabs>
          <w:tab w:val="left" w:pos="709"/>
        </w:tabs>
        <w:spacing w:line="360" w:lineRule="auto"/>
        <w:ind w:left="1560" w:hanging="851"/>
        <w:contextualSpacing/>
        <w:jc w:val="both"/>
        <w:rPr>
          <w:rFonts w:ascii="Times New Roman" w:hAnsi="Times New Roman"/>
          <w:color w:val="auto"/>
          <w:sz w:val="24"/>
          <w:szCs w:val="24"/>
        </w:rPr>
      </w:pPr>
      <w:r w:rsidRPr="00E61CAC">
        <w:rPr>
          <w:rFonts w:ascii="Times New Roman" w:hAnsi="Times New Roman"/>
          <w:color w:val="auto"/>
          <w:sz w:val="24"/>
          <w:szCs w:val="24"/>
        </w:rPr>
        <w:t xml:space="preserve">The Department of Water and Sanitation </w:t>
      </w:r>
      <w:r w:rsidR="00ED4952">
        <w:rPr>
          <w:rFonts w:ascii="Times New Roman" w:hAnsi="Times New Roman"/>
          <w:color w:val="auto"/>
          <w:sz w:val="24"/>
          <w:szCs w:val="24"/>
        </w:rPr>
        <w:t xml:space="preserve">in consultation with National Treasury </w:t>
      </w:r>
      <w:r w:rsidRPr="00E61CAC">
        <w:rPr>
          <w:rFonts w:ascii="Times New Roman" w:hAnsi="Times New Roman"/>
          <w:color w:val="auto"/>
          <w:sz w:val="24"/>
          <w:szCs w:val="24"/>
        </w:rPr>
        <w:t xml:space="preserve">urgently </w:t>
      </w:r>
      <w:r>
        <w:rPr>
          <w:rFonts w:ascii="Times New Roman" w:hAnsi="Times New Roman"/>
          <w:color w:val="auto"/>
          <w:sz w:val="24"/>
          <w:szCs w:val="24"/>
        </w:rPr>
        <w:t>develops and implements a financial recovery plan</w:t>
      </w:r>
      <w:r w:rsidR="0055075D">
        <w:rPr>
          <w:rFonts w:ascii="Times New Roman" w:hAnsi="Times New Roman"/>
          <w:color w:val="auto"/>
          <w:sz w:val="24"/>
          <w:szCs w:val="24"/>
        </w:rPr>
        <w:t xml:space="preserve"> for the improvement of the Department’s financial position and service delivery performance. The recovery plan </w:t>
      </w:r>
      <w:r w:rsidR="00540529">
        <w:rPr>
          <w:rFonts w:ascii="Times New Roman" w:hAnsi="Times New Roman"/>
          <w:color w:val="auto"/>
          <w:sz w:val="24"/>
          <w:szCs w:val="24"/>
        </w:rPr>
        <w:t>must</w:t>
      </w:r>
      <w:r w:rsidR="00095B48">
        <w:rPr>
          <w:rFonts w:ascii="Times New Roman" w:hAnsi="Times New Roman"/>
          <w:color w:val="auto"/>
          <w:sz w:val="24"/>
          <w:szCs w:val="24"/>
        </w:rPr>
        <w:t>,</w:t>
      </w:r>
      <w:r w:rsidR="00DE72E1">
        <w:rPr>
          <w:rFonts w:ascii="Times New Roman" w:hAnsi="Times New Roman"/>
          <w:color w:val="auto"/>
          <w:sz w:val="24"/>
          <w:szCs w:val="24"/>
        </w:rPr>
        <w:t xml:space="preserve"> </w:t>
      </w:r>
      <w:r w:rsidR="004B0082">
        <w:rPr>
          <w:rFonts w:ascii="Times New Roman" w:hAnsi="Times New Roman"/>
          <w:color w:val="auto"/>
          <w:sz w:val="24"/>
          <w:szCs w:val="24"/>
        </w:rPr>
        <w:t>amongst other things</w:t>
      </w:r>
      <w:r w:rsidR="00095B48">
        <w:rPr>
          <w:rFonts w:ascii="Times New Roman" w:hAnsi="Times New Roman"/>
          <w:color w:val="auto"/>
          <w:sz w:val="24"/>
          <w:szCs w:val="24"/>
        </w:rPr>
        <w:t>,</w:t>
      </w:r>
      <w:r w:rsidR="004B0082">
        <w:rPr>
          <w:rFonts w:ascii="Times New Roman" w:hAnsi="Times New Roman"/>
          <w:color w:val="auto"/>
          <w:sz w:val="24"/>
          <w:szCs w:val="24"/>
        </w:rPr>
        <w:t xml:space="preserve"> encompass</w:t>
      </w:r>
      <w:r w:rsidR="00DE72E1">
        <w:rPr>
          <w:rFonts w:ascii="Times New Roman" w:hAnsi="Times New Roman"/>
          <w:color w:val="auto"/>
          <w:sz w:val="24"/>
          <w:szCs w:val="24"/>
        </w:rPr>
        <w:t xml:space="preserve"> the following components:</w:t>
      </w:r>
    </w:p>
    <w:p w14:paraId="11E12168" w14:textId="7EEE090F" w:rsidR="00EB6C70" w:rsidRDefault="00EB6C70" w:rsidP="00DE72E1">
      <w:pPr>
        <w:pStyle w:val="ListParagraph"/>
        <w:numPr>
          <w:ilvl w:val="0"/>
          <w:numId w:val="17"/>
        </w:numPr>
        <w:tabs>
          <w:tab w:val="left" w:pos="709"/>
        </w:tabs>
        <w:spacing w:line="360" w:lineRule="auto"/>
        <w:jc w:val="both"/>
        <w:rPr>
          <w:rFonts w:ascii="Times New Roman" w:hAnsi="Times New Roman"/>
          <w:color w:val="auto"/>
          <w:sz w:val="24"/>
          <w:szCs w:val="24"/>
        </w:rPr>
      </w:pPr>
      <w:r>
        <w:rPr>
          <w:rFonts w:ascii="Times New Roman" w:hAnsi="Times New Roman"/>
          <w:color w:val="auto"/>
          <w:sz w:val="24"/>
          <w:szCs w:val="24"/>
        </w:rPr>
        <w:t xml:space="preserve">A review and strengthening of </w:t>
      </w:r>
      <w:r w:rsidR="00735763">
        <w:rPr>
          <w:rFonts w:ascii="Times New Roman" w:hAnsi="Times New Roman"/>
          <w:color w:val="auto"/>
          <w:sz w:val="24"/>
          <w:szCs w:val="24"/>
        </w:rPr>
        <w:t>governance and monitoring mechanisms;</w:t>
      </w:r>
    </w:p>
    <w:p w14:paraId="6A432ABA" w14:textId="18D3AEDB" w:rsidR="00DE72E1" w:rsidRDefault="00D245E3" w:rsidP="00DE72E1">
      <w:pPr>
        <w:pStyle w:val="ListParagraph"/>
        <w:numPr>
          <w:ilvl w:val="0"/>
          <w:numId w:val="17"/>
        </w:numPr>
        <w:tabs>
          <w:tab w:val="left" w:pos="709"/>
        </w:tabs>
        <w:spacing w:line="360" w:lineRule="auto"/>
        <w:jc w:val="both"/>
        <w:rPr>
          <w:rFonts w:ascii="Times New Roman" w:hAnsi="Times New Roman"/>
          <w:color w:val="auto"/>
          <w:sz w:val="24"/>
          <w:szCs w:val="24"/>
        </w:rPr>
      </w:pPr>
      <w:r>
        <w:rPr>
          <w:rFonts w:ascii="Times New Roman" w:hAnsi="Times New Roman"/>
          <w:color w:val="auto"/>
          <w:sz w:val="24"/>
          <w:szCs w:val="24"/>
        </w:rPr>
        <w:t>A review</w:t>
      </w:r>
      <w:r w:rsidR="00DE72E1">
        <w:rPr>
          <w:rFonts w:ascii="Times New Roman" w:hAnsi="Times New Roman"/>
          <w:color w:val="auto"/>
          <w:sz w:val="24"/>
          <w:szCs w:val="24"/>
        </w:rPr>
        <w:t xml:space="preserve"> of internal controls and delegations regarding financial management; </w:t>
      </w:r>
    </w:p>
    <w:p w14:paraId="4B8EB6F8" w14:textId="376D699E" w:rsidR="00735763" w:rsidRPr="002A5009" w:rsidRDefault="00735763" w:rsidP="002A5009">
      <w:pPr>
        <w:pStyle w:val="ListParagraph"/>
        <w:numPr>
          <w:ilvl w:val="0"/>
          <w:numId w:val="17"/>
        </w:numPr>
        <w:tabs>
          <w:tab w:val="left" w:pos="709"/>
        </w:tabs>
        <w:spacing w:line="360" w:lineRule="auto"/>
        <w:jc w:val="both"/>
        <w:rPr>
          <w:rFonts w:ascii="Times New Roman" w:hAnsi="Times New Roman"/>
          <w:color w:val="auto"/>
          <w:sz w:val="24"/>
          <w:szCs w:val="24"/>
        </w:rPr>
      </w:pPr>
      <w:r>
        <w:rPr>
          <w:rFonts w:ascii="Times New Roman" w:hAnsi="Times New Roman"/>
          <w:color w:val="auto"/>
          <w:sz w:val="24"/>
          <w:szCs w:val="24"/>
        </w:rPr>
        <w:lastRenderedPageBreak/>
        <w:t>A review and implementation of expenditure management systems</w:t>
      </w:r>
      <w:r w:rsidR="002A5009">
        <w:rPr>
          <w:rFonts w:ascii="Times New Roman" w:hAnsi="Times New Roman"/>
          <w:color w:val="auto"/>
          <w:sz w:val="24"/>
          <w:szCs w:val="24"/>
        </w:rPr>
        <w:t xml:space="preserve"> including c</w:t>
      </w:r>
      <w:r w:rsidR="002A5009" w:rsidRPr="004B0082">
        <w:rPr>
          <w:rFonts w:ascii="Times New Roman" w:hAnsi="Times New Roman"/>
          <w:color w:val="auto"/>
          <w:sz w:val="24"/>
          <w:szCs w:val="24"/>
        </w:rPr>
        <w:t xml:space="preserve">ontinuous </w:t>
      </w:r>
      <w:r w:rsidR="006D7ED3">
        <w:rPr>
          <w:rFonts w:ascii="Times New Roman" w:hAnsi="Times New Roman"/>
          <w:color w:val="auto"/>
          <w:sz w:val="24"/>
          <w:szCs w:val="24"/>
        </w:rPr>
        <w:t xml:space="preserve">scrutiny of </w:t>
      </w:r>
      <w:r w:rsidR="002A5009" w:rsidRPr="004B0082">
        <w:rPr>
          <w:rFonts w:ascii="Times New Roman" w:hAnsi="Times New Roman"/>
          <w:color w:val="auto"/>
          <w:sz w:val="24"/>
          <w:szCs w:val="24"/>
        </w:rPr>
        <w:t>all areas of spend</w:t>
      </w:r>
      <w:r w:rsidR="006D7ED3">
        <w:rPr>
          <w:rFonts w:ascii="Times New Roman" w:hAnsi="Times New Roman"/>
          <w:color w:val="auto"/>
          <w:sz w:val="24"/>
          <w:szCs w:val="24"/>
        </w:rPr>
        <w:t>ing</w:t>
      </w:r>
      <w:r w:rsidR="002A5009" w:rsidRPr="004B0082">
        <w:rPr>
          <w:rFonts w:ascii="Times New Roman" w:hAnsi="Times New Roman"/>
          <w:color w:val="auto"/>
          <w:sz w:val="24"/>
          <w:szCs w:val="24"/>
        </w:rPr>
        <w:t xml:space="preserve"> to identify additional saving</w:t>
      </w:r>
      <w:r w:rsidR="00507A1B">
        <w:rPr>
          <w:rFonts w:ascii="Times New Roman" w:hAnsi="Times New Roman"/>
          <w:color w:val="auto"/>
          <w:sz w:val="24"/>
          <w:szCs w:val="24"/>
        </w:rPr>
        <w:t>s</w:t>
      </w:r>
      <w:r w:rsidR="002A5009">
        <w:rPr>
          <w:rFonts w:ascii="Times New Roman" w:hAnsi="Times New Roman"/>
          <w:color w:val="auto"/>
          <w:sz w:val="24"/>
          <w:szCs w:val="24"/>
        </w:rPr>
        <w:t>;</w:t>
      </w:r>
    </w:p>
    <w:p w14:paraId="6BB23142" w14:textId="7DC2B267" w:rsidR="00735763" w:rsidRDefault="00DE72E1" w:rsidP="00DE72E1">
      <w:pPr>
        <w:pStyle w:val="ListParagraph"/>
        <w:numPr>
          <w:ilvl w:val="0"/>
          <w:numId w:val="17"/>
        </w:numPr>
        <w:tabs>
          <w:tab w:val="left" w:pos="709"/>
        </w:tabs>
        <w:spacing w:line="360" w:lineRule="auto"/>
        <w:jc w:val="both"/>
        <w:rPr>
          <w:rFonts w:ascii="Times New Roman" w:hAnsi="Times New Roman"/>
          <w:color w:val="auto"/>
          <w:sz w:val="24"/>
          <w:szCs w:val="24"/>
        </w:rPr>
      </w:pPr>
      <w:r>
        <w:rPr>
          <w:rFonts w:ascii="Times New Roman" w:hAnsi="Times New Roman"/>
          <w:color w:val="auto"/>
          <w:sz w:val="24"/>
          <w:szCs w:val="24"/>
        </w:rPr>
        <w:t xml:space="preserve">A review of </w:t>
      </w:r>
      <w:r w:rsidR="00491427">
        <w:rPr>
          <w:rFonts w:ascii="Times New Roman" w:hAnsi="Times New Roman"/>
          <w:color w:val="auto"/>
          <w:sz w:val="24"/>
          <w:szCs w:val="24"/>
        </w:rPr>
        <w:t>Supply Chain</w:t>
      </w:r>
      <w:r w:rsidR="008F5339">
        <w:rPr>
          <w:rFonts w:ascii="Times New Roman" w:hAnsi="Times New Roman"/>
          <w:color w:val="auto"/>
          <w:sz w:val="24"/>
          <w:szCs w:val="24"/>
        </w:rPr>
        <w:t xml:space="preserve"> Management practices and implementation of proper controls and risk management</w:t>
      </w:r>
      <w:r w:rsidR="007B2FF9">
        <w:rPr>
          <w:rFonts w:ascii="Times New Roman" w:hAnsi="Times New Roman"/>
          <w:color w:val="auto"/>
          <w:sz w:val="24"/>
          <w:szCs w:val="24"/>
        </w:rPr>
        <w:t xml:space="preserve"> practices</w:t>
      </w:r>
      <w:r w:rsidR="00735763">
        <w:rPr>
          <w:rFonts w:ascii="Times New Roman" w:hAnsi="Times New Roman"/>
          <w:color w:val="auto"/>
          <w:sz w:val="24"/>
          <w:szCs w:val="24"/>
        </w:rPr>
        <w:t>;</w:t>
      </w:r>
    </w:p>
    <w:p w14:paraId="4C3FAE53" w14:textId="1719275F" w:rsidR="007B2FF9" w:rsidRDefault="007B2FF9" w:rsidP="00DE72E1">
      <w:pPr>
        <w:pStyle w:val="ListParagraph"/>
        <w:numPr>
          <w:ilvl w:val="0"/>
          <w:numId w:val="17"/>
        </w:numPr>
        <w:tabs>
          <w:tab w:val="left" w:pos="709"/>
        </w:tabs>
        <w:spacing w:line="360" w:lineRule="auto"/>
        <w:jc w:val="both"/>
        <w:rPr>
          <w:rFonts w:ascii="Times New Roman" w:hAnsi="Times New Roman"/>
          <w:color w:val="auto"/>
          <w:sz w:val="24"/>
          <w:szCs w:val="24"/>
        </w:rPr>
      </w:pPr>
      <w:r>
        <w:rPr>
          <w:rFonts w:ascii="Times New Roman" w:hAnsi="Times New Roman"/>
          <w:color w:val="auto"/>
          <w:sz w:val="24"/>
          <w:szCs w:val="24"/>
        </w:rPr>
        <w:t xml:space="preserve">A review and implementation of efficient and effective revenue management and debt recovery systems to maximise revenue generation </w:t>
      </w:r>
      <w:r w:rsidR="00491427">
        <w:rPr>
          <w:rFonts w:ascii="Times New Roman" w:hAnsi="Times New Roman"/>
          <w:color w:val="auto"/>
          <w:sz w:val="24"/>
          <w:szCs w:val="24"/>
        </w:rPr>
        <w:t>and revenue</w:t>
      </w:r>
      <w:r>
        <w:rPr>
          <w:rFonts w:ascii="Times New Roman" w:hAnsi="Times New Roman"/>
          <w:color w:val="auto"/>
          <w:sz w:val="24"/>
          <w:szCs w:val="24"/>
        </w:rPr>
        <w:t xml:space="preserve"> performance;</w:t>
      </w:r>
    </w:p>
    <w:p w14:paraId="2734A2EB" w14:textId="7F63D537" w:rsidR="007B2FF9" w:rsidRDefault="007B2FF9" w:rsidP="00DE72E1">
      <w:pPr>
        <w:pStyle w:val="ListParagraph"/>
        <w:numPr>
          <w:ilvl w:val="0"/>
          <w:numId w:val="17"/>
        </w:numPr>
        <w:tabs>
          <w:tab w:val="left" w:pos="709"/>
        </w:tabs>
        <w:spacing w:line="360" w:lineRule="auto"/>
        <w:jc w:val="both"/>
        <w:rPr>
          <w:rFonts w:ascii="Times New Roman" w:hAnsi="Times New Roman"/>
          <w:color w:val="auto"/>
          <w:sz w:val="24"/>
          <w:szCs w:val="24"/>
        </w:rPr>
      </w:pPr>
      <w:r>
        <w:rPr>
          <w:rFonts w:ascii="Times New Roman" w:hAnsi="Times New Roman"/>
          <w:color w:val="auto"/>
          <w:sz w:val="24"/>
          <w:szCs w:val="24"/>
        </w:rPr>
        <w:t>A review of all liabilities, long and short-term, and conclude payment arrangements with creditors</w:t>
      </w:r>
      <w:r w:rsidR="00507A1B">
        <w:rPr>
          <w:rFonts w:ascii="Times New Roman" w:hAnsi="Times New Roman"/>
          <w:color w:val="auto"/>
          <w:sz w:val="24"/>
          <w:szCs w:val="24"/>
        </w:rPr>
        <w:t>;</w:t>
      </w:r>
      <w:r>
        <w:rPr>
          <w:rFonts w:ascii="Times New Roman" w:hAnsi="Times New Roman"/>
          <w:color w:val="auto"/>
          <w:sz w:val="24"/>
          <w:szCs w:val="24"/>
        </w:rPr>
        <w:t xml:space="preserve"> </w:t>
      </w:r>
    </w:p>
    <w:p w14:paraId="69F3B672" w14:textId="1DA7D8C4" w:rsidR="00C46A21" w:rsidRDefault="00FE75B5" w:rsidP="004D05D7">
      <w:pPr>
        <w:pStyle w:val="ListParagraph"/>
        <w:numPr>
          <w:ilvl w:val="0"/>
          <w:numId w:val="17"/>
        </w:numPr>
        <w:tabs>
          <w:tab w:val="left" w:pos="709"/>
        </w:tabs>
        <w:spacing w:line="360" w:lineRule="auto"/>
        <w:jc w:val="both"/>
        <w:rPr>
          <w:rFonts w:ascii="Times New Roman" w:hAnsi="Times New Roman"/>
          <w:color w:val="auto"/>
          <w:sz w:val="24"/>
          <w:szCs w:val="24"/>
        </w:rPr>
      </w:pPr>
      <w:r>
        <w:rPr>
          <w:rFonts w:ascii="Times New Roman" w:hAnsi="Times New Roman"/>
          <w:color w:val="auto"/>
          <w:sz w:val="24"/>
          <w:szCs w:val="24"/>
        </w:rPr>
        <w:t xml:space="preserve">A </w:t>
      </w:r>
      <w:r w:rsidR="004B0082">
        <w:rPr>
          <w:rFonts w:ascii="Times New Roman" w:hAnsi="Times New Roman"/>
          <w:color w:val="auto"/>
          <w:sz w:val="24"/>
          <w:szCs w:val="24"/>
        </w:rPr>
        <w:t xml:space="preserve">review </w:t>
      </w:r>
      <w:r w:rsidR="00735763">
        <w:rPr>
          <w:rFonts w:ascii="Times New Roman" w:hAnsi="Times New Roman"/>
          <w:color w:val="auto"/>
          <w:sz w:val="24"/>
          <w:szCs w:val="24"/>
        </w:rPr>
        <w:t xml:space="preserve">of </w:t>
      </w:r>
      <w:r w:rsidR="007B561A">
        <w:rPr>
          <w:rFonts w:ascii="Times New Roman" w:hAnsi="Times New Roman"/>
          <w:color w:val="auto"/>
          <w:sz w:val="24"/>
          <w:szCs w:val="24"/>
        </w:rPr>
        <w:t>the</w:t>
      </w:r>
      <w:r>
        <w:rPr>
          <w:rFonts w:ascii="Times New Roman" w:hAnsi="Times New Roman"/>
          <w:color w:val="auto"/>
          <w:sz w:val="24"/>
          <w:szCs w:val="24"/>
        </w:rPr>
        <w:t xml:space="preserve"> Water I</w:t>
      </w:r>
      <w:r w:rsidR="00735763">
        <w:rPr>
          <w:rFonts w:ascii="Times New Roman" w:hAnsi="Times New Roman"/>
          <w:color w:val="auto"/>
          <w:sz w:val="24"/>
          <w:szCs w:val="24"/>
        </w:rPr>
        <w:t xml:space="preserve">nfrastructure </w:t>
      </w:r>
      <w:r>
        <w:rPr>
          <w:rFonts w:ascii="Times New Roman" w:hAnsi="Times New Roman"/>
          <w:color w:val="auto"/>
          <w:sz w:val="24"/>
          <w:szCs w:val="24"/>
        </w:rPr>
        <w:t xml:space="preserve">Development </w:t>
      </w:r>
      <w:r w:rsidR="00BD2EBF">
        <w:rPr>
          <w:rFonts w:ascii="Times New Roman" w:hAnsi="Times New Roman"/>
          <w:color w:val="auto"/>
          <w:sz w:val="24"/>
          <w:szCs w:val="24"/>
        </w:rPr>
        <w:t>unit to ensure that</w:t>
      </w:r>
      <w:r w:rsidR="008F5339">
        <w:rPr>
          <w:rFonts w:ascii="Times New Roman" w:hAnsi="Times New Roman"/>
          <w:color w:val="auto"/>
          <w:sz w:val="24"/>
          <w:szCs w:val="24"/>
        </w:rPr>
        <w:t xml:space="preserve"> </w:t>
      </w:r>
      <w:r>
        <w:rPr>
          <w:rFonts w:ascii="Times New Roman" w:hAnsi="Times New Roman"/>
          <w:color w:val="auto"/>
          <w:sz w:val="24"/>
          <w:szCs w:val="24"/>
        </w:rPr>
        <w:t xml:space="preserve">skills and capabilities are aligned to </w:t>
      </w:r>
      <w:r w:rsidR="00A23145">
        <w:rPr>
          <w:rFonts w:ascii="Times New Roman" w:hAnsi="Times New Roman"/>
          <w:color w:val="auto"/>
          <w:sz w:val="24"/>
          <w:szCs w:val="24"/>
        </w:rPr>
        <w:t>the infrastructure value chain</w:t>
      </w:r>
      <w:r w:rsidR="00BD2EBF">
        <w:rPr>
          <w:rFonts w:ascii="Times New Roman" w:hAnsi="Times New Roman"/>
          <w:color w:val="auto"/>
          <w:sz w:val="24"/>
          <w:szCs w:val="24"/>
        </w:rPr>
        <w:t xml:space="preserve"> for ensuring value for money in infrastructure spending</w:t>
      </w:r>
      <w:r w:rsidR="00A23145">
        <w:rPr>
          <w:rFonts w:ascii="Times New Roman" w:hAnsi="Times New Roman"/>
          <w:color w:val="auto"/>
          <w:sz w:val="24"/>
          <w:szCs w:val="24"/>
        </w:rPr>
        <w:t>.</w:t>
      </w:r>
      <w:r w:rsidR="008F5339" w:rsidRPr="00A23145">
        <w:rPr>
          <w:rFonts w:ascii="Times New Roman" w:hAnsi="Times New Roman"/>
          <w:color w:val="auto"/>
          <w:sz w:val="24"/>
          <w:szCs w:val="24"/>
        </w:rPr>
        <w:t xml:space="preserve"> </w:t>
      </w:r>
    </w:p>
    <w:p w14:paraId="4B33989D" w14:textId="77777777" w:rsidR="00D427A3" w:rsidRPr="004D05D7" w:rsidRDefault="00D427A3" w:rsidP="00D427A3">
      <w:pPr>
        <w:pStyle w:val="ListParagraph"/>
        <w:tabs>
          <w:tab w:val="left" w:pos="709"/>
        </w:tabs>
        <w:spacing w:line="360" w:lineRule="auto"/>
        <w:ind w:left="2280"/>
        <w:jc w:val="both"/>
        <w:rPr>
          <w:rFonts w:ascii="Times New Roman" w:hAnsi="Times New Roman"/>
          <w:color w:val="auto"/>
          <w:sz w:val="24"/>
          <w:szCs w:val="24"/>
        </w:rPr>
      </w:pPr>
    </w:p>
    <w:p w14:paraId="5FB87C0B" w14:textId="4925A4A2" w:rsidR="00C46A21" w:rsidRDefault="00ED4952" w:rsidP="004D05D7">
      <w:pPr>
        <w:numPr>
          <w:ilvl w:val="2"/>
          <w:numId w:val="16"/>
        </w:numPr>
        <w:tabs>
          <w:tab w:val="left" w:pos="709"/>
        </w:tabs>
        <w:spacing w:line="360" w:lineRule="auto"/>
        <w:ind w:left="1560" w:hanging="851"/>
        <w:contextualSpacing/>
        <w:jc w:val="both"/>
        <w:rPr>
          <w:rFonts w:ascii="Times New Roman" w:hAnsi="Times New Roman"/>
          <w:color w:val="auto"/>
          <w:sz w:val="24"/>
          <w:szCs w:val="24"/>
        </w:rPr>
      </w:pPr>
      <w:r>
        <w:rPr>
          <w:rFonts w:ascii="Times New Roman" w:hAnsi="Times New Roman"/>
          <w:color w:val="auto"/>
          <w:sz w:val="24"/>
          <w:szCs w:val="24"/>
        </w:rPr>
        <w:t xml:space="preserve">National Treasury considers secondment of </w:t>
      </w:r>
      <w:r w:rsidR="00C46A21">
        <w:rPr>
          <w:rFonts w:ascii="Times New Roman" w:hAnsi="Times New Roman"/>
          <w:color w:val="auto"/>
          <w:sz w:val="24"/>
          <w:szCs w:val="24"/>
        </w:rPr>
        <w:t xml:space="preserve">the </w:t>
      </w:r>
      <w:r>
        <w:rPr>
          <w:rFonts w:ascii="Times New Roman" w:hAnsi="Times New Roman"/>
          <w:color w:val="auto"/>
          <w:sz w:val="24"/>
          <w:szCs w:val="24"/>
        </w:rPr>
        <w:t xml:space="preserve">Government Technical Advisory Centre officials to assist the Department of Water and Sanitation with the development and implementation of a financial recovery plan. </w:t>
      </w:r>
    </w:p>
    <w:p w14:paraId="4429AFF8" w14:textId="77777777" w:rsidR="00D427A3" w:rsidRPr="004D05D7" w:rsidRDefault="00D427A3" w:rsidP="00D427A3">
      <w:pPr>
        <w:tabs>
          <w:tab w:val="left" w:pos="709"/>
        </w:tabs>
        <w:spacing w:line="360" w:lineRule="auto"/>
        <w:ind w:left="1560"/>
        <w:contextualSpacing/>
        <w:jc w:val="both"/>
        <w:rPr>
          <w:rFonts w:ascii="Times New Roman" w:hAnsi="Times New Roman"/>
          <w:color w:val="auto"/>
          <w:sz w:val="24"/>
          <w:szCs w:val="24"/>
        </w:rPr>
      </w:pPr>
    </w:p>
    <w:p w14:paraId="7AE3D285" w14:textId="1A8201A1" w:rsidR="00DE72E1" w:rsidRDefault="00DE72E1" w:rsidP="00DE72E1">
      <w:pPr>
        <w:numPr>
          <w:ilvl w:val="2"/>
          <w:numId w:val="16"/>
        </w:numPr>
        <w:tabs>
          <w:tab w:val="left" w:pos="709"/>
        </w:tabs>
        <w:spacing w:line="360" w:lineRule="auto"/>
        <w:ind w:left="1560" w:hanging="851"/>
        <w:contextualSpacing/>
        <w:jc w:val="both"/>
        <w:rPr>
          <w:rFonts w:ascii="Times New Roman" w:hAnsi="Times New Roman"/>
          <w:color w:val="auto"/>
          <w:sz w:val="24"/>
          <w:szCs w:val="24"/>
        </w:rPr>
      </w:pPr>
      <w:r w:rsidRPr="00B62510">
        <w:rPr>
          <w:rFonts w:ascii="Times New Roman" w:hAnsi="Times New Roman"/>
          <w:color w:val="auto"/>
          <w:sz w:val="24"/>
          <w:szCs w:val="24"/>
        </w:rPr>
        <w:t xml:space="preserve">The </w:t>
      </w:r>
      <w:r w:rsidR="002F7120">
        <w:rPr>
          <w:rFonts w:ascii="Times New Roman" w:hAnsi="Times New Roman"/>
          <w:color w:val="auto"/>
          <w:sz w:val="24"/>
          <w:szCs w:val="24"/>
        </w:rPr>
        <w:t xml:space="preserve">Department of Water and Sanitation </w:t>
      </w:r>
      <w:r w:rsidR="00E40300">
        <w:rPr>
          <w:rFonts w:ascii="Times New Roman" w:hAnsi="Times New Roman"/>
          <w:color w:val="auto"/>
          <w:sz w:val="24"/>
          <w:szCs w:val="24"/>
        </w:rPr>
        <w:t xml:space="preserve">ensures that officials comply with all relevant legislative instruments and that the Accounting Officer </w:t>
      </w:r>
      <w:r w:rsidR="002B51C2">
        <w:rPr>
          <w:rFonts w:ascii="Times New Roman" w:hAnsi="Times New Roman"/>
          <w:color w:val="auto"/>
          <w:sz w:val="24"/>
          <w:szCs w:val="24"/>
        </w:rPr>
        <w:t xml:space="preserve">applies </w:t>
      </w:r>
      <w:r w:rsidR="002F7120">
        <w:rPr>
          <w:rFonts w:ascii="Times New Roman" w:hAnsi="Times New Roman"/>
          <w:color w:val="auto"/>
          <w:sz w:val="24"/>
          <w:szCs w:val="24"/>
        </w:rPr>
        <w:t>the a</w:t>
      </w:r>
      <w:r w:rsidRPr="00B62510">
        <w:rPr>
          <w:rFonts w:ascii="Times New Roman" w:hAnsi="Times New Roman"/>
          <w:color w:val="auto"/>
          <w:sz w:val="24"/>
          <w:szCs w:val="24"/>
        </w:rPr>
        <w:t xml:space="preserve">ppropriate sanctions </w:t>
      </w:r>
      <w:r w:rsidR="002F7120">
        <w:rPr>
          <w:rFonts w:ascii="Times New Roman" w:hAnsi="Times New Roman"/>
          <w:color w:val="auto"/>
          <w:sz w:val="24"/>
          <w:szCs w:val="24"/>
        </w:rPr>
        <w:t xml:space="preserve">as per </w:t>
      </w:r>
      <w:r w:rsidR="00205300">
        <w:rPr>
          <w:rFonts w:ascii="Times New Roman" w:hAnsi="Times New Roman"/>
          <w:color w:val="auto"/>
          <w:sz w:val="24"/>
          <w:szCs w:val="24"/>
        </w:rPr>
        <w:t>Chapter 10</w:t>
      </w:r>
      <w:r w:rsidR="002F7120">
        <w:rPr>
          <w:rFonts w:ascii="Times New Roman" w:hAnsi="Times New Roman"/>
          <w:color w:val="auto"/>
          <w:sz w:val="24"/>
          <w:szCs w:val="24"/>
        </w:rPr>
        <w:t xml:space="preserve"> of the P</w:t>
      </w:r>
      <w:r w:rsidR="00205300">
        <w:rPr>
          <w:rFonts w:ascii="Times New Roman" w:hAnsi="Times New Roman"/>
          <w:color w:val="auto"/>
          <w:sz w:val="24"/>
          <w:szCs w:val="24"/>
        </w:rPr>
        <w:t xml:space="preserve">ublic </w:t>
      </w:r>
      <w:r w:rsidR="002F7120">
        <w:rPr>
          <w:rFonts w:ascii="Times New Roman" w:hAnsi="Times New Roman"/>
          <w:color w:val="auto"/>
          <w:sz w:val="24"/>
          <w:szCs w:val="24"/>
        </w:rPr>
        <w:t>F</w:t>
      </w:r>
      <w:r w:rsidR="00205300">
        <w:rPr>
          <w:rFonts w:ascii="Times New Roman" w:hAnsi="Times New Roman"/>
          <w:color w:val="auto"/>
          <w:sz w:val="24"/>
          <w:szCs w:val="24"/>
        </w:rPr>
        <w:t xml:space="preserve">inancial </w:t>
      </w:r>
      <w:r w:rsidR="002F7120">
        <w:rPr>
          <w:rFonts w:ascii="Times New Roman" w:hAnsi="Times New Roman"/>
          <w:color w:val="auto"/>
          <w:sz w:val="24"/>
          <w:szCs w:val="24"/>
        </w:rPr>
        <w:t>M</w:t>
      </w:r>
      <w:r w:rsidR="00205300">
        <w:rPr>
          <w:rFonts w:ascii="Times New Roman" w:hAnsi="Times New Roman"/>
          <w:color w:val="auto"/>
          <w:sz w:val="24"/>
          <w:szCs w:val="24"/>
        </w:rPr>
        <w:t xml:space="preserve">anagement </w:t>
      </w:r>
      <w:r w:rsidR="002F7120">
        <w:rPr>
          <w:rFonts w:ascii="Times New Roman" w:hAnsi="Times New Roman"/>
          <w:color w:val="auto"/>
          <w:sz w:val="24"/>
          <w:szCs w:val="24"/>
        </w:rPr>
        <w:t>A</w:t>
      </w:r>
      <w:r w:rsidR="00205300">
        <w:rPr>
          <w:rFonts w:ascii="Times New Roman" w:hAnsi="Times New Roman"/>
          <w:color w:val="auto"/>
          <w:sz w:val="24"/>
          <w:szCs w:val="24"/>
        </w:rPr>
        <w:t>ct</w:t>
      </w:r>
      <w:r w:rsidR="002F7120">
        <w:rPr>
          <w:rFonts w:ascii="Times New Roman" w:hAnsi="Times New Roman"/>
          <w:color w:val="auto"/>
          <w:sz w:val="24"/>
          <w:szCs w:val="24"/>
        </w:rPr>
        <w:t xml:space="preserve"> for all </w:t>
      </w:r>
      <w:r w:rsidR="004C0ACE">
        <w:rPr>
          <w:rFonts w:ascii="Times New Roman" w:hAnsi="Times New Roman"/>
          <w:color w:val="auto"/>
          <w:sz w:val="24"/>
          <w:szCs w:val="24"/>
        </w:rPr>
        <w:t>transgression of</w:t>
      </w:r>
      <w:r w:rsidR="00AD4A7E">
        <w:rPr>
          <w:rFonts w:ascii="Times New Roman" w:hAnsi="Times New Roman"/>
          <w:color w:val="auto"/>
          <w:sz w:val="24"/>
          <w:szCs w:val="24"/>
        </w:rPr>
        <w:t xml:space="preserve"> </w:t>
      </w:r>
      <w:r w:rsidR="004C0ACE">
        <w:rPr>
          <w:rFonts w:ascii="Times New Roman" w:hAnsi="Times New Roman"/>
          <w:color w:val="auto"/>
          <w:sz w:val="24"/>
          <w:szCs w:val="24"/>
        </w:rPr>
        <w:t>legislative prescripts</w:t>
      </w:r>
      <w:r w:rsidR="00AD4A7E">
        <w:rPr>
          <w:rFonts w:ascii="Times New Roman" w:hAnsi="Times New Roman"/>
          <w:color w:val="auto"/>
          <w:sz w:val="24"/>
          <w:szCs w:val="24"/>
        </w:rPr>
        <w:t xml:space="preserve"> and </w:t>
      </w:r>
      <w:r w:rsidR="004C0ACE">
        <w:rPr>
          <w:rFonts w:ascii="Times New Roman" w:hAnsi="Times New Roman"/>
          <w:color w:val="auto"/>
          <w:sz w:val="24"/>
          <w:szCs w:val="24"/>
        </w:rPr>
        <w:t xml:space="preserve">any </w:t>
      </w:r>
      <w:r w:rsidR="002F7120">
        <w:rPr>
          <w:rFonts w:ascii="Times New Roman" w:hAnsi="Times New Roman"/>
          <w:color w:val="auto"/>
          <w:sz w:val="24"/>
          <w:szCs w:val="24"/>
        </w:rPr>
        <w:t>financial misconduct</w:t>
      </w:r>
      <w:r w:rsidR="00E40300">
        <w:rPr>
          <w:rFonts w:ascii="Times New Roman" w:hAnsi="Times New Roman"/>
          <w:color w:val="auto"/>
          <w:sz w:val="24"/>
          <w:szCs w:val="24"/>
        </w:rPr>
        <w:t xml:space="preserve"> by officials</w:t>
      </w:r>
      <w:r w:rsidR="002F7120">
        <w:rPr>
          <w:rFonts w:ascii="Times New Roman" w:hAnsi="Times New Roman"/>
          <w:color w:val="auto"/>
          <w:sz w:val="24"/>
          <w:szCs w:val="24"/>
        </w:rPr>
        <w:t xml:space="preserve">. </w:t>
      </w:r>
    </w:p>
    <w:p w14:paraId="680F1445" w14:textId="77777777" w:rsidR="00E40300" w:rsidRDefault="00E40300" w:rsidP="004C0ACE">
      <w:pPr>
        <w:pStyle w:val="ListParagraph"/>
        <w:rPr>
          <w:rFonts w:ascii="Times New Roman" w:hAnsi="Times New Roman"/>
          <w:color w:val="auto"/>
          <w:sz w:val="24"/>
          <w:szCs w:val="24"/>
        </w:rPr>
      </w:pPr>
    </w:p>
    <w:p w14:paraId="0C7D6D30" w14:textId="0AA4360C" w:rsidR="003C0920" w:rsidRDefault="003C0920" w:rsidP="00BD2EBF">
      <w:pPr>
        <w:tabs>
          <w:tab w:val="left" w:pos="709"/>
        </w:tabs>
        <w:spacing w:line="360" w:lineRule="auto"/>
        <w:jc w:val="both"/>
        <w:rPr>
          <w:rFonts w:ascii="Times New Roman" w:hAnsi="Times New Roman"/>
          <w:color w:val="auto"/>
          <w:sz w:val="24"/>
          <w:szCs w:val="24"/>
        </w:rPr>
      </w:pPr>
    </w:p>
    <w:p w14:paraId="58BA23C1" w14:textId="77777777" w:rsidR="005915E7" w:rsidRPr="00BD2EBF" w:rsidRDefault="005915E7" w:rsidP="00BD2EBF">
      <w:pPr>
        <w:tabs>
          <w:tab w:val="left" w:pos="709"/>
        </w:tabs>
        <w:spacing w:line="360" w:lineRule="auto"/>
        <w:jc w:val="both"/>
        <w:rPr>
          <w:rFonts w:ascii="Times New Roman" w:hAnsi="Times New Roman"/>
          <w:color w:val="auto"/>
          <w:sz w:val="24"/>
          <w:szCs w:val="24"/>
        </w:rPr>
      </w:pPr>
    </w:p>
    <w:p w14:paraId="42D28675" w14:textId="616BF218" w:rsidR="003C0920" w:rsidRPr="00E61CAC" w:rsidRDefault="003C0920" w:rsidP="003C0920">
      <w:pPr>
        <w:numPr>
          <w:ilvl w:val="1"/>
          <w:numId w:val="16"/>
        </w:numPr>
        <w:tabs>
          <w:tab w:val="left" w:pos="709"/>
        </w:tabs>
        <w:spacing w:line="360" w:lineRule="auto"/>
        <w:ind w:left="851" w:hanging="851"/>
        <w:contextualSpacing/>
        <w:jc w:val="both"/>
        <w:rPr>
          <w:rFonts w:ascii="Times New Roman" w:hAnsi="Times New Roman"/>
          <w:color w:val="auto"/>
          <w:sz w:val="24"/>
          <w:szCs w:val="24"/>
        </w:rPr>
      </w:pPr>
      <w:r w:rsidRPr="00E61CAC">
        <w:rPr>
          <w:rFonts w:ascii="Times New Roman" w:hAnsi="Times New Roman"/>
          <w:color w:val="auto"/>
          <w:sz w:val="24"/>
          <w:szCs w:val="24"/>
        </w:rPr>
        <w:t xml:space="preserve">The Minister of </w:t>
      </w:r>
      <w:r>
        <w:rPr>
          <w:rFonts w:ascii="Times New Roman" w:hAnsi="Times New Roman"/>
          <w:color w:val="auto"/>
          <w:sz w:val="24"/>
          <w:szCs w:val="24"/>
        </w:rPr>
        <w:t xml:space="preserve">Higher Education and </w:t>
      </w:r>
      <w:r w:rsidR="00B94C0A">
        <w:rPr>
          <w:rFonts w:ascii="Times New Roman" w:hAnsi="Times New Roman"/>
          <w:color w:val="auto"/>
          <w:sz w:val="24"/>
          <w:szCs w:val="24"/>
        </w:rPr>
        <w:t xml:space="preserve">Training </w:t>
      </w:r>
      <w:r w:rsidR="00B94C0A" w:rsidRPr="00E61CAC">
        <w:rPr>
          <w:rFonts w:ascii="Times New Roman" w:hAnsi="Times New Roman"/>
          <w:color w:val="auto"/>
          <w:sz w:val="24"/>
          <w:szCs w:val="24"/>
        </w:rPr>
        <w:t>should</w:t>
      </w:r>
      <w:r w:rsidRPr="00E61CAC">
        <w:rPr>
          <w:rFonts w:ascii="Times New Roman" w:hAnsi="Times New Roman"/>
          <w:color w:val="auto"/>
          <w:sz w:val="24"/>
          <w:szCs w:val="24"/>
        </w:rPr>
        <w:t xml:space="preserve"> ensure that:</w:t>
      </w:r>
    </w:p>
    <w:p w14:paraId="217CFCF0" w14:textId="5F6E0771" w:rsidR="003C0920" w:rsidRDefault="003C0920" w:rsidP="003C0920">
      <w:pPr>
        <w:numPr>
          <w:ilvl w:val="2"/>
          <w:numId w:val="16"/>
        </w:numPr>
        <w:tabs>
          <w:tab w:val="left" w:pos="709"/>
        </w:tabs>
        <w:spacing w:line="360" w:lineRule="auto"/>
        <w:ind w:left="1560" w:hanging="851"/>
        <w:contextualSpacing/>
        <w:jc w:val="both"/>
        <w:rPr>
          <w:rFonts w:ascii="Times New Roman" w:hAnsi="Times New Roman"/>
          <w:color w:val="auto"/>
          <w:sz w:val="24"/>
          <w:szCs w:val="24"/>
        </w:rPr>
      </w:pPr>
      <w:r>
        <w:rPr>
          <w:rFonts w:ascii="Times New Roman" w:hAnsi="Times New Roman"/>
          <w:color w:val="auto"/>
          <w:sz w:val="24"/>
          <w:szCs w:val="24"/>
        </w:rPr>
        <w:t xml:space="preserve">The Department of Higher Education and Training puts in place mechanisms for </w:t>
      </w:r>
      <w:r w:rsidR="002B51C2">
        <w:rPr>
          <w:rFonts w:ascii="Times New Roman" w:hAnsi="Times New Roman"/>
          <w:color w:val="auto"/>
          <w:sz w:val="24"/>
          <w:szCs w:val="24"/>
        </w:rPr>
        <w:t xml:space="preserve">improvement of </w:t>
      </w:r>
      <w:r w:rsidR="00095B48">
        <w:rPr>
          <w:rFonts w:ascii="Times New Roman" w:hAnsi="Times New Roman"/>
          <w:color w:val="auto"/>
          <w:sz w:val="24"/>
          <w:szCs w:val="24"/>
        </w:rPr>
        <w:t xml:space="preserve">the </w:t>
      </w:r>
      <w:r>
        <w:rPr>
          <w:rFonts w:ascii="Times New Roman" w:hAnsi="Times New Roman"/>
          <w:color w:val="auto"/>
          <w:sz w:val="24"/>
          <w:szCs w:val="24"/>
        </w:rPr>
        <w:t xml:space="preserve">payment of </w:t>
      </w:r>
      <w:r w:rsidR="002D63D3">
        <w:rPr>
          <w:rFonts w:ascii="Times New Roman" w:hAnsi="Times New Roman"/>
          <w:color w:val="auto"/>
          <w:sz w:val="24"/>
          <w:szCs w:val="24"/>
        </w:rPr>
        <w:t>suppliers</w:t>
      </w:r>
      <w:r>
        <w:rPr>
          <w:rFonts w:ascii="Times New Roman" w:hAnsi="Times New Roman"/>
          <w:color w:val="auto"/>
          <w:sz w:val="24"/>
          <w:szCs w:val="24"/>
        </w:rPr>
        <w:t xml:space="preserve"> within 30 days</w:t>
      </w:r>
      <w:r w:rsidR="002D63D3">
        <w:rPr>
          <w:rFonts w:ascii="Times New Roman" w:hAnsi="Times New Roman"/>
          <w:color w:val="auto"/>
          <w:sz w:val="24"/>
          <w:szCs w:val="24"/>
        </w:rPr>
        <w:t xml:space="preserve"> from receipt of an invoice</w:t>
      </w:r>
      <w:r w:rsidR="008E04A2">
        <w:rPr>
          <w:rFonts w:ascii="Times New Roman" w:hAnsi="Times New Roman"/>
          <w:color w:val="auto"/>
          <w:sz w:val="24"/>
          <w:szCs w:val="24"/>
        </w:rPr>
        <w:t>.</w:t>
      </w:r>
      <w:r>
        <w:rPr>
          <w:rFonts w:ascii="Times New Roman" w:hAnsi="Times New Roman"/>
          <w:color w:val="auto"/>
          <w:sz w:val="24"/>
          <w:szCs w:val="24"/>
        </w:rPr>
        <w:t xml:space="preserve"> </w:t>
      </w:r>
    </w:p>
    <w:p w14:paraId="1B205996" w14:textId="0FCA24C7" w:rsidR="00540529" w:rsidRPr="000B1E55" w:rsidRDefault="00540529" w:rsidP="003C0920">
      <w:pPr>
        <w:numPr>
          <w:ilvl w:val="2"/>
          <w:numId w:val="16"/>
        </w:numPr>
        <w:tabs>
          <w:tab w:val="left" w:pos="709"/>
        </w:tabs>
        <w:spacing w:line="360" w:lineRule="auto"/>
        <w:ind w:left="1560" w:hanging="851"/>
        <w:contextualSpacing/>
        <w:jc w:val="both"/>
        <w:rPr>
          <w:rFonts w:ascii="Times New Roman" w:hAnsi="Times New Roman"/>
          <w:color w:val="auto"/>
          <w:sz w:val="24"/>
          <w:szCs w:val="24"/>
        </w:rPr>
      </w:pPr>
      <w:r>
        <w:rPr>
          <w:rFonts w:ascii="Times New Roman" w:hAnsi="Times New Roman"/>
          <w:color w:val="auto"/>
          <w:sz w:val="24"/>
          <w:szCs w:val="24"/>
        </w:rPr>
        <w:t>The Accounting Officer takes full responsibility for non-payment of invoices within 30 days</w:t>
      </w:r>
      <w:r w:rsidR="004C0ACE">
        <w:rPr>
          <w:rFonts w:ascii="Times New Roman" w:hAnsi="Times New Roman"/>
          <w:color w:val="auto"/>
          <w:sz w:val="24"/>
          <w:szCs w:val="24"/>
        </w:rPr>
        <w:t>.</w:t>
      </w:r>
    </w:p>
    <w:p w14:paraId="3D009C84" w14:textId="63B4378B" w:rsidR="00725448" w:rsidRPr="00E9792B" w:rsidRDefault="003C0920" w:rsidP="00E9792B">
      <w:pPr>
        <w:numPr>
          <w:ilvl w:val="2"/>
          <w:numId w:val="16"/>
        </w:numPr>
        <w:tabs>
          <w:tab w:val="left" w:pos="709"/>
        </w:tabs>
        <w:spacing w:line="360" w:lineRule="auto"/>
        <w:ind w:left="1560" w:hanging="851"/>
        <w:contextualSpacing/>
        <w:jc w:val="both"/>
        <w:rPr>
          <w:rFonts w:ascii="Times New Roman" w:hAnsi="Times New Roman"/>
          <w:sz w:val="24"/>
          <w:szCs w:val="24"/>
        </w:rPr>
      </w:pPr>
      <w:r w:rsidRPr="00E61CAC">
        <w:rPr>
          <w:rFonts w:ascii="Times New Roman" w:hAnsi="Times New Roman"/>
          <w:sz w:val="24"/>
          <w:szCs w:val="24"/>
        </w:rPr>
        <w:lastRenderedPageBreak/>
        <w:t xml:space="preserve">The </w:t>
      </w:r>
      <w:r w:rsidRPr="00E61CAC">
        <w:rPr>
          <w:rFonts w:ascii="Times New Roman" w:hAnsi="Times New Roman"/>
          <w:color w:val="auto"/>
          <w:sz w:val="24"/>
          <w:szCs w:val="24"/>
        </w:rPr>
        <w:t xml:space="preserve">Department of </w:t>
      </w:r>
      <w:r>
        <w:rPr>
          <w:rFonts w:ascii="Times New Roman" w:hAnsi="Times New Roman"/>
          <w:color w:val="auto"/>
          <w:sz w:val="24"/>
          <w:szCs w:val="24"/>
        </w:rPr>
        <w:t>Higher Education and Training</w:t>
      </w:r>
      <w:r w:rsidRPr="00E61CAC">
        <w:rPr>
          <w:rFonts w:ascii="Times New Roman" w:hAnsi="Times New Roman"/>
          <w:color w:val="auto"/>
          <w:sz w:val="24"/>
          <w:szCs w:val="24"/>
        </w:rPr>
        <w:t xml:space="preserve"> </w:t>
      </w:r>
      <w:r w:rsidR="003A74F9">
        <w:rPr>
          <w:rFonts w:ascii="Times New Roman" w:hAnsi="Times New Roman"/>
          <w:color w:val="auto"/>
          <w:sz w:val="24"/>
          <w:szCs w:val="24"/>
        </w:rPr>
        <w:t xml:space="preserve">reviews the efficiency and efficacy of centralisation of the recruitment function in order to facilitate the filling </w:t>
      </w:r>
      <w:r w:rsidR="00D427A3">
        <w:rPr>
          <w:rFonts w:ascii="Times New Roman" w:hAnsi="Times New Roman"/>
          <w:color w:val="auto"/>
          <w:sz w:val="24"/>
          <w:szCs w:val="24"/>
        </w:rPr>
        <w:t xml:space="preserve">of </w:t>
      </w:r>
      <w:r w:rsidR="00D427A3">
        <w:rPr>
          <w:rFonts w:ascii="Times New Roman" w:hAnsi="Times New Roman"/>
          <w:sz w:val="24"/>
          <w:szCs w:val="24"/>
        </w:rPr>
        <w:t>all</w:t>
      </w:r>
      <w:r w:rsidRPr="00E61CAC">
        <w:rPr>
          <w:rFonts w:ascii="Times New Roman" w:hAnsi="Times New Roman"/>
          <w:sz w:val="24"/>
          <w:szCs w:val="24"/>
        </w:rPr>
        <w:t xml:space="preserve"> critical, funded vacant posts timeously.</w:t>
      </w:r>
    </w:p>
    <w:p w14:paraId="1BE4C41E" w14:textId="0252E1FE" w:rsidR="00BE7918" w:rsidRPr="00725448" w:rsidRDefault="00991C38" w:rsidP="00725448">
      <w:pPr>
        <w:numPr>
          <w:ilvl w:val="2"/>
          <w:numId w:val="16"/>
        </w:numPr>
        <w:tabs>
          <w:tab w:val="left" w:pos="709"/>
        </w:tabs>
        <w:spacing w:line="360" w:lineRule="auto"/>
        <w:ind w:left="1560" w:hanging="851"/>
        <w:contextualSpacing/>
        <w:jc w:val="both"/>
        <w:rPr>
          <w:rFonts w:ascii="Times New Roman" w:hAnsi="Times New Roman"/>
          <w:sz w:val="24"/>
          <w:szCs w:val="24"/>
        </w:rPr>
      </w:pPr>
      <w:r w:rsidRPr="00991C38">
        <w:rPr>
          <w:rFonts w:ascii="Times New Roman" w:hAnsi="Times New Roman"/>
          <w:sz w:val="24"/>
          <w:szCs w:val="24"/>
        </w:rPr>
        <w:t xml:space="preserve">The </w:t>
      </w:r>
      <w:r>
        <w:rPr>
          <w:rFonts w:ascii="Times New Roman" w:hAnsi="Times New Roman"/>
          <w:sz w:val="24"/>
          <w:szCs w:val="24"/>
        </w:rPr>
        <w:t xml:space="preserve">Department of Higher Education and Training </w:t>
      </w:r>
      <w:r w:rsidR="00641BD0">
        <w:rPr>
          <w:rFonts w:ascii="Times New Roman" w:hAnsi="Times New Roman"/>
          <w:sz w:val="24"/>
          <w:szCs w:val="24"/>
        </w:rPr>
        <w:t xml:space="preserve">improves its planning and </w:t>
      </w:r>
      <w:r>
        <w:rPr>
          <w:rFonts w:ascii="Times New Roman" w:hAnsi="Times New Roman"/>
          <w:sz w:val="24"/>
          <w:szCs w:val="24"/>
        </w:rPr>
        <w:t>works closely with h</w:t>
      </w:r>
      <w:r w:rsidR="00725448">
        <w:rPr>
          <w:rFonts w:ascii="Times New Roman" w:hAnsi="Times New Roman"/>
          <w:sz w:val="24"/>
          <w:szCs w:val="24"/>
        </w:rPr>
        <w:t>igher education institutions including</w:t>
      </w:r>
      <w:r>
        <w:rPr>
          <w:rFonts w:ascii="Times New Roman" w:hAnsi="Times New Roman"/>
          <w:sz w:val="24"/>
          <w:szCs w:val="24"/>
        </w:rPr>
        <w:t xml:space="preserve"> TVET colleges to ensure that </w:t>
      </w:r>
      <w:r w:rsidRPr="00725448">
        <w:rPr>
          <w:rFonts w:ascii="Times New Roman" w:hAnsi="Times New Roman"/>
          <w:sz w:val="24"/>
          <w:szCs w:val="24"/>
        </w:rPr>
        <w:t>earmarked grants, especially those relate</w:t>
      </w:r>
      <w:r w:rsidR="00725448">
        <w:rPr>
          <w:rFonts w:ascii="Times New Roman" w:hAnsi="Times New Roman"/>
          <w:sz w:val="24"/>
          <w:szCs w:val="24"/>
        </w:rPr>
        <w:t>d to infrastructure development</w:t>
      </w:r>
      <w:r w:rsidR="00443B70">
        <w:rPr>
          <w:rFonts w:ascii="Times New Roman" w:hAnsi="Times New Roman"/>
          <w:sz w:val="24"/>
          <w:szCs w:val="24"/>
        </w:rPr>
        <w:t xml:space="preserve"> and maintenance,</w:t>
      </w:r>
      <w:r w:rsidR="00725448">
        <w:rPr>
          <w:rFonts w:ascii="Times New Roman" w:hAnsi="Times New Roman"/>
          <w:sz w:val="24"/>
          <w:szCs w:val="24"/>
        </w:rPr>
        <w:t xml:space="preserve"> are transferred timeously.</w:t>
      </w:r>
      <w:r w:rsidRPr="00725448">
        <w:rPr>
          <w:rFonts w:ascii="Times New Roman" w:hAnsi="Times New Roman"/>
          <w:sz w:val="24"/>
          <w:szCs w:val="24"/>
        </w:rPr>
        <w:t xml:space="preserve"> </w:t>
      </w:r>
    </w:p>
    <w:p w14:paraId="7163145A" w14:textId="41D1D225" w:rsidR="00ED79D9" w:rsidRDefault="00ED79D9" w:rsidP="00ED79D9">
      <w:pPr>
        <w:tabs>
          <w:tab w:val="left" w:pos="709"/>
        </w:tabs>
        <w:spacing w:line="360" w:lineRule="auto"/>
        <w:contextualSpacing/>
        <w:jc w:val="both"/>
        <w:rPr>
          <w:rFonts w:ascii="Times New Roman" w:hAnsi="Times New Roman"/>
          <w:color w:val="auto"/>
          <w:sz w:val="24"/>
          <w:szCs w:val="24"/>
        </w:rPr>
      </w:pPr>
    </w:p>
    <w:p w14:paraId="2977AB9C" w14:textId="77777777" w:rsidR="00D427A3" w:rsidRPr="00776930" w:rsidRDefault="00D427A3" w:rsidP="00ED79D9">
      <w:pPr>
        <w:tabs>
          <w:tab w:val="left" w:pos="709"/>
        </w:tabs>
        <w:spacing w:line="360" w:lineRule="auto"/>
        <w:contextualSpacing/>
        <w:jc w:val="both"/>
        <w:rPr>
          <w:rFonts w:ascii="Times New Roman" w:hAnsi="Times New Roman"/>
          <w:color w:val="auto"/>
          <w:sz w:val="24"/>
          <w:szCs w:val="24"/>
        </w:rPr>
      </w:pPr>
    </w:p>
    <w:p w14:paraId="74B628CD" w14:textId="7DCD5CA9" w:rsidR="003C0920" w:rsidRPr="00E61CAC" w:rsidRDefault="003C0920" w:rsidP="00BD2EBF">
      <w:pPr>
        <w:spacing w:line="360" w:lineRule="auto"/>
        <w:contextualSpacing/>
        <w:jc w:val="both"/>
        <w:rPr>
          <w:rFonts w:ascii="Times New Roman" w:hAnsi="Times New Roman"/>
          <w:color w:val="auto"/>
          <w:sz w:val="24"/>
          <w:szCs w:val="24"/>
        </w:rPr>
      </w:pPr>
    </w:p>
    <w:p w14:paraId="0B4829FA" w14:textId="0074251E" w:rsidR="003C0920" w:rsidRDefault="003C0920" w:rsidP="003C0920">
      <w:pPr>
        <w:numPr>
          <w:ilvl w:val="1"/>
          <w:numId w:val="16"/>
        </w:numPr>
        <w:tabs>
          <w:tab w:val="left" w:pos="709"/>
        </w:tabs>
        <w:spacing w:line="360" w:lineRule="auto"/>
        <w:ind w:left="851" w:hanging="851"/>
        <w:contextualSpacing/>
        <w:jc w:val="both"/>
        <w:rPr>
          <w:rFonts w:ascii="Times New Roman" w:hAnsi="Times New Roman"/>
          <w:color w:val="auto"/>
          <w:sz w:val="24"/>
          <w:szCs w:val="24"/>
        </w:rPr>
      </w:pPr>
      <w:r w:rsidRPr="00E61CAC">
        <w:rPr>
          <w:rFonts w:ascii="Times New Roman" w:hAnsi="Times New Roman"/>
          <w:color w:val="auto"/>
          <w:sz w:val="24"/>
          <w:szCs w:val="24"/>
        </w:rPr>
        <w:t xml:space="preserve">The Minister of </w:t>
      </w:r>
      <w:r>
        <w:rPr>
          <w:rFonts w:ascii="Times New Roman" w:hAnsi="Times New Roman"/>
          <w:color w:val="auto"/>
          <w:sz w:val="24"/>
          <w:szCs w:val="24"/>
        </w:rPr>
        <w:t xml:space="preserve">Energy </w:t>
      </w:r>
      <w:r w:rsidRPr="00E61CAC">
        <w:rPr>
          <w:rFonts w:ascii="Times New Roman" w:hAnsi="Times New Roman"/>
          <w:color w:val="auto"/>
          <w:sz w:val="24"/>
          <w:szCs w:val="24"/>
        </w:rPr>
        <w:t xml:space="preserve">should ensure that: </w:t>
      </w:r>
    </w:p>
    <w:p w14:paraId="7E9D1B78" w14:textId="77777777" w:rsidR="008144C1" w:rsidRDefault="009829DF" w:rsidP="00DC39A4">
      <w:pPr>
        <w:numPr>
          <w:ilvl w:val="2"/>
          <w:numId w:val="16"/>
        </w:numPr>
        <w:tabs>
          <w:tab w:val="left" w:pos="709"/>
        </w:tabs>
        <w:spacing w:line="360" w:lineRule="auto"/>
        <w:ind w:left="1560" w:hanging="851"/>
        <w:contextualSpacing/>
        <w:jc w:val="both"/>
        <w:rPr>
          <w:rFonts w:ascii="Times New Roman" w:hAnsi="Times New Roman"/>
          <w:color w:val="auto"/>
          <w:sz w:val="24"/>
          <w:szCs w:val="24"/>
        </w:rPr>
      </w:pPr>
      <w:r>
        <w:rPr>
          <w:rFonts w:ascii="Times New Roman" w:hAnsi="Times New Roman"/>
          <w:color w:val="auto"/>
          <w:sz w:val="24"/>
          <w:szCs w:val="24"/>
        </w:rPr>
        <w:t xml:space="preserve">The Department of Energy urgently addresses the capacity </w:t>
      </w:r>
      <w:r w:rsidR="00BA7710">
        <w:rPr>
          <w:rFonts w:ascii="Times New Roman" w:hAnsi="Times New Roman"/>
          <w:color w:val="auto"/>
          <w:sz w:val="24"/>
          <w:szCs w:val="24"/>
        </w:rPr>
        <w:t xml:space="preserve">challenges and shortage of skills </w:t>
      </w:r>
      <w:r w:rsidR="00956D25">
        <w:rPr>
          <w:rFonts w:ascii="Times New Roman" w:hAnsi="Times New Roman"/>
          <w:color w:val="auto"/>
          <w:sz w:val="24"/>
          <w:szCs w:val="24"/>
        </w:rPr>
        <w:t xml:space="preserve">that </w:t>
      </w:r>
      <w:r w:rsidR="00E468DC">
        <w:rPr>
          <w:rFonts w:ascii="Times New Roman" w:hAnsi="Times New Roman"/>
          <w:color w:val="auto"/>
          <w:sz w:val="24"/>
          <w:szCs w:val="24"/>
        </w:rPr>
        <w:t>are impacting negatively on the spending and the</w:t>
      </w:r>
      <w:r w:rsidR="00BA7710">
        <w:rPr>
          <w:rFonts w:ascii="Times New Roman" w:hAnsi="Times New Roman"/>
          <w:color w:val="auto"/>
          <w:sz w:val="24"/>
          <w:szCs w:val="24"/>
        </w:rPr>
        <w:t xml:space="preserve"> attainment of performance targets. </w:t>
      </w:r>
    </w:p>
    <w:p w14:paraId="33096D4A" w14:textId="50D64BC4" w:rsidR="00F610FE" w:rsidRPr="00507A1B" w:rsidRDefault="008144C1" w:rsidP="00D245E3">
      <w:pPr>
        <w:numPr>
          <w:ilvl w:val="2"/>
          <w:numId w:val="16"/>
        </w:numPr>
        <w:tabs>
          <w:tab w:val="left" w:pos="709"/>
        </w:tabs>
        <w:spacing w:line="360" w:lineRule="auto"/>
        <w:ind w:left="1560" w:hanging="851"/>
        <w:contextualSpacing/>
        <w:jc w:val="both"/>
        <w:rPr>
          <w:rFonts w:ascii="Times New Roman" w:hAnsi="Times New Roman"/>
          <w:color w:val="auto"/>
          <w:sz w:val="24"/>
          <w:szCs w:val="24"/>
        </w:rPr>
      </w:pPr>
      <w:r w:rsidRPr="00507A1B">
        <w:rPr>
          <w:rFonts w:ascii="Times New Roman" w:hAnsi="Times New Roman"/>
          <w:color w:val="auto"/>
          <w:sz w:val="24"/>
          <w:szCs w:val="24"/>
        </w:rPr>
        <w:t xml:space="preserve">Public Entities reporting to the Department of Energy prioritise resolving governance issues and filling of critical and strategic positions in order to improve delivery capacity. In particular, </w:t>
      </w:r>
      <w:proofErr w:type="spellStart"/>
      <w:r w:rsidRPr="00507A1B">
        <w:rPr>
          <w:rFonts w:ascii="Times New Roman" w:hAnsi="Times New Roman"/>
          <w:color w:val="auto"/>
          <w:sz w:val="24"/>
          <w:szCs w:val="24"/>
        </w:rPr>
        <w:t>PetroSA</w:t>
      </w:r>
      <w:proofErr w:type="spellEnd"/>
      <w:r w:rsidRPr="00507A1B">
        <w:rPr>
          <w:rFonts w:ascii="Times New Roman" w:hAnsi="Times New Roman"/>
          <w:color w:val="auto"/>
          <w:sz w:val="24"/>
          <w:szCs w:val="24"/>
        </w:rPr>
        <w:t xml:space="preserve"> should urgently resolves the on-going governance and capacity challenges by, among other things, appointing of a full-time Board and filling all Executive Management positions.</w:t>
      </w:r>
    </w:p>
    <w:p w14:paraId="3EAB8BDA" w14:textId="052B47C9" w:rsidR="00B91E31" w:rsidRPr="00507A1B" w:rsidRDefault="002C5D21" w:rsidP="00507A1B">
      <w:pPr>
        <w:numPr>
          <w:ilvl w:val="2"/>
          <w:numId w:val="16"/>
        </w:numPr>
        <w:tabs>
          <w:tab w:val="left" w:pos="709"/>
        </w:tabs>
        <w:spacing w:line="360" w:lineRule="auto"/>
        <w:ind w:left="1560" w:hanging="851"/>
        <w:contextualSpacing/>
        <w:jc w:val="both"/>
        <w:rPr>
          <w:rFonts w:ascii="Times New Roman" w:hAnsi="Times New Roman"/>
          <w:color w:val="auto"/>
          <w:sz w:val="24"/>
          <w:szCs w:val="24"/>
        </w:rPr>
      </w:pPr>
      <w:r w:rsidRPr="008E04A2">
        <w:rPr>
          <w:rFonts w:ascii="Times New Roman" w:hAnsi="Times New Roman"/>
          <w:color w:val="auto"/>
          <w:sz w:val="24"/>
          <w:szCs w:val="24"/>
        </w:rPr>
        <w:t>The Department</w:t>
      </w:r>
      <w:r w:rsidR="00F610FE">
        <w:rPr>
          <w:rFonts w:ascii="Times New Roman" w:hAnsi="Times New Roman"/>
          <w:color w:val="auto"/>
          <w:sz w:val="24"/>
          <w:szCs w:val="24"/>
        </w:rPr>
        <w:t xml:space="preserve"> of Energy</w:t>
      </w:r>
      <w:r w:rsidRPr="008E04A2">
        <w:rPr>
          <w:rFonts w:ascii="Times New Roman" w:hAnsi="Times New Roman"/>
          <w:color w:val="auto"/>
          <w:sz w:val="24"/>
          <w:szCs w:val="24"/>
        </w:rPr>
        <w:t xml:space="preserve"> improves its expenditure and achievement of targets to avoid underperformance </w:t>
      </w:r>
      <w:r w:rsidR="00F610FE" w:rsidRPr="008E04A2">
        <w:rPr>
          <w:rFonts w:ascii="Times New Roman" w:hAnsi="Times New Roman"/>
          <w:color w:val="auto"/>
          <w:sz w:val="24"/>
          <w:szCs w:val="24"/>
        </w:rPr>
        <w:t>at the end of the financial year</w:t>
      </w:r>
      <w:r w:rsidR="00F610FE">
        <w:rPr>
          <w:rFonts w:ascii="Times New Roman" w:hAnsi="Times New Roman"/>
          <w:color w:val="auto"/>
          <w:sz w:val="24"/>
          <w:szCs w:val="24"/>
        </w:rPr>
        <w:t xml:space="preserve">. </w:t>
      </w:r>
      <w:r w:rsidR="00F610FE" w:rsidRPr="00F610FE">
        <w:rPr>
          <w:rFonts w:ascii="Times New Roman" w:hAnsi="Times New Roman"/>
          <w:color w:val="auto"/>
          <w:sz w:val="24"/>
          <w:szCs w:val="24"/>
        </w:rPr>
        <w:t>This should be prioritised given that in the past the Department</w:t>
      </w:r>
      <w:r w:rsidR="00F610FE">
        <w:rPr>
          <w:rFonts w:ascii="Times New Roman" w:hAnsi="Times New Roman"/>
          <w:color w:val="auto"/>
          <w:sz w:val="24"/>
          <w:szCs w:val="24"/>
        </w:rPr>
        <w:t xml:space="preserve"> of Energy</w:t>
      </w:r>
      <w:r w:rsidR="00F610FE" w:rsidRPr="00F610FE">
        <w:rPr>
          <w:rFonts w:ascii="Times New Roman" w:hAnsi="Times New Roman"/>
          <w:color w:val="auto"/>
          <w:sz w:val="24"/>
          <w:szCs w:val="24"/>
        </w:rPr>
        <w:t xml:space="preserve"> experienced </w:t>
      </w:r>
      <w:r w:rsidR="00F610FE">
        <w:rPr>
          <w:rFonts w:ascii="Times New Roman" w:hAnsi="Times New Roman"/>
          <w:color w:val="auto"/>
          <w:sz w:val="24"/>
          <w:szCs w:val="24"/>
        </w:rPr>
        <w:t>budget cuts resulting mainly from</w:t>
      </w:r>
      <w:r w:rsidR="00F610FE" w:rsidRPr="00F610FE">
        <w:rPr>
          <w:rFonts w:ascii="Times New Roman" w:hAnsi="Times New Roman"/>
          <w:color w:val="auto"/>
          <w:sz w:val="24"/>
          <w:szCs w:val="24"/>
        </w:rPr>
        <w:t xml:space="preserve"> underspending and underperformance</w:t>
      </w:r>
      <w:r w:rsidR="00396639">
        <w:rPr>
          <w:rFonts w:ascii="Times New Roman" w:hAnsi="Times New Roman"/>
          <w:color w:val="auto"/>
          <w:sz w:val="24"/>
          <w:szCs w:val="24"/>
        </w:rPr>
        <w:t>.</w:t>
      </w:r>
    </w:p>
    <w:p w14:paraId="538D7357" w14:textId="60410E5B" w:rsidR="00B91E31" w:rsidRDefault="006827E8" w:rsidP="008E04A2">
      <w:pPr>
        <w:numPr>
          <w:ilvl w:val="2"/>
          <w:numId w:val="16"/>
        </w:numPr>
        <w:tabs>
          <w:tab w:val="left" w:pos="709"/>
        </w:tabs>
        <w:spacing w:line="360" w:lineRule="auto"/>
        <w:ind w:left="1560" w:hanging="851"/>
        <w:contextualSpacing/>
        <w:jc w:val="both"/>
        <w:rPr>
          <w:rFonts w:ascii="Times New Roman" w:hAnsi="Times New Roman"/>
          <w:color w:val="auto"/>
          <w:sz w:val="24"/>
          <w:szCs w:val="24"/>
        </w:rPr>
      </w:pPr>
      <w:proofErr w:type="spellStart"/>
      <w:r w:rsidRPr="00B91E31">
        <w:rPr>
          <w:rFonts w:ascii="Times New Roman" w:hAnsi="Times New Roman"/>
          <w:color w:val="auto"/>
          <w:sz w:val="24"/>
          <w:szCs w:val="24"/>
        </w:rPr>
        <w:t>PetroSA</w:t>
      </w:r>
      <w:proofErr w:type="spellEnd"/>
      <w:r w:rsidR="002462D6" w:rsidRPr="00B91E31">
        <w:rPr>
          <w:rFonts w:ascii="Times New Roman" w:hAnsi="Times New Roman"/>
          <w:color w:val="auto"/>
          <w:sz w:val="24"/>
          <w:szCs w:val="24"/>
        </w:rPr>
        <w:t xml:space="preserve"> </w:t>
      </w:r>
      <w:r w:rsidRPr="00B91E31">
        <w:rPr>
          <w:rFonts w:ascii="Times New Roman" w:hAnsi="Times New Roman"/>
          <w:color w:val="auto"/>
          <w:sz w:val="24"/>
          <w:szCs w:val="24"/>
        </w:rPr>
        <w:t xml:space="preserve">implements a </w:t>
      </w:r>
      <w:r w:rsidR="002462D6" w:rsidRPr="00B91E31">
        <w:rPr>
          <w:rFonts w:ascii="Times New Roman" w:hAnsi="Times New Roman"/>
          <w:color w:val="auto"/>
          <w:sz w:val="24"/>
          <w:szCs w:val="24"/>
        </w:rPr>
        <w:t xml:space="preserve">workable and </w:t>
      </w:r>
      <w:r w:rsidRPr="00B91E31">
        <w:rPr>
          <w:rFonts w:ascii="Times New Roman" w:hAnsi="Times New Roman"/>
          <w:color w:val="auto"/>
          <w:sz w:val="24"/>
          <w:szCs w:val="24"/>
        </w:rPr>
        <w:t>sustainable solution</w:t>
      </w:r>
      <w:r w:rsidR="002462D6" w:rsidRPr="00B91E31">
        <w:rPr>
          <w:rFonts w:ascii="Times New Roman" w:hAnsi="Times New Roman"/>
          <w:color w:val="auto"/>
          <w:sz w:val="24"/>
          <w:szCs w:val="24"/>
        </w:rPr>
        <w:t xml:space="preserve"> to the reported</w:t>
      </w:r>
      <w:r w:rsidRPr="00B91E31">
        <w:rPr>
          <w:rFonts w:ascii="Times New Roman" w:hAnsi="Times New Roman"/>
          <w:color w:val="auto"/>
          <w:sz w:val="24"/>
          <w:szCs w:val="24"/>
        </w:rPr>
        <w:t xml:space="preserve"> </w:t>
      </w:r>
      <w:r w:rsidR="00B91E31" w:rsidRPr="00B91E31">
        <w:rPr>
          <w:rFonts w:ascii="Times New Roman" w:hAnsi="Times New Roman"/>
          <w:color w:val="auto"/>
          <w:sz w:val="24"/>
          <w:szCs w:val="24"/>
        </w:rPr>
        <w:t>challenge of</w:t>
      </w:r>
      <w:r w:rsidRPr="00B91E31">
        <w:rPr>
          <w:rFonts w:ascii="Times New Roman" w:hAnsi="Times New Roman"/>
          <w:color w:val="auto"/>
          <w:sz w:val="24"/>
          <w:szCs w:val="24"/>
        </w:rPr>
        <w:t xml:space="preserve"> </w:t>
      </w:r>
      <w:r w:rsidR="002462D6" w:rsidRPr="00B91E31">
        <w:rPr>
          <w:rFonts w:ascii="Times New Roman" w:hAnsi="Times New Roman"/>
          <w:color w:val="auto"/>
          <w:sz w:val="24"/>
          <w:szCs w:val="24"/>
        </w:rPr>
        <w:t>R8.8 billion shortfall</w:t>
      </w:r>
      <w:r w:rsidRPr="00B91E31">
        <w:rPr>
          <w:rFonts w:ascii="Times New Roman" w:hAnsi="Times New Roman"/>
          <w:color w:val="auto"/>
          <w:sz w:val="24"/>
          <w:szCs w:val="24"/>
        </w:rPr>
        <w:t xml:space="preserve"> </w:t>
      </w:r>
      <w:r w:rsidR="002462D6" w:rsidRPr="00B91E31">
        <w:rPr>
          <w:rFonts w:ascii="Times New Roman" w:hAnsi="Times New Roman"/>
          <w:color w:val="auto"/>
          <w:sz w:val="24"/>
          <w:szCs w:val="24"/>
        </w:rPr>
        <w:t>for its decommissioning liabilities.</w:t>
      </w:r>
    </w:p>
    <w:p w14:paraId="55C57546" w14:textId="77777777" w:rsidR="00B91E31" w:rsidRDefault="00B91E31" w:rsidP="008E04A2">
      <w:pPr>
        <w:pStyle w:val="ListParagraph"/>
        <w:rPr>
          <w:rFonts w:ascii="Times New Roman" w:hAnsi="Times New Roman"/>
          <w:color w:val="auto"/>
          <w:sz w:val="24"/>
          <w:szCs w:val="24"/>
        </w:rPr>
      </w:pPr>
    </w:p>
    <w:p w14:paraId="260AB8D6" w14:textId="5C9E0AAF" w:rsidR="003C0920" w:rsidRPr="00E61CAC" w:rsidRDefault="003C0920" w:rsidP="00F610FE">
      <w:pPr>
        <w:tabs>
          <w:tab w:val="left" w:pos="709"/>
        </w:tabs>
        <w:spacing w:line="360" w:lineRule="auto"/>
        <w:contextualSpacing/>
        <w:jc w:val="both"/>
        <w:rPr>
          <w:rFonts w:ascii="Times New Roman" w:hAnsi="Times New Roman"/>
          <w:color w:val="auto"/>
          <w:sz w:val="24"/>
          <w:szCs w:val="24"/>
        </w:rPr>
      </w:pPr>
    </w:p>
    <w:p w14:paraId="0461B98B" w14:textId="77777777" w:rsidR="003C0920" w:rsidRPr="00E61CAC" w:rsidRDefault="003C0920" w:rsidP="003C0920">
      <w:pPr>
        <w:numPr>
          <w:ilvl w:val="1"/>
          <w:numId w:val="16"/>
        </w:numPr>
        <w:tabs>
          <w:tab w:val="left" w:pos="709"/>
        </w:tabs>
        <w:spacing w:line="360" w:lineRule="auto"/>
        <w:ind w:left="851" w:hanging="851"/>
        <w:contextualSpacing/>
        <w:jc w:val="both"/>
        <w:rPr>
          <w:rFonts w:ascii="Times New Roman" w:hAnsi="Times New Roman"/>
          <w:color w:val="auto"/>
          <w:sz w:val="24"/>
          <w:szCs w:val="24"/>
        </w:rPr>
      </w:pPr>
      <w:r w:rsidRPr="00E61CAC">
        <w:rPr>
          <w:rFonts w:ascii="Times New Roman" w:hAnsi="Times New Roman"/>
          <w:color w:val="auto"/>
          <w:sz w:val="24"/>
          <w:szCs w:val="24"/>
        </w:rPr>
        <w:t xml:space="preserve">The Minister of </w:t>
      </w:r>
      <w:r>
        <w:rPr>
          <w:rFonts w:ascii="Times New Roman" w:hAnsi="Times New Roman"/>
          <w:color w:val="auto"/>
          <w:sz w:val="24"/>
          <w:szCs w:val="24"/>
        </w:rPr>
        <w:t>Agriculture, Forestry and Fisheries</w:t>
      </w:r>
      <w:r w:rsidRPr="00E61CAC">
        <w:rPr>
          <w:rFonts w:ascii="Times New Roman" w:hAnsi="Times New Roman"/>
          <w:color w:val="auto"/>
          <w:sz w:val="24"/>
          <w:szCs w:val="24"/>
        </w:rPr>
        <w:t xml:space="preserve"> should ensure that:</w:t>
      </w:r>
    </w:p>
    <w:p w14:paraId="3417CE22" w14:textId="2B9ADC76" w:rsidR="003C0920" w:rsidRPr="00080110" w:rsidRDefault="003C0920" w:rsidP="003C0920">
      <w:pPr>
        <w:numPr>
          <w:ilvl w:val="2"/>
          <w:numId w:val="16"/>
        </w:numPr>
        <w:tabs>
          <w:tab w:val="left" w:pos="709"/>
        </w:tabs>
        <w:spacing w:line="360" w:lineRule="auto"/>
        <w:ind w:left="1560" w:hanging="851"/>
        <w:contextualSpacing/>
        <w:jc w:val="both"/>
        <w:rPr>
          <w:rFonts w:ascii="Times New Roman" w:hAnsi="Times New Roman"/>
          <w:color w:val="auto"/>
          <w:sz w:val="24"/>
          <w:szCs w:val="24"/>
        </w:rPr>
      </w:pPr>
      <w:r w:rsidRPr="00E61CAC">
        <w:rPr>
          <w:rFonts w:ascii="Times New Roman" w:hAnsi="Times New Roman"/>
          <w:sz w:val="24"/>
          <w:szCs w:val="24"/>
        </w:rPr>
        <w:t xml:space="preserve">The </w:t>
      </w:r>
      <w:r w:rsidRPr="00E61CAC">
        <w:rPr>
          <w:rFonts w:ascii="Times New Roman" w:hAnsi="Times New Roman"/>
          <w:color w:val="auto"/>
          <w:sz w:val="24"/>
          <w:szCs w:val="24"/>
        </w:rPr>
        <w:t xml:space="preserve">Department of </w:t>
      </w:r>
      <w:r>
        <w:rPr>
          <w:rFonts w:ascii="Times New Roman" w:hAnsi="Times New Roman"/>
          <w:color w:val="auto"/>
          <w:sz w:val="24"/>
          <w:szCs w:val="24"/>
        </w:rPr>
        <w:t xml:space="preserve">Agriculture, Forestry and Fisheries prioritises the filling of </w:t>
      </w:r>
      <w:r>
        <w:rPr>
          <w:rFonts w:ascii="Times New Roman" w:hAnsi="Times New Roman"/>
          <w:sz w:val="24"/>
          <w:szCs w:val="24"/>
        </w:rPr>
        <w:t>vacancies within the Internal Audit</w:t>
      </w:r>
      <w:r w:rsidR="00701D7B">
        <w:rPr>
          <w:rFonts w:ascii="Times New Roman" w:hAnsi="Times New Roman"/>
          <w:sz w:val="24"/>
          <w:szCs w:val="24"/>
        </w:rPr>
        <w:t xml:space="preserve"> unit</w:t>
      </w:r>
      <w:r>
        <w:rPr>
          <w:rFonts w:ascii="Times New Roman" w:hAnsi="Times New Roman"/>
          <w:sz w:val="24"/>
          <w:szCs w:val="24"/>
        </w:rPr>
        <w:t xml:space="preserve"> a</w:t>
      </w:r>
      <w:r w:rsidR="00095B48">
        <w:rPr>
          <w:rFonts w:ascii="Times New Roman" w:hAnsi="Times New Roman"/>
          <w:sz w:val="24"/>
          <w:szCs w:val="24"/>
        </w:rPr>
        <w:t>nd ensure that a</w:t>
      </w:r>
      <w:r w:rsidRPr="00E61CAC">
        <w:rPr>
          <w:rFonts w:ascii="Times New Roman" w:hAnsi="Times New Roman"/>
          <w:sz w:val="24"/>
          <w:szCs w:val="24"/>
        </w:rPr>
        <w:t xml:space="preserve">ll </w:t>
      </w:r>
      <w:r w:rsidR="00095B48">
        <w:rPr>
          <w:rFonts w:ascii="Times New Roman" w:hAnsi="Times New Roman"/>
          <w:sz w:val="24"/>
          <w:szCs w:val="24"/>
        </w:rPr>
        <w:t>other critical</w:t>
      </w:r>
      <w:r>
        <w:rPr>
          <w:rFonts w:ascii="Times New Roman" w:hAnsi="Times New Roman"/>
          <w:sz w:val="24"/>
          <w:szCs w:val="24"/>
        </w:rPr>
        <w:t xml:space="preserve"> </w:t>
      </w:r>
      <w:r w:rsidRPr="00E61CAC">
        <w:rPr>
          <w:rFonts w:ascii="Times New Roman" w:hAnsi="Times New Roman"/>
          <w:sz w:val="24"/>
          <w:szCs w:val="24"/>
        </w:rPr>
        <w:t>vacant posts</w:t>
      </w:r>
      <w:r w:rsidR="00095B48">
        <w:rPr>
          <w:rFonts w:ascii="Times New Roman" w:hAnsi="Times New Roman"/>
          <w:sz w:val="24"/>
          <w:szCs w:val="24"/>
        </w:rPr>
        <w:t xml:space="preserve"> are filled</w:t>
      </w:r>
      <w:r w:rsidRPr="00E61CAC">
        <w:rPr>
          <w:rFonts w:ascii="Times New Roman" w:hAnsi="Times New Roman"/>
          <w:sz w:val="24"/>
          <w:szCs w:val="24"/>
        </w:rPr>
        <w:t xml:space="preserve"> timeously.</w:t>
      </w:r>
    </w:p>
    <w:p w14:paraId="0BC289BE" w14:textId="1A3E0CEB" w:rsidR="006E3DB0" w:rsidRPr="00507A1B" w:rsidRDefault="003C0920" w:rsidP="00507A1B">
      <w:pPr>
        <w:numPr>
          <w:ilvl w:val="2"/>
          <w:numId w:val="16"/>
        </w:numPr>
        <w:tabs>
          <w:tab w:val="left" w:pos="709"/>
        </w:tabs>
        <w:spacing w:line="360" w:lineRule="auto"/>
        <w:ind w:left="1560" w:hanging="851"/>
        <w:contextualSpacing/>
        <w:jc w:val="both"/>
        <w:rPr>
          <w:rFonts w:ascii="Times New Roman" w:hAnsi="Times New Roman"/>
          <w:color w:val="auto"/>
          <w:sz w:val="24"/>
          <w:szCs w:val="24"/>
        </w:rPr>
      </w:pPr>
      <w:r>
        <w:rPr>
          <w:rFonts w:ascii="Times New Roman" w:hAnsi="Times New Roman"/>
          <w:sz w:val="24"/>
          <w:szCs w:val="24"/>
        </w:rPr>
        <w:lastRenderedPageBreak/>
        <w:t>The Department of Agriculture, Forestry and Fisheries puts in place proper planning, budgeting and financial management mechanisms to prevent accruals.</w:t>
      </w:r>
    </w:p>
    <w:p w14:paraId="059A4055" w14:textId="6AE5CFEC" w:rsidR="00396639" w:rsidRPr="00F14632" w:rsidRDefault="00396639" w:rsidP="00666CB2">
      <w:pPr>
        <w:numPr>
          <w:ilvl w:val="2"/>
          <w:numId w:val="16"/>
        </w:numPr>
        <w:tabs>
          <w:tab w:val="left" w:pos="709"/>
        </w:tabs>
        <w:spacing w:line="360" w:lineRule="auto"/>
        <w:ind w:left="1560" w:hanging="851"/>
        <w:contextualSpacing/>
        <w:jc w:val="both"/>
        <w:rPr>
          <w:rFonts w:ascii="Times New Roman" w:hAnsi="Times New Roman"/>
          <w:color w:val="auto"/>
          <w:sz w:val="24"/>
          <w:szCs w:val="24"/>
        </w:rPr>
      </w:pPr>
      <w:r w:rsidRPr="00F14632">
        <w:rPr>
          <w:rFonts w:ascii="Times New Roman" w:hAnsi="Times New Roman"/>
          <w:color w:val="auto"/>
          <w:sz w:val="24"/>
          <w:szCs w:val="24"/>
          <w:lang w:val="en-ZA"/>
        </w:rPr>
        <w:t xml:space="preserve">The </w:t>
      </w:r>
      <w:r w:rsidR="00BC4771" w:rsidRPr="00F14632">
        <w:rPr>
          <w:rFonts w:ascii="Times New Roman" w:hAnsi="Times New Roman"/>
          <w:color w:val="auto"/>
          <w:sz w:val="24"/>
          <w:szCs w:val="24"/>
          <w:lang w:val="en-ZA"/>
        </w:rPr>
        <w:t>Department of Agriculture, Forestry and Fisheries wo</w:t>
      </w:r>
      <w:r w:rsidR="00306BD4" w:rsidRPr="00F14632">
        <w:rPr>
          <w:rFonts w:ascii="Times New Roman" w:hAnsi="Times New Roman"/>
          <w:color w:val="auto"/>
          <w:sz w:val="24"/>
          <w:szCs w:val="24"/>
          <w:lang w:val="en-ZA"/>
        </w:rPr>
        <w:t>rks closely with</w:t>
      </w:r>
      <w:r w:rsidR="00666CB2">
        <w:rPr>
          <w:rFonts w:ascii="Times New Roman" w:hAnsi="Times New Roman"/>
          <w:color w:val="auto"/>
          <w:sz w:val="24"/>
          <w:szCs w:val="24"/>
          <w:lang w:val="en-ZA"/>
        </w:rPr>
        <w:t xml:space="preserve"> the Land Bank</w:t>
      </w:r>
      <w:r w:rsidR="00F14632" w:rsidRPr="00F14632">
        <w:rPr>
          <w:rFonts w:ascii="Times New Roman" w:hAnsi="Times New Roman"/>
          <w:color w:val="auto"/>
          <w:sz w:val="24"/>
          <w:szCs w:val="24"/>
          <w:lang w:val="en-ZA"/>
        </w:rPr>
        <w:t xml:space="preserve"> </w:t>
      </w:r>
      <w:r w:rsidR="00306BD4" w:rsidRPr="00F14632">
        <w:rPr>
          <w:rFonts w:ascii="Times New Roman" w:hAnsi="Times New Roman"/>
          <w:color w:val="auto"/>
          <w:sz w:val="24"/>
          <w:szCs w:val="24"/>
          <w:lang w:val="en-ZA"/>
        </w:rPr>
        <w:t xml:space="preserve">to ensure that </w:t>
      </w:r>
      <w:r w:rsidRPr="00F14632">
        <w:rPr>
          <w:rFonts w:ascii="Times New Roman" w:hAnsi="Times New Roman"/>
          <w:color w:val="auto"/>
          <w:sz w:val="24"/>
          <w:szCs w:val="24"/>
          <w:lang w:val="en-ZA"/>
        </w:rPr>
        <w:t xml:space="preserve">funds earmarked for </w:t>
      </w:r>
      <w:r w:rsidRPr="006D7ED3">
        <w:rPr>
          <w:rFonts w:ascii="Times New Roman" w:hAnsi="Times New Roman"/>
          <w:color w:val="auto"/>
          <w:sz w:val="24"/>
          <w:szCs w:val="24"/>
          <w:lang w:val="en-ZA"/>
        </w:rPr>
        <w:t>smallholder farmers</w:t>
      </w:r>
      <w:r w:rsidRPr="00F14632">
        <w:rPr>
          <w:rFonts w:ascii="Times New Roman" w:hAnsi="Times New Roman"/>
          <w:color w:val="auto"/>
          <w:sz w:val="24"/>
          <w:szCs w:val="24"/>
          <w:lang w:val="en-ZA"/>
        </w:rPr>
        <w:t xml:space="preserve"> su</w:t>
      </w:r>
      <w:r w:rsidR="00A826A4">
        <w:rPr>
          <w:rFonts w:ascii="Times New Roman" w:hAnsi="Times New Roman"/>
          <w:color w:val="auto"/>
          <w:sz w:val="24"/>
          <w:szCs w:val="24"/>
          <w:lang w:val="en-ZA"/>
        </w:rPr>
        <w:t xml:space="preserve">pport and </w:t>
      </w:r>
      <w:r w:rsidR="00306BD4" w:rsidRPr="00F14632">
        <w:rPr>
          <w:rFonts w:ascii="Times New Roman" w:hAnsi="Times New Roman"/>
          <w:color w:val="auto"/>
          <w:sz w:val="24"/>
          <w:szCs w:val="24"/>
          <w:lang w:val="en-ZA"/>
        </w:rPr>
        <w:t xml:space="preserve">the </w:t>
      </w:r>
      <w:proofErr w:type="spellStart"/>
      <w:r w:rsidR="00306BD4" w:rsidRPr="00F14632">
        <w:rPr>
          <w:rFonts w:ascii="Times New Roman" w:hAnsi="Times New Roman"/>
          <w:color w:val="auto"/>
          <w:sz w:val="24"/>
          <w:szCs w:val="24"/>
          <w:lang w:val="en-ZA"/>
        </w:rPr>
        <w:t>AgriBEE</w:t>
      </w:r>
      <w:proofErr w:type="spellEnd"/>
      <w:r w:rsidR="00306BD4" w:rsidRPr="00F14632">
        <w:rPr>
          <w:rFonts w:ascii="Times New Roman" w:hAnsi="Times New Roman"/>
          <w:color w:val="auto"/>
          <w:sz w:val="24"/>
          <w:szCs w:val="24"/>
          <w:lang w:val="en-ZA"/>
        </w:rPr>
        <w:t xml:space="preserve"> fund are transferred in line with the agreed schedule and conditions set out in the Division of Revenue Act.</w:t>
      </w:r>
      <w:r w:rsidR="00F14632">
        <w:rPr>
          <w:rFonts w:ascii="Times New Roman" w:hAnsi="Times New Roman"/>
          <w:color w:val="auto"/>
          <w:sz w:val="24"/>
          <w:szCs w:val="24"/>
          <w:lang w:val="en-ZA"/>
        </w:rPr>
        <w:t xml:space="preserve"> This should include timeous completion of the memorandum of agreements between the Department and the Land Bank.</w:t>
      </w:r>
    </w:p>
    <w:p w14:paraId="5B45A98C" w14:textId="0A89A02E" w:rsidR="004222CE" w:rsidRPr="00B94C0A" w:rsidRDefault="004222CE" w:rsidP="00B94C0A">
      <w:pPr>
        <w:spacing w:line="360" w:lineRule="auto"/>
        <w:jc w:val="both"/>
        <w:rPr>
          <w:rFonts w:ascii="Times New Roman" w:hAnsi="Times New Roman"/>
          <w:b/>
          <w:color w:val="auto"/>
          <w:sz w:val="24"/>
          <w:szCs w:val="24"/>
        </w:rPr>
      </w:pPr>
    </w:p>
    <w:p w14:paraId="24945CFB" w14:textId="667E77FE" w:rsidR="005915E7" w:rsidRPr="003304D9" w:rsidRDefault="005915E7" w:rsidP="00DA6AD9">
      <w:pPr>
        <w:pStyle w:val="ListParagraph"/>
        <w:spacing w:line="360" w:lineRule="auto"/>
        <w:ind w:left="426"/>
        <w:jc w:val="both"/>
        <w:rPr>
          <w:rFonts w:ascii="Times New Roman" w:hAnsi="Times New Roman"/>
          <w:b/>
          <w:color w:val="auto"/>
          <w:sz w:val="24"/>
          <w:szCs w:val="24"/>
        </w:rPr>
      </w:pPr>
    </w:p>
    <w:p w14:paraId="4A16BE2E" w14:textId="2CA3E8BD" w:rsidR="00231B6F" w:rsidRPr="003304D9" w:rsidRDefault="00231B6F" w:rsidP="00DA6AD9">
      <w:pPr>
        <w:pStyle w:val="ListParagraph"/>
        <w:numPr>
          <w:ilvl w:val="0"/>
          <w:numId w:val="1"/>
        </w:numPr>
        <w:tabs>
          <w:tab w:val="clear" w:pos="720"/>
          <w:tab w:val="num" w:pos="284"/>
        </w:tabs>
        <w:spacing w:line="360" w:lineRule="auto"/>
        <w:ind w:left="426" w:hanging="426"/>
        <w:jc w:val="both"/>
        <w:rPr>
          <w:rFonts w:ascii="Times New Roman" w:hAnsi="Times New Roman"/>
          <w:b/>
          <w:color w:val="auto"/>
          <w:sz w:val="24"/>
          <w:szCs w:val="24"/>
        </w:rPr>
      </w:pPr>
      <w:r w:rsidRPr="003304D9">
        <w:rPr>
          <w:rFonts w:ascii="Times New Roman" w:hAnsi="Times New Roman"/>
          <w:b/>
          <w:color w:val="auto"/>
          <w:sz w:val="24"/>
          <w:szCs w:val="24"/>
        </w:rPr>
        <w:t>Conclusion</w:t>
      </w:r>
    </w:p>
    <w:p w14:paraId="658AB7CF" w14:textId="77777777" w:rsidR="00231B6F" w:rsidRPr="00055E35" w:rsidRDefault="00231B6F" w:rsidP="00DA6AD9">
      <w:pPr>
        <w:spacing w:line="360" w:lineRule="auto"/>
        <w:contextualSpacing/>
        <w:jc w:val="both"/>
        <w:rPr>
          <w:rFonts w:ascii="Times New Roman" w:hAnsi="Times New Roman"/>
          <w:color w:val="auto"/>
          <w:sz w:val="24"/>
          <w:szCs w:val="24"/>
        </w:rPr>
      </w:pPr>
    </w:p>
    <w:p w14:paraId="15BA7CE2" w14:textId="73A31B12" w:rsidR="00231B6F" w:rsidRPr="00055E35" w:rsidRDefault="00231B6F" w:rsidP="00DA6AD9">
      <w:pPr>
        <w:autoSpaceDE w:val="0"/>
        <w:autoSpaceDN w:val="0"/>
        <w:adjustRightInd w:val="0"/>
        <w:spacing w:line="360" w:lineRule="auto"/>
        <w:contextualSpacing/>
        <w:jc w:val="both"/>
        <w:rPr>
          <w:rFonts w:ascii="Times New Roman" w:hAnsi="Times New Roman"/>
          <w:color w:val="auto"/>
          <w:sz w:val="24"/>
          <w:szCs w:val="24"/>
        </w:rPr>
      </w:pPr>
      <w:r w:rsidRPr="00055E35">
        <w:rPr>
          <w:rFonts w:ascii="Times New Roman" w:hAnsi="Times New Roman"/>
          <w:color w:val="auto"/>
          <w:sz w:val="24"/>
          <w:szCs w:val="24"/>
        </w:rPr>
        <w:t>The responses to the recomme</w:t>
      </w:r>
      <w:r w:rsidR="00792A91">
        <w:rPr>
          <w:rFonts w:ascii="Times New Roman" w:hAnsi="Times New Roman"/>
          <w:color w:val="auto"/>
          <w:sz w:val="24"/>
          <w:szCs w:val="24"/>
        </w:rPr>
        <w:t>ndations as set out in section 6</w:t>
      </w:r>
      <w:r w:rsidRPr="00055E35">
        <w:rPr>
          <w:rFonts w:ascii="Times New Roman" w:hAnsi="Times New Roman"/>
          <w:color w:val="auto"/>
          <w:sz w:val="24"/>
          <w:szCs w:val="24"/>
        </w:rPr>
        <w:t xml:space="preserve"> above by the relevant Executive Authorities must be sent to Parliament within 60 days of the adoption of this report by the National Assembly.</w:t>
      </w:r>
    </w:p>
    <w:p w14:paraId="2E55A72B" w14:textId="77777777" w:rsidR="00231B6F" w:rsidRPr="00055E35" w:rsidRDefault="00231B6F" w:rsidP="00DA6AD9">
      <w:pPr>
        <w:spacing w:line="360" w:lineRule="auto"/>
        <w:contextualSpacing/>
        <w:jc w:val="both"/>
        <w:rPr>
          <w:rFonts w:ascii="Times New Roman" w:hAnsi="Times New Roman"/>
          <w:color w:val="auto"/>
          <w:sz w:val="24"/>
          <w:szCs w:val="24"/>
        </w:rPr>
      </w:pPr>
    </w:p>
    <w:p w14:paraId="26FAF7E3" w14:textId="77777777" w:rsidR="00231B6F" w:rsidRPr="00055E35" w:rsidRDefault="00231B6F" w:rsidP="00DA6AD9">
      <w:pPr>
        <w:spacing w:line="360" w:lineRule="auto"/>
        <w:contextualSpacing/>
        <w:jc w:val="both"/>
        <w:rPr>
          <w:rFonts w:ascii="Times New Roman" w:hAnsi="Times New Roman"/>
          <w:color w:val="auto"/>
          <w:sz w:val="24"/>
          <w:szCs w:val="24"/>
        </w:rPr>
      </w:pPr>
    </w:p>
    <w:p w14:paraId="05047C16" w14:textId="77777777" w:rsidR="00231B6F" w:rsidRPr="00055E35" w:rsidRDefault="00231B6F" w:rsidP="00DA6AD9">
      <w:pPr>
        <w:spacing w:line="360" w:lineRule="auto"/>
        <w:contextualSpacing/>
        <w:jc w:val="both"/>
        <w:rPr>
          <w:rFonts w:ascii="Times New Roman" w:hAnsi="Times New Roman"/>
          <w:color w:val="auto"/>
          <w:sz w:val="24"/>
          <w:szCs w:val="24"/>
        </w:rPr>
      </w:pPr>
    </w:p>
    <w:p w14:paraId="18190973" w14:textId="7E2FFEDD" w:rsidR="00231B6F" w:rsidRDefault="00231B6F" w:rsidP="00DA6AD9">
      <w:pPr>
        <w:spacing w:line="360" w:lineRule="auto"/>
        <w:contextualSpacing/>
        <w:jc w:val="both"/>
        <w:rPr>
          <w:rFonts w:ascii="Times New Roman" w:hAnsi="Times New Roman"/>
          <w:color w:val="auto"/>
          <w:sz w:val="24"/>
          <w:szCs w:val="24"/>
        </w:rPr>
      </w:pPr>
      <w:r w:rsidRPr="00055E35">
        <w:rPr>
          <w:rFonts w:ascii="Times New Roman" w:hAnsi="Times New Roman"/>
          <w:color w:val="auto"/>
          <w:sz w:val="24"/>
          <w:szCs w:val="24"/>
        </w:rPr>
        <w:t xml:space="preserve">Report to be considered. </w:t>
      </w:r>
    </w:p>
    <w:p w14:paraId="125163BE" w14:textId="551A0308" w:rsidR="005C7538" w:rsidRDefault="005C7538" w:rsidP="00DA6AD9">
      <w:pPr>
        <w:spacing w:line="360" w:lineRule="auto"/>
        <w:contextualSpacing/>
        <w:jc w:val="both"/>
        <w:rPr>
          <w:rFonts w:ascii="Times New Roman" w:hAnsi="Times New Roman"/>
          <w:color w:val="auto"/>
          <w:sz w:val="24"/>
          <w:szCs w:val="24"/>
        </w:rPr>
      </w:pPr>
    </w:p>
    <w:p w14:paraId="61F329D0" w14:textId="4CE17C40" w:rsidR="005C7538" w:rsidRDefault="005C7538" w:rsidP="00DA6AD9">
      <w:pPr>
        <w:spacing w:line="360" w:lineRule="auto"/>
        <w:contextualSpacing/>
        <w:jc w:val="both"/>
        <w:rPr>
          <w:rFonts w:ascii="Times New Roman" w:hAnsi="Times New Roman"/>
          <w:color w:val="auto"/>
          <w:sz w:val="24"/>
          <w:szCs w:val="24"/>
        </w:rPr>
      </w:pPr>
    </w:p>
    <w:p w14:paraId="385E0BE8" w14:textId="77777777" w:rsidR="005C7538" w:rsidRPr="00194267" w:rsidRDefault="005C7538" w:rsidP="005C7538">
      <w:pPr>
        <w:widowControl w:val="0"/>
        <w:tabs>
          <w:tab w:val="left" w:pos="7380"/>
        </w:tabs>
        <w:suppressAutoHyphens/>
        <w:autoSpaceDE w:val="0"/>
        <w:autoSpaceDN w:val="0"/>
        <w:spacing w:line="240" w:lineRule="auto"/>
        <w:jc w:val="both"/>
        <w:textAlignment w:val="baseline"/>
        <w:rPr>
          <w:rFonts w:cs="Arial"/>
          <w:b/>
          <w:lang w:val="en-US"/>
        </w:rPr>
      </w:pPr>
    </w:p>
    <w:sectPr w:rsidR="005C7538" w:rsidRPr="00194267" w:rsidSect="00D427A3">
      <w:footerReference w:type="even" r:id="rId8"/>
      <w:footerReference w:type="default" r:id="rId9"/>
      <w:footerReference w:type="first" r:id="rId10"/>
      <w:pgSz w:w="11906" w:h="16838"/>
      <w:pgMar w:top="126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0C2C7" w14:textId="77777777" w:rsidR="00D427A3" w:rsidRDefault="00D427A3">
      <w:pPr>
        <w:spacing w:line="240" w:lineRule="auto"/>
      </w:pPr>
      <w:r>
        <w:separator/>
      </w:r>
    </w:p>
  </w:endnote>
  <w:endnote w:type="continuationSeparator" w:id="0">
    <w:p w14:paraId="5E3241DA" w14:textId="77777777" w:rsidR="00D427A3" w:rsidRDefault="00D42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C5EDF" w14:textId="77777777" w:rsidR="00D427A3" w:rsidRDefault="00D427A3" w:rsidP="00A634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805067" w14:textId="77777777" w:rsidR="00D427A3" w:rsidRDefault="00D427A3" w:rsidP="00A634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836998"/>
      <w:docPartObj>
        <w:docPartGallery w:val="Page Numbers (Bottom of Page)"/>
        <w:docPartUnique/>
      </w:docPartObj>
    </w:sdtPr>
    <w:sdtEndPr>
      <w:rPr>
        <w:noProof/>
      </w:rPr>
    </w:sdtEndPr>
    <w:sdtContent>
      <w:p w14:paraId="231960A3" w14:textId="4B68105B" w:rsidR="00D427A3" w:rsidRDefault="00D427A3">
        <w:pPr>
          <w:pStyle w:val="Footer"/>
          <w:jc w:val="right"/>
        </w:pPr>
        <w:r>
          <w:fldChar w:fldCharType="begin"/>
        </w:r>
        <w:r>
          <w:instrText xml:space="preserve"> PAGE   \* MERGEFORMAT </w:instrText>
        </w:r>
        <w:r>
          <w:fldChar w:fldCharType="separate"/>
        </w:r>
        <w:r w:rsidR="006828A1">
          <w:rPr>
            <w:noProof/>
          </w:rPr>
          <w:t>18</w:t>
        </w:r>
        <w:r>
          <w:rPr>
            <w:noProof/>
          </w:rPr>
          <w:fldChar w:fldCharType="end"/>
        </w:r>
      </w:p>
    </w:sdtContent>
  </w:sdt>
  <w:p w14:paraId="1F9D0A49" w14:textId="77777777" w:rsidR="00D427A3" w:rsidRDefault="00D427A3" w:rsidP="00A6341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47477"/>
      <w:docPartObj>
        <w:docPartGallery w:val="Page Numbers (Bottom of Page)"/>
        <w:docPartUnique/>
      </w:docPartObj>
    </w:sdtPr>
    <w:sdtEndPr>
      <w:rPr>
        <w:noProof/>
      </w:rPr>
    </w:sdtEndPr>
    <w:sdtContent>
      <w:p w14:paraId="71D4C56E" w14:textId="3BC8A267" w:rsidR="00D427A3" w:rsidRDefault="00D427A3">
        <w:pPr>
          <w:pStyle w:val="Footer"/>
          <w:jc w:val="right"/>
        </w:pPr>
        <w:r>
          <w:fldChar w:fldCharType="begin"/>
        </w:r>
        <w:r>
          <w:instrText xml:space="preserve"> PAGE   \* MERGEFORMAT </w:instrText>
        </w:r>
        <w:r>
          <w:fldChar w:fldCharType="separate"/>
        </w:r>
        <w:r w:rsidR="006828A1">
          <w:rPr>
            <w:noProof/>
          </w:rPr>
          <w:t>1</w:t>
        </w:r>
        <w:r>
          <w:rPr>
            <w:noProof/>
          </w:rPr>
          <w:fldChar w:fldCharType="end"/>
        </w:r>
      </w:p>
    </w:sdtContent>
  </w:sdt>
  <w:p w14:paraId="0AA708E5" w14:textId="77777777" w:rsidR="00D427A3" w:rsidRDefault="00D42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FC09D" w14:textId="77777777" w:rsidR="00D427A3" w:rsidRDefault="00D427A3">
      <w:pPr>
        <w:spacing w:line="240" w:lineRule="auto"/>
      </w:pPr>
      <w:r>
        <w:separator/>
      </w:r>
    </w:p>
  </w:footnote>
  <w:footnote w:type="continuationSeparator" w:id="0">
    <w:p w14:paraId="09E515AC" w14:textId="77777777" w:rsidR="00D427A3" w:rsidRDefault="00D427A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D49"/>
    <w:multiLevelType w:val="multilevel"/>
    <w:tmpl w:val="4914E4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2879E6"/>
    <w:multiLevelType w:val="hybridMultilevel"/>
    <w:tmpl w:val="CC2A2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736B7"/>
    <w:multiLevelType w:val="multilevel"/>
    <w:tmpl w:val="B0DC78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D182AD4"/>
    <w:multiLevelType w:val="hybridMultilevel"/>
    <w:tmpl w:val="951CC6D0"/>
    <w:lvl w:ilvl="0" w:tplc="BEECFF16">
      <w:start w:val="1"/>
      <w:numFmt w:val="decimal"/>
      <w:lvlText w:val="%1."/>
      <w:lvlJc w:val="left"/>
      <w:pPr>
        <w:tabs>
          <w:tab w:val="num" w:pos="720"/>
        </w:tabs>
        <w:ind w:left="720" w:hanging="360"/>
      </w:pPr>
    </w:lvl>
    <w:lvl w:ilvl="1" w:tplc="933E29A6">
      <w:numFmt w:val="none"/>
      <w:lvlText w:val=""/>
      <w:lvlJc w:val="left"/>
      <w:pPr>
        <w:tabs>
          <w:tab w:val="num" w:pos="360"/>
        </w:tabs>
      </w:pPr>
    </w:lvl>
    <w:lvl w:ilvl="2" w:tplc="4D7CF47A">
      <w:numFmt w:val="none"/>
      <w:lvlText w:val=""/>
      <w:lvlJc w:val="left"/>
      <w:pPr>
        <w:tabs>
          <w:tab w:val="num" w:pos="360"/>
        </w:tabs>
      </w:pPr>
    </w:lvl>
    <w:lvl w:ilvl="3" w:tplc="76562E6E">
      <w:numFmt w:val="none"/>
      <w:lvlText w:val=""/>
      <w:lvlJc w:val="left"/>
      <w:pPr>
        <w:tabs>
          <w:tab w:val="num" w:pos="360"/>
        </w:tabs>
      </w:pPr>
    </w:lvl>
    <w:lvl w:ilvl="4" w:tplc="BB2E69B6">
      <w:numFmt w:val="none"/>
      <w:lvlText w:val=""/>
      <w:lvlJc w:val="left"/>
      <w:pPr>
        <w:tabs>
          <w:tab w:val="num" w:pos="360"/>
        </w:tabs>
      </w:pPr>
    </w:lvl>
    <w:lvl w:ilvl="5" w:tplc="D82C956A">
      <w:numFmt w:val="none"/>
      <w:lvlText w:val=""/>
      <w:lvlJc w:val="left"/>
      <w:pPr>
        <w:tabs>
          <w:tab w:val="num" w:pos="360"/>
        </w:tabs>
      </w:pPr>
    </w:lvl>
    <w:lvl w:ilvl="6" w:tplc="8A543E78">
      <w:numFmt w:val="none"/>
      <w:lvlText w:val=""/>
      <w:lvlJc w:val="left"/>
      <w:pPr>
        <w:tabs>
          <w:tab w:val="num" w:pos="360"/>
        </w:tabs>
      </w:pPr>
    </w:lvl>
    <w:lvl w:ilvl="7" w:tplc="D13A5B98">
      <w:numFmt w:val="none"/>
      <w:lvlText w:val=""/>
      <w:lvlJc w:val="left"/>
      <w:pPr>
        <w:tabs>
          <w:tab w:val="num" w:pos="360"/>
        </w:tabs>
      </w:pPr>
    </w:lvl>
    <w:lvl w:ilvl="8" w:tplc="6D44452A">
      <w:numFmt w:val="none"/>
      <w:lvlText w:val=""/>
      <w:lvlJc w:val="left"/>
      <w:pPr>
        <w:tabs>
          <w:tab w:val="num" w:pos="360"/>
        </w:tabs>
      </w:pPr>
    </w:lvl>
  </w:abstractNum>
  <w:abstractNum w:abstractNumId="4">
    <w:nsid w:val="34B24038"/>
    <w:multiLevelType w:val="hybridMultilevel"/>
    <w:tmpl w:val="BE4627A4"/>
    <w:lvl w:ilvl="0" w:tplc="0D748162">
      <w:start w:val="1"/>
      <w:numFmt w:val="bullet"/>
      <w:lvlText w:val="–"/>
      <w:lvlJc w:val="left"/>
      <w:pPr>
        <w:tabs>
          <w:tab w:val="num" w:pos="720"/>
        </w:tabs>
        <w:ind w:left="720" w:hanging="360"/>
      </w:pPr>
      <w:rPr>
        <w:rFonts w:ascii="Arial" w:hAnsi="Arial" w:hint="default"/>
      </w:rPr>
    </w:lvl>
    <w:lvl w:ilvl="1" w:tplc="FE0EF0D2">
      <w:start w:val="1"/>
      <w:numFmt w:val="bullet"/>
      <w:lvlText w:val="–"/>
      <w:lvlJc w:val="left"/>
      <w:pPr>
        <w:tabs>
          <w:tab w:val="num" w:pos="1440"/>
        </w:tabs>
        <w:ind w:left="1440" w:hanging="360"/>
      </w:pPr>
      <w:rPr>
        <w:rFonts w:ascii="Arial" w:hAnsi="Arial" w:hint="default"/>
      </w:rPr>
    </w:lvl>
    <w:lvl w:ilvl="2" w:tplc="415CBE18" w:tentative="1">
      <w:start w:val="1"/>
      <w:numFmt w:val="bullet"/>
      <w:lvlText w:val="–"/>
      <w:lvlJc w:val="left"/>
      <w:pPr>
        <w:tabs>
          <w:tab w:val="num" w:pos="2160"/>
        </w:tabs>
        <w:ind w:left="2160" w:hanging="360"/>
      </w:pPr>
      <w:rPr>
        <w:rFonts w:ascii="Arial" w:hAnsi="Arial" w:hint="default"/>
      </w:rPr>
    </w:lvl>
    <w:lvl w:ilvl="3" w:tplc="572CCF02" w:tentative="1">
      <w:start w:val="1"/>
      <w:numFmt w:val="bullet"/>
      <w:lvlText w:val="–"/>
      <w:lvlJc w:val="left"/>
      <w:pPr>
        <w:tabs>
          <w:tab w:val="num" w:pos="2880"/>
        </w:tabs>
        <w:ind w:left="2880" w:hanging="360"/>
      </w:pPr>
      <w:rPr>
        <w:rFonts w:ascii="Arial" w:hAnsi="Arial" w:hint="default"/>
      </w:rPr>
    </w:lvl>
    <w:lvl w:ilvl="4" w:tplc="FFB69B2E" w:tentative="1">
      <w:start w:val="1"/>
      <w:numFmt w:val="bullet"/>
      <w:lvlText w:val="–"/>
      <w:lvlJc w:val="left"/>
      <w:pPr>
        <w:tabs>
          <w:tab w:val="num" w:pos="3600"/>
        </w:tabs>
        <w:ind w:left="3600" w:hanging="360"/>
      </w:pPr>
      <w:rPr>
        <w:rFonts w:ascii="Arial" w:hAnsi="Arial" w:hint="default"/>
      </w:rPr>
    </w:lvl>
    <w:lvl w:ilvl="5" w:tplc="A066DA08" w:tentative="1">
      <w:start w:val="1"/>
      <w:numFmt w:val="bullet"/>
      <w:lvlText w:val="–"/>
      <w:lvlJc w:val="left"/>
      <w:pPr>
        <w:tabs>
          <w:tab w:val="num" w:pos="4320"/>
        </w:tabs>
        <w:ind w:left="4320" w:hanging="360"/>
      </w:pPr>
      <w:rPr>
        <w:rFonts w:ascii="Arial" w:hAnsi="Arial" w:hint="default"/>
      </w:rPr>
    </w:lvl>
    <w:lvl w:ilvl="6" w:tplc="E86ADEDC" w:tentative="1">
      <w:start w:val="1"/>
      <w:numFmt w:val="bullet"/>
      <w:lvlText w:val="–"/>
      <w:lvlJc w:val="left"/>
      <w:pPr>
        <w:tabs>
          <w:tab w:val="num" w:pos="5040"/>
        </w:tabs>
        <w:ind w:left="5040" w:hanging="360"/>
      </w:pPr>
      <w:rPr>
        <w:rFonts w:ascii="Arial" w:hAnsi="Arial" w:hint="default"/>
      </w:rPr>
    </w:lvl>
    <w:lvl w:ilvl="7" w:tplc="4FA4DC6A" w:tentative="1">
      <w:start w:val="1"/>
      <w:numFmt w:val="bullet"/>
      <w:lvlText w:val="–"/>
      <w:lvlJc w:val="left"/>
      <w:pPr>
        <w:tabs>
          <w:tab w:val="num" w:pos="5760"/>
        </w:tabs>
        <w:ind w:left="5760" w:hanging="360"/>
      </w:pPr>
      <w:rPr>
        <w:rFonts w:ascii="Arial" w:hAnsi="Arial" w:hint="default"/>
      </w:rPr>
    </w:lvl>
    <w:lvl w:ilvl="8" w:tplc="540E1E4C" w:tentative="1">
      <w:start w:val="1"/>
      <w:numFmt w:val="bullet"/>
      <w:lvlText w:val="–"/>
      <w:lvlJc w:val="left"/>
      <w:pPr>
        <w:tabs>
          <w:tab w:val="num" w:pos="6480"/>
        </w:tabs>
        <w:ind w:left="6480" w:hanging="360"/>
      </w:pPr>
      <w:rPr>
        <w:rFonts w:ascii="Arial" w:hAnsi="Arial" w:hint="default"/>
      </w:rPr>
    </w:lvl>
  </w:abstractNum>
  <w:abstractNum w:abstractNumId="5">
    <w:nsid w:val="36673D11"/>
    <w:multiLevelType w:val="hybridMultilevel"/>
    <w:tmpl w:val="101A05E2"/>
    <w:lvl w:ilvl="0" w:tplc="9624696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7A7F7A"/>
    <w:multiLevelType w:val="hybridMultilevel"/>
    <w:tmpl w:val="95F0B5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20E4E7E"/>
    <w:multiLevelType w:val="hybridMultilevel"/>
    <w:tmpl w:val="FC249A1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447E51B8"/>
    <w:multiLevelType w:val="hybridMultilevel"/>
    <w:tmpl w:val="AD24D98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4922599C"/>
    <w:multiLevelType w:val="hybridMultilevel"/>
    <w:tmpl w:val="0680BB22"/>
    <w:lvl w:ilvl="0" w:tplc="1C090001">
      <w:start w:val="1"/>
      <w:numFmt w:val="bullet"/>
      <w:lvlText w:val=""/>
      <w:lvlJc w:val="left"/>
      <w:pPr>
        <w:ind w:left="2280" w:hanging="360"/>
      </w:pPr>
      <w:rPr>
        <w:rFonts w:ascii="Symbol" w:hAnsi="Symbol" w:hint="default"/>
      </w:rPr>
    </w:lvl>
    <w:lvl w:ilvl="1" w:tplc="1C090003" w:tentative="1">
      <w:start w:val="1"/>
      <w:numFmt w:val="bullet"/>
      <w:lvlText w:val="o"/>
      <w:lvlJc w:val="left"/>
      <w:pPr>
        <w:ind w:left="3000" w:hanging="360"/>
      </w:pPr>
      <w:rPr>
        <w:rFonts w:ascii="Courier New" w:hAnsi="Courier New" w:cs="Courier New" w:hint="default"/>
      </w:rPr>
    </w:lvl>
    <w:lvl w:ilvl="2" w:tplc="1C090005" w:tentative="1">
      <w:start w:val="1"/>
      <w:numFmt w:val="bullet"/>
      <w:lvlText w:val=""/>
      <w:lvlJc w:val="left"/>
      <w:pPr>
        <w:ind w:left="3720" w:hanging="360"/>
      </w:pPr>
      <w:rPr>
        <w:rFonts w:ascii="Wingdings" w:hAnsi="Wingdings" w:hint="default"/>
      </w:rPr>
    </w:lvl>
    <w:lvl w:ilvl="3" w:tplc="1C090001" w:tentative="1">
      <w:start w:val="1"/>
      <w:numFmt w:val="bullet"/>
      <w:lvlText w:val=""/>
      <w:lvlJc w:val="left"/>
      <w:pPr>
        <w:ind w:left="4440" w:hanging="360"/>
      </w:pPr>
      <w:rPr>
        <w:rFonts w:ascii="Symbol" w:hAnsi="Symbol" w:hint="default"/>
      </w:rPr>
    </w:lvl>
    <w:lvl w:ilvl="4" w:tplc="1C090003" w:tentative="1">
      <w:start w:val="1"/>
      <w:numFmt w:val="bullet"/>
      <w:lvlText w:val="o"/>
      <w:lvlJc w:val="left"/>
      <w:pPr>
        <w:ind w:left="5160" w:hanging="360"/>
      </w:pPr>
      <w:rPr>
        <w:rFonts w:ascii="Courier New" w:hAnsi="Courier New" w:cs="Courier New" w:hint="default"/>
      </w:rPr>
    </w:lvl>
    <w:lvl w:ilvl="5" w:tplc="1C090005" w:tentative="1">
      <w:start w:val="1"/>
      <w:numFmt w:val="bullet"/>
      <w:lvlText w:val=""/>
      <w:lvlJc w:val="left"/>
      <w:pPr>
        <w:ind w:left="5880" w:hanging="360"/>
      </w:pPr>
      <w:rPr>
        <w:rFonts w:ascii="Wingdings" w:hAnsi="Wingdings" w:hint="default"/>
      </w:rPr>
    </w:lvl>
    <w:lvl w:ilvl="6" w:tplc="1C090001" w:tentative="1">
      <w:start w:val="1"/>
      <w:numFmt w:val="bullet"/>
      <w:lvlText w:val=""/>
      <w:lvlJc w:val="left"/>
      <w:pPr>
        <w:ind w:left="6600" w:hanging="360"/>
      </w:pPr>
      <w:rPr>
        <w:rFonts w:ascii="Symbol" w:hAnsi="Symbol" w:hint="default"/>
      </w:rPr>
    </w:lvl>
    <w:lvl w:ilvl="7" w:tplc="1C090003" w:tentative="1">
      <w:start w:val="1"/>
      <w:numFmt w:val="bullet"/>
      <w:lvlText w:val="o"/>
      <w:lvlJc w:val="left"/>
      <w:pPr>
        <w:ind w:left="7320" w:hanging="360"/>
      </w:pPr>
      <w:rPr>
        <w:rFonts w:ascii="Courier New" w:hAnsi="Courier New" w:cs="Courier New" w:hint="default"/>
      </w:rPr>
    </w:lvl>
    <w:lvl w:ilvl="8" w:tplc="1C090005" w:tentative="1">
      <w:start w:val="1"/>
      <w:numFmt w:val="bullet"/>
      <w:lvlText w:val=""/>
      <w:lvlJc w:val="left"/>
      <w:pPr>
        <w:ind w:left="8040" w:hanging="360"/>
      </w:pPr>
      <w:rPr>
        <w:rFonts w:ascii="Wingdings" w:hAnsi="Wingdings" w:hint="default"/>
      </w:rPr>
    </w:lvl>
  </w:abstractNum>
  <w:abstractNum w:abstractNumId="10">
    <w:nsid w:val="4E6A7568"/>
    <w:multiLevelType w:val="multilevel"/>
    <w:tmpl w:val="EC24B0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065684A"/>
    <w:multiLevelType w:val="hybridMultilevel"/>
    <w:tmpl w:val="55CA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A51A67"/>
    <w:multiLevelType w:val="multilevel"/>
    <w:tmpl w:val="C38454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EDA2E90"/>
    <w:multiLevelType w:val="hybridMultilevel"/>
    <w:tmpl w:val="F41EBF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7404567"/>
    <w:multiLevelType w:val="multilevel"/>
    <w:tmpl w:val="A1B0556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8C75E87"/>
    <w:multiLevelType w:val="multilevel"/>
    <w:tmpl w:val="359875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BB95DEB"/>
    <w:multiLevelType w:val="multilevel"/>
    <w:tmpl w:val="45F681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288160B"/>
    <w:multiLevelType w:val="hybridMultilevel"/>
    <w:tmpl w:val="74C2CBB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8C3109A"/>
    <w:multiLevelType w:val="multilevel"/>
    <w:tmpl w:val="31B693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DD060B8"/>
    <w:multiLevelType w:val="multilevel"/>
    <w:tmpl w:val="31B693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7"/>
  </w:num>
  <w:num w:numId="3">
    <w:abstractNumId w:val="7"/>
  </w:num>
  <w:num w:numId="4">
    <w:abstractNumId w:val="6"/>
  </w:num>
  <w:num w:numId="5">
    <w:abstractNumId w:val="1"/>
  </w:num>
  <w:num w:numId="6">
    <w:abstractNumId w:val="5"/>
  </w:num>
  <w:num w:numId="7">
    <w:abstractNumId w:val="14"/>
  </w:num>
  <w:num w:numId="8">
    <w:abstractNumId w:val="12"/>
  </w:num>
  <w:num w:numId="9">
    <w:abstractNumId w:val="13"/>
  </w:num>
  <w:num w:numId="10">
    <w:abstractNumId w:val="8"/>
  </w:num>
  <w:num w:numId="11">
    <w:abstractNumId w:val="0"/>
  </w:num>
  <w:num w:numId="12">
    <w:abstractNumId w:val="10"/>
  </w:num>
  <w:num w:numId="13">
    <w:abstractNumId w:val="2"/>
  </w:num>
  <w:num w:numId="14">
    <w:abstractNumId w:val="19"/>
  </w:num>
  <w:num w:numId="15">
    <w:abstractNumId w:val="15"/>
  </w:num>
  <w:num w:numId="16">
    <w:abstractNumId w:val="16"/>
  </w:num>
  <w:num w:numId="17">
    <w:abstractNumId w:val="9"/>
  </w:num>
  <w:num w:numId="18">
    <w:abstractNumId w:val="4"/>
  </w:num>
  <w:num w:numId="19">
    <w:abstractNumId w:val="18"/>
  </w:num>
  <w:num w:numId="2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C6"/>
    <w:rsid w:val="00001ABF"/>
    <w:rsid w:val="00002C6E"/>
    <w:rsid w:val="00003725"/>
    <w:rsid w:val="00004289"/>
    <w:rsid w:val="000110B0"/>
    <w:rsid w:val="0001328C"/>
    <w:rsid w:val="00013C7B"/>
    <w:rsid w:val="0001741D"/>
    <w:rsid w:val="00020576"/>
    <w:rsid w:val="000226AE"/>
    <w:rsid w:val="0002345B"/>
    <w:rsid w:val="00023752"/>
    <w:rsid w:val="00026A61"/>
    <w:rsid w:val="0003186F"/>
    <w:rsid w:val="000401F7"/>
    <w:rsid w:val="00040496"/>
    <w:rsid w:val="00041CA2"/>
    <w:rsid w:val="00044286"/>
    <w:rsid w:val="0004605F"/>
    <w:rsid w:val="00050BE4"/>
    <w:rsid w:val="00054374"/>
    <w:rsid w:val="000543A7"/>
    <w:rsid w:val="00055E35"/>
    <w:rsid w:val="0005644A"/>
    <w:rsid w:val="0005652C"/>
    <w:rsid w:val="0006030B"/>
    <w:rsid w:val="00066D5F"/>
    <w:rsid w:val="00072275"/>
    <w:rsid w:val="000726EC"/>
    <w:rsid w:val="00075AEF"/>
    <w:rsid w:val="00084DFC"/>
    <w:rsid w:val="00086525"/>
    <w:rsid w:val="00090580"/>
    <w:rsid w:val="00092DBA"/>
    <w:rsid w:val="00093DDA"/>
    <w:rsid w:val="00094806"/>
    <w:rsid w:val="0009560C"/>
    <w:rsid w:val="00095B48"/>
    <w:rsid w:val="000974BA"/>
    <w:rsid w:val="000974DE"/>
    <w:rsid w:val="00097C6E"/>
    <w:rsid w:val="000A061D"/>
    <w:rsid w:val="000A06AB"/>
    <w:rsid w:val="000A0D11"/>
    <w:rsid w:val="000A31F5"/>
    <w:rsid w:val="000A456F"/>
    <w:rsid w:val="000A4DD8"/>
    <w:rsid w:val="000B3EC7"/>
    <w:rsid w:val="000B5051"/>
    <w:rsid w:val="000B5420"/>
    <w:rsid w:val="000C1107"/>
    <w:rsid w:val="000C1F95"/>
    <w:rsid w:val="000C68ED"/>
    <w:rsid w:val="000C76F6"/>
    <w:rsid w:val="000D0FF0"/>
    <w:rsid w:val="000D1F99"/>
    <w:rsid w:val="000D29F3"/>
    <w:rsid w:val="000D341C"/>
    <w:rsid w:val="000D7912"/>
    <w:rsid w:val="000D7CCA"/>
    <w:rsid w:val="000E1E6E"/>
    <w:rsid w:val="000E1FB2"/>
    <w:rsid w:val="000E27F1"/>
    <w:rsid w:val="000F1FB2"/>
    <w:rsid w:val="000F27DA"/>
    <w:rsid w:val="000F336C"/>
    <w:rsid w:val="00102A3D"/>
    <w:rsid w:val="001049A3"/>
    <w:rsid w:val="001051BE"/>
    <w:rsid w:val="00110FF1"/>
    <w:rsid w:val="00111C25"/>
    <w:rsid w:val="00111DEC"/>
    <w:rsid w:val="00112173"/>
    <w:rsid w:val="0011246C"/>
    <w:rsid w:val="001127C2"/>
    <w:rsid w:val="00114681"/>
    <w:rsid w:val="00117F12"/>
    <w:rsid w:val="00122623"/>
    <w:rsid w:val="00126828"/>
    <w:rsid w:val="001308CE"/>
    <w:rsid w:val="00141E89"/>
    <w:rsid w:val="0014238F"/>
    <w:rsid w:val="001430E4"/>
    <w:rsid w:val="00143201"/>
    <w:rsid w:val="00144020"/>
    <w:rsid w:val="00144435"/>
    <w:rsid w:val="0014569F"/>
    <w:rsid w:val="00145A46"/>
    <w:rsid w:val="00147256"/>
    <w:rsid w:val="001536B6"/>
    <w:rsid w:val="00155990"/>
    <w:rsid w:val="00162356"/>
    <w:rsid w:val="00163D48"/>
    <w:rsid w:val="00171717"/>
    <w:rsid w:val="00172D66"/>
    <w:rsid w:val="001737A6"/>
    <w:rsid w:val="00174D94"/>
    <w:rsid w:val="00176D8B"/>
    <w:rsid w:val="00180BC5"/>
    <w:rsid w:val="00181576"/>
    <w:rsid w:val="0018265B"/>
    <w:rsid w:val="00185FB7"/>
    <w:rsid w:val="0018652A"/>
    <w:rsid w:val="0019007A"/>
    <w:rsid w:val="001902E2"/>
    <w:rsid w:val="00191053"/>
    <w:rsid w:val="00196456"/>
    <w:rsid w:val="001A4550"/>
    <w:rsid w:val="001B4015"/>
    <w:rsid w:val="001B4DD1"/>
    <w:rsid w:val="001B746A"/>
    <w:rsid w:val="001C5D55"/>
    <w:rsid w:val="001D4D6C"/>
    <w:rsid w:val="001D69FE"/>
    <w:rsid w:val="001E1ACD"/>
    <w:rsid w:val="001E1B2B"/>
    <w:rsid w:val="001E50F2"/>
    <w:rsid w:val="001E72E8"/>
    <w:rsid w:val="001F3726"/>
    <w:rsid w:val="001F5187"/>
    <w:rsid w:val="001F6DC7"/>
    <w:rsid w:val="001F7140"/>
    <w:rsid w:val="001F77B5"/>
    <w:rsid w:val="002019B0"/>
    <w:rsid w:val="00201A58"/>
    <w:rsid w:val="00203EED"/>
    <w:rsid w:val="00205300"/>
    <w:rsid w:val="002059F0"/>
    <w:rsid w:val="00205B8F"/>
    <w:rsid w:val="00210637"/>
    <w:rsid w:val="00210C51"/>
    <w:rsid w:val="00211595"/>
    <w:rsid w:val="0021192F"/>
    <w:rsid w:val="00212361"/>
    <w:rsid w:val="00212DB1"/>
    <w:rsid w:val="002131BB"/>
    <w:rsid w:val="00214098"/>
    <w:rsid w:val="00217311"/>
    <w:rsid w:val="00221577"/>
    <w:rsid w:val="00221F3A"/>
    <w:rsid w:val="002238B7"/>
    <w:rsid w:val="00227485"/>
    <w:rsid w:val="0023003C"/>
    <w:rsid w:val="00231B6F"/>
    <w:rsid w:val="00240D4E"/>
    <w:rsid w:val="0024405B"/>
    <w:rsid w:val="00244CAA"/>
    <w:rsid w:val="002462D6"/>
    <w:rsid w:val="002466C6"/>
    <w:rsid w:val="00247F39"/>
    <w:rsid w:val="00253D20"/>
    <w:rsid w:val="00253F28"/>
    <w:rsid w:val="00254CDD"/>
    <w:rsid w:val="00256C07"/>
    <w:rsid w:val="00261848"/>
    <w:rsid w:val="00265136"/>
    <w:rsid w:val="00266831"/>
    <w:rsid w:val="002668C9"/>
    <w:rsid w:val="00271C57"/>
    <w:rsid w:val="00271D4A"/>
    <w:rsid w:val="002728A1"/>
    <w:rsid w:val="00276341"/>
    <w:rsid w:val="00276EF0"/>
    <w:rsid w:val="00277C08"/>
    <w:rsid w:val="00280163"/>
    <w:rsid w:val="002805A7"/>
    <w:rsid w:val="002817AE"/>
    <w:rsid w:val="002835D1"/>
    <w:rsid w:val="00292039"/>
    <w:rsid w:val="00296395"/>
    <w:rsid w:val="00297205"/>
    <w:rsid w:val="002A073F"/>
    <w:rsid w:val="002A30CA"/>
    <w:rsid w:val="002A3BB3"/>
    <w:rsid w:val="002A4A86"/>
    <w:rsid w:val="002A5009"/>
    <w:rsid w:val="002A6011"/>
    <w:rsid w:val="002B04F0"/>
    <w:rsid w:val="002B111D"/>
    <w:rsid w:val="002B3547"/>
    <w:rsid w:val="002B51C2"/>
    <w:rsid w:val="002B5508"/>
    <w:rsid w:val="002B7F4E"/>
    <w:rsid w:val="002C0149"/>
    <w:rsid w:val="002C2CE1"/>
    <w:rsid w:val="002C30BC"/>
    <w:rsid w:val="002C5D21"/>
    <w:rsid w:val="002C60B5"/>
    <w:rsid w:val="002C6C59"/>
    <w:rsid w:val="002D04D9"/>
    <w:rsid w:val="002D2092"/>
    <w:rsid w:val="002D5F27"/>
    <w:rsid w:val="002D63D3"/>
    <w:rsid w:val="002D69E9"/>
    <w:rsid w:val="002D6CB0"/>
    <w:rsid w:val="002E086B"/>
    <w:rsid w:val="002E1388"/>
    <w:rsid w:val="002E312F"/>
    <w:rsid w:val="002E3C48"/>
    <w:rsid w:val="002E6BD4"/>
    <w:rsid w:val="002E7FC3"/>
    <w:rsid w:val="002F0565"/>
    <w:rsid w:val="002F2F44"/>
    <w:rsid w:val="002F38F0"/>
    <w:rsid w:val="002F57AC"/>
    <w:rsid w:val="002F7120"/>
    <w:rsid w:val="0030166E"/>
    <w:rsid w:val="00305A8D"/>
    <w:rsid w:val="00306BD4"/>
    <w:rsid w:val="00306E2D"/>
    <w:rsid w:val="00307FDE"/>
    <w:rsid w:val="003128CE"/>
    <w:rsid w:val="0031459C"/>
    <w:rsid w:val="00314B79"/>
    <w:rsid w:val="00314C9E"/>
    <w:rsid w:val="003159E9"/>
    <w:rsid w:val="00316A1A"/>
    <w:rsid w:val="00317D21"/>
    <w:rsid w:val="00317F44"/>
    <w:rsid w:val="00322476"/>
    <w:rsid w:val="0032433C"/>
    <w:rsid w:val="0032534D"/>
    <w:rsid w:val="00325A85"/>
    <w:rsid w:val="0032699C"/>
    <w:rsid w:val="003304D9"/>
    <w:rsid w:val="0033156E"/>
    <w:rsid w:val="003336F8"/>
    <w:rsid w:val="0033639E"/>
    <w:rsid w:val="00336C18"/>
    <w:rsid w:val="003455FC"/>
    <w:rsid w:val="00346125"/>
    <w:rsid w:val="0034659B"/>
    <w:rsid w:val="00352830"/>
    <w:rsid w:val="00353784"/>
    <w:rsid w:val="00355CB7"/>
    <w:rsid w:val="00356D21"/>
    <w:rsid w:val="003646CC"/>
    <w:rsid w:val="00377BFD"/>
    <w:rsid w:val="00381C25"/>
    <w:rsid w:val="00382781"/>
    <w:rsid w:val="00383D21"/>
    <w:rsid w:val="003847D8"/>
    <w:rsid w:val="0038640D"/>
    <w:rsid w:val="003865BE"/>
    <w:rsid w:val="003875FC"/>
    <w:rsid w:val="00390D35"/>
    <w:rsid w:val="00391181"/>
    <w:rsid w:val="00393CF7"/>
    <w:rsid w:val="00394580"/>
    <w:rsid w:val="00394AF6"/>
    <w:rsid w:val="00394CFB"/>
    <w:rsid w:val="00396639"/>
    <w:rsid w:val="003A0182"/>
    <w:rsid w:val="003A1145"/>
    <w:rsid w:val="003A2E3F"/>
    <w:rsid w:val="003A74F9"/>
    <w:rsid w:val="003A7A51"/>
    <w:rsid w:val="003B0C2B"/>
    <w:rsid w:val="003C0920"/>
    <w:rsid w:val="003C6F09"/>
    <w:rsid w:val="003C71EE"/>
    <w:rsid w:val="003C7F5C"/>
    <w:rsid w:val="003D0498"/>
    <w:rsid w:val="003D18DC"/>
    <w:rsid w:val="003D5DE1"/>
    <w:rsid w:val="003E1E83"/>
    <w:rsid w:val="003E233C"/>
    <w:rsid w:val="003E2992"/>
    <w:rsid w:val="003E4DE6"/>
    <w:rsid w:val="003E65EB"/>
    <w:rsid w:val="003E66FA"/>
    <w:rsid w:val="003F0DD9"/>
    <w:rsid w:val="003F1439"/>
    <w:rsid w:val="003F22CC"/>
    <w:rsid w:val="003F5C3E"/>
    <w:rsid w:val="00402E8F"/>
    <w:rsid w:val="004032BC"/>
    <w:rsid w:val="00404D52"/>
    <w:rsid w:val="00410309"/>
    <w:rsid w:val="00410502"/>
    <w:rsid w:val="00410B50"/>
    <w:rsid w:val="00413EE3"/>
    <w:rsid w:val="00414841"/>
    <w:rsid w:val="0041611E"/>
    <w:rsid w:val="0041659E"/>
    <w:rsid w:val="00417835"/>
    <w:rsid w:val="0042105D"/>
    <w:rsid w:val="004222CE"/>
    <w:rsid w:val="00423DE3"/>
    <w:rsid w:val="00423F9C"/>
    <w:rsid w:val="00424E18"/>
    <w:rsid w:val="00431347"/>
    <w:rsid w:val="004322C9"/>
    <w:rsid w:val="00436186"/>
    <w:rsid w:val="00437189"/>
    <w:rsid w:val="004375A3"/>
    <w:rsid w:val="004400DB"/>
    <w:rsid w:val="00440E6C"/>
    <w:rsid w:val="00442F27"/>
    <w:rsid w:val="00443B70"/>
    <w:rsid w:val="0045049A"/>
    <w:rsid w:val="004510CE"/>
    <w:rsid w:val="00451B45"/>
    <w:rsid w:val="00452A49"/>
    <w:rsid w:val="0045390F"/>
    <w:rsid w:val="00453977"/>
    <w:rsid w:val="00455052"/>
    <w:rsid w:val="0045774F"/>
    <w:rsid w:val="004655BE"/>
    <w:rsid w:val="00466651"/>
    <w:rsid w:val="00466B14"/>
    <w:rsid w:val="0047299D"/>
    <w:rsid w:val="0047574A"/>
    <w:rsid w:val="00476084"/>
    <w:rsid w:val="00477DE4"/>
    <w:rsid w:val="00484126"/>
    <w:rsid w:val="004842C9"/>
    <w:rsid w:val="00484579"/>
    <w:rsid w:val="00484C46"/>
    <w:rsid w:val="004850CC"/>
    <w:rsid w:val="004877B1"/>
    <w:rsid w:val="00487D6B"/>
    <w:rsid w:val="004904AC"/>
    <w:rsid w:val="00491427"/>
    <w:rsid w:val="00491C17"/>
    <w:rsid w:val="00491E9F"/>
    <w:rsid w:val="00492BAB"/>
    <w:rsid w:val="00493D37"/>
    <w:rsid w:val="0049555A"/>
    <w:rsid w:val="0049709D"/>
    <w:rsid w:val="004A0C0B"/>
    <w:rsid w:val="004A1CD4"/>
    <w:rsid w:val="004A27B5"/>
    <w:rsid w:val="004A3D0E"/>
    <w:rsid w:val="004A5141"/>
    <w:rsid w:val="004B0082"/>
    <w:rsid w:val="004B0CBB"/>
    <w:rsid w:val="004B23A6"/>
    <w:rsid w:val="004B3E56"/>
    <w:rsid w:val="004B44F5"/>
    <w:rsid w:val="004B5821"/>
    <w:rsid w:val="004C0ACE"/>
    <w:rsid w:val="004C134C"/>
    <w:rsid w:val="004C1C52"/>
    <w:rsid w:val="004C2E0D"/>
    <w:rsid w:val="004C54D8"/>
    <w:rsid w:val="004C62DE"/>
    <w:rsid w:val="004D05D7"/>
    <w:rsid w:val="004D1431"/>
    <w:rsid w:val="004D1C80"/>
    <w:rsid w:val="004D350D"/>
    <w:rsid w:val="004D6E68"/>
    <w:rsid w:val="004D7A3D"/>
    <w:rsid w:val="004D7BAA"/>
    <w:rsid w:val="004E072B"/>
    <w:rsid w:val="004E19FB"/>
    <w:rsid w:val="004E24B0"/>
    <w:rsid w:val="004E5E25"/>
    <w:rsid w:val="004E65F4"/>
    <w:rsid w:val="004E67B2"/>
    <w:rsid w:val="004E688E"/>
    <w:rsid w:val="004F0E15"/>
    <w:rsid w:val="004F0FD7"/>
    <w:rsid w:val="004F1A28"/>
    <w:rsid w:val="004F458D"/>
    <w:rsid w:val="004F47F5"/>
    <w:rsid w:val="004F593D"/>
    <w:rsid w:val="004F6C89"/>
    <w:rsid w:val="00500F5C"/>
    <w:rsid w:val="00502692"/>
    <w:rsid w:val="0050284E"/>
    <w:rsid w:val="00503871"/>
    <w:rsid w:val="00503C13"/>
    <w:rsid w:val="00503FFC"/>
    <w:rsid w:val="00505888"/>
    <w:rsid w:val="005058E7"/>
    <w:rsid w:val="005068B2"/>
    <w:rsid w:val="0050710E"/>
    <w:rsid w:val="00507A1B"/>
    <w:rsid w:val="0051192F"/>
    <w:rsid w:val="00511F9C"/>
    <w:rsid w:val="005140C0"/>
    <w:rsid w:val="005149E0"/>
    <w:rsid w:val="0051544B"/>
    <w:rsid w:val="005168E2"/>
    <w:rsid w:val="00516C1A"/>
    <w:rsid w:val="0052066D"/>
    <w:rsid w:val="00524BF6"/>
    <w:rsid w:val="0052537A"/>
    <w:rsid w:val="00535D59"/>
    <w:rsid w:val="0053690B"/>
    <w:rsid w:val="005372E2"/>
    <w:rsid w:val="00540529"/>
    <w:rsid w:val="0054064D"/>
    <w:rsid w:val="00541436"/>
    <w:rsid w:val="00543197"/>
    <w:rsid w:val="0055075D"/>
    <w:rsid w:val="0055213D"/>
    <w:rsid w:val="005527C2"/>
    <w:rsid w:val="00552BFB"/>
    <w:rsid w:val="00555EB2"/>
    <w:rsid w:val="005566DC"/>
    <w:rsid w:val="00557670"/>
    <w:rsid w:val="0056338A"/>
    <w:rsid w:val="00564312"/>
    <w:rsid w:val="00566A35"/>
    <w:rsid w:val="00566DBF"/>
    <w:rsid w:val="00567639"/>
    <w:rsid w:val="0057035E"/>
    <w:rsid w:val="00570F30"/>
    <w:rsid w:val="00572730"/>
    <w:rsid w:val="005739A7"/>
    <w:rsid w:val="00575958"/>
    <w:rsid w:val="0058106D"/>
    <w:rsid w:val="00582FC6"/>
    <w:rsid w:val="00585BB0"/>
    <w:rsid w:val="00591162"/>
    <w:rsid w:val="005915E7"/>
    <w:rsid w:val="0059183B"/>
    <w:rsid w:val="00592809"/>
    <w:rsid w:val="0059476E"/>
    <w:rsid w:val="005947CB"/>
    <w:rsid w:val="00596322"/>
    <w:rsid w:val="005A11E9"/>
    <w:rsid w:val="005A3C16"/>
    <w:rsid w:val="005A4C41"/>
    <w:rsid w:val="005A60B6"/>
    <w:rsid w:val="005A70C7"/>
    <w:rsid w:val="005B1436"/>
    <w:rsid w:val="005B2471"/>
    <w:rsid w:val="005B27D8"/>
    <w:rsid w:val="005B2D17"/>
    <w:rsid w:val="005B304B"/>
    <w:rsid w:val="005B6359"/>
    <w:rsid w:val="005C00CE"/>
    <w:rsid w:val="005C09B0"/>
    <w:rsid w:val="005C109A"/>
    <w:rsid w:val="005C10CF"/>
    <w:rsid w:val="005C1C1E"/>
    <w:rsid w:val="005C2068"/>
    <w:rsid w:val="005C6F44"/>
    <w:rsid w:val="005C74E3"/>
    <w:rsid w:val="005C7538"/>
    <w:rsid w:val="005D0556"/>
    <w:rsid w:val="005D1FA4"/>
    <w:rsid w:val="005D72FD"/>
    <w:rsid w:val="005E16EF"/>
    <w:rsid w:val="005E1A4F"/>
    <w:rsid w:val="005E40A1"/>
    <w:rsid w:val="005E5901"/>
    <w:rsid w:val="005E6EE6"/>
    <w:rsid w:val="005F062D"/>
    <w:rsid w:val="005F1C23"/>
    <w:rsid w:val="005F3692"/>
    <w:rsid w:val="005F40D7"/>
    <w:rsid w:val="005F4430"/>
    <w:rsid w:val="005F544A"/>
    <w:rsid w:val="005F59BC"/>
    <w:rsid w:val="005F5A6F"/>
    <w:rsid w:val="005F6CA1"/>
    <w:rsid w:val="005F77B8"/>
    <w:rsid w:val="005F7E78"/>
    <w:rsid w:val="00600EE1"/>
    <w:rsid w:val="00601A36"/>
    <w:rsid w:val="006020DF"/>
    <w:rsid w:val="00607D60"/>
    <w:rsid w:val="006103E2"/>
    <w:rsid w:val="00610C39"/>
    <w:rsid w:val="0061240D"/>
    <w:rsid w:val="006139D9"/>
    <w:rsid w:val="00617276"/>
    <w:rsid w:val="006205AE"/>
    <w:rsid w:val="006226A1"/>
    <w:rsid w:val="006246A5"/>
    <w:rsid w:val="00630F64"/>
    <w:rsid w:val="00631B4C"/>
    <w:rsid w:val="00637811"/>
    <w:rsid w:val="00641BD0"/>
    <w:rsid w:val="0064275A"/>
    <w:rsid w:val="00643FBA"/>
    <w:rsid w:val="00643FE9"/>
    <w:rsid w:val="00645BA4"/>
    <w:rsid w:val="00645CB2"/>
    <w:rsid w:val="0064720F"/>
    <w:rsid w:val="00653CEE"/>
    <w:rsid w:val="00655F4D"/>
    <w:rsid w:val="006569F8"/>
    <w:rsid w:val="00656C2F"/>
    <w:rsid w:val="00661903"/>
    <w:rsid w:val="00661A64"/>
    <w:rsid w:val="00661F85"/>
    <w:rsid w:val="00663137"/>
    <w:rsid w:val="00663451"/>
    <w:rsid w:val="0066541A"/>
    <w:rsid w:val="0066608B"/>
    <w:rsid w:val="00666162"/>
    <w:rsid w:val="00666AEC"/>
    <w:rsid w:val="00666CB2"/>
    <w:rsid w:val="006674DC"/>
    <w:rsid w:val="00670DF5"/>
    <w:rsid w:val="00671CB5"/>
    <w:rsid w:val="00673DE9"/>
    <w:rsid w:val="00674566"/>
    <w:rsid w:val="0067536D"/>
    <w:rsid w:val="00675F2B"/>
    <w:rsid w:val="006827E8"/>
    <w:rsid w:val="006828A1"/>
    <w:rsid w:val="00682966"/>
    <w:rsid w:val="00691EFE"/>
    <w:rsid w:val="00691F49"/>
    <w:rsid w:val="00695088"/>
    <w:rsid w:val="00697AB0"/>
    <w:rsid w:val="006A0B9C"/>
    <w:rsid w:val="006A3D29"/>
    <w:rsid w:val="006A5564"/>
    <w:rsid w:val="006A7A9E"/>
    <w:rsid w:val="006B082B"/>
    <w:rsid w:val="006B14CE"/>
    <w:rsid w:val="006B2884"/>
    <w:rsid w:val="006B5288"/>
    <w:rsid w:val="006B58D6"/>
    <w:rsid w:val="006B606D"/>
    <w:rsid w:val="006B62E1"/>
    <w:rsid w:val="006B723E"/>
    <w:rsid w:val="006C00BD"/>
    <w:rsid w:val="006C2084"/>
    <w:rsid w:val="006C3EB1"/>
    <w:rsid w:val="006C4D0C"/>
    <w:rsid w:val="006C684C"/>
    <w:rsid w:val="006C6F19"/>
    <w:rsid w:val="006C7E6A"/>
    <w:rsid w:val="006D02D7"/>
    <w:rsid w:val="006D02FF"/>
    <w:rsid w:val="006D1D06"/>
    <w:rsid w:val="006D1D44"/>
    <w:rsid w:val="006D7CD0"/>
    <w:rsid w:val="006D7ED3"/>
    <w:rsid w:val="006E0CD5"/>
    <w:rsid w:val="006E191E"/>
    <w:rsid w:val="006E3275"/>
    <w:rsid w:val="006E3DB0"/>
    <w:rsid w:val="006F47C1"/>
    <w:rsid w:val="0070189C"/>
    <w:rsid w:val="00701D7B"/>
    <w:rsid w:val="00702991"/>
    <w:rsid w:val="00703A76"/>
    <w:rsid w:val="00705EB7"/>
    <w:rsid w:val="00706F3E"/>
    <w:rsid w:val="0071070E"/>
    <w:rsid w:val="00712C7F"/>
    <w:rsid w:val="007144A6"/>
    <w:rsid w:val="0071728A"/>
    <w:rsid w:val="007179B3"/>
    <w:rsid w:val="00722168"/>
    <w:rsid w:val="00723EE7"/>
    <w:rsid w:val="00725448"/>
    <w:rsid w:val="00726012"/>
    <w:rsid w:val="00730C65"/>
    <w:rsid w:val="00731508"/>
    <w:rsid w:val="00732AFE"/>
    <w:rsid w:val="00734BF1"/>
    <w:rsid w:val="00735763"/>
    <w:rsid w:val="00735B27"/>
    <w:rsid w:val="00737A81"/>
    <w:rsid w:val="0074058F"/>
    <w:rsid w:val="0074152A"/>
    <w:rsid w:val="00742001"/>
    <w:rsid w:val="00743907"/>
    <w:rsid w:val="00746646"/>
    <w:rsid w:val="00750E5C"/>
    <w:rsid w:val="00757462"/>
    <w:rsid w:val="007574D4"/>
    <w:rsid w:val="00761FE5"/>
    <w:rsid w:val="00766163"/>
    <w:rsid w:val="007671A8"/>
    <w:rsid w:val="007706EC"/>
    <w:rsid w:val="007726F3"/>
    <w:rsid w:val="0077368B"/>
    <w:rsid w:val="007748F1"/>
    <w:rsid w:val="00776930"/>
    <w:rsid w:val="00780BC0"/>
    <w:rsid w:val="00781580"/>
    <w:rsid w:val="00785A44"/>
    <w:rsid w:val="0078753D"/>
    <w:rsid w:val="007875EA"/>
    <w:rsid w:val="00787DA1"/>
    <w:rsid w:val="00792A91"/>
    <w:rsid w:val="00795EA2"/>
    <w:rsid w:val="00796E00"/>
    <w:rsid w:val="007B056F"/>
    <w:rsid w:val="007B1F8C"/>
    <w:rsid w:val="007B210A"/>
    <w:rsid w:val="007B231C"/>
    <w:rsid w:val="007B2C6A"/>
    <w:rsid w:val="007B2FF9"/>
    <w:rsid w:val="007B561A"/>
    <w:rsid w:val="007B61F6"/>
    <w:rsid w:val="007C0418"/>
    <w:rsid w:val="007C2635"/>
    <w:rsid w:val="007C2C2F"/>
    <w:rsid w:val="007C458F"/>
    <w:rsid w:val="007D1678"/>
    <w:rsid w:val="007D18EA"/>
    <w:rsid w:val="007D6E6D"/>
    <w:rsid w:val="007D6FCC"/>
    <w:rsid w:val="007E1381"/>
    <w:rsid w:val="007E2443"/>
    <w:rsid w:val="007E3A3E"/>
    <w:rsid w:val="007E54B8"/>
    <w:rsid w:val="007E72D1"/>
    <w:rsid w:val="007F0358"/>
    <w:rsid w:val="007F077E"/>
    <w:rsid w:val="007F08B7"/>
    <w:rsid w:val="007F5144"/>
    <w:rsid w:val="008003DB"/>
    <w:rsid w:val="00800CE0"/>
    <w:rsid w:val="00801B1B"/>
    <w:rsid w:val="00802474"/>
    <w:rsid w:val="008029E4"/>
    <w:rsid w:val="00802E25"/>
    <w:rsid w:val="00807018"/>
    <w:rsid w:val="00812B09"/>
    <w:rsid w:val="008135D8"/>
    <w:rsid w:val="00814285"/>
    <w:rsid w:val="008144C1"/>
    <w:rsid w:val="00822125"/>
    <w:rsid w:val="00822B8A"/>
    <w:rsid w:val="00824318"/>
    <w:rsid w:val="00824679"/>
    <w:rsid w:val="008260A1"/>
    <w:rsid w:val="00827998"/>
    <w:rsid w:val="00831C54"/>
    <w:rsid w:val="008336EA"/>
    <w:rsid w:val="0083383A"/>
    <w:rsid w:val="0083699B"/>
    <w:rsid w:val="00837A7C"/>
    <w:rsid w:val="008413EA"/>
    <w:rsid w:val="00841C82"/>
    <w:rsid w:val="00846155"/>
    <w:rsid w:val="00847786"/>
    <w:rsid w:val="00850685"/>
    <w:rsid w:val="0085460C"/>
    <w:rsid w:val="00857C32"/>
    <w:rsid w:val="008611A0"/>
    <w:rsid w:val="00861D7D"/>
    <w:rsid w:val="008632A8"/>
    <w:rsid w:val="00864C78"/>
    <w:rsid w:val="008707D6"/>
    <w:rsid w:val="008712D1"/>
    <w:rsid w:val="00881818"/>
    <w:rsid w:val="00882120"/>
    <w:rsid w:val="0088765E"/>
    <w:rsid w:val="008903E9"/>
    <w:rsid w:val="00890823"/>
    <w:rsid w:val="008914A6"/>
    <w:rsid w:val="00891B48"/>
    <w:rsid w:val="008923DC"/>
    <w:rsid w:val="008936E8"/>
    <w:rsid w:val="0089665C"/>
    <w:rsid w:val="00896EAA"/>
    <w:rsid w:val="0089727B"/>
    <w:rsid w:val="008A61D5"/>
    <w:rsid w:val="008A7AC1"/>
    <w:rsid w:val="008A7AD8"/>
    <w:rsid w:val="008B35AD"/>
    <w:rsid w:val="008B7316"/>
    <w:rsid w:val="008B7AE0"/>
    <w:rsid w:val="008C0273"/>
    <w:rsid w:val="008C052F"/>
    <w:rsid w:val="008C3D18"/>
    <w:rsid w:val="008C78A2"/>
    <w:rsid w:val="008D1B47"/>
    <w:rsid w:val="008D1C52"/>
    <w:rsid w:val="008D50E7"/>
    <w:rsid w:val="008E04A2"/>
    <w:rsid w:val="008E0AE4"/>
    <w:rsid w:val="008E27D2"/>
    <w:rsid w:val="008E2952"/>
    <w:rsid w:val="008E37B8"/>
    <w:rsid w:val="008E3FAB"/>
    <w:rsid w:val="008E7B5B"/>
    <w:rsid w:val="008F086C"/>
    <w:rsid w:val="008F0ED4"/>
    <w:rsid w:val="008F38D0"/>
    <w:rsid w:val="008F5339"/>
    <w:rsid w:val="00901059"/>
    <w:rsid w:val="009013B7"/>
    <w:rsid w:val="00901613"/>
    <w:rsid w:val="00902D0F"/>
    <w:rsid w:val="0090531C"/>
    <w:rsid w:val="00911548"/>
    <w:rsid w:val="0091560A"/>
    <w:rsid w:val="009158F7"/>
    <w:rsid w:val="009236BC"/>
    <w:rsid w:val="009240D0"/>
    <w:rsid w:val="00925943"/>
    <w:rsid w:val="009267FC"/>
    <w:rsid w:val="009271F6"/>
    <w:rsid w:val="009352A6"/>
    <w:rsid w:val="00936FB6"/>
    <w:rsid w:val="00940687"/>
    <w:rsid w:val="009438CE"/>
    <w:rsid w:val="00943C0A"/>
    <w:rsid w:val="0095253C"/>
    <w:rsid w:val="00953757"/>
    <w:rsid w:val="00954078"/>
    <w:rsid w:val="00956D25"/>
    <w:rsid w:val="00960EB8"/>
    <w:rsid w:val="00961DA6"/>
    <w:rsid w:val="009623CC"/>
    <w:rsid w:val="0096293B"/>
    <w:rsid w:val="00965DCD"/>
    <w:rsid w:val="00975046"/>
    <w:rsid w:val="00975186"/>
    <w:rsid w:val="0097544D"/>
    <w:rsid w:val="00977D5E"/>
    <w:rsid w:val="009809E2"/>
    <w:rsid w:val="00981137"/>
    <w:rsid w:val="009829DF"/>
    <w:rsid w:val="00983C97"/>
    <w:rsid w:val="00985510"/>
    <w:rsid w:val="00990C78"/>
    <w:rsid w:val="009915F3"/>
    <w:rsid w:val="00991600"/>
    <w:rsid w:val="00991C38"/>
    <w:rsid w:val="00996B7B"/>
    <w:rsid w:val="009A0B13"/>
    <w:rsid w:val="009A249C"/>
    <w:rsid w:val="009A33D0"/>
    <w:rsid w:val="009A74F5"/>
    <w:rsid w:val="009B69C0"/>
    <w:rsid w:val="009C0763"/>
    <w:rsid w:val="009C0CAA"/>
    <w:rsid w:val="009C1D23"/>
    <w:rsid w:val="009C2ABC"/>
    <w:rsid w:val="009C46FD"/>
    <w:rsid w:val="009C4DF2"/>
    <w:rsid w:val="009C53D8"/>
    <w:rsid w:val="009C5716"/>
    <w:rsid w:val="009D0B95"/>
    <w:rsid w:val="009D0CA1"/>
    <w:rsid w:val="009D3098"/>
    <w:rsid w:val="009D418F"/>
    <w:rsid w:val="009D4C73"/>
    <w:rsid w:val="009D4D22"/>
    <w:rsid w:val="009D5671"/>
    <w:rsid w:val="009D56BD"/>
    <w:rsid w:val="009D70B1"/>
    <w:rsid w:val="009E0002"/>
    <w:rsid w:val="009E0E28"/>
    <w:rsid w:val="009E138E"/>
    <w:rsid w:val="009E15AF"/>
    <w:rsid w:val="009E61AE"/>
    <w:rsid w:val="009E6DCC"/>
    <w:rsid w:val="009F0BBD"/>
    <w:rsid w:val="009F2F87"/>
    <w:rsid w:val="009F3660"/>
    <w:rsid w:val="009F5151"/>
    <w:rsid w:val="009F6D1D"/>
    <w:rsid w:val="00A04D61"/>
    <w:rsid w:val="00A05EED"/>
    <w:rsid w:val="00A0662F"/>
    <w:rsid w:val="00A13FE2"/>
    <w:rsid w:val="00A14D9D"/>
    <w:rsid w:val="00A1574E"/>
    <w:rsid w:val="00A20B24"/>
    <w:rsid w:val="00A23145"/>
    <w:rsid w:val="00A251EB"/>
    <w:rsid w:val="00A263A8"/>
    <w:rsid w:val="00A303E3"/>
    <w:rsid w:val="00A322CF"/>
    <w:rsid w:val="00A32635"/>
    <w:rsid w:val="00A37DDE"/>
    <w:rsid w:val="00A40E0F"/>
    <w:rsid w:val="00A41FE1"/>
    <w:rsid w:val="00A4621A"/>
    <w:rsid w:val="00A46728"/>
    <w:rsid w:val="00A474F0"/>
    <w:rsid w:val="00A5066A"/>
    <w:rsid w:val="00A53092"/>
    <w:rsid w:val="00A55960"/>
    <w:rsid w:val="00A617C8"/>
    <w:rsid w:val="00A62FF3"/>
    <w:rsid w:val="00A63418"/>
    <w:rsid w:val="00A63DDF"/>
    <w:rsid w:val="00A645B7"/>
    <w:rsid w:val="00A651B8"/>
    <w:rsid w:val="00A6531B"/>
    <w:rsid w:val="00A67124"/>
    <w:rsid w:val="00A67B37"/>
    <w:rsid w:val="00A75016"/>
    <w:rsid w:val="00A751A8"/>
    <w:rsid w:val="00A76242"/>
    <w:rsid w:val="00A8208B"/>
    <w:rsid w:val="00A8260E"/>
    <w:rsid w:val="00A826A4"/>
    <w:rsid w:val="00A83204"/>
    <w:rsid w:val="00A84A47"/>
    <w:rsid w:val="00A85053"/>
    <w:rsid w:val="00A9143B"/>
    <w:rsid w:val="00A9184D"/>
    <w:rsid w:val="00A94E85"/>
    <w:rsid w:val="00A9553F"/>
    <w:rsid w:val="00A9749C"/>
    <w:rsid w:val="00A976D2"/>
    <w:rsid w:val="00AA094F"/>
    <w:rsid w:val="00AA17B6"/>
    <w:rsid w:val="00AA18FE"/>
    <w:rsid w:val="00AA1DD8"/>
    <w:rsid w:val="00AA1DDD"/>
    <w:rsid w:val="00AA2794"/>
    <w:rsid w:val="00AA780E"/>
    <w:rsid w:val="00AB1AE9"/>
    <w:rsid w:val="00AB4D5C"/>
    <w:rsid w:val="00AB5A70"/>
    <w:rsid w:val="00AB603F"/>
    <w:rsid w:val="00AC1E36"/>
    <w:rsid w:val="00AC1F3D"/>
    <w:rsid w:val="00AC3FCD"/>
    <w:rsid w:val="00AC4790"/>
    <w:rsid w:val="00AC7793"/>
    <w:rsid w:val="00AD05C9"/>
    <w:rsid w:val="00AD11BC"/>
    <w:rsid w:val="00AD27B1"/>
    <w:rsid w:val="00AD3D4B"/>
    <w:rsid w:val="00AD4A7E"/>
    <w:rsid w:val="00AD6168"/>
    <w:rsid w:val="00AE013B"/>
    <w:rsid w:val="00AE32F6"/>
    <w:rsid w:val="00AE5336"/>
    <w:rsid w:val="00AE558D"/>
    <w:rsid w:val="00AE641C"/>
    <w:rsid w:val="00AE7E98"/>
    <w:rsid w:val="00AE7F91"/>
    <w:rsid w:val="00AF0E94"/>
    <w:rsid w:val="00AF3B6A"/>
    <w:rsid w:val="00AF4545"/>
    <w:rsid w:val="00AF78B0"/>
    <w:rsid w:val="00B00664"/>
    <w:rsid w:val="00B0432E"/>
    <w:rsid w:val="00B047F6"/>
    <w:rsid w:val="00B05853"/>
    <w:rsid w:val="00B1016E"/>
    <w:rsid w:val="00B11824"/>
    <w:rsid w:val="00B11A0D"/>
    <w:rsid w:val="00B12A7F"/>
    <w:rsid w:val="00B176C9"/>
    <w:rsid w:val="00B230F7"/>
    <w:rsid w:val="00B25C0F"/>
    <w:rsid w:val="00B27024"/>
    <w:rsid w:val="00B271FB"/>
    <w:rsid w:val="00B32A74"/>
    <w:rsid w:val="00B3357E"/>
    <w:rsid w:val="00B33612"/>
    <w:rsid w:val="00B3386E"/>
    <w:rsid w:val="00B3466D"/>
    <w:rsid w:val="00B406D0"/>
    <w:rsid w:val="00B43809"/>
    <w:rsid w:val="00B43E6B"/>
    <w:rsid w:val="00B4526F"/>
    <w:rsid w:val="00B45C49"/>
    <w:rsid w:val="00B47C48"/>
    <w:rsid w:val="00B47D3D"/>
    <w:rsid w:val="00B52EB8"/>
    <w:rsid w:val="00B57BA2"/>
    <w:rsid w:val="00B60FE8"/>
    <w:rsid w:val="00B61C5A"/>
    <w:rsid w:val="00B6234F"/>
    <w:rsid w:val="00B636AC"/>
    <w:rsid w:val="00B6485F"/>
    <w:rsid w:val="00B65455"/>
    <w:rsid w:val="00B735A9"/>
    <w:rsid w:val="00B80727"/>
    <w:rsid w:val="00B80FEA"/>
    <w:rsid w:val="00B847E6"/>
    <w:rsid w:val="00B849B0"/>
    <w:rsid w:val="00B86CC1"/>
    <w:rsid w:val="00B91E31"/>
    <w:rsid w:val="00B91FEF"/>
    <w:rsid w:val="00B92136"/>
    <w:rsid w:val="00B94C0A"/>
    <w:rsid w:val="00B96A7B"/>
    <w:rsid w:val="00B96D34"/>
    <w:rsid w:val="00B97B6A"/>
    <w:rsid w:val="00BA102B"/>
    <w:rsid w:val="00BA7710"/>
    <w:rsid w:val="00BB153D"/>
    <w:rsid w:val="00BB42FD"/>
    <w:rsid w:val="00BB50E7"/>
    <w:rsid w:val="00BB5275"/>
    <w:rsid w:val="00BC0427"/>
    <w:rsid w:val="00BC0551"/>
    <w:rsid w:val="00BC15E1"/>
    <w:rsid w:val="00BC1D9F"/>
    <w:rsid w:val="00BC3B79"/>
    <w:rsid w:val="00BC4771"/>
    <w:rsid w:val="00BC61ED"/>
    <w:rsid w:val="00BC7DAC"/>
    <w:rsid w:val="00BD2971"/>
    <w:rsid w:val="00BD2EBF"/>
    <w:rsid w:val="00BD37D5"/>
    <w:rsid w:val="00BD4BFB"/>
    <w:rsid w:val="00BD5E30"/>
    <w:rsid w:val="00BE182F"/>
    <w:rsid w:val="00BE43AA"/>
    <w:rsid w:val="00BE47A6"/>
    <w:rsid w:val="00BE7918"/>
    <w:rsid w:val="00BF0A05"/>
    <w:rsid w:val="00BF48CA"/>
    <w:rsid w:val="00BF59ED"/>
    <w:rsid w:val="00BF5A64"/>
    <w:rsid w:val="00C0089D"/>
    <w:rsid w:val="00C027E4"/>
    <w:rsid w:val="00C0281D"/>
    <w:rsid w:val="00C048B4"/>
    <w:rsid w:val="00C06F82"/>
    <w:rsid w:val="00C1001E"/>
    <w:rsid w:val="00C10059"/>
    <w:rsid w:val="00C1056F"/>
    <w:rsid w:val="00C10967"/>
    <w:rsid w:val="00C147E1"/>
    <w:rsid w:val="00C219B4"/>
    <w:rsid w:val="00C22F6E"/>
    <w:rsid w:val="00C23F2A"/>
    <w:rsid w:val="00C24FAE"/>
    <w:rsid w:val="00C25EE6"/>
    <w:rsid w:val="00C2716D"/>
    <w:rsid w:val="00C27964"/>
    <w:rsid w:val="00C27D60"/>
    <w:rsid w:val="00C334A4"/>
    <w:rsid w:val="00C340E4"/>
    <w:rsid w:val="00C34DB1"/>
    <w:rsid w:val="00C42952"/>
    <w:rsid w:val="00C45B9A"/>
    <w:rsid w:val="00C46A21"/>
    <w:rsid w:val="00C50431"/>
    <w:rsid w:val="00C512A5"/>
    <w:rsid w:val="00C526B3"/>
    <w:rsid w:val="00C531DA"/>
    <w:rsid w:val="00C62120"/>
    <w:rsid w:val="00C63CDC"/>
    <w:rsid w:val="00C6464F"/>
    <w:rsid w:val="00C728E5"/>
    <w:rsid w:val="00C7434B"/>
    <w:rsid w:val="00C744FA"/>
    <w:rsid w:val="00C75205"/>
    <w:rsid w:val="00C75902"/>
    <w:rsid w:val="00C77F4C"/>
    <w:rsid w:val="00C803FD"/>
    <w:rsid w:val="00C80F4D"/>
    <w:rsid w:val="00C835F8"/>
    <w:rsid w:val="00C839F2"/>
    <w:rsid w:val="00C8493B"/>
    <w:rsid w:val="00C90D7F"/>
    <w:rsid w:val="00C9231F"/>
    <w:rsid w:val="00C92ADA"/>
    <w:rsid w:val="00CA28E6"/>
    <w:rsid w:val="00CA2A69"/>
    <w:rsid w:val="00CA5ABF"/>
    <w:rsid w:val="00CA6729"/>
    <w:rsid w:val="00CB086D"/>
    <w:rsid w:val="00CB0A1C"/>
    <w:rsid w:val="00CB3618"/>
    <w:rsid w:val="00CB581D"/>
    <w:rsid w:val="00CB66A4"/>
    <w:rsid w:val="00CB7230"/>
    <w:rsid w:val="00CC2231"/>
    <w:rsid w:val="00CD07BD"/>
    <w:rsid w:val="00CD2037"/>
    <w:rsid w:val="00CD352C"/>
    <w:rsid w:val="00CD5834"/>
    <w:rsid w:val="00CE48C6"/>
    <w:rsid w:val="00CE5B4E"/>
    <w:rsid w:val="00CF0695"/>
    <w:rsid w:val="00CF308F"/>
    <w:rsid w:val="00CF4219"/>
    <w:rsid w:val="00CF4A08"/>
    <w:rsid w:val="00CF664E"/>
    <w:rsid w:val="00CF76D2"/>
    <w:rsid w:val="00CF7A55"/>
    <w:rsid w:val="00D02BEF"/>
    <w:rsid w:val="00D035EB"/>
    <w:rsid w:val="00D0509A"/>
    <w:rsid w:val="00D1173B"/>
    <w:rsid w:val="00D13B4A"/>
    <w:rsid w:val="00D148B8"/>
    <w:rsid w:val="00D15E6E"/>
    <w:rsid w:val="00D20B58"/>
    <w:rsid w:val="00D245E3"/>
    <w:rsid w:val="00D2542C"/>
    <w:rsid w:val="00D26057"/>
    <w:rsid w:val="00D3102B"/>
    <w:rsid w:val="00D31595"/>
    <w:rsid w:val="00D33883"/>
    <w:rsid w:val="00D35B18"/>
    <w:rsid w:val="00D36C9D"/>
    <w:rsid w:val="00D37D7D"/>
    <w:rsid w:val="00D40D17"/>
    <w:rsid w:val="00D427A3"/>
    <w:rsid w:val="00D42AAE"/>
    <w:rsid w:val="00D435B8"/>
    <w:rsid w:val="00D44080"/>
    <w:rsid w:val="00D45784"/>
    <w:rsid w:val="00D45C51"/>
    <w:rsid w:val="00D46E6B"/>
    <w:rsid w:val="00D504DF"/>
    <w:rsid w:val="00D52A11"/>
    <w:rsid w:val="00D5448F"/>
    <w:rsid w:val="00D54A5E"/>
    <w:rsid w:val="00D6305D"/>
    <w:rsid w:val="00D65E9E"/>
    <w:rsid w:val="00D67F0D"/>
    <w:rsid w:val="00D71203"/>
    <w:rsid w:val="00D74427"/>
    <w:rsid w:val="00D804C9"/>
    <w:rsid w:val="00D84D6F"/>
    <w:rsid w:val="00D85A26"/>
    <w:rsid w:val="00D87B65"/>
    <w:rsid w:val="00D92F4E"/>
    <w:rsid w:val="00D957ED"/>
    <w:rsid w:val="00D95838"/>
    <w:rsid w:val="00D97012"/>
    <w:rsid w:val="00DA0794"/>
    <w:rsid w:val="00DA151E"/>
    <w:rsid w:val="00DA6AD9"/>
    <w:rsid w:val="00DA6FD6"/>
    <w:rsid w:val="00DB26CC"/>
    <w:rsid w:val="00DB3740"/>
    <w:rsid w:val="00DB5AA7"/>
    <w:rsid w:val="00DC277D"/>
    <w:rsid w:val="00DC39A4"/>
    <w:rsid w:val="00DC573D"/>
    <w:rsid w:val="00DC6344"/>
    <w:rsid w:val="00DC7833"/>
    <w:rsid w:val="00DD0712"/>
    <w:rsid w:val="00DD0785"/>
    <w:rsid w:val="00DD0896"/>
    <w:rsid w:val="00DD197C"/>
    <w:rsid w:val="00DD456C"/>
    <w:rsid w:val="00DD63D4"/>
    <w:rsid w:val="00DD6F18"/>
    <w:rsid w:val="00DE1DC6"/>
    <w:rsid w:val="00DE2693"/>
    <w:rsid w:val="00DE6477"/>
    <w:rsid w:val="00DE72E1"/>
    <w:rsid w:val="00DF0131"/>
    <w:rsid w:val="00DF22F3"/>
    <w:rsid w:val="00DF54C7"/>
    <w:rsid w:val="00DF6526"/>
    <w:rsid w:val="00DF65EA"/>
    <w:rsid w:val="00DF7677"/>
    <w:rsid w:val="00DF7962"/>
    <w:rsid w:val="00E01C03"/>
    <w:rsid w:val="00E038F6"/>
    <w:rsid w:val="00E1225A"/>
    <w:rsid w:val="00E162A1"/>
    <w:rsid w:val="00E17075"/>
    <w:rsid w:val="00E2519C"/>
    <w:rsid w:val="00E259CC"/>
    <w:rsid w:val="00E2685E"/>
    <w:rsid w:val="00E26A5C"/>
    <w:rsid w:val="00E314AB"/>
    <w:rsid w:val="00E31D5F"/>
    <w:rsid w:val="00E33C7D"/>
    <w:rsid w:val="00E35730"/>
    <w:rsid w:val="00E359A3"/>
    <w:rsid w:val="00E40300"/>
    <w:rsid w:val="00E40640"/>
    <w:rsid w:val="00E40BF4"/>
    <w:rsid w:val="00E42CD3"/>
    <w:rsid w:val="00E461A6"/>
    <w:rsid w:val="00E465E0"/>
    <w:rsid w:val="00E468DC"/>
    <w:rsid w:val="00E47584"/>
    <w:rsid w:val="00E519A2"/>
    <w:rsid w:val="00E52E36"/>
    <w:rsid w:val="00E53CC6"/>
    <w:rsid w:val="00E668F3"/>
    <w:rsid w:val="00E757B5"/>
    <w:rsid w:val="00E92605"/>
    <w:rsid w:val="00E9455C"/>
    <w:rsid w:val="00E9792B"/>
    <w:rsid w:val="00E97C8A"/>
    <w:rsid w:val="00EA3B53"/>
    <w:rsid w:val="00EA6D33"/>
    <w:rsid w:val="00EA713E"/>
    <w:rsid w:val="00EA7A69"/>
    <w:rsid w:val="00EB18FE"/>
    <w:rsid w:val="00EB4D03"/>
    <w:rsid w:val="00EB4F4C"/>
    <w:rsid w:val="00EB59AC"/>
    <w:rsid w:val="00EB66DC"/>
    <w:rsid w:val="00EB6C70"/>
    <w:rsid w:val="00EB7144"/>
    <w:rsid w:val="00EC3F3B"/>
    <w:rsid w:val="00EC62E0"/>
    <w:rsid w:val="00EC682A"/>
    <w:rsid w:val="00EC6861"/>
    <w:rsid w:val="00EC6D52"/>
    <w:rsid w:val="00ED0207"/>
    <w:rsid w:val="00ED066D"/>
    <w:rsid w:val="00ED2E8F"/>
    <w:rsid w:val="00ED4952"/>
    <w:rsid w:val="00ED79D9"/>
    <w:rsid w:val="00ED7BC9"/>
    <w:rsid w:val="00EE0A72"/>
    <w:rsid w:val="00EE483E"/>
    <w:rsid w:val="00EE735D"/>
    <w:rsid w:val="00EE7D36"/>
    <w:rsid w:val="00EF21C2"/>
    <w:rsid w:val="00EF2BD6"/>
    <w:rsid w:val="00EF6CE9"/>
    <w:rsid w:val="00F00399"/>
    <w:rsid w:val="00F00A0C"/>
    <w:rsid w:val="00F0560B"/>
    <w:rsid w:val="00F1287A"/>
    <w:rsid w:val="00F132DD"/>
    <w:rsid w:val="00F13E38"/>
    <w:rsid w:val="00F145C7"/>
    <w:rsid w:val="00F14632"/>
    <w:rsid w:val="00F16685"/>
    <w:rsid w:val="00F239BA"/>
    <w:rsid w:val="00F32C3A"/>
    <w:rsid w:val="00F33E30"/>
    <w:rsid w:val="00F342DA"/>
    <w:rsid w:val="00F3436C"/>
    <w:rsid w:val="00F34A5F"/>
    <w:rsid w:val="00F34BD2"/>
    <w:rsid w:val="00F4031C"/>
    <w:rsid w:val="00F466DF"/>
    <w:rsid w:val="00F472E3"/>
    <w:rsid w:val="00F51DB5"/>
    <w:rsid w:val="00F529F7"/>
    <w:rsid w:val="00F542D6"/>
    <w:rsid w:val="00F56B02"/>
    <w:rsid w:val="00F576FC"/>
    <w:rsid w:val="00F6087E"/>
    <w:rsid w:val="00F610FE"/>
    <w:rsid w:val="00F61CDE"/>
    <w:rsid w:val="00F626C5"/>
    <w:rsid w:val="00F63937"/>
    <w:rsid w:val="00F65A23"/>
    <w:rsid w:val="00F6659D"/>
    <w:rsid w:val="00F67B94"/>
    <w:rsid w:val="00F701E4"/>
    <w:rsid w:val="00F7232F"/>
    <w:rsid w:val="00F73D34"/>
    <w:rsid w:val="00F813DC"/>
    <w:rsid w:val="00F821B8"/>
    <w:rsid w:val="00F82440"/>
    <w:rsid w:val="00F82DEC"/>
    <w:rsid w:val="00F82FC6"/>
    <w:rsid w:val="00F8429F"/>
    <w:rsid w:val="00F84628"/>
    <w:rsid w:val="00F855FD"/>
    <w:rsid w:val="00F8778A"/>
    <w:rsid w:val="00F87902"/>
    <w:rsid w:val="00F90AB8"/>
    <w:rsid w:val="00F95A10"/>
    <w:rsid w:val="00F9779A"/>
    <w:rsid w:val="00FA0B54"/>
    <w:rsid w:val="00FA3C60"/>
    <w:rsid w:val="00FA596F"/>
    <w:rsid w:val="00FB0F05"/>
    <w:rsid w:val="00FB33EE"/>
    <w:rsid w:val="00FB7162"/>
    <w:rsid w:val="00FC5134"/>
    <w:rsid w:val="00FC5310"/>
    <w:rsid w:val="00FC7160"/>
    <w:rsid w:val="00FC7C6F"/>
    <w:rsid w:val="00FD0271"/>
    <w:rsid w:val="00FD07C6"/>
    <w:rsid w:val="00FD1C09"/>
    <w:rsid w:val="00FD3A58"/>
    <w:rsid w:val="00FD4FC8"/>
    <w:rsid w:val="00FD5EFB"/>
    <w:rsid w:val="00FD6698"/>
    <w:rsid w:val="00FD77FF"/>
    <w:rsid w:val="00FE399C"/>
    <w:rsid w:val="00FE6590"/>
    <w:rsid w:val="00FE72F1"/>
    <w:rsid w:val="00FE75B5"/>
    <w:rsid w:val="00FF1D0A"/>
    <w:rsid w:val="00FF3472"/>
    <w:rsid w:val="00FF3F2E"/>
    <w:rsid w:val="00FF5DA6"/>
    <w:rsid w:val="00FF6F6C"/>
    <w:rsid w:val="00FF7E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60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C6"/>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53CC6"/>
    <w:pPr>
      <w:spacing w:line="240" w:lineRule="auto"/>
    </w:pPr>
    <w:rPr>
      <w:rFonts w:ascii="Times New Roman" w:hAnsi="Times New Roman"/>
      <w:color w:val="auto"/>
      <w:spacing w:val="0"/>
      <w:sz w:val="20"/>
      <w:szCs w:val="20"/>
      <w:lang w:val="en-US" w:eastAsia="en-US"/>
    </w:rPr>
  </w:style>
  <w:style w:type="character" w:customStyle="1" w:styleId="FootnoteTextChar">
    <w:name w:val="Footnote Text Char"/>
    <w:basedOn w:val="DefaultParagraphFont"/>
    <w:link w:val="FootnoteText"/>
    <w:semiHidden/>
    <w:rsid w:val="00E53CC6"/>
    <w:rPr>
      <w:rFonts w:ascii="Times New Roman" w:eastAsia="Times New Roman" w:hAnsi="Times New Roman" w:cs="Times New Roman"/>
      <w:sz w:val="20"/>
      <w:szCs w:val="20"/>
      <w:lang w:val="en-US"/>
    </w:rPr>
  </w:style>
  <w:style w:type="paragraph" w:styleId="BodyText3">
    <w:name w:val="Body Text 3"/>
    <w:basedOn w:val="Normal"/>
    <w:link w:val="BodyText3Char"/>
    <w:rsid w:val="00E53CC6"/>
    <w:pPr>
      <w:spacing w:after="120"/>
    </w:pPr>
    <w:rPr>
      <w:sz w:val="16"/>
      <w:szCs w:val="16"/>
    </w:rPr>
  </w:style>
  <w:style w:type="character" w:customStyle="1" w:styleId="BodyText3Char">
    <w:name w:val="Body Text 3 Char"/>
    <w:basedOn w:val="DefaultParagraphFont"/>
    <w:link w:val="BodyText3"/>
    <w:rsid w:val="00E53CC6"/>
    <w:rPr>
      <w:rFonts w:ascii="Arial" w:eastAsia="Times New Roman" w:hAnsi="Arial" w:cs="Times New Roman"/>
      <w:color w:val="000000"/>
      <w:spacing w:val="6"/>
      <w:sz w:val="16"/>
      <w:szCs w:val="16"/>
      <w:lang w:val="en-GB" w:eastAsia="en-GB"/>
    </w:rPr>
  </w:style>
  <w:style w:type="paragraph" w:styleId="Footer">
    <w:name w:val="footer"/>
    <w:basedOn w:val="Normal"/>
    <w:link w:val="FooterChar"/>
    <w:uiPriority w:val="99"/>
    <w:rsid w:val="00E53CC6"/>
    <w:pPr>
      <w:tabs>
        <w:tab w:val="center" w:pos="4153"/>
        <w:tab w:val="right" w:pos="8306"/>
      </w:tabs>
    </w:pPr>
  </w:style>
  <w:style w:type="character" w:customStyle="1" w:styleId="FooterChar">
    <w:name w:val="Footer Char"/>
    <w:basedOn w:val="DefaultParagraphFont"/>
    <w:link w:val="Footer"/>
    <w:uiPriority w:val="99"/>
    <w:rsid w:val="00E53CC6"/>
    <w:rPr>
      <w:rFonts w:ascii="Arial" w:eastAsia="Times New Roman" w:hAnsi="Arial" w:cs="Times New Roman"/>
      <w:color w:val="000000"/>
      <w:spacing w:val="6"/>
      <w:sz w:val="18"/>
      <w:szCs w:val="18"/>
      <w:lang w:val="en-GB" w:eastAsia="en-GB"/>
    </w:rPr>
  </w:style>
  <w:style w:type="character" w:styleId="PageNumber">
    <w:name w:val="page number"/>
    <w:basedOn w:val="DefaultParagraphFont"/>
    <w:rsid w:val="00E53CC6"/>
  </w:style>
  <w:style w:type="paragraph" w:styleId="BalloonText">
    <w:name w:val="Balloon Text"/>
    <w:basedOn w:val="Normal"/>
    <w:link w:val="BalloonTextChar"/>
    <w:semiHidden/>
    <w:unhideWhenUsed/>
    <w:rsid w:val="00E53CC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53CC6"/>
    <w:rPr>
      <w:rFonts w:ascii="Tahoma" w:eastAsia="Times New Roman" w:hAnsi="Tahoma" w:cs="Tahoma"/>
      <w:color w:val="000000"/>
      <w:spacing w:val="6"/>
      <w:sz w:val="16"/>
      <w:szCs w:val="16"/>
      <w:lang w:val="en-GB" w:eastAsia="en-GB"/>
    </w:rPr>
  </w:style>
  <w:style w:type="paragraph" w:styleId="ListParagraph">
    <w:name w:val="List Paragraph"/>
    <w:aliases w:val="List Paragraph 1,Table of contents numbered,Bullets,footer text,List Paragraph1,Recommendation,Bullet List"/>
    <w:basedOn w:val="Normal"/>
    <w:link w:val="ListParagraphChar"/>
    <w:uiPriority w:val="34"/>
    <w:qFormat/>
    <w:rsid w:val="00E53CC6"/>
    <w:pPr>
      <w:ind w:left="720"/>
      <w:contextualSpacing/>
    </w:pPr>
  </w:style>
  <w:style w:type="paragraph" w:styleId="CommentText">
    <w:name w:val="annotation text"/>
    <w:basedOn w:val="Normal"/>
    <w:link w:val="CommentTextChar"/>
    <w:semiHidden/>
    <w:unhideWhenUsed/>
    <w:rsid w:val="00E53CC6"/>
    <w:pPr>
      <w:spacing w:line="240" w:lineRule="auto"/>
    </w:pPr>
    <w:rPr>
      <w:sz w:val="20"/>
      <w:szCs w:val="20"/>
    </w:rPr>
  </w:style>
  <w:style w:type="character" w:customStyle="1" w:styleId="CommentTextChar">
    <w:name w:val="Comment Text Char"/>
    <w:basedOn w:val="DefaultParagraphFont"/>
    <w:link w:val="CommentText"/>
    <w:semiHidden/>
    <w:rsid w:val="00E53CC6"/>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semiHidden/>
    <w:unhideWhenUsed/>
    <w:rsid w:val="00E53CC6"/>
    <w:rPr>
      <w:b/>
      <w:bCs/>
    </w:rPr>
  </w:style>
  <w:style w:type="character" w:customStyle="1" w:styleId="CommentSubjectChar">
    <w:name w:val="Comment Subject Char"/>
    <w:basedOn w:val="CommentTextChar"/>
    <w:link w:val="CommentSubject"/>
    <w:semiHidden/>
    <w:rsid w:val="00E53CC6"/>
    <w:rPr>
      <w:rFonts w:ascii="Arial" w:eastAsia="Times New Roman" w:hAnsi="Arial" w:cs="Times New Roman"/>
      <w:b/>
      <w:bCs/>
      <w:color w:val="000000"/>
      <w:spacing w:val="6"/>
      <w:sz w:val="20"/>
      <w:szCs w:val="20"/>
      <w:lang w:val="en-GB" w:eastAsia="en-GB"/>
    </w:rPr>
  </w:style>
  <w:style w:type="character" w:styleId="Hyperlink">
    <w:name w:val="Hyperlink"/>
    <w:rsid w:val="00E53CC6"/>
    <w:rPr>
      <w:color w:val="0000FF"/>
      <w:u w:val="single"/>
    </w:rPr>
  </w:style>
  <w:style w:type="character" w:styleId="Strong">
    <w:name w:val="Strong"/>
    <w:qFormat/>
    <w:rsid w:val="00E53CC6"/>
    <w:rPr>
      <w:b/>
      <w:bCs/>
    </w:rPr>
  </w:style>
  <w:style w:type="character" w:styleId="FootnoteReference">
    <w:name w:val="footnote reference"/>
    <w:semiHidden/>
    <w:rsid w:val="00E53CC6"/>
    <w:rPr>
      <w:vertAlign w:val="superscript"/>
    </w:rPr>
  </w:style>
  <w:style w:type="table" w:styleId="TableGrid">
    <w:name w:val="Table Grid"/>
    <w:basedOn w:val="TableNormal"/>
    <w:uiPriority w:val="39"/>
    <w:rsid w:val="00E42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9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OAP">
    <w:name w:val="SCOAP"/>
    <w:basedOn w:val="Normal"/>
    <w:qFormat/>
    <w:rsid w:val="00244CAA"/>
    <w:pPr>
      <w:spacing w:before="240" w:after="240" w:line="240" w:lineRule="auto"/>
      <w:ind w:right="-142"/>
      <w:jc w:val="both"/>
    </w:pPr>
    <w:rPr>
      <w:rFonts w:eastAsiaTheme="minorHAnsi" w:cs="Arial"/>
      <w:color w:val="auto"/>
      <w:spacing w:val="0"/>
      <w:sz w:val="21"/>
      <w:szCs w:val="21"/>
      <w:lang w:eastAsia="en-US"/>
    </w:rPr>
  </w:style>
  <w:style w:type="character" w:customStyle="1" w:styleId="ListParagraphChar">
    <w:name w:val="List Paragraph Char"/>
    <w:aliases w:val="List Paragraph 1 Char,Table of contents numbered Char,Bullets Char,footer text Char,List Paragraph1 Char,Recommendation Char,Bullet List Char"/>
    <w:link w:val="ListParagraph"/>
    <w:uiPriority w:val="34"/>
    <w:locked/>
    <w:rsid w:val="00812B09"/>
    <w:rPr>
      <w:rFonts w:ascii="Arial" w:eastAsia="Times New Roman" w:hAnsi="Arial" w:cs="Times New Roman"/>
      <w:color w:val="000000"/>
      <w:spacing w:val="6"/>
      <w:sz w:val="18"/>
      <w:szCs w:val="18"/>
      <w:lang w:val="en-GB" w:eastAsia="en-GB"/>
    </w:rPr>
  </w:style>
  <w:style w:type="paragraph" w:customStyle="1" w:styleId="AGFootnote">
    <w:name w:val="AG Footnote"/>
    <w:basedOn w:val="Normal"/>
    <w:rsid w:val="000A06AB"/>
    <w:pPr>
      <w:spacing w:before="200" w:after="120" w:line="240" w:lineRule="auto"/>
    </w:pPr>
    <w:rPr>
      <w:i/>
      <w:color w:val="auto"/>
      <w:spacing w:val="0"/>
      <w:sz w:val="14"/>
      <w:szCs w:val="14"/>
      <w:lang w:val="en-ZA"/>
    </w:rPr>
  </w:style>
  <w:style w:type="paragraph" w:styleId="NormalWeb">
    <w:name w:val="Normal (Web)"/>
    <w:basedOn w:val="Normal"/>
    <w:link w:val="NormalWebChar"/>
    <w:uiPriority w:val="99"/>
    <w:unhideWhenUsed/>
    <w:rsid w:val="000A06AB"/>
    <w:pPr>
      <w:spacing w:line="240" w:lineRule="auto"/>
    </w:pPr>
    <w:rPr>
      <w:rFonts w:ascii="Times New Roman" w:hAnsi="Times New Roman"/>
      <w:color w:val="auto"/>
      <w:spacing w:val="0"/>
      <w:sz w:val="24"/>
      <w:szCs w:val="24"/>
      <w:lang w:val="en-ZA" w:eastAsia="en-ZA"/>
    </w:rPr>
  </w:style>
  <w:style w:type="character" w:customStyle="1" w:styleId="NormalWebChar">
    <w:name w:val="Normal (Web) Char"/>
    <w:link w:val="NormalWeb"/>
    <w:uiPriority w:val="99"/>
    <w:rsid w:val="000A06AB"/>
    <w:rPr>
      <w:rFonts w:ascii="Times New Roman" w:eastAsia="Times New Roman" w:hAnsi="Times New Roman" w:cs="Times New Roman"/>
      <w:sz w:val="24"/>
      <w:szCs w:val="24"/>
      <w:lang w:eastAsia="en-ZA"/>
    </w:rPr>
  </w:style>
  <w:style w:type="character" w:customStyle="1" w:styleId="tgc">
    <w:name w:val="_tgc"/>
    <w:basedOn w:val="DefaultParagraphFont"/>
    <w:rsid w:val="003847D8"/>
  </w:style>
  <w:style w:type="paragraph" w:customStyle="1" w:styleId="char">
    <w:name w:val="char"/>
    <w:basedOn w:val="Normal"/>
    <w:uiPriority w:val="99"/>
    <w:rsid w:val="00090580"/>
    <w:pPr>
      <w:widowControl w:val="0"/>
      <w:suppressAutoHyphens/>
      <w:autoSpaceDE w:val="0"/>
      <w:autoSpaceDN w:val="0"/>
      <w:spacing w:line="240" w:lineRule="auto"/>
      <w:textAlignment w:val="baseline"/>
    </w:pPr>
    <w:rPr>
      <w:rFonts w:cs="Arial"/>
      <w:color w:val="auto"/>
      <w:spacing w:val="0"/>
      <w:sz w:val="24"/>
      <w:szCs w:val="24"/>
    </w:rPr>
  </w:style>
  <w:style w:type="paragraph" w:styleId="Header">
    <w:name w:val="header"/>
    <w:basedOn w:val="Normal"/>
    <w:link w:val="HeaderChar"/>
    <w:uiPriority w:val="99"/>
    <w:unhideWhenUsed/>
    <w:rsid w:val="00097C6E"/>
    <w:pPr>
      <w:tabs>
        <w:tab w:val="center" w:pos="4513"/>
        <w:tab w:val="right" w:pos="9026"/>
      </w:tabs>
      <w:spacing w:line="240" w:lineRule="auto"/>
    </w:pPr>
  </w:style>
  <w:style w:type="character" w:customStyle="1" w:styleId="HeaderChar">
    <w:name w:val="Header Char"/>
    <w:basedOn w:val="DefaultParagraphFont"/>
    <w:link w:val="Header"/>
    <w:uiPriority w:val="99"/>
    <w:rsid w:val="00097C6E"/>
    <w:rPr>
      <w:rFonts w:ascii="Arial" w:eastAsia="Times New Roman" w:hAnsi="Arial" w:cs="Times New Roman"/>
      <w:color w:val="000000"/>
      <w:spacing w:val="6"/>
      <w:sz w:val="18"/>
      <w:szCs w:val="18"/>
      <w:lang w:val="en-GB" w:eastAsia="en-GB"/>
    </w:rPr>
  </w:style>
  <w:style w:type="table" w:customStyle="1" w:styleId="TableGrid2">
    <w:name w:val="Table Grid2"/>
    <w:basedOn w:val="TableNormal"/>
    <w:next w:val="TableGrid"/>
    <w:uiPriority w:val="39"/>
    <w:rsid w:val="00960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60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B69C0"/>
  </w:style>
  <w:style w:type="character" w:styleId="Emphasis">
    <w:name w:val="Emphasis"/>
    <w:basedOn w:val="DefaultParagraphFont"/>
    <w:uiPriority w:val="20"/>
    <w:qFormat/>
    <w:rsid w:val="009B69C0"/>
    <w:rPr>
      <w:i/>
      <w:iCs/>
    </w:rPr>
  </w:style>
  <w:style w:type="character" w:styleId="CommentReference">
    <w:name w:val="annotation reference"/>
    <w:basedOn w:val="DefaultParagraphFont"/>
    <w:uiPriority w:val="99"/>
    <w:semiHidden/>
    <w:unhideWhenUsed/>
    <w:rsid w:val="0045049A"/>
    <w:rPr>
      <w:sz w:val="16"/>
      <w:szCs w:val="16"/>
    </w:rPr>
  </w:style>
  <w:style w:type="paragraph" w:customStyle="1" w:styleId="SCOA2">
    <w:name w:val="SCOA2"/>
    <w:basedOn w:val="Normal"/>
    <w:qFormat/>
    <w:rsid w:val="00391181"/>
    <w:pPr>
      <w:keepNext/>
      <w:keepLines/>
      <w:tabs>
        <w:tab w:val="left" w:pos="0"/>
        <w:tab w:val="left" w:pos="142"/>
        <w:tab w:val="left" w:pos="10348"/>
      </w:tabs>
      <w:spacing w:before="240" w:after="120" w:line="240" w:lineRule="auto"/>
    </w:pPr>
    <w:rPr>
      <w:rFonts w:eastAsiaTheme="minorHAnsi" w:cs="Arial"/>
      <w:b/>
      <w:color w:val="auto"/>
      <w:spacing w:val="0"/>
      <w:sz w:val="24"/>
      <w:szCs w:val="24"/>
      <w:lang w:eastAsia="en-US"/>
    </w:rPr>
  </w:style>
  <w:style w:type="paragraph" w:customStyle="1" w:styleId="Default">
    <w:name w:val="Default"/>
    <w:rsid w:val="0088212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C6"/>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53CC6"/>
    <w:pPr>
      <w:spacing w:line="240" w:lineRule="auto"/>
    </w:pPr>
    <w:rPr>
      <w:rFonts w:ascii="Times New Roman" w:hAnsi="Times New Roman"/>
      <w:color w:val="auto"/>
      <w:spacing w:val="0"/>
      <w:sz w:val="20"/>
      <w:szCs w:val="20"/>
      <w:lang w:val="en-US" w:eastAsia="en-US"/>
    </w:rPr>
  </w:style>
  <w:style w:type="character" w:customStyle="1" w:styleId="FootnoteTextChar">
    <w:name w:val="Footnote Text Char"/>
    <w:basedOn w:val="DefaultParagraphFont"/>
    <w:link w:val="FootnoteText"/>
    <w:semiHidden/>
    <w:rsid w:val="00E53CC6"/>
    <w:rPr>
      <w:rFonts w:ascii="Times New Roman" w:eastAsia="Times New Roman" w:hAnsi="Times New Roman" w:cs="Times New Roman"/>
      <w:sz w:val="20"/>
      <w:szCs w:val="20"/>
      <w:lang w:val="en-US"/>
    </w:rPr>
  </w:style>
  <w:style w:type="paragraph" w:styleId="BodyText3">
    <w:name w:val="Body Text 3"/>
    <w:basedOn w:val="Normal"/>
    <w:link w:val="BodyText3Char"/>
    <w:rsid w:val="00E53CC6"/>
    <w:pPr>
      <w:spacing w:after="120"/>
    </w:pPr>
    <w:rPr>
      <w:sz w:val="16"/>
      <w:szCs w:val="16"/>
    </w:rPr>
  </w:style>
  <w:style w:type="character" w:customStyle="1" w:styleId="BodyText3Char">
    <w:name w:val="Body Text 3 Char"/>
    <w:basedOn w:val="DefaultParagraphFont"/>
    <w:link w:val="BodyText3"/>
    <w:rsid w:val="00E53CC6"/>
    <w:rPr>
      <w:rFonts w:ascii="Arial" w:eastAsia="Times New Roman" w:hAnsi="Arial" w:cs="Times New Roman"/>
      <w:color w:val="000000"/>
      <w:spacing w:val="6"/>
      <w:sz w:val="16"/>
      <w:szCs w:val="16"/>
      <w:lang w:val="en-GB" w:eastAsia="en-GB"/>
    </w:rPr>
  </w:style>
  <w:style w:type="paragraph" w:styleId="Footer">
    <w:name w:val="footer"/>
    <w:basedOn w:val="Normal"/>
    <w:link w:val="FooterChar"/>
    <w:uiPriority w:val="99"/>
    <w:rsid w:val="00E53CC6"/>
    <w:pPr>
      <w:tabs>
        <w:tab w:val="center" w:pos="4153"/>
        <w:tab w:val="right" w:pos="8306"/>
      </w:tabs>
    </w:pPr>
  </w:style>
  <w:style w:type="character" w:customStyle="1" w:styleId="FooterChar">
    <w:name w:val="Footer Char"/>
    <w:basedOn w:val="DefaultParagraphFont"/>
    <w:link w:val="Footer"/>
    <w:uiPriority w:val="99"/>
    <w:rsid w:val="00E53CC6"/>
    <w:rPr>
      <w:rFonts w:ascii="Arial" w:eastAsia="Times New Roman" w:hAnsi="Arial" w:cs="Times New Roman"/>
      <w:color w:val="000000"/>
      <w:spacing w:val="6"/>
      <w:sz w:val="18"/>
      <w:szCs w:val="18"/>
      <w:lang w:val="en-GB" w:eastAsia="en-GB"/>
    </w:rPr>
  </w:style>
  <w:style w:type="character" w:styleId="PageNumber">
    <w:name w:val="page number"/>
    <w:basedOn w:val="DefaultParagraphFont"/>
    <w:rsid w:val="00E53CC6"/>
  </w:style>
  <w:style w:type="paragraph" w:styleId="BalloonText">
    <w:name w:val="Balloon Text"/>
    <w:basedOn w:val="Normal"/>
    <w:link w:val="BalloonTextChar"/>
    <w:semiHidden/>
    <w:unhideWhenUsed/>
    <w:rsid w:val="00E53CC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53CC6"/>
    <w:rPr>
      <w:rFonts w:ascii="Tahoma" w:eastAsia="Times New Roman" w:hAnsi="Tahoma" w:cs="Tahoma"/>
      <w:color w:val="000000"/>
      <w:spacing w:val="6"/>
      <w:sz w:val="16"/>
      <w:szCs w:val="16"/>
      <w:lang w:val="en-GB" w:eastAsia="en-GB"/>
    </w:rPr>
  </w:style>
  <w:style w:type="paragraph" w:styleId="ListParagraph">
    <w:name w:val="List Paragraph"/>
    <w:aliases w:val="List Paragraph 1,Table of contents numbered,Bullets,footer text,List Paragraph1,Recommendation,Bullet List"/>
    <w:basedOn w:val="Normal"/>
    <w:link w:val="ListParagraphChar"/>
    <w:uiPriority w:val="34"/>
    <w:qFormat/>
    <w:rsid w:val="00E53CC6"/>
    <w:pPr>
      <w:ind w:left="720"/>
      <w:contextualSpacing/>
    </w:pPr>
  </w:style>
  <w:style w:type="paragraph" w:styleId="CommentText">
    <w:name w:val="annotation text"/>
    <w:basedOn w:val="Normal"/>
    <w:link w:val="CommentTextChar"/>
    <w:semiHidden/>
    <w:unhideWhenUsed/>
    <w:rsid w:val="00E53CC6"/>
    <w:pPr>
      <w:spacing w:line="240" w:lineRule="auto"/>
    </w:pPr>
    <w:rPr>
      <w:sz w:val="20"/>
      <w:szCs w:val="20"/>
    </w:rPr>
  </w:style>
  <w:style w:type="character" w:customStyle="1" w:styleId="CommentTextChar">
    <w:name w:val="Comment Text Char"/>
    <w:basedOn w:val="DefaultParagraphFont"/>
    <w:link w:val="CommentText"/>
    <w:semiHidden/>
    <w:rsid w:val="00E53CC6"/>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semiHidden/>
    <w:unhideWhenUsed/>
    <w:rsid w:val="00E53CC6"/>
    <w:rPr>
      <w:b/>
      <w:bCs/>
    </w:rPr>
  </w:style>
  <w:style w:type="character" w:customStyle="1" w:styleId="CommentSubjectChar">
    <w:name w:val="Comment Subject Char"/>
    <w:basedOn w:val="CommentTextChar"/>
    <w:link w:val="CommentSubject"/>
    <w:semiHidden/>
    <w:rsid w:val="00E53CC6"/>
    <w:rPr>
      <w:rFonts w:ascii="Arial" w:eastAsia="Times New Roman" w:hAnsi="Arial" w:cs="Times New Roman"/>
      <w:b/>
      <w:bCs/>
      <w:color w:val="000000"/>
      <w:spacing w:val="6"/>
      <w:sz w:val="20"/>
      <w:szCs w:val="20"/>
      <w:lang w:val="en-GB" w:eastAsia="en-GB"/>
    </w:rPr>
  </w:style>
  <w:style w:type="character" w:styleId="Hyperlink">
    <w:name w:val="Hyperlink"/>
    <w:rsid w:val="00E53CC6"/>
    <w:rPr>
      <w:color w:val="0000FF"/>
      <w:u w:val="single"/>
    </w:rPr>
  </w:style>
  <w:style w:type="character" w:styleId="Strong">
    <w:name w:val="Strong"/>
    <w:qFormat/>
    <w:rsid w:val="00E53CC6"/>
    <w:rPr>
      <w:b/>
      <w:bCs/>
    </w:rPr>
  </w:style>
  <w:style w:type="character" w:styleId="FootnoteReference">
    <w:name w:val="footnote reference"/>
    <w:semiHidden/>
    <w:rsid w:val="00E53CC6"/>
    <w:rPr>
      <w:vertAlign w:val="superscript"/>
    </w:rPr>
  </w:style>
  <w:style w:type="table" w:styleId="TableGrid">
    <w:name w:val="Table Grid"/>
    <w:basedOn w:val="TableNormal"/>
    <w:uiPriority w:val="39"/>
    <w:rsid w:val="00E42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9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OAP">
    <w:name w:val="SCOAP"/>
    <w:basedOn w:val="Normal"/>
    <w:qFormat/>
    <w:rsid w:val="00244CAA"/>
    <w:pPr>
      <w:spacing w:before="240" w:after="240" w:line="240" w:lineRule="auto"/>
      <w:ind w:right="-142"/>
      <w:jc w:val="both"/>
    </w:pPr>
    <w:rPr>
      <w:rFonts w:eastAsiaTheme="minorHAnsi" w:cs="Arial"/>
      <w:color w:val="auto"/>
      <w:spacing w:val="0"/>
      <w:sz w:val="21"/>
      <w:szCs w:val="21"/>
      <w:lang w:eastAsia="en-US"/>
    </w:rPr>
  </w:style>
  <w:style w:type="character" w:customStyle="1" w:styleId="ListParagraphChar">
    <w:name w:val="List Paragraph Char"/>
    <w:aliases w:val="List Paragraph 1 Char,Table of contents numbered Char,Bullets Char,footer text Char,List Paragraph1 Char,Recommendation Char,Bullet List Char"/>
    <w:link w:val="ListParagraph"/>
    <w:uiPriority w:val="34"/>
    <w:locked/>
    <w:rsid w:val="00812B09"/>
    <w:rPr>
      <w:rFonts w:ascii="Arial" w:eastAsia="Times New Roman" w:hAnsi="Arial" w:cs="Times New Roman"/>
      <w:color w:val="000000"/>
      <w:spacing w:val="6"/>
      <w:sz w:val="18"/>
      <w:szCs w:val="18"/>
      <w:lang w:val="en-GB" w:eastAsia="en-GB"/>
    </w:rPr>
  </w:style>
  <w:style w:type="paragraph" w:customStyle="1" w:styleId="AGFootnote">
    <w:name w:val="AG Footnote"/>
    <w:basedOn w:val="Normal"/>
    <w:rsid w:val="000A06AB"/>
    <w:pPr>
      <w:spacing w:before="200" w:after="120" w:line="240" w:lineRule="auto"/>
    </w:pPr>
    <w:rPr>
      <w:i/>
      <w:color w:val="auto"/>
      <w:spacing w:val="0"/>
      <w:sz w:val="14"/>
      <w:szCs w:val="14"/>
      <w:lang w:val="en-ZA"/>
    </w:rPr>
  </w:style>
  <w:style w:type="paragraph" w:styleId="NormalWeb">
    <w:name w:val="Normal (Web)"/>
    <w:basedOn w:val="Normal"/>
    <w:link w:val="NormalWebChar"/>
    <w:uiPriority w:val="99"/>
    <w:unhideWhenUsed/>
    <w:rsid w:val="000A06AB"/>
    <w:pPr>
      <w:spacing w:line="240" w:lineRule="auto"/>
    </w:pPr>
    <w:rPr>
      <w:rFonts w:ascii="Times New Roman" w:hAnsi="Times New Roman"/>
      <w:color w:val="auto"/>
      <w:spacing w:val="0"/>
      <w:sz w:val="24"/>
      <w:szCs w:val="24"/>
      <w:lang w:val="en-ZA" w:eastAsia="en-ZA"/>
    </w:rPr>
  </w:style>
  <w:style w:type="character" w:customStyle="1" w:styleId="NormalWebChar">
    <w:name w:val="Normal (Web) Char"/>
    <w:link w:val="NormalWeb"/>
    <w:uiPriority w:val="99"/>
    <w:rsid w:val="000A06AB"/>
    <w:rPr>
      <w:rFonts w:ascii="Times New Roman" w:eastAsia="Times New Roman" w:hAnsi="Times New Roman" w:cs="Times New Roman"/>
      <w:sz w:val="24"/>
      <w:szCs w:val="24"/>
      <w:lang w:eastAsia="en-ZA"/>
    </w:rPr>
  </w:style>
  <w:style w:type="character" w:customStyle="1" w:styleId="tgc">
    <w:name w:val="_tgc"/>
    <w:basedOn w:val="DefaultParagraphFont"/>
    <w:rsid w:val="003847D8"/>
  </w:style>
  <w:style w:type="paragraph" w:customStyle="1" w:styleId="char">
    <w:name w:val="char"/>
    <w:basedOn w:val="Normal"/>
    <w:uiPriority w:val="99"/>
    <w:rsid w:val="00090580"/>
    <w:pPr>
      <w:widowControl w:val="0"/>
      <w:suppressAutoHyphens/>
      <w:autoSpaceDE w:val="0"/>
      <w:autoSpaceDN w:val="0"/>
      <w:spacing w:line="240" w:lineRule="auto"/>
      <w:textAlignment w:val="baseline"/>
    </w:pPr>
    <w:rPr>
      <w:rFonts w:cs="Arial"/>
      <w:color w:val="auto"/>
      <w:spacing w:val="0"/>
      <w:sz w:val="24"/>
      <w:szCs w:val="24"/>
    </w:rPr>
  </w:style>
  <w:style w:type="paragraph" w:styleId="Header">
    <w:name w:val="header"/>
    <w:basedOn w:val="Normal"/>
    <w:link w:val="HeaderChar"/>
    <w:uiPriority w:val="99"/>
    <w:unhideWhenUsed/>
    <w:rsid w:val="00097C6E"/>
    <w:pPr>
      <w:tabs>
        <w:tab w:val="center" w:pos="4513"/>
        <w:tab w:val="right" w:pos="9026"/>
      </w:tabs>
      <w:spacing w:line="240" w:lineRule="auto"/>
    </w:pPr>
  </w:style>
  <w:style w:type="character" w:customStyle="1" w:styleId="HeaderChar">
    <w:name w:val="Header Char"/>
    <w:basedOn w:val="DefaultParagraphFont"/>
    <w:link w:val="Header"/>
    <w:uiPriority w:val="99"/>
    <w:rsid w:val="00097C6E"/>
    <w:rPr>
      <w:rFonts w:ascii="Arial" w:eastAsia="Times New Roman" w:hAnsi="Arial" w:cs="Times New Roman"/>
      <w:color w:val="000000"/>
      <w:spacing w:val="6"/>
      <w:sz w:val="18"/>
      <w:szCs w:val="18"/>
      <w:lang w:val="en-GB" w:eastAsia="en-GB"/>
    </w:rPr>
  </w:style>
  <w:style w:type="table" w:customStyle="1" w:styleId="TableGrid2">
    <w:name w:val="Table Grid2"/>
    <w:basedOn w:val="TableNormal"/>
    <w:next w:val="TableGrid"/>
    <w:uiPriority w:val="39"/>
    <w:rsid w:val="00960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60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B69C0"/>
  </w:style>
  <w:style w:type="character" w:styleId="Emphasis">
    <w:name w:val="Emphasis"/>
    <w:basedOn w:val="DefaultParagraphFont"/>
    <w:uiPriority w:val="20"/>
    <w:qFormat/>
    <w:rsid w:val="009B69C0"/>
    <w:rPr>
      <w:i/>
      <w:iCs/>
    </w:rPr>
  </w:style>
  <w:style w:type="character" w:styleId="CommentReference">
    <w:name w:val="annotation reference"/>
    <w:basedOn w:val="DefaultParagraphFont"/>
    <w:uiPriority w:val="99"/>
    <w:semiHidden/>
    <w:unhideWhenUsed/>
    <w:rsid w:val="0045049A"/>
    <w:rPr>
      <w:sz w:val="16"/>
      <w:szCs w:val="16"/>
    </w:rPr>
  </w:style>
  <w:style w:type="paragraph" w:customStyle="1" w:styleId="SCOA2">
    <w:name w:val="SCOA2"/>
    <w:basedOn w:val="Normal"/>
    <w:qFormat/>
    <w:rsid w:val="00391181"/>
    <w:pPr>
      <w:keepNext/>
      <w:keepLines/>
      <w:tabs>
        <w:tab w:val="left" w:pos="0"/>
        <w:tab w:val="left" w:pos="142"/>
        <w:tab w:val="left" w:pos="10348"/>
      </w:tabs>
      <w:spacing w:before="240" w:after="120" w:line="240" w:lineRule="auto"/>
    </w:pPr>
    <w:rPr>
      <w:rFonts w:eastAsiaTheme="minorHAnsi" w:cs="Arial"/>
      <w:b/>
      <w:color w:val="auto"/>
      <w:spacing w:val="0"/>
      <w:sz w:val="24"/>
      <w:szCs w:val="24"/>
      <w:lang w:eastAsia="en-US"/>
    </w:rPr>
  </w:style>
  <w:style w:type="paragraph" w:customStyle="1" w:styleId="Default">
    <w:name w:val="Default"/>
    <w:rsid w:val="008821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6699">
      <w:bodyDiv w:val="1"/>
      <w:marLeft w:val="0"/>
      <w:marRight w:val="0"/>
      <w:marTop w:val="0"/>
      <w:marBottom w:val="0"/>
      <w:divBdr>
        <w:top w:val="none" w:sz="0" w:space="0" w:color="auto"/>
        <w:left w:val="none" w:sz="0" w:space="0" w:color="auto"/>
        <w:bottom w:val="none" w:sz="0" w:space="0" w:color="auto"/>
        <w:right w:val="none" w:sz="0" w:space="0" w:color="auto"/>
      </w:divBdr>
    </w:div>
    <w:div w:id="280452929">
      <w:bodyDiv w:val="1"/>
      <w:marLeft w:val="0"/>
      <w:marRight w:val="0"/>
      <w:marTop w:val="0"/>
      <w:marBottom w:val="0"/>
      <w:divBdr>
        <w:top w:val="none" w:sz="0" w:space="0" w:color="auto"/>
        <w:left w:val="none" w:sz="0" w:space="0" w:color="auto"/>
        <w:bottom w:val="none" w:sz="0" w:space="0" w:color="auto"/>
        <w:right w:val="none" w:sz="0" w:space="0" w:color="auto"/>
      </w:divBdr>
    </w:div>
    <w:div w:id="307981270">
      <w:bodyDiv w:val="1"/>
      <w:marLeft w:val="0"/>
      <w:marRight w:val="0"/>
      <w:marTop w:val="0"/>
      <w:marBottom w:val="0"/>
      <w:divBdr>
        <w:top w:val="none" w:sz="0" w:space="0" w:color="auto"/>
        <w:left w:val="none" w:sz="0" w:space="0" w:color="auto"/>
        <w:bottom w:val="none" w:sz="0" w:space="0" w:color="auto"/>
        <w:right w:val="none" w:sz="0" w:space="0" w:color="auto"/>
      </w:divBdr>
    </w:div>
    <w:div w:id="487408508">
      <w:bodyDiv w:val="1"/>
      <w:marLeft w:val="0"/>
      <w:marRight w:val="0"/>
      <w:marTop w:val="0"/>
      <w:marBottom w:val="0"/>
      <w:divBdr>
        <w:top w:val="none" w:sz="0" w:space="0" w:color="auto"/>
        <w:left w:val="none" w:sz="0" w:space="0" w:color="auto"/>
        <w:bottom w:val="none" w:sz="0" w:space="0" w:color="auto"/>
        <w:right w:val="none" w:sz="0" w:space="0" w:color="auto"/>
      </w:divBdr>
    </w:div>
    <w:div w:id="573204031">
      <w:bodyDiv w:val="1"/>
      <w:marLeft w:val="0"/>
      <w:marRight w:val="0"/>
      <w:marTop w:val="0"/>
      <w:marBottom w:val="0"/>
      <w:divBdr>
        <w:top w:val="none" w:sz="0" w:space="0" w:color="auto"/>
        <w:left w:val="none" w:sz="0" w:space="0" w:color="auto"/>
        <w:bottom w:val="none" w:sz="0" w:space="0" w:color="auto"/>
        <w:right w:val="none" w:sz="0" w:space="0" w:color="auto"/>
      </w:divBdr>
    </w:div>
    <w:div w:id="598292332">
      <w:bodyDiv w:val="1"/>
      <w:marLeft w:val="0"/>
      <w:marRight w:val="0"/>
      <w:marTop w:val="0"/>
      <w:marBottom w:val="0"/>
      <w:divBdr>
        <w:top w:val="none" w:sz="0" w:space="0" w:color="auto"/>
        <w:left w:val="none" w:sz="0" w:space="0" w:color="auto"/>
        <w:bottom w:val="none" w:sz="0" w:space="0" w:color="auto"/>
        <w:right w:val="none" w:sz="0" w:space="0" w:color="auto"/>
      </w:divBdr>
      <w:divsChild>
        <w:div w:id="1319963400">
          <w:marLeft w:val="0"/>
          <w:marRight w:val="0"/>
          <w:marTop w:val="0"/>
          <w:marBottom w:val="0"/>
          <w:divBdr>
            <w:top w:val="none" w:sz="0" w:space="0" w:color="auto"/>
            <w:left w:val="none" w:sz="0" w:space="0" w:color="auto"/>
            <w:bottom w:val="none" w:sz="0" w:space="0" w:color="auto"/>
            <w:right w:val="none" w:sz="0" w:space="0" w:color="auto"/>
          </w:divBdr>
        </w:div>
        <w:div w:id="1200318676">
          <w:marLeft w:val="0"/>
          <w:marRight w:val="0"/>
          <w:marTop w:val="0"/>
          <w:marBottom w:val="0"/>
          <w:divBdr>
            <w:top w:val="none" w:sz="0" w:space="0" w:color="auto"/>
            <w:left w:val="none" w:sz="0" w:space="0" w:color="auto"/>
            <w:bottom w:val="none" w:sz="0" w:space="0" w:color="auto"/>
            <w:right w:val="none" w:sz="0" w:space="0" w:color="auto"/>
          </w:divBdr>
        </w:div>
      </w:divsChild>
    </w:div>
    <w:div w:id="760687493">
      <w:bodyDiv w:val="1"/>
      <w:marLeft w:val="0"/>
      <w:marRight w:val="0"/>
      <w:marTop w:val="0"/>
      <w:marBottom w:val="0"/>
      <w:divBdr>
        <w:top w:val="none" w:sz="0" w:space="0" w:color="auto"/>
        <w:left w:val="none" w:sz="0" w:space="0" w:color="auto"/>
        <w:bottom w:val="none" w:sz="0" w:space="0" w:color="auto"/>
        <w:right w:val="none" w:sz="0" w:space="0" w:color="auto"/>
      </w:divBdr>
    </w:div>
    <w:div w:id="857503670">
      <w:bodyDiv w:val="1"/>
      <w:marLeft w:val="0"/>
      <w:marRight w:val="0"/>
      <w:marTop w:val="0"/>
      <w:marBottom w:val="0"/>
      <w:divBdr>
        <w:top w:val="none" w:sz="0" w:space="0" w:color="auto"/>
        <w:left w:val="none" w:sz="0" w:space="0" w:color="auto"/>
        <w:bottom w:val="none" w:sz="0" w:space="0" w:color="auto"/>
        <w:right w:val="none" w:sz="0" w:space="0" w:color="auto"/>
      </w:divBdr>
    </w:div>
    <w:div w:id="898976879">
      <w:bodyDiv w:val="1"/>
      <w:marLeft w:val="0"/>
      <w:marRight w:val="0"/>
      <w:marTop w:val="0"/>
      <w:marBottom w:val="0"/>
      <w:divBdr>
        <w:top w:val="none" w:sz="0" w:space="0" w:color="auto"/>
        <w:left w:val="none" w:sz="0" w:space="0" w:color="auto"/>
        <w:bottom w:val="none" w:sz="0" w:space="0" w:color="auto"/>
        <w:right w:val="none" w:sz="0" w:space="0" w:color="auto"/>
      </w:divBdr>
      <w:divsChild>
        <w:div w:id="95633835">
          <w:marLeft w:val="547"/>
          <w:marRight w:val="0"/>
          <w:marTop w:val="115"/>
          <w:marBottom w:val="0"/>
          <w:divBdr>
            <w:top w:val="none" w:sz="0" w:space="0" w:color="auto"/>
            <w:left w:val="none" w:sz="0" w:space="0" w:color="auto"/>
            <w:bottom w:val="none" w:sz="0" w:space="0" w:color="auto"/>
            <w:right w:val="none" w:sz="0" w:space="0" w:color="auto"/>
          </w:divBdr>
        </w:div>
        <w:div w:id="1532452769">
          <w:marLeft w:val="547"/>
          <w:marRight w:val="0"/>
          <w:marTop w:val="115"/>
          <w:marBottom w:val="0"/>
          <w:divBdr>
            <w:top w:val="none" w:sz="0" w:space="0" w:color="auto"/>
            <w:left w:val="none" w:sz="0" w:space="0" w:color="auto"/>
            <w:bottom w:val="none" w:sz="0" w:space="0" w:color="auto"/>
            <w:right w:val="none" w:sz="0" w:space="0" w:color="auto"/>
          </w:divBdr>
        </w:div>
      </w:divsChild>
    </w:div>
    <w:div w:id="918094931">
      <w:bodyDiv w:val="1"/>
      <w:marLeft w:val="0"/>
      <w:marRight w:val="0"/>
      <w:marTop w:val="0"/>
      <w:marBottom w:val="0"/>
      <w:divBdr>
        <w:top w:val="none" w:sz="0" w:space="0" w:color="auto"/>
        <w:left w:val="none" w:sz="0" w:space="0" w:color="auto"/>
        <w:bottom w:val="none" w:sz="0" w:space="0" w:color="auto"/>
        <w:right w:val="none" w:sz="0" w:space="0" w:color="auto"/>
      </w:divBdr>
    </w:div>
    <w:div w:id="1002203617">
      <w:bodyDiv w:val="1"/>
      <w:marLeft w:val="0"/>
      <w:marRight w:val="0"/>
      <w:marTop w:val="0"/>
      <w:marBottom w:val="0"/>
      <w:divBdr>
        <w:top w:val="none" w:sz="0" w:space="0" w:color="auto"/>
        <w:left w:val="none" w:sz="0" w:space="0" w:color="auto"/>
        <w:bottom w:val="none" w:sz="0" w:space="0" w:color="auto"/>
        <w:right w:val="none" w:sz="0" w:space="0" w:color="auto"/>
      </w:divBdr>
    </w:div>
    <w:div w:id="1027409992">
      <w:bodyDiv w:val="1"/>
      <w:marLeft w:val="0"/>
      <w:marRight w:val="0"/>
      <w:marTop w:val="0"/>
      <w:marBottom w:val="0"/>
      <w:divBdr>
        <w:top w:val="none" w:sz="0" w:space="0" w:color="auto"/>
        <w:left w:val="none" w:sz="0" w:space="0" w:color="auto"/>
        <w:bottom w:val="none" w:sz="0" w:space="0" w:color="auto"/>
        <w:right w:val="none" w:sz="0" w:space="0" w:color="auto"/>
      </w:divBdr>
      <w:divsChild>
        <w:div w:id="313796075">
          <w:marLeft w:val="547"/>
          <w:marRight w:val="0"/>
          <w:marTop w:val="96"/>
          <w:marBottom w:val="0"/>
          <w:divBdr>
            <w:top w:val="none" w:sz="0" w:space="0" w:color="auto"/>
            <w:left w:val="none" w:sz="0" w:space="0" w:color="auto"/>
            <w:bottom w:val="none" w:sz="0" w:space="0" w:color="auto"/>
            <w:right w:val="none" w:sz="0" w:space="0" w:color="auto"/>
          </w:divBdr>
        </w:div>
        <w:div w:id="708723120">
          <w:marLeft w:val="547"/>
          <w:marRight w:val="0"/>
          <w:marTop w:val="96"/>
          <w:marBottom w:val="0"/>
          <w:divBdr>
            <w:top w:val="none" w:sz="0" w:space="0" w:color="auto"/>
            <w:left w:val="none" w:sz="0" w:space="0" w:color="auto"/>
            <w:bottom w:val="none" w:sz="0" w:space="0" w:color="auto"/>
            <w:right w:val="none" w:sz="0" w:space="0" w:color="auto"/>
          </w:divBdr>
        </w:div>
        <w:div w:id="734279587">
          <w:marLeft w:val="547"/>
          <w:marRight w:val="0"/>
          <w:marTop w:val="96"/>
          <w:marBottom w:val="0"/>
          <w:divBdr>
            <w:top w:val="none" w:sz="0" w:space="0" w:color="auto"/>
            <w:left w:val="none" w:sz="0" w:space="0" w:color="auto"/>
            <w:bottom w:val="none" w:sz="0" w:space="0" w:color="auto"/>
            <w:right w:val="none" w:sz="0" w:space="0" w:color="auto"/>
          </w:divBdr>
        </w:div>
        <w:div w:id="759451856">
          <w:marLeft w:val="547"/>
          <w:marRight w:val="0"/>
          <w:marTop w:val="96"/>
          <w:marBottom w:val="0"/>
          <w:divBdr>
            <w:top w:val="none" w:sz="0" w:space="0" w:color="auto"/>
            <w:left w:val="none" w:sz="0" w:space="0" w:color="auto"/>
            <w:bottom w:val="none" w:sz="0" w:space="0" w:color="auto"/>
            <w:right w:val="none" w:sz="0" w:space="0" w:color="auto"/>
          </w:divBdr>
        </w:div>
      </w:divsChild>
    </w:div>
    <w:div w:id="1051542628">
      <w:bodyDiv w:val="1"/>
      <w:marLeft w:val="0"/>
      <w:marRight w:val="0"/>
      <w:marTop w:val="0"/>
      <w:marBottom w:val="0"/>
      <w:divBdr>
        <w:top w:val="none" w:sz="0" w:space="0" w:color="auto"/>
        <w:left w:val="none" w:sz="0" w:space="0" w:color="auto"/>
        <w:bottom w:val="none" w:sz="0" w:space="0" w:color="auto"/>
        <w:right w:val="none" w:sz="0" w:space="0" w:color="auto"/>
      </w:divBdr>
      <w:divsChild>
        <w:div w:id="776289115">
          <w:marLeft w:val="547"/>
          <w:marRight w:val="0"/>
          <w:marTop w:val="77"/>
          <w:marBottom w:val="0"/>
          <w:divBdr>
            <w:top w:val="none" w:sz="0" w:space="0" w:color="auto"/>
            <w:left w:val="none" w:sz="0" w:space="0" w:color="auto"/>
            <w:bottom w:val="none" w:sz="0" w:space="0" w:color="auto"/>
            <w:right w:val="none" w:sz="0" w:space="0" w:color="auto"/>
          </w:divBdr>
        </w:div>
      </w:divsChild>
    </w:div>
    <w:div w:id="1052073756">
      <w:bodyDiv w:val="1"/>
      <w:marLeft w:val="0"/>
      <w:marRight w:val="0"/>
      <w:marTop w:val="0"/>
      <w:marBottom w:val="0"/>
      <w:divBdr>
        <w:top w:val="none" w:sz="0" w:space="0" w:color="auto"/>
        <w:left w:val="none" w:sz="0" w:space="0" w:color="auto"/>
        <w:bottom w:val="none" w:sz="0" w:space="0" w:color="auto"/>
        <w:right w:val="none" w:sz="0" w:space="0" w:color="auto"/>
      </w:divBdr>
    </w:div>
    <w:div w:id="1111820220">
      <w:bodyDiv w:val="1"/>
      <w:marLeft w:val="0"/>
      <w:marRight w:val="0"/>
      <w:marTop w:val="0"/>
      <w:marBottom w:val="0"/>
      <w:divBdr>
        <w:top w:val="none" w:sz="0" w:space="0" w:color="auto"/>
        <w:left w:val="none" w:sz="0" w:space="0" w:color="auto"/>
        <w:bottom w:val="none" w:sz="0" w:space="0" w:color="auto"/>
        <w:right w:val="none" w:sz="0" w:space="0" w:color="auto"/>
      </w:divBdr>
      <w:divsChild>
        <w:div w:id="98069483">
          <w:marLeft w:val="547"/>
          <w:marRight w:val="0"/>
          <w:marTop w:val="96"/>
          <w:marBottom w:val="0"/>
          <w:divBdr>
            <w:top w:val="none" w:sz="0" w:space="0" w:color="auto"/>
            <w:left w:val="none" w:sz="0" w:space="0" w:color="auto"/>
            <w:bottom w:val="none" w:sz="0" w:space="0" w:color="auto"/>
            <w:right w:val="none" w:sz="0" w:space="0" w:color="auto"/>
          </w:divBdr>
        </w:div>
      </w:divsChild>
    </w:div>
    <w:div w:id="1372655505">
      <w:bodyDiv w:val="1"/>
      <w:marLeft w:val="0"/>
      <w:marRight w:val="0"/>
      <w:marTop w:val="0"/>
      <w:marBottom w:val="0"/>
      <w:divBdr>
        <w:top w:val="none" w:sz="0" w:space="0" w:color="auto"/>
        <w:left w:val="none" w:sz="0" w:space="0" w:color="auto"/>
        <w:bottom w:val="none" w:sz="0" w:space="0" w:color="auto"/>
        <w:right w:val="none" w:sz="0" w:space="0" w:color="auto"/>
      </w:divBdr>
      <w:divsChild>
        <w:div w:id="1335642294">
          <w:marLeft w:val="547"/>
          <w:marRight w:val="0"/>
          <w:marTop w:val="96"/>
          <w:marBottom w:val="0"/>
          <w:divBdr>
            <w:top w:val="none" w:sz="0" w:space="0" w:color="auto"/>
            <w:left w:val="none" w:sz="0" w:space="0" w:color="auto"/>
            <w:bottom w:val="none" w:sz="0" w:space="0" w:color="auto"/>
            <w:right w:val="none" w:sz="0" w:space="0" w:color="auto"/>
          </w:divBdr>
        </w:div>
        <w:div w:id="1649553507">
          <w:marLeft w:val="547"/>
          <w:marRight w:val="0"/>
          <w:marTop w:val="96"/>
          <w:marBottom w:val="0"/>
          <w:divBdr>
            <w:top w:val="none" w:sz="0" w:space="0" w:color="auto"/>
            <w:left w:val="none" w:sz="0" w:space="0" w:color="auto"/>
            <w:bottom w:val="none" w:sz="0" w:space="0" w:color="auto"/>
            <w:right w:val="none" w:sz="0" w:space="0" w:color="auto"/>
          </w:divBdr>
        </w:div>
        <w:div w:id="1985423042">
          <w:marLeft w:val="547"/>
          <w:marRight w:val="0"/>
          <w:marTop w:val="96"/>
          <w:marBottom w:val="0"/>
          <w:divBdr>
            <w:top w:val="none" w:sz="0" w:space="0" w:color="auto"/>
            <w:left w:val="none" w:sz="0" w:space="0" w:color="auto"/>
            <w:bottom w:val="none" w:sz="0" w:space="0" w:color="auto"/>
            <w:right w:val="none" w:sz="0" w:space="0" w:color="auto"/>
          </w:divBdr>
        </w:div>
      </w:divsChild>
    </w:div>
    <w:div w:id="1423599334">
      <w:bodyDiv w:val="1"/>
      <w:marLeft w:val="0"/>
      <w:marRight w:val="0"/>
      <w:marTop w:val="0"/>
      <w:marBottom w:val="0"/>
      <w:divBdr>
        <w:top w:val="none" w:sz="0" w:space="0" w:color="auto"/>
        <w:left w:val="none" w:sz="0" w:space="0" w:color="auto"/>
        <w:bottom w:val="none" w:sz="0" w:space="0" w:color="auto"/>
        <w:right w:val="none" w:sz="0" w:space="0" w:color="auto"/>
      </w:divBdr>
    </w:div>
    <w:div w:id="1457723139">
      <w:bodyDiv w:val="1"/>
      <w:marLeft w:val="0"/>
      <w:marRight w:val="0"/>
      <w:marTop w:val="0"/>
      <w:marBottom w:val="0"/>
      <w:divBdr>
        <w:top w:val="none" w:sz="0" w:space="0" w:color="auto"/>
        <w:left w:val="none" w:sz="0" w:space="0" w:color="auto"/>
        <w:bottom w:val="none" w:sz="0" w:space="0" w:color="auto"/>
        <w:right w:val="none" w:sz="0" w:space="0" w:color="auto"/>
      </w:divBdr>
    </w:div>
    <w:div w:id="1479344460">
      <w:bodyDiv w:val="1"/>
      <w:marLeft w:val="0"/>
      <w:marRight w:val="0"/>
      <w:marTop w:val="0"/>
      <w:marBottom w:val="0"/>
      <w:divBdr>
        <w:top w:val="none" w:sz="0" w:space="0" w:color="auto"/>
        <w:left w:val="none" w:sz="0" w:space="0" w:color="auto"/>
        <w:bottom w:val="none" w:sz="0" w:space="0" w:color="auto"/>
        <w:right w:val="none" w:sz="0" w:space="0" w:color="auto"/>
      </w:divBdr>
    </w:div>
    <w:div w:id="1502967480">
      <w:bodyDiv w:val="1"/>
      <w:marLeft w:val="0"/>
      <w:marRight w:val="0"/>
      <w:marTop w:val="0"/>
      <w:marBottom w:val="0"/>
      <w:divBdr>
        <w:top w:val="none" w:sz="0" w:space="0" w:color="auto"/>
        <w:left w:val="none" w:sz="0" w:space="0" w:color="auto"/>
        <w:bottom w:val="none" w:sz="0" w:space="0" w:color="auto"/>
        <w:right w:val="none" w:sz="0" w:space="0" w:color="auto"/>
      </w:divBdr>
    </w:div>
    <w:div w:id="1563444545">
      <w:bodyDiv w:val="1"/>
      <w:marLeft w:val="0"/>
      <w:marRight w:val="0"/>
      <w:marTop w:val="0"/>
      <w:marBottom w:val="0"/>
      <w:divBdr>
        <w:top w:val="none" w:sz="0" w:space="0" w:color="auto"/>
        <w:left w:val="none" w:sz="0" w:space="0" w:color="auto"/>
        <w:bottom w:val="none" w:sz="0" w:space="0" w:color="auto"/>
        <w:right w:val="none" w:sz="0" w:space="0" w:color="auto"/>
      </w:divBdr>
      <w:divsChild>
        <w:div w:id="57944827">
          <w:marLeft w:val="547"/>
          <w:marRight w:val="0"/>
          <w:marTop w:val="96"/>
          <w:marBottom w:val="0"/>
          <w:divBdr>
            <w:top w:val="none" w:sz="0" w:space="0" w:color="auto"/>
            <w:left w:val="none" w:sz="0" w:space="0" w:color="auto"/>
            <w:bottom w:val="none" w:sz="0" w:space="0" w:color="auto"/>
            <w:right w:val="none" w:sz="0" w:space="0" w:color="auto"/>
          </w:divBdr>
        </w:div>
        <w:div w:id="1451239769">
          <w:marLeft w:val="547"/>
          <w:marRight w:val="0"/>
          <w:marTop w:val="96"/>
          <w:marBottom w:val="0"/>
          <w:divBdr>
            <w:top w:val="none" w:sz="0" w:space="0" w:color="auto"/>
            <w:left w:val="none" w:sz="0" w:space="0" w:color="auto"/>
            <w:bottom w:val="none" w:sz="0" w:space="0" w:color="auto"/>
            <w:right w:val="none" w:sz="0" w:space="0" w:color="auto"/>
          </w:divBdr>
        </w:div>
      </w:divsChild>
    </w:div>
    <w:div w:id="1764063051">
      <w:bodyDiv w:val="1"/>
      <w:marLeft w:val="0"/>
      <w:marRight w:val="0"/>
      <w:marTop w:val="0"/>
      <w:marBottom w:val="0"/>
      <w:divBdr>
        <w:top w:val="none" w:sz="0" w:space="0" w:color="auto"/>
        <w:left w:val="none" w:sz="0" w:space="0" w:color="auto"/>
        <w:bottom w:val="none" w:sz="0" w:space="0" w:color="auto"/>
        <w:right w:val="none" w:sz="0" w:space="0" w:color="auto"/>
      </w:divBdr>
    </w:div>
    <w:div w:id="1856115337">
      <w:bodyDiv w:val="1"/>
      <w:marLeft w:val="0"/>
      <w:marRight w:val="0"/>
      <w:marTop w:val="0"/>
      <w:marBottom w:val="0"/>
      <w:divBdr>
        <w:top w:val="none" w:sz="0" w:space="0" w:color="auto"/>
        <w:left w:val="none" w:sz="0" w:space="0" w:color="auto"/>
        <w:bottom w:val="none" w:sz="0" w:space="0" w:color="auto"/>
        <w:right w:val="none" w:sz="0" w:space="0" w:color="auto"/>
      </w:divBdr>
    </w:div>
    <w:div w:id="1919510399">
      <w:bodyDiv w:val="1"/>
      <w:marLeft w:val="0"/>
      <w:marRight w:val="0"/>
      <w:marTop w:val="0"/>
      <w:marBottom w:val="0"/>
      <w:divBdr>
        <w:top w:val="none" w:sz="0" w:space="0" w:color="auto"/>
        <w:left w:val="none" w:sz="0" w:space="0" w:color="auto"/>
        <w:bottom w:val="none" w:sz="0" w:space="0" w:color="auto"/>
        <w:right w:val="none" w:sz="0" w:space="0" w:color="auto"/>
      </w:divBdr>
    </w:div>
    <w:div w:id="2048603319">
      <w:bodyDiv w:val="1"/>
      <w:marLeft w:val="0"/>
      <w:marRight w:val="0"/>
      <w:marTop w:val="0"/>
      <w:marBottom w:val="0"/>
      <w:divBdr>
        <w:top w:val="none" w:sz="0" w:space="0" w:color="auto"/>
        <w:left w:val="none" w:sz="0" w:space="0" w:color="auto"/>
        <w:bottom w:val="none" w:sz="0" w:space="0" w:color="auto"/>
        <w:right w:val="none" w:sz="0" w:space="0" w:color="auto"/>
      </w:divBdr>
    </w:div>
    <w:div w:id="2069372845">
      <w:bodyDiv w:val="1"/>
      <w:marLeft w:val="0"/>
      <w:marRight w:val="0"/>
      <w:marTop w:val="0"/>
      <w:marBottom w:val="0"/>
      <w:divBdr>
        <w:top w:val="none" w:sz="0" w:space="0" w:color="auto"/>
        <w:left w:val="none" w:sz="0" w:space="0" w:color="auto"/>
        <w:bottom w:val="none" w:sz="0" w:space="0" w:color="auto"/>
        <w:right w:val="none" w:sz="0" w:space="0" w:color="auto"/>
      </w:divBdr>
    </w:div>
    <w:div w:id="2071077702">
      <w:bodyDiv w:val="1"/>
      <w:marLeft w:val="0"/>
      <w:marRight w:val="0"/>
      <w:marTop w:val="0"/>
      <w:marBottom w:val="0"/>
      <w:divBdr>
        <w:top w:val="none" w:sz="0" w:space="0" w:color="auto"/>
        <w:left w:val="none" w:sz="0" w:space="0" w:color="auto"/>
        <w:bottom w:val="none" w:sz="0" w:space="0" w:color="auto"/>
        <w:right w:val="none" w:sz="0" w:space="0" w:color="auto"/>
      </w:divBdr>
    </w:div>
    <w:div w:id="2076391370">
      <w:bodyDiv w:val="1"/>
      <w:marLeft w:val="0"/>
      <w:marRight w:val="0"/>
      <w:marTop w:val="0"/>
      <w:marBottom w:val="0"/>
      <w:divBdr>
        <w:top w:val="none" w:sz="0" w:space="0" w:color="auto"/>
        <w:left w:val="none" w:sz="0" w:space="0" w:color="auto"/>
        <w:bottom w:val="none" w:sz="0" w:space="0" w:color="auto"/>
        <w:right w:val="none" w:sz="0" w:space="0" w:color="auto"/>
      </w:divBdr>
      <w:divsChild>
        <w:div w:id="743528904">
          <w:marLeft w:val="547"/>
          <w:marRight w:val="0"/>
          <w:marTop w:val="240"/>
          <w:marBottom w:val="0"/>
          <w:divBdr>
            <w:top w:val="none" w:sz="0" w:space="0" w:color="auto"/>
            <w:left w:val="none" w:sz="0" w:space="0" w:color="auto"/>
            <w:bottom w:val="none" w:sz="0" w:space="0" w:color="auto"/>
            <w:right w:val="none" w:sz="0" w:space="0" w:color="auto"/>
          </w:divBdr>
        </w:div>
        <w:div w:id="1725644121">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4855</Words>
  <Characters>27675</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Asanda</cp:lastModifiedBy>
  <cp:revision>2</cp:revision>
  <cp:lastPrinted>2015-10-09T09:53:00Z</cp:lastPrinted>
  <dcterms:created xsi:type="dcterms:W3CDTF">2018-10-18T09:12:00Z</dcterms:created>
  <dcterms:modified xsi:type="dcterms:W3CDTF">2018-10-18T09:12:00Z</dcterms:modified>
</cp:coreProperties>
</file>