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13" w:rsidRPr="00893EE9" w:rsidRDefault="00184D13" w:rsidP="00893EE9">
      <w:pPr>
        <w:rPr>
          <w:rFonts w:cs="Arial"/>
        </w:rPr>
      </w:pPr>
    </w:p>
    <w:p w:rsidR="00052B47" w:rsidRDefault="008F3E3A" w:rsidP="008F3E3A">
      <w:pPr>
        <w:tabs>
          <w:tab w:val="left" w:pos="5334"/>
        </w:tabs>
        <w:rPr>
          <w:rFonts w:cs="Arial"/>
        </w:rPr>
      </w:pPr>
      <w:r>
        <w:rPr>
          <w:rFonts w:cs="Arial"/>
        </w:rPr>
        <w:tab/>
      </w:r>
    </w:p>
    <w:p w:rsidR="009A2690" w:rsidRPr="00893EE9" w:rsidRDefault="00456B61" w:rsidP="00893EE9">
      <w:pPr>
        <w:rPr>
          <w:rFonts w:cs="Arial"/>
        </w:rPr>
      </w:pPr>
      <w:r>
        <w:rPr>
          <w:rFonts w:cs="Arial"/>
        </w:rPr>
        <w:t>15</w:t>
      </w:r>
      <w:r w:rsidR="000D027A">
        <w:rPr>
          <w:rFonts w:cs="Arial"/>
        </w:rPr>
        <w:t xml:space="preserve"> October</w:t>
      </w:r>
      <w:r w:rsidR="000B6CC4">
        <w:rPr>
          <w:rFonts w:cs="Arial"/>
        </w:rPr>
        <w:t xml:space="preserve"> 2018</w:t>
      </w:r>
    </w:p>
    <w:p w:rsidR="009A2690" w:rsidRPr="00893EE9" w:rsidRDefault="000D027A" w:rsidP="000D027A">
      <w:pPr>
        <w:pStyle w:val="ResearchTitle"/>
        <w:tabs>
          <w:tab w:val="left" w:pos="3180"/>
        </w:tabs>
        <w:rPr>
          <w:rFonts w:cs="Arial"/>
        </w:rPr>
      </w:pPr>
      <w:r>
        <w:rPr>
          <w:rFonts w:cs="Arial"/>
        </w:rPr>
        <w:tab/>
      </w:r>
    </w:p>
    <w:p w:rsidR="00052B47" w:rsidRPr="00E22056" w:rsidRDefault="00456B61" w:rsidP="00052B47">
      <w:pPr>
        <w:pStyle w:val="Title"/>
        <w:jc w:val="center"/>
      </w:pPr>
      <w:r>
        <w:t>consolidated summary of oral and written</w:t>
      </w:r>
      <w:r w:rsidR="000B6CC4">
        <w:t xml:space="preserve"> inputs on the customary initiation bill </w:t>
      </w:r>
    </w:p>
    <w:p w:rsidR="009E0C94" w:rsidRDefault="009E0C94" w:rsidP="00893EE9">
      <w:pPr>
        <w:pStyle w:val="ResearchTitle"/>
        <w:rPr>
          <w:rFonts w:cs="Arial"/>
        </w:rPr>
      </w:pPr>
    </w:p>
    <w:tbl>
      <w:tblPr>
        <w:tblStyle w:val="TableGrid"/>
        <w:tblW w:w="9351" w:type="dxa"/>
        <w:tblBorders>
          <w:top w:val="single" w:sz="8" w:space="0" w:color="538135" w:themeColor="accent6" w:themeShade="BF"/>
          <w:left w:val="none" w:sz="0" w:space="0" w:color="auto"/>
          <w:bottom w:val="single" w:sz="6" w:space="0" w:color="538135" w:themeColor="accent6" w:themeShade="BF"/>
          <w:right w:val="none" w:sz="0" w:space="0" w:color="auto"/>
          <w:insideH w:val="none" w:sz="0" w:space="0" w:color="auto"/>
          <w:insideV w:val="none" w:sz="0" w:space="0" w:color="auto"/>
        </w:tblBorders>
        <w:tblLook w:val="04A0"/>
      </w:tblPr>
      <w:tblGrid>
        <w:gridCol w:w="9351"/>
      </w:tblGrid>
      <w:tr w:rsidR="009E0C94" w:rsidTr="005028B1">
        <w:tc>
          <w:tcPr>
            <w:tcW w:w="9351" w:type="dxa"/>
          </w:tcPr>
          <w:p w:rsidR="009E0C94" w:rsidRPr="00893EE9" w:rsidRDefault="009E0C94" w:rsidP="009E0C94">
            <w:pPr>
              <w:pStyle w:val="ReseachMainHeading"/>
              <w:rPr>
                <w:rFonts w:cs="Arial"/>
              </w:rPr>
            </w:pPr>
          </w:p>
          <w:sdt>
            <w:sdtPr>
              <w:rPr>
                <w:color w:val="auto"/>
              </w:rPr>
              <w:id w:val="-1945920670"/>
              <w:docPartObj>
                <w:docPartGallery w:val="Table of Contents"/>
                <w:docPartUnique/>
              </w:docPartObj>
            </w:sdtPr>
            <w:sdtEndPr>
              <w:rPr>
                <w:rFonts w:cs="Arial"/>
                <w:bCs/>
                <w:noProof/>
                <w:color w:val="538135" w:themeColor="accent6" w:themeShade="BF"/>
              </w:rPr>
            </w:sdtEndPr>
            <w:sdtContent>
              <w:p w:rsidR="009E0C94" w:rsidRPr="00052B47" w:rsidRDefault="009E0C94" w:rsidP="009E0C94">
                <w:pPr>
                  <w:pStyle w:val="TOC1"/>
                  <w:rPr>
                    <w:color w:val="ED7D31" w:themeColor="accent2"/>
                  </w:rPr>
                </w:pPr>
                <w:r w:rsidRPr="00052B47">
                  <w:rPr>
                    <w:color w:val="ED7D31" w:themeColor="accent2"/>
                  </w:rPr>
                  <w:t>Table of Contents</w:t>
                </w:r>
              </w:p>
              <w:p w:rsidR="00F302A1" w:rsidRDefault="00BD44E1">
                <w:pPr>
                  <w:pStyle w:val="TOC1"/>
                  <w:tabs>
                    <w:tab w:val="left" w:pos="442"/>
                    <w:tab w:val="right" w:leader="dot" w:pos="9016"/>
                  </w:tabs>
                  <w:rPr>
                    <w:rFonts w:asciiTheme="minorHAnsi" w:eastAsiaTheme="minorEastAsia" w:hAnsiTheme="minorHAnsi"/>
                    <w:b w:val="0"/>
                    <w:caps w:val="0"/>
                    <w:noProof/>
                    <w:color w:val="auto"/>
                    <w:sz w:val="22"/>
                    <w:lang w:eastAsia="en-ZA"/>
                  </w:rPr>
                </w:pPr>
                <w:r w:rsidRPr="00BD44E1">
                  <w:rPr>
                    <w:rFonts w:cs="Arial"/>
                  </w:rPr>
                  <w:fldChar w:fldCharType="begin"/>
                </w:r>
                <w:r w:rsidR="009E0C94">
                  <w:rPr>
                    <w:rFonts w:cs="Arial"/>
                  </w:rPr>
                  <w:instrText xml:space="preserve"> TOC \o "1-3" \h \z \u </w:instrText>
                </w:r>
                <w:r w:rsidRPr="00BD44E1">
                  <w:rPr>
                    <w:rFonts w:cs="Arial"/>
                  </w:rPr>
                  <w:fldChar w:fldCharType="separate"/>
                </w:r>
                <w:hyperlink w:anchor="_Toc526324762" w:history="1">
                  <w:r w:rsidR="00F302A1" w:rsidRPr="00055ECE">
                    <w:rPr>
                      <w:rStyle w:val="Hyperlink"/>
                      <w:noProof/>
                    </w:rPr>
                    <w:t>1.</w:t>
                  </w:r>
                  <w:r w:rsidR="00F302A1">
                    <w:rPr>
                      <w:rFonts w:asciiTheme="minorHAnsi" w:eastAsiaTheme="minorEastAsia" w:hAnsiTheme="minorHAnsi"/>
                      <w:b w:val="0"/>
                      <w:caps w:val="0"/>
                      <w:noProof/>
                      <w:color w:val="auto"/>
                      <w:sz w:val="22"/>
                      <w:lang w:eastAsia="en-ZA"/>
                    </w:rPr>
                    <w:tab/>
                  </w:r>
                  <w:r w:rsidR="00F302A1" w:rsidRPr="00055ECE">
                    <w:rPr>
                      <w:rStyle w:val="Hyperlink"/>
                      <w:noProof/>
                    </w:rPr>
                    <w:t>Chapter 1: Interpretation, application, objectives and principles</w:t>
                  </w:r>
                  <w:r w:rsidR="00F302A1">
                    <w:rPr>
                      <w:noProof/>
                      <w:webHidden/>
                    </w:rPr>
                    <w:tab/>
                  </w:r>
                  <w:r>
                    <w:rPr>
                      <w:noProof/>
                      <w:webHidden/>
                    </w:rPr>
                    <w:fldChar w:fldCharType="begin"/>
                  </w:r>
                  <w:r w:rsidR="00F302A1">
                    <w:rPr>
                      <w:noProof/>
                      <w:webHidden/>
                    </w:rPr>
                    <w:instrText xml:space="preserve"> PAGEREF _Toc526324762 \h </w:instrText>
                  </w:r>
                  <w:r>
                    <w:rPr>
                      <w:noProof/>
                      <w:webHidden/>
                    </w:rPr>
                  </w:r>
                  <w:r>
                    <w:rPr>
                      <w:noProof/>
                      <w:webHidden/>
                    </w:rPr>
                    <w:fldChar w:fldCharType="separate"/>
                  </w:r>
                  <w:r w:rsidR="00F302A1">
                    <w:rPr>
                      <w:noProof/>
                      <w:webHidden/>
                    </w:rPr>
                    <w:t>2</w:t>
                  </w:r>
                  <w:r>
                    <w:rPr>
                      <w:noProof/>
                      <w:webHidden/>
                    </w:rPr>
                    <w:fldChar w:fldCharType="end"/>
                  </w:r>
                </w:hyperlink>
              </w:p>
              <w:p w:rsidR="00F302A1" w:rsidRDefault="00BD44E1">
                <w:pPr>
                  <w:pStyle w:val="TOC2"/>
                  <w:tabs>
                    <w:tab w:val="left" w:pos="880"/>
                    <w:tab w:val="right" w:leader="dot" w:pos="9016"/>
                  </w:tabs>
                  <w:rPr>
                    <w:rFonts w:asciiTheme="minorHAnsi" w:eastAsiaTheme="minorEastAsia" w:hAnsiTheme="minorHAnsi"/>
                    <w:noProof/>
                    <w:lang w:eastAsia="en-ZA"/>
                  </w:rPr>
                </w:pPr>
                <w:hyperlink w:anchor="_Toc526324763" w:history="1">
                  <w:r w:rsidR="00F302A1" w:rsidRPr="00055ECE">
                    <w:rPr>
                      <w:rStyle w:val="Hyperlink"/>
                      <w:noProof/>
                      <w:lang w:val="en-GB"/>
                    </w:rPr>
                    <w:t>1.1.</w:t>
                  </w:r>
                  <w:r w:rsidR="00F302A1">
                    <w:rPr>
                      <w:rFonts w:asciiTheme="minorHAnsi" w:eastAsiaTheme="minorEastAsia" w:hAnsiTheme="minorHAnsi"/>
                      <w:noProof/>
                      <w:lang w:eastAsia="en-ZA"/>
                    </w:rPr>
                    <w:tab/>
                  </w:r>
                  <w:r w:rsidR="00F302A1" w:rsidRPr="00055ECE">
                    <w:rPr>
                      <w:rStyle w:val="Hyperlink"/>
                      <w:noProof/>
                      <w:lang w:val="en-GB"/>
                    </w:rPr>
                    <w:t>Definitions</w:t>
                  </w:r>
                  <w:r w:rsidR="00F302A1">
                    <w:rPr>
                      <w:noProof/>
                      <w:webHidden/>
                    </w:rPr>
                    <w:tab/>
                  </w:r>
                  <w:r>
                    <w:rPr>
                      <w:noProof/>
                      <w:webHidden/>
                    </w:rPr>
                    <w:fldChar w:fldCharType="begin"/>
                  </w:r>
                  <w:r w:rsidR="00F302A1">
                    <w:rPr>
                      <w:noProof/>
                      <w:webHidden/>
                    </w:rPr>
                    <w:instrText xml:space="preserve"> PAGEREF _Toc526324763 \h </w:instrText>
                  </w:r>
                  <w:r>
                    <w:rPr>
                      <w:noProof/>
                      <w:webHidden/>
                    </w:rPr>
                  </w:r>
                  <w:r>
                    <w:rPr>
                      <w:noProof/>
                      <w:webHidden/>
                    </w:rPr>
                    <w:fldChar w:fldCharType="separate"/>
                  </w:r>
                  <w:r w:rsidR="00F302A1">
                    <w:rPr>
                      <w:noProof/>
                      <w:webHidden/>
                    </w:rPr>
                    <w:t>2</w:t>
                  </w:r>
                  <w:r>
                    <w:rPr>
                      <w:noProof/>
                      <w:webHidden/>
                    </w:rPr>
                    <w:fldChar w:fldCharType="end"/>
                  </w:r>
                </w:hyperlink>
              </w:p>
              <w:p w:rsidR="00F302A1" w:rsidRDefault="00BD44E1">
                <w:pPr>
                  <w:pStyle w:val="TOC2"/>
                  <w:tabs>
                    <w:tab w:val="left" w:pos="880"/>
                    <w:tab w:val="right" w:leader="dot" w:pos="9016"/>
                  </w:tabs>
                  <w:rPr>
                    <w:rFonts w:asciiTheme="minorHAnsi" w:eastAsiaTheme="minorEastAsia" w:hAnsiTheme="minorHAnsi"/>
                    <w:noProof/>
                    <w:lang w:eastAsia="en-ZA"/>
                  </w:rPr>
                </w:pPr>
                <w:hyperlink w:anchor="_Toc526324764" w:history="1">
                  <w:r w:rsidR="00F302A1" w:rsidRPr="00055ECE">
                    <w:rPr>
                      <w:rStyle w:val="Hyperlink"/>
                      <w:noProof/>
                    </w:rPr>
                    <w:t>1.2.</w:t>
                  </w:r>
                  <w:r w:rsidR="00F302A1">
                    <w:rPr>
                      <w:rFonts w:asciiTheme="minorHAnsi" w:eastAsiaTheme="minorEastAsia" w:hAnsiTheme="minorHAnsi"/>
                      <w:noProof/>
                      <w:lang w:eastAsia="en-ZA"/>
                    </w:rPr>
                    <w:tab/>
                  </w:r>
                  <w:r w:rsidR="00F302A1" w:rsidRPr="00055ECE">
                    <w:rPr>
                      <w:rStyle w:val="Hyperlink"/>
                      <w:noProof/>
                    </w:rPr>
                    <w:t>Applications, objectives, interpretation and prohibitions</w:t>
                  </w:r>
                  <w:r w:rsidR="00F302A1">
                    <w:rPr>
                      <w:noProof/>
                      <w:webHidden/>
                    </w:rPr>
                    <w:tab/>
                  </w:r>
                  <w:r>
                    <w:rPr>
                      <w:noProof/>
                      <w:webHidden/>
                    </w:rPr>
                    <w:fldChar w:fldCharType="begin"/>
                  </w:r>
                  <w:r w:rsidR="00F302A1">
                    <w:rPr>
                      <w:noProof/>
                      <w:webHidden/>
                    </w:rPr>
                    <w:instrText xml:space="preserve"> PAGEREF _Toc526324764 \h </w:instrText>
                  </w:r>
                  <w:r>
                    <w:rPr>
                      <w:noProof/>
                      <w:webHidden/>
                    </w:rPr>
                  </w:r>
                  <w:r>
                    <w:rPr>
                      <w:noProof/>
                      <w:webHidden/>
                    </w:rPr>
                    <w:fldChar w:fldCharType="separate"/>
                  </w:r>
                  <w:r w:rsidR="00F302A1">
                    <w:rPr>
                      <w:noProof/>
                      <w:webHidden/>
                    </w:rPr>
                    <w:t>2</w:t>
                  </w:r>
                  <w:r>
                    <w:rPr>
                      <w:noProof/>
                      <w:webHidden/>
                    </w:rPr>
                    <w:fldChar w:fldCharType="end"/>
                  </w:r>
                </w:hyperlink>
              </w:p>
              <w:p w:rsidR="00F302A1" w:rsidRDefault="00BD44E1">
                <w:pPr>
                  <w:pStyle w:val="TOC1"/>
                  <w:tabs>
                    <w:tab w:val="left" w:pos="442"/>
                    <w:tab w:val="right" w:leader="dot" w:pos="9016"/>
                  </w:tabs>
                  <w:rPr>
                    <w:rFonts w:asciiTheme="minorHAnsi" w:eastAsiaTheme="minorEastAsia" w:hAnsiTheme="minorHAnsi"/>
                    <w:b w:val="0"/>
                    <w:caps w:val="0"/>
                    <w:noProof/>
                    <w:color w:val="auto"/>
                    <w:sz w:val="22"/>
                    <w:lang w:eastAsia="en-ZA"/>
                  </w:rPr>
                </w:pPr>
                <w:hyperlink w:anchor="_Toc526324765" w:history="1">
                  <w:r w:rsidR="00F302A1" w:rsidRPr="00055ECE">
                    <w:rPr>
                      <w:rStyle w:val="Hyperlink"/>
                      <w:noProof/>
                    </w:rPr>
                    <w:t>2.</w:t>
                  </w:r>
                  <w:r w:rsidR="00F302A1">
                    <w:rPr>
                      <w:rFonts w:asciiTheme="minorHAnsi" w:eastAsiaTheme="minorEastAsia" w:hAnsiTheme="minorHAnsi"/>
                      <w:b w:val="0"/>
                      <w:caps w:val="0"/>
                      <w:noProof/>
                      <w:color w:val="auto"/>
                      <w:sz w:val="22"/>
                      <w:lang w:eastAsia="en-ZA"/>
                    </w:rPr>
                    <w:tab/>
                  </w:r>
                  <w:r w:rsidR="00F302A1" w:rsidRPr="00055ECE">
                    <w:rPr>
                      <w:rStyle w:val="Hyperlink"/>
                      <w:noProof/>
                    </w:rPr>
                    <w:t>Chapter 2: Oversight and Coordinating Structures</w:t>
                  </w:r>
                  <w:r w:rsidR="00F302A1">
                    <w:rPr>
                      <w:noProof/>
                      <w:webHidden/>
                    </w:rPr>
                    <w:tab/>
                  </w:r>
                  <w:r>
                    <w:rPr>
                      <w:noProof/>
                      <w:webHidden/>
                    </w:rPr>
                    <w:fldChar w:fldCharType="begin"/>
                  </w:r>
                  <w:r w:rsidR="00F302A1">
                    <w:rPr>
                      <w:noProof/>
                      <w:webHidden/>
                    </w:rPr>
                    <w:instrText xml:space="preserve"> PAGEREF _Toc526324765 \h </w:instrText>
                  </w:r>
                  <w:r>
                    <w:rPr>
                      <w:noProof/>
                      <w:webHidden/>
                    </w:rPr>
                  </w:r>
                  <w:r>
                    <w:rPr>
                      <w:noProof/>
                      <w:webHidden/>
                    </w:rPr>
                    <w:fldChar w:fldCharType="separate"/>
                  </w:r>
                  <w:r w:rsidR="00F302A1">
                    <w:rPr>
                      <w:noProof/>
                      <w:webHidden/>
                    </w:rPr>
                    <w:t>3</w:t>
                  </w:r>
                  <w:r>
                    <w:rPr>
                      <w:noProof/>
                      <w:webHidden/>
                    </w:rPr>
                    <w:fldChar w:fldCharType="end"/>
                  </w:r>
                </w:hyperlink>
              </w:p>
              <w:p w:rsidR="00F302A1" w:rsidRDefault="00BD44E1">
                <w:pPr>
                  <w:pStyle w:val="TOC2"/>
                  <w:tabs>
                    <w:tab w:val="left" w:pos="880"/>
                    <w:tab w:val="right" w:leader="dot" w:pos="9016"/>
                  </w:tabs>
                  <w:rPr>
                    <w:rFonts w:asciiTheme="minorHAnsi" w:eastAsiaTheme="minorEastAsia" w:hAnsiTheme="minorHAnsi"/>
                    <w:noProof/>
                    <w:lang w:eastAsia="en-ZA"/>
                  </w:rPr>
                </w:pPr>
                <w:hyperlink w:anchor="_Toc526324766" w:history="1">
                  <w:r w:rsidR="00F302A1" w:rsidRPr="00055ECE">
                    <w:rPr>
                      <w:rStyle w:val="Hyperlink"/>
                      <w:noProof/>
                    </w:rPr>
                    <w:t>2.1.</w:t>
                  </w:r>
                  <w:r w:rsidR="00F302A1">
                    <w:rPr>
                      <w:rFonts w:asciiTheme="minorHAnsi" w:eastAsiaTheme="minorEastAsia" w:hAnsiTheme="minorHAnsi"/>
                      <w:noProof/>
                      <w:lang w:eastAsia="en-ZA"/>
                    </w:rPr>
                    <w:tab/>
                  </w:r>
                  <w:r w:rsidR="00F302A1" w:rsidRPr="00055ECE">
                    <w:rPr>
                      <w:rStyle w:val="Hyperlink"/>
                      <w:noProof/>
                    </w:rPr>
                    <w:t>National Initiation Oversight Committee</w:t>
                  </w:r>
                  <w:r w:rsidR="00F302A1">
                    <w:rPr>
                      <w:noProof/>
                      <w:webHidden/>
                    </w:rPr>
                    <w:tab/>
                  </w:r>
                  <w:r>
                    <w:rPr>
                      <w:noProof/>
                      <w:webHidden/>
                    </w:rPr>
                    <w:fldChar w:fldCharType="begin"/>
                  </w:r>
                  <w:r w:rsidR="00F302A1">
                    <w:rPr>
                      <w:noProof/>
                      <w:webHidden/>
                    </w:rPr>
                    <w:instrText xml:space="preserve"> PAGEREF _Toc526324766 \h </w:instrText>
                  </w:r>
                  <w:r>
                    <w:rPr>
                      <w:noProof/>
                      <w:webHidden/>
                    </w:rPr>
                  </w:r>
                  <w:r>
                    <w:rPr>
                      <w:noProof/>
                      <w:webHidden/>
                    </w:rPr>
                    <w:fldChar w:fldCharType="separate"/>
                  </w:r>
                  <w:r w:rsidR="00F302A1">
                    <w:rPr>
                      <w:noProof/>
                      <w:webHidden/>
                    </w:rPr>
                    <w:t>3</w:t>
                  </w:r>
                  <w:r>
                    <w:rPr>
                      <w:noProof/>
                      <w:webHidden/>
                    </w:rPr>
                    <w:fldChar w:fldCharType="end"/>
                  </w:r>
                </w:hyperlink>
              </w:p>
              <w:p w:rsidR="00F302A1" w:rsidRDefault="00BD44E1">
                <w:pPr>
                  <w:pStyle w:val="TOC2"/>
                  <w:tabs>
                    <w:tab w:val="left" w:pos="880"/>
                    <w:tab w:val="right" w:leader="dot" w:pos="9016"/>
                  </w:tabs>
                  <w:rPr>
                    <w:rFonts w:asciiTheme="minorHAnsi" w:eastAsiaTheme="minorEastAsia" w:hAnsiTheme="minorHAnsi"/>
                    <w:noProof/>
                    <w:lang w:eastAsia="en-ZA"/>
                  </w:rPr>
                </w:pPr>
                <w:hyperlink w:anchor="_Toc526324767" w:history="1">
                  <w:r w:rsidR="00F302A1" w:rsidRPr="00055ECE">
                    <w:rPr>
                      <w:rStyle w:val="Hyperlink"/>
                      <w:noProof/>
                    </w:rPr>
                    <w:t>2.2.</w:t>
                  </w:r>
                  <w:r w:rsidR="00F302A1">
                    <w:rPr>
                      <w:rFonts w:asciiTheme="minorHAnsi" w:eastAsiaTheme="minorEastAsia" w:hAnsiTheme="minorHAnsi"/>
                      <w:noProof/>
                      <w:lang w:eastAsia="en-ZA"/>
                    </w:rPr>
                    <w:tab/>
                  </w:r>
                  <w:r w:rsidR="00F302A1" w:rsidRPr="00055ECE">
                    <w:rPr>
                      <w:rStyle w:val="Hyperlink"/>
                      <w:noProof/>
                    </w:rPr>
                    <w:t>Provincial Initiation Coordination Committees</w:t>
                  </w:r>
                  <w:r w:rsidR="00F302A1">
                    <w:rPr>
                      <w:noProof/>
                      <w:webHidden/>
                    </w:rPr>
                    <w:tab/>
                  </w:r>
                  <w:r>
                    <w:rPr>
                      <w:noProof/>
                      <w:webHidden/>
                    </w:rPr>
                    <w:fldChar w:fldCharType="begin"/>
                  </w:r>
                  <w:r w:rsidR="00F302A1">
                    <w:rPr>
                      <w:noProof/>
                      <w:webHidden/>
                    </w:rPr>
                    <w:instrText xml:space="preserve"> PAGEREF _Toc526324767 \h </w:instrText>
                  </w:r>
                  <w:r>
                    <w:rPr>
                      <w:noProof/>
                      <w:webHidden/>
                    </w:rPr>
                  </w:r>
                  <w:r>
                    <w:rPr>
                      <w:noProof/>
                      <w:webHidden/>
                    </w:rPr>
                    <w:fldChar w:fldCharType="separate"/>
                  </w:r>
                  <w:r w:rsidR="00F302A1">
                    <w:rPr>
                      <w:noProof/>
                      <w:webHidden/>
                    </w:rPr>
                    <w:t>4</w:t>
                  </w:r>
                  <w:r>
                    <w:rPr>
                      <w:noProof/>
                      <w:webHidden/>
                    </w:rPr>
                    <w:fldChar w:fldCharType="end"/>
                  </w:r>
                </w:hyperlink>
              </w:p>
              <w:p w:rsidR="00F302A1" w:rsidRDefault="00BD44E1">
                <w:pPr>
                  <w:pStyle w:val="TOC1"/>
                  <w:tabs>
                    <w:tab w:val="left" w:pos="442"/>
                    <w:tab w:val="right" w:leader="dot" w:pos="9016"/>
                  </w:tabs>
                  <w:rPr>
                    <w:rFonts w:asciiTheme="minorHAnsi" w:eastAsiaTheme="minorEastAsia" w:hAnsiTheme="minorHAnsi"/>
                    <w:b w:val="0"/>
                    <w:caps w:val="0"/>
                    <w:noProof/>
                    <w:color w:val="auto"/>
                    <w:sz w:val="22"/>
                    <w:lang w:eastAsia="en-ZA"/>
                  </w:rPr>
                </w:pPr>
                <w:hyperlink w:anchor="_Toc526324768" w:history="1">
                  <w:r w:rsidR="00F302A1" w:rsidRPr="00055ECE">
                    <w:rPr>
                      <w:rStyle w:val="Hyperlink"/>
                      <w:noProof/>
                    </w:rPr>
                    <w:t>3.</w:t>
                  </w:r>
                  <w:r w:rsidR="00F302A1">
                    <w:rPr>
                      <w:rFonts w:asciiTheme="minorHAnsi" w:eastAsiaTheme="minorEastAsia" w:hAnsiTheme="minorHAnsi"/>
                      <w:b w:val="0"/>
                      <w:caps w:val="0"/>
                      <w:noProof/>
                      <w:color w:val="auto"/>
                      <w:sz w:val="22"/>
                      <w:lang w:eastAsia="en-ZA"/>
                    </w:rPr>
                    <w:tab/>
                  </w:r>
                  <w:r w:rsidR="00F302A1" w:rsidRPr="00055ECE">
                    <w:rPr>
                      <w:rStyle w:val="Hyperlink"/>
                      <w:noProof/>
                    </w:rPr>
                    <w:t>Chapter 3: Role-Players</w:t>
                  </w:r>
                  <w:r w:rsidR="00F302A1">
                    <w:rPr>
                      <w:noProof/>
                      <w:webHidden/>
                    </w:rPr>
                    <w:tab/>
                  </w:r>
                  <w:r>
                    <w:rPr>
                      <w:noProof/>
                      <w:webHidden/>
                    </w:rPr>
                    <w:fldChar w:fldCharType="begin"/>
                  </w:r>
                  <w:r w:rsidR="00F302A1">
                    <w:rPr>
                      <w:noProof/>
                      <w:webHidden/>
                    </w:rPr>
                    <w:instrText xml:space="preserve"> PAGEREF _Toc526324768 \h </w:instrText>
                  </w:r>
                  <w:r>
                    <w:rPr>
                      <w:noProof/>
                      <w:webHidden/>
                    </w:rPr>
                  </w:r>
                  <w:r>
                    <w:rPr>
                      <w:noProof/>
                      <w:webHidden/>
                    </w:rPr>
                    <w:fldChar w:fldCharType="separate"/>
                  </w:r>
                  <w:r w:rsidR="00F302A1">
                    <w:rPr>
                      <w:noProof/>
                      <w:webHidden/>
                    </w:rPr>
                    <w:t>5</w:t>
                  </w:r>
                  <w:r>
                    <w:rPr>
                      <w:noProof/>
                      <w:webHidden/>
                    </w:rPr>
                    <w:fldChar w:fldCharType="end"/>
                  </w:r>
                </w:hyperlink>
              </w:p>
              <w:p w:rsidR="00F302A1" w:rsidRDefault="00BD44E1">
                <w:pPr>
                  <w:pStyle w:val="TOC2"/>
                  <w:tabs>
                    <w:tab w:val="left" w:pos="880"/>
                    <w:tab w:val="right" w:leader="dot" w:pos="9016"/>
                  </w:tabs>
                  <w:rPr>
                    <w:rFonts w:asciiTheme="minorHAnsi" w:eastAsiaTheme="minorEastAsia" w:hAnsiTheme="minorHAnsi"/>
                    <w:noProof/>
                    <w:lang w:eastAsia="en-ZA"/>
                  </w:rPr>
                </w:pPr>
                <w:hyperlink w:anchor="_Toc526324769" w:history="1">
                  <w:r w:rsidR="00F302A1" w:rsidRPr="00055ECE">
                    <w:rPr>
                      <w:rStyle w:val="Hyperlink"/>
                      <w:noProof/>
                    </w:rPr>
                    <w:t>3.1.</w:t>
                  </w:r>
                  <w:r w:rsidR="00F302A1">
                    <w:rPr>
                      <w:rFonts w:asciiTheme="minorHAnsi" w:eastAsiaTheme="minorEastAsia" w:hAnsiTheme="minorHAnsi"/>
                      <w:noProof/>
                      <w:lang w:eastAsia="en-ZA"/>
                    </w:rPr>
                    <w:tab/>
                  </w:r>
                  <w:r w:rsidR="00F302A1" w:rsidRPr="00055ECE">
                    <w:rPr>
                      <w:rStyle w:val="Hyperlink"/>
                      <w:noProof/>
                    </w:rPr>
                    <w:t>Government</w:t>
                  </w:r>
                  <w:r w:rsidR="00F302A1">
                    <w:rPr>
                      <w:noProof/>
                      <w:webHidden/>
                    </w:rPr>
                    <w:tab/>
                  </w:r>
                  <w:r>
                    <w:rPr>
                      <w:noProof/>
                      <w:webHidden/>
                    </w:rPr>
                    <w:fldChar w:fldCharType="begin"/>
                  </w:r>
                  <w:r w:rsidR="00F302A1">
                    <w:rPr>
                      <w:noProof/>
                      <w:webHidden/>
                    </w:rPr>
                    <w:instrText xml:space="preserve"> PAGEREF _Toc526324769 \h </w:instrText>
                  </w:r>
                  <w:r>
                    <w:rPr>
                      <w:noProof/>
                      <w:webHidden/>
                    </w:rPr>
                  </w:r>
                  <w:r>
                    <w:rPr>
                      <w:noProof/>
                      <w:webHidden/>
                    </w:rPr>
                    <w:fldChar w:fldCharType="separate"/>
                  </w:r>
                  <w:r w:rsidR="00F302A1">
                    <w:rPr>
                      <w:noProof/>
                      <w:webHidden/>
                    </w:rPr>
                    <w:t>5</w:t>
                  </w:r>
                  <w:r>
                    <w:rPr>
                      <w:noProof/>
                      <w:webHidden/>
                    </w:rPr>
                    <w:fldChar w:fldCharType="end"/>
                  </w:r>
                </w:hyperlink>
              </w:p>
              <w:p w:rsidR="00F302A1" w:rsidRDefault="00BD44E1">
                <w:pPr>
                  <w:pStyle w:val="TOC2"/>
                  <w:tabs>
                    <w:tab w:val="left" w:pos="880"/>
                    <w:tab w:val="right" w:leader="dot" w:pos="9016"/>
                  </w:tabs>
                  <w:rPr>
                    <w:rFonts w:asciiTheme="minorHAnsi" w:eastAsiaTheme="minorEastAsia" w:hAnsiTheme="minorHAnsi"/>
                    <w:noProof/>
                    <w:lang w:eastAsia="en-ZA"/>
                  </w:rPr>
                </w:pPr>
                <w:hyperlink w:anchor="_Toc526324770" w:history="1">
                  <w:r w:rsidR="00F302A1" w:rsidRPr="00055ECE">
                    <w:rPr>
                      <w:rStyle w:val="Hyperlink"/>
                      <w:noProof/>
                    </w:rPr>
                    <w:t>3.2.</w:t>
                  </w:r>
                  <w:r w:rsidR="00F302A1">
                    <w:rPr>
                      <w:rFonts w:asciiTheme="minorHAnsi" w:eastAsiaTheme="minorEastAsia" w:hAnsiTheme="minorHAnsi"/>
                      <w:noProof/>
                      <w:lang w:eastAsia="en-ZA"/>
                    </w:rPr>
                    <w:tab/>
                  </w:r>
                  <w:r w:rsidR="00F302A1" w:rsidRPr="00055ECE">
                    <w:rPr>
                      <w:rStyle w:val="Hyperlink"/>
                      <w:noProof/>
                    </w:rPr>
                    <w:t>Parents or legal guardians</w:t>
                  </w:r>
                  <w:r w:rsidR="00F302A1">
                    <w:rPr>
                      <w:noProof/>
                      <w:webHidden/>
                    </w:rPr>
                    <w:tab/>
                  </w:r>
                  <w:r>
                    <w:rPr>
                      <w:noProof/>
                      <w:webHidden/>
                    </w:rPr>
                    <w:fldChar w:fldCharType="begin"/>
                  </w:r>
                  <w:r w:rsidR="00F302A1">
                    <w:rPr>
                      <w:noProof/>
                      <w:webHidden/>
                    </w:rPr>
                    <w:instrText xml:space="preserve"> PAGEREF _Toc526324770 \h </w:instrText>
                  </w:r>
                  <w:r>
                    <w:rPr>
                      <w:noProof/>
                      <w:webHidden/>
                    </w:rPr>
                  </w:r>
                  <w:r>
                    <w:rPr>
                      <w:noProof/>
                      <w:webHidden/>
                    </w:rPr>
                    <w:fldChar w:fldCharType="separate"/>
                  </w:r>
                  <w:r w:rsidR="00F302A1">
                    <w:rPr>
                      <w:noProof/>
                      <w:webHidden/>
                    </w:rPr>
                    <w:t>6</w:t>
                  </w:r>
                  <w:r>
                    <w:rPr>
                      <w:noProof/>
                      <w:webHidden/>
                    </w:rPr>
                    <w:fldChar w:fldCharType="end"/>
                  </w:r>
                </w:hyperlink>
              </w:p>
              <w:p w:rsidR="00F302A1" w:rsidRDefault="00BD44E1">
                <w:pPr>
                  <w:pStyle w:val="TOC2"/>
                  <w:tabs>
                    <w:tab w:val="left" w:pos="880"/>
                    <w:tab w:val="right" w:leader="dot" w:pos="9016"/>
                  </w:tabs>
                  <w:rPr>
                    <w:rFonts w:asciiTheme="minorHAnsi" w:eastAsiaTheme="minorEastAsia" w:hAnsiTheme="minorHAnsi"/>
                    <w:noProof/>
                    <w:lang w:eastAsia="en-ZA"/>
                  </w:rPr>
                </w:pPr>
                <w:hyperlink w:anchor="_Toc526324771" w:history="1">
                  <w:r w:rsidR="00F302A1" w:rsidRPr="00055ECE">
                    <w:rPr>
                      <w:rStyle w:val="Hyperlink"/>
                      <w:noProof/>
                    </w:rPr>
                    <w:t>3.3.</w:t>
                  </w:r>
                  <w:r w:rsidR="00F302A1">
                    <w:rPr>
                      <w:rFonts w:asciiTheme="minorHAnsi" w:eastAsiaTheme="minorEastAsia" w:hAnsiTheme="minorHAnsi"/>
                      <w:noProof/>
                      <w:lang w:eastAsia="en-ZA"/>
                    </w:rPr>
                    <w:tab/>
                  </w:r>
                  <w:r w:rsidR="00F302A1" w:rsidRPr="00055ECE">
                    <w:rPr>
                      <w:rStyle w:val="Hyperlink"/>
                      <w:noProof/>
                    </w:rPr>
                    <w:t>Medical practitioners</w:t>
                  </w:r>
                  <w:r w:rsidR="00F302A1">
                    <w:rPr>
                      <w:noProof/>
                      <w:webHidden/>
                    </w:rPr>
                    <w:tab/>
                  </w:r>
                  <w:r>
                    <w:rPr>
                      <w:noProof/>
                      <w:webHidden/>
                    </w:rPr>
                    <w:fldChar w:fldCharType="begin"/>
                  </w:r>
                  <w:r w:rsidR="00F302A1">
                    <w:rPr>
                      <w:noProof/>
                      <w:webHidden/>
                    </w:rPr>
                    <w:instrText xml:space="preserve"> PAGEREF _Toc526324771 \h </w:instrText>
                  </w:r>
                  <w:r>
                    <w:rPr>
                      <w:noProof/>
                      <w:webHidden/>
                    </w:rPr>
                  </w:r>
                  <w:r>
                    <w:rPr>
                      <w:noProof/>
                      <w:webHidden/>
                    </w:rPr>
                    <w:fldChar w:fldCharType="separate"/>
                  </w:r>
                  <w:r w:rsidR="00F302A1">
                    <w:rPr>
                      <w:noProof/>
                      <w:webHidden/>
                    </w:rPr>
                    <w:t>6</w:t>
                  </w:r>
                  <w:r>
                    <w:rPr>
                      <w:noProof/>
                      <w:webHidden/>
                    </w:rPr>
                    <w:fldChar w:fldCharType="end"/>
                  </w:r>
                </w:hyperlink>
              </w:p>
              <w:p w:rsidR="00F302A1" w:rsidRDefault="00BD44E1">
                <w:pPr>
                  <w:pStyle w:val="TOC1"/>
                  <w:tabs>
                    <w:tab w:val="left" w:pos="442"/>
                    <w:tab w:val="right" w:leader="dot" w:pos="9016"/>
                  </w:tabs>
                  <w:rPr>
                    <w:rFonts w:asciiTheme="minorHAnsi" w:eastAsiaTheme="minorEastAsia" w:hAnsiTheme="minorHAnsi"/>
                    <w:b w:val="0"/>
                    <w:caps w:val="0"/>
                    <w:noProof/>
                    <w:color w:val="auto"/>
                    <w:sz w:val="22"/>
                    <w:lang w:eastAsia="en-ZA"/>
                  </w:rPr>
                </w:pPr>
                <w:hyperlink w:anchor="_Toc526324772" w:history="1">
                  <w:r w:rsidR="00F302A1" w:rsidRPr="00055ECE">
                    <w:rPr>
                      <w:rStyle w:val="Hyperlink"/>
                      <w:noProof/>
                    </w:rPr>
                    <w:t>4.</w:t>
                  </w:r>
                  <w:r w:rsidR="00F302A1">
                    <w:rPr>
                      <w:rFonts w:asciiTheme="minorHAnsi" w:eastAsiaTheme="minorEastAsia" w:hAnsiTheme="minorHAnsi"/>
                      <w:b w:val="0"/>
                      <w:caps w:val="0"/>
                      <w:noProof/>
                      <w:color w:val="auto"/>
                      <w:sz w:val="22"/>
                      <w:lang w:eastAsia="en-ZA"/>
                    </w:rPr>
                    <w:tab/>
                  </w:r>
                  <w:r w:rsidR="00F302A1" w:rsidRPr="00055ECE">
                    <w:rPr>
                      <w:rStyle w:val="Hyperlink"/>
                      <w:noProof/>
                    </w:rPr>
                    <w:t>Chapter 4: Initiation Schools</w:t>
                  </w:r>
                  <w:r w:rsidR="00F302A1">
                    <w:rPr>
                      <w:noProof/>
                      <w:webHidden/>
                    </w:rPr>
                    <w:tab/>
                  </w:r>
                  <w:r>
                    <w:rPr>
                      <w:noProof/>
                      <w:webHidden/>
                    </w:rPr>
                    <w:fldChar w:fldCharType="begin"/>
                  </w:r>
                  <w:r w:rsidR="00F302A1">
                    <w:rPr>
                      <w:noProof/>
                      <w:webHidden/>
                    </w:rPr>
                    <w:instrText xml:space="preserve"> PAGEREF _Toc526324772 \h </w:instrText>
                  </w:r>
                  <w:r>
                    <w:rPr>
                      <w:noProof/>
                      <w:webHidden/>
                    </w:rPr>
                  </w:r>
                  <w:r>
                    <w:rPr>
                      <w:noProof/>
                      <w:webHidden/>
                    </w:rPr>
                    <w:fldChar w:fldCharType="separate"/>
                  </w:r>
                  <w:r w:rsidR="00F302A1">
                    <w:rPr>
                      <w:noProof/>
                      <w:webHidden/>
                    </w:rPr>
                    <w:t>6</w:t>
                  </w:r>
                  <w:r>
                    <w:rPr>
                      <w:noProof/>
                      <w:webHidden/>
                    </w:rPr>
                    <w:fldChar w:fldCharType="end"/>
                  </w:r>
                </w:hyperlink>
              </w:p>
              <w:p w:rsidR="00F302A1" w:rsidRDefault="00BD44E1">
                <w:pPr>
                  <w:pStyle w:val="TOC2"/>
                  <w:tabs>
                    <w:tab w:val="left" w:pos="880"/>
                    <w:tab w:val="right" w:leader="dot" w:pos="9016"/>
                  </w:tabs>
                  <w:rPr>
                    <w:rFonts w:asciiTheme="minorHAnsi" w:eastAsiaTheme="minorEastAsia" w:hAnsiTheme="minorHAnsi"/>
                    <w:noProof/>
                    <w:lang w:eastAsia="en-ZA"/>
                  </w:rPr>
                </w:pPr>
                <w:hyperlink w:anchor="_Toc526324773" w:history="1">
                  <w:r w:rsidR="00F302A1" w:rsidRPr="00055ECE">
                    <w:rPr>
                      <w:rStyle w:val="Hyperlink"/>
                      <w:noProof/>
                    </w:rPr>
                    <w:t>4.1.</w:t>
                  </w:r>
                  <w:r w:rsidR="00F302A1">
                    <w:rPr>
                      <w:rFonts w:asciiTheme="minorHAnsi" w:eastAsiaTheme="minorEastAsia" w:hAnsiTheme="minorHAnsi"/>
                      <w:noProof/>
                      <w:lang w:eastAsia="en-ZA"/>
                    </w:rPr>
                    <w:tab/>
                  </w:r>
                  <w:r w:rsidR="00F302A1" w:rsidRPr="00055ECE">
                    <w:rPr>
                      <w:rStyle w:val="Hyperlink"/>
                      <w:noProof/>
                    </w:rPr>
                    <w:t>Registration</w:t>
                  </w:r>
                  <w:r w:rsidR="00F302A1">
                    <w:rPr>
                      <w:noProof/>
                      <w:webHidden/>
                    </w:rPr>
                    <w:tab/>
                  </w:r>
                  <w:r>
                    <w:rPr>
                      <w:noProof/>
                      <w:webHidden/>
                    </w:rPr>
                    <w:fldChar w:fldCharType="begin"/>
                  </w:r>
                  <w:r w:rsidR="00F302A1">
                    <w:rPr>
                      <w:noProof/>
                      <w:webHidden/>
                    </w:rPr>
                    <w:instrText xml:space="preserve"> PAGEREF _Toc526324773 \h </w:instrText>
                  </w:r>
                  <w:r>
                    <w:rPr>
                      <w:noProof/>
                      <w:webHidden/>
                    </w:rPr>
                  </w:r>
                  <w:r>
                    <w:rPr>
                      <w:noProof/>
                      <w:webHidden/>
                    </w:rPr>
                    <w:fldChar w:fldCharType="separate"/>
                  </w:r>
                  <w:r w:rsidR="00F302A1">
                    <w:rPr>
                      <w:noProof/>
                      <w:webHidden/>
                    </w:rPr>
                    <w:t>6</w:t>
                  </w:r>
                  <w:r>
                    <w:rPr>
                      <w:noProof/>
                      <w:webHidden/>
                    </w:rPr>
                    <w:fldChar w:fldCharType="end"/>
                  </w:r>
                </w:hyperlink>
              </w:p>
              <w:p w:rsidR="00F302A1" w:rsidRDefault="00BD44E1">
                <w:pPr>
                  <w:pStyle w:val="TOC2"/>
                  <w:tabs>
                    <w:tab w:val="left" w:pos="880"/>
                    <w:tab w:val="right" w:leader="dot" w:pos="9016"/>
                  </w:tabs>
                  <w:rPr>
                    <w:rFonts w:asciiTheme="minorHAnsi" w:eastAsiaTheme="minorEastAsia" w:hAnsiTheme="minorHAnsi"/>
                    <w:noProof/>
                    <w:lang w:eastAsia="en-ZA"/>
                  </w:rPr>
                </w:pPr>
                <w:hyperlink w:anchor="_Toc526324774" w:history="1">
                  <w:r w:rsidR="00F302A1" w:rsidRPr="00055ECE">
                    <w:rPr>
                      <w:rStyle w:val="Hyperlink"/>
                      <w:noProof/>
                    </w:rPr>
                    <w:t>4.2.</w:t>
                  </w:r>
                  <w:r w:rsidR="00F302A1">
                    <w:rPr>
                      <w:rFonts w:asciiTheme="minorHAnsi" w:eastAsiaTheme="minorEastAsia" w:hAnsiTheme="minorHAnsi"/>
                      <w:noProof/>
                      <w:lang w:eastAsia="en-ZA"/>
                    </w:rPr>
                    <w:tab/>
                  </w:r>
                  <w:r w:rsidR="00F302A1" w:rsidRPr="00055ECE">
                    <w:rPr>
                      <w:rStyle w:val="Hyperlink"/>
                      <w:noProof/>
                    </w:rPr>
                    <w:t>Initiation seasons</w:t>
                  </w:r>
                  <w:r w:rsidR="00F302A1">
                    <w:rPr>
                      <w:noProof/>
                      <w:webHidden/>
                    </w:rPr>
                    <w:tab/>
                  </w:r>
                  <w:r>
                    <w:rPr>
                      <w:noProof/>
                      <w:webHidden/>
                    </w:rPr>
                    <w:fldChar w:fldCharType="begin"/>
                  </w:r>
                  <w:r w:rsidR="00F302A1">
                    <w:rPr>
                      <w:noProof/>
                      <w:webHidden/>
                    </w:rPr>
                    <w:instrText xml:space="preserve"> PAGEREF _Toc526324774 \h </w:instrText>
                  </w:r>
                  <w:r>
                    <w:rPr>
                      <w:noProof/>
                      <w:webHidden/>
                    </w:rPr>
                  </w:r>
                  <w:r>
                    <w:rPr>
                      <w:noProof/>
                      <w:webHidden/>
                    </w:rPr>
                    <w:fldChar w:fldCharType="separate"/>
                  </w:r>
                  <w:r w:rsidR="00F302A1">
                    <w:rPr>
                      <w:noProof/>
                      <w:webHidden/>
                    </w:rPr>
                    <w:t>6</w:t>
                  </w:r>
                  <w:r>
                    <w:rPr>
                      <w:noProof/>
                      <w:webHidden/>
                    </w:rPr>
                    <w:fldChar w:fldCharType="end"/>
                  </w:r>
                </w:hyperlink>
              </w:p>
              <w:p w:rsidR="00F302A1" w:rsidRDefault="00BD44E1">
                <w:pPr>
                  <w:pStyle w:val="TOC2"/>
                  <w:tabs>
                    <w:tab w:val="left" w:pos="880"/>
                    <w:tab w:val="right" w:leader="dot" w:pos="9016"/>
                  </w:tabs>
                  <w:rPr>
                    <w:rFonts w:asciiTheme="minorHAnsi" w:eastAsiaTheme="minorEastAsia" w:hAnsiTheme="minorHAnsi"/>
                    <w:noProof/>
                    <w:lang w:eastAsia="en-ZA"/>
                  </w:rPr>
                </w:pPr>
                <w:hyperlink w:anchor="_Toc526324775" w:history="1">
                  <w:r w:rsidR="00F302A1" w:rsidRPr="00055ECE">
                    <w:rPr>
                      <w:rStyle w:val="Hyperlink"/>
                      <w:noProof/>
                    </w:rPr>
                    <w:t>4.3.</w:t>
                  </w:r>
                  <w:r w:rsidR="00F302A1">
                    <w:rPr>
                      <w:rFonts w:asciiTheme="minorHAnsi" w:eastAsiaTheme="minorEastAsia" w:hAnsiTheme="minorHAnsi"/>
                      <w:noProof/>
                      <w:lang w:eastAsia="en-ZA"/>
                    </w:rPr>
                    <w:tab/>
                  </w:r>
                  <w:r w:rsidR="00F302A1" w:rsidRPr="00055ECE">
                    <w:rPr>
                      <w:rStyle w:val="Hyperlink"/>
                      <w:noProof/>
                    </w:rPr>
                    <w:t>Consent, prohibitions, age and circumcision</w:t>
                  </w:r>
                  <w:r w:rsidR="00F302A1">
                    <w:rPr>
                      <w:noProof/>
                      <w:webHidden/>
                    </w:rPr>
                    <w:tab/>
                  </w:r>
                  <w:r>
                    <w:rPr>
                      <w:noProof/>
                      <w:webHidden/>
                    </w:rPr>
                    <w:fldChar w:fldCharType="begin"/>
                  </w:r>
                  <w:r w:rsidR="00F302A1">
                    <w:rPr>
                      <w:noProof/>
                      <w:webHidden/>
                    </w:rPr>
                    <w:instrText xml:space="preserve"> PAGEREF _Toc526324775 \h </w:instrText>
                  </w:r>
                  <w:r>
                    <w:rPr>
                      <w:noProof/>
                      <w:webHidden/>
                    </w:rPr>
                  </w:r>
                  <w:r>
                    <w:rPr>
                      <w:noProof/>
                      <w:webHidden/>
                    </w:rPr>
                    <w:fldChar w:fldCharType="separate"/>
                  </w:r>
                  <w:r w:rsidR="00F302A1">
                    <w:rPr>
                      <w:noProof/>
                      <w:webHidden/>
                    </w:rPr>
                    <w:t>6</w:t>
                  </w:r>
                  <w:r>
                    <w:rPr>
                      <w:noProof/>
                      <w:webHidden/>
                    </w:rPr>
                    <w:fldChar w:fldCharType="end"/>
                  </w:r>
                </w:hyperlink>
              </w:p>
              <w:p w:rsidR="00F302A1" w:rsidRDefault="00BD44E1">
                <w:pPr>
                  <w:pStyle w:val="TOC2"/>
                  <w:tabs>
                    <w:tab w:val="left" w:pos="880"/>
                    <w:tab w:val="right" w:leader="dot" w:pos="9016"/>
                  </w:tabs>
                  <w:rPr>
                    <w:rFonts w:asciiTheme="minorHAnsi" w:eastAsiaTheme="minorEastAsia" w:hAnsiTheme="minorHAnsi"/>
                    <w:noProof/>
                    <w:lang w:eastAsia="en-ZA"/>
                  </w:rPr>
                </w:pPr>
                <w:hyperlink w:anchor="_Toc526324776" w:history="1">
                  <w:r w:rsidR="00F302A1" w:rsidRPr="00055ECE">
                    <w:rPr>
                      <w:rStyle w:val="Hyperlink"/>
                      <w:noProof/>
                    </w:rPr>
                    <w:t>4.4.</w:t>
                  </w:r>
                  <w:r w:rsidR="00F302A1">
                    <w:rPr>
                      <w:rFonts w:asciiTheme="minorHAnsi" w:eastAsiaTheme="minorEastAsia" w:hAnsiTheme="minorHAnsi"/>
                      <w:noProof/>
                      <w:lang w:eastAsia="en-ZA"/>
                    </w:rPr>
                    <w:tab/>
                  </w:r>
                  <w:r w:rsidR="00F302A1" w:rsidRPr="00055ECE">
                    <w:rPr>
                      <w:rStyle w:val="Hyperlink"/>
                      <w:noProof/>
                    </w:rPr>
                    <w:t>Discipline and teachings</w:t>
                  </w:r>
                  <w:r w:rsidR="00F302A1">
                    <w:rPr>
                      <w:noProof/>
                      <w:webHidden/>
                    </w:rPr>
                    <w:tab/>
                  </w:r>
                  <w:r>
                    <w:rPr>
                      <w:noProof/>
                      <w:webHidden/>
                    </w:rPr>
                    <w:fldChar w:fldCharType="begin"/>
                  </w:r>
                  <w:r w:rsidR="00F302A1">
                    <w:rPr>
                      <w:noProof/>
                      <w:webHidden/>
                    </w:rPr>
                    <w:instrText xml:space="preserve"> PAGEREF _Toc526324776 \h </w:instrText>
                  </w:r>
                  <w:r>
                    <w:rPr>
                      <w:noProof/>
                      <w:webHidden/>
                    </w:rPr>
                  </w:r>
                  <w:r>
                    <w:rPr>
                      <w:noProof/>
                      <w:webHidden/>
                    </w:rPr>
                    <w:fldChar w:fldCharType="separate"/>
                  </w:r>
                  <w:r w:rsidR="00F302A1">
                    <w:rPr>
                      <w:noProof/>
                      <w:webHidden/>
                    </w:rPr>
                    <w:t>7</w:t>
                  </w:r>
                  <w:r>
                    <w:rPr>
                      <w:noProof/>
                      <w:webHidden/>
                    </w:rPr>
                    <w:fldChar w:fldCharType="end"/>
                  </w:r>
                </w:hyperlink>
              </w:p>
              <w:p w:rsidR="00F302A1" w:rsidRDefault="00BD44E1">
                <w:pPr>
                  <w:pStyle w:val="TOC2"/>
                  <w:tabs>
                    <w:tab w:val="left" w:pos="880"/>
                    <w:tab w:val="right" w:leader="dot" w:pos="9016"/>
                  </w:tabs>
                  <w:rPr>
                    <w:rFonts w:asciiTheme="minorHAnsi" w:eastAsiaTheme="minorEastAsia" w:hAnsiTheme="minorHAnsi"/>
                    <w:noProof/>
                    <w:lang w:eastAsia="en-ZA"/>
                  </w:rPr>
                </w:pPr>
                <w:hyperlink w:anchor="_Toc526324777" w:history="1">
                  <w:r w:rsidR="00F302A1" w:rsidRPr="00055ECE">
                    <w:rPr>
                      <w:rStyle w:val="Hyperlink"/>
                      <w:noProof/>
                    </w:rPr>
                    <w:t>4.5.</w:t>
                  </w:r>
                  <w:r w:rsidR="00F302A1">
                    <w:rPr>
                      <w:rFonts w:asciiTheme="minorHAnsi" w:eastAsiaTheme="minorEastAsia" w:hAnsiTheme="minorHAnsi"/>
                      <w:noProof/>
                      <w:lang w:eastAsia="en-ZA"/>
                    </w:rPr>
                    <w:tab/>
                  </w:r>
                  <w:r w:rsidR="00F302A1" w:rsidRPr="00055ECE">
                    <w:rPr>
                      <w:rStyle w:val="Hyperlink"/>
                      <w:noProof/>
                    </w:rPr>
                    <w:t>Water, sanitation, food, health care and liquor</w:t>
                  </w:r>
                  <w:r w:rsidR="00F302A1">
                    <w:rPr>
                      <w:noProof/>
                      <w:webHidden/>
                    </w:rPr>
                    <w:tab/>
                  </w:r>
                  <w:r>
                    <w:rPr>
                      <w:noProof/>
                      <w:webHidden/>
                    </w:rPr>
                    <w:fldChar w:fldCharType="begin"/>
                  </w:r>
                  <w:r w:rsidR="00F302A1">
                    <w:rPr>
                      <w:noProof/>
                      <w:webHidden/>
                    </w:rPr>
                    <w:instrText xml:space="preserve"> PAGEREF _Toc526324777 \h </w:instrText>
                  </w:r>
                  <w:r>
                    <w:rPr>
                      <w:noProof/>
                      <w:webHidden/>
                    </w:rPr>
                  </w:r>
                  <w:r>
                    <w:rPr>
                      <w:noProof/>
                      <w:webHidden/>
                    </w:rPr>
                    <w:fldChar w:fldCharType="separate"/>
                  </w:r>
                  <w:r w:rsidR="00F302A1">
                    <w:rPr>
                      <w:noProof/>
                      <w:webHidden/>
                    </w:rPr>
                    <w:t>7</w:t>
                  </w:r>
                  <w:r>
                    <w:rPr>
                      <w:noProof/>
                      <w:webHidden/>
                    </w:rPr>
                    <w:fldChar w:fldCharType="end"/>
                  </w:r>
                </w:hyperlink>
              </w:p>
              <w:p w:rsidR="00F302A1" w:rsidRDefault="00BD44E1">
                <w:pPr>
                  <w:pStyle w:val="TOC2"/>
                  <w:tabs>
                    <w:tab w:val="left" w:pos="880"/>
                    <w:tab w:val="right" w:leader="dot" w:pos="9016"/>
                  </w:tabs>
                  <w:rPr>
                    <w:rFonts w:asciiTheme="minorHAnsi" w:eastAsiaTheme="minorEastAsia" w:hAnsiTheme="minorHAnsi"/>
                    <w:noProof/>
                    <w:lang w:eastAsia="en-ZA"/>
                  </w:rPr>
                </w:pPr>
                <w:hyperlink w:anchor="_Toc526324778" w:history="1">
                  <w:r w:rsidR="00F302A1" w:rsidRPr="00055ECE">
                    <w:rPr>
                      <w:rStyle w:val="Hyperlink"/>
                      <w:noProof/>
                    </w:rPr>
                    <w:t>4.6.</w:t>
                  </w:r>
                  <w:r w:rsidR="00F302A1">
                    <w:rPr>
                      <w:rFonts w:asciiTheme="minorHAnsi" w:eastAsiaTheme="minorEastAsia" w:hAnsiTheme="minorHAnsi"/>
                      <w:noProof/>
                      <w:lang w:eastAsia="en-ZA"/>
                    </w:rPr>
                    <w:tab/>
                  </w:r>
                  <w:r w:rsidR="00F302A1" w:rsidRPr="00055ECE">
                    <w:rPr>
                      <w:rStyle w:val="Hyperlink"/>
                      <w:noProof/>
                    </w:rPr>
                    <w:t>Death of initiate</w:t>
                  </w:r>
                  <w:r w:rsidR="00F302A1">
                    <w:rPr>
                      <w:noProof/>
                      <w:webHidden/>
                    </w:rPr>
                    <w:tab/>
                  </w:r>
                  <w:r>
                    <w:rPr>
                      <w:noProof/>
                      <w:webHidden/>
                    </w:rPr>
                    <w:fldChar w:fldCharType="begin"/>
                  </w:r>
                  <w:r w:rsidR="00F302A1">
                    <w:rPr>
                      <w:noProof/>
                      <w:webHidden/>
                    </w:rPr>
                    <w:instrText xml:space="preserve"> PAGEREF _Toc526324778 \h </w:instrText>
                  </w:r>
                  <w:r>
                    <w:rPr>
                      <w:noProof/>
                      <w:webHidden/>
                    </w:rPr>
                  </w:r>
                  <w:r>
                    <w:rPr>
                      <w:noProof/>
                      <w:webHidden/>
                    </w:rPr>
                    <w:fldChar w:fldCharType="separate"/>
                  </w:r>
                  <w:r w:rsidR="00F302A1">
                    <w:rPr>
                      <w:noProof/>
                      <w:webHidden/>
                    </w:rPr>
                    <w:t>7</w:t>
                  </w:r>
                  <w:r>
                    <w:rPr>
                      <w:noProof/>
                      <w:webHidden/>
                    </w:rPr>
                    <w:fldChar w:fldCharType="end"/>
                  </w:r>
                </w:hyperlink>
              </w:p>
              <w:p w:rsidR="00F302A1" w:rsidRDefault="00BD44E1">
                <w:pPr>
                  <w:pStyle w:val="TOC1"/>
                  <w:tabs>
                    <w:tab w:val="left" w:pos="442"/>
                    <w:tab w:val="right" w:leader="dot" w:pos="9016"/>
                  </w:tabs>
                  <w:rPr>
                    <w:rFonts w:asciiTheme="minorHAnsi" w:eastAsiaTheme="minorEastAsia" w:hAnsiTheme="minorHAnsi"/>
                    <w:b w:val="0"/>
                    <w:caps w:val="0"/>
                    <w:noProof/>
                    <w:color w:val="auto"/>
                    <w:sz w:val="22"/>
                    <w:lang w:eastAsia="en-ZA"/>
                  </w:rPr>
                </w:pPr>
                <w:hyperlink w:anchor="_Toc526324779" w:history="1">
                  <w:r w:rsidR="00F302A1" w:rsidRPr="00055ECE">
                    <w:rPr>
                      <w:rStyle w:val="Hyperlink"/>
                      <w:noProof/>
                    </w:rPr>
                    <w:t>5.</w:t>
                  </w:r>
                  <w:r w:rsidR="00F302A1">
                    <w:rPr>
                      <w:rFonts w:asciiTheme="minorHAnsi" w:eastAsiaTheme="minorEastAsia" w:hAnsiTheme="minorHAnsi"/>
                      <w:b w:val="0"/>
                      <w:caps w:val="0"/>
                      <w:noProof/>
                      <w:color w:val="auto"/>
                      <w:sz w:val="22"/>
                      <w:lang w:eastAsia="en-ZA"/>
                    </w:rPr>
                    <w:tab/>
                  </w:r>
                  <w:r w:rsidR="00F302A1" w:rsidRPr="00055ECE">
                    <w:rPr>
                      <w:rStyle w:val="Hyperlink"/>
                      <w:noProof/>
                    </w:rPr>
                    <w:t>Chapter 5: General Provisions</w:t>
                  </w:r>
                  <w:r w:rsidR="00F302A1">
                    <w:rPr>
                      <w:noProof/>
                      <w:webHidden/>
                    </w:rPr>
                    <w:tab/>
                  </w:r>
                  <w:r>
                    <w:rPr>
                      <w:noProof/>
                      <w:webHidden/>
                    </w:rPr>
                    <w:fldChar w:fldCharType="begin"/>
                  </w:r>
                  <w:r w:rsidR="00F302A1">
                    <w:rPr>
                      <w:noProof/>
                      <w:webHidden/>
                    </w:rPr>
                    <w:instrText xml:space="preserve"> PAGEREF _Toc526324779 \h </w:instrText>
                  </w:r>
                  <w:r>
                    <w:rPr>
                      <w:noProof/>
                      <w:webHidden/>
                    </w:rPr>
                  </w:r>
                  <w:r>
                    <w:rPr>
                      <w:noProof/>
                      <w:webHidden/>
                    </w:rPr>
                    <w:fldChar w:fldCharType="separate"/>
                  </w:r>
                  <w:r w:rsidR="00F302A1">
                    <w:rPr>
                      <w:noProof/>
                      <w:webHidden/>
                    </w:rPr>
                    <w:t>8</w:t>
                  </w:r>
                  <w:r>
                    <w:rPr>
                      <w:noProof/>
                      <w:webHidden/>
                    </w:rPr>
                    <w:fldChar w:fldCharType="end"/>
                  </w:r>
                </w:hyperlink>
              </w:p>
              <w:p w:rsidR="00F302A1" w:rsidRDefault="00BD44E1">
                <w:pPr>
                  <w:pStyle w:val="TOC2"/>
                  <w:tabs>
                    <w:tab w:val="left" w:pos="880"/>
                    <w:tab w:val="right" w:leader="dot" w:pos="9016"/>
                  </w:tabs>
                  <w:rPr>
                    <w:rFonts w:asciiTheme="minorHAnsi" w:eastAsiaTheme="minorEastAsia" w:hAnsiTheme="minorHAnsi"/>
                    <w:noProof/>
                    <w:lang w:eastAsia="en-ZA"/>
                  </w:rPr>
                </w:pPr>
                <w:hyperlink w:anchor="_Toc526324780" w:history="1">
                  <w:r w:rsidR="00F302A1" w:rsidRPr="00055ECE">
                    <w:rPr>
                      <w:rStyle w:val="Hyperlink"/>
                      <w:noProof/>
                      <w:lang w:val="en-GB"/>
                    </w:rPr>
                    <w:t>5.1.</w:t>
                  </w:r>
                  <w:r w:rsidR="00F302A1">
                    <w:rPr>
                      <w:rFonts w:asciiTheme="minorHAnsi" w:eastAsiaTheme="minorEastAsia" w:hAnsiTheme="minorHAnsi"/>
                      <w:noProof/>
                      <w:lang w:eastAsia="en-ZA"/>
                    </w:rPr>
                    <w:tab/>
                  </w:r>
                  <w:r w:rsidR="00F302A1" w:rsidRPr="00055ECE">
                    <w:rPr>
                      <w:rStyle w:val="Hyperlink"/>
                      <w:noProof/>
                      <w:lang w:val="en-GB"/>
                    </w:rPr>
                    <w:t>Offences</w:t>
                  </w:r>
                  <w:r w:rsidR="00F302A1">
                    <w:rPr>
                      <w:noProof/>
                      <w:webHidden/>
                    </w:rPr>
                    <w:tab/>
                  </w:r>
                  <w:r>
                    <w:rPr>
                      <w:noProof/>
                      <w:webHidden/>
                    </w:rPr>
                    <w:fldChar w:fldCharType="begin"/>
                  </w:r>
                  <w:r w:rsidR="00F302A1">
                    <w:rPr>
                      <w:noProof/>
                      <w:webHidden/>
                    </w:rPr>
                    <w:instrText xml:space="preserve"> PAGEREF _Toc526324780 \h </w:instrText>
                  </w:r>
                  <w:r>
                    <w:rPr>
                      <w:noProof/>
                      <w:webHidden/>
                    </w:rPr>
                  </w:r>
                  <w:r>
                    <w:rPr>
                      <w:noProof/>
                      <w:webHidden/>
                    </w:rPr>
                    <w:fldChar w:fldCharType="separate"/>
                  </w:r>
                  <w:r w:rsidR="00F302A1">
                    <w:rPr>
                      <w:noProof/>
                      <w:webHidden/>
                    </w:rPr>
                    <w:t>8</w:t>
                  </w:r>
                  <w:r>
                    <w:rPr>
                      <w:noProof/>
                      <w:webHidden/>
                    </w:rPr>
                    <w:fldChar w:fldCharType="end"/>
                  </w:r>
                </w:hyperlink>
              </w:p>
              <w:p w:rsidR="00F302A1" w:rsidRDefault="00BD44E1">
                <w:pPr>
                  <w:pStyle w:val="TOC2"/>
                  <w:tabs>
                    <w:tab w:val="left" w:pos="880"/>
                    <w:tab w:val="right" w:leader="dot" w:pos="9016"/>
                  </w:tabs>
                  <w:rPr>
                    <w:rFonts w:asciiTheme="minorHAnsi" w:eastAsiaTheme="minorEastAsia" w:hAnsiTheme="minorHAnsi"/>
                    <w:noProof/>
                    <w:lang w:eastAsia="en-ZA"/>
                  </w:rPr>
                </w:pPr>
                <w:hyperlink w:anchor="_Toc526324781" w:history="1">
                  <w:r w:rsidR="00F302A1" w:rsidRPr="00055ECE">
                    <w:rPr>
                      <w:rStyle w:val="Hyperlink"/>
                      <w:noProof/>
                      <w:lang w:val="en-GB"/>
                    </w:rPr>
                    <w:t>5.2.</w:t>
                  </w:r>
                  <w:r w:rsidR="00F302A1">
                    <w:rPr>
                      <w:rFonts w:asciiTheme="minorHAnsi" w:eastAsiaTheme="minorEastAsia" w:hAnsiTheme="minorHAnsi"/>
                      <w:noProof/>
                      <w:lang w:eastAsia="en-ZA"/>
                    </w:rPr>
                    <w:tab/>
                  </w:r>
                  <w:r w:rsidR="00F302A1" w:rsidRPr="00055ECE">
                    <w:rPr>
                      <w:rStyle w:val="Hyperlink"/>
                      <w:noProof/>
                      <w:lang w:val="en-GB"/>
                    </w:rPr>
                    <w:t>Appeals</w:t>
                  </w:r>
                  <w:r w:rsidR="00F302A1">
                    <w:rPr>
                      <w:noProof/>
                      <w:webHidden/>
                    </w:rPr>
                    <w:tab/>
                  </w:r>
                  <w:r>
                    <w:rPr>
                      <w:noProof/>
                      <w:webHidden/>
                    </w:rPr>
                    <w:fldChar w:fldCharType="begin"/>
                  </w:r>
                  <w:r w:rsidR="00F302A1">
                    <w:rPr>
                      <w:noProof/>
                      <w:webHidden/>
                    </w:rPr>
                    <w:instrText xml:space="preserve"> PAGEREF _Toc526324781 \h </w:instrText>
                  </w:r>
                  <w:r>
                    <w:rPr>
                      <w:noProof/>
                      <w:webHidden/>
                    </w:rPr>
                  </w:r>
                  <w:r>
                    <w:rPr>
                      <w:noProof/>
                      <w:webHidden/>
                    </w:rPr>
                    <w:fldChar w:fldCharType="separate"/>
                  </w:r>
                  <w:r w:rsidR="00F302A1">
                    <w:rPr>
                      <w:noProof/>
                      <w:webHidden/>
                    </w:rPr>
                    <w:t>8</w:t>
                  </w:r>
                  <w:r>
                    <w:rPr>
                      <w:noProof/>
                      <w:webHidden/>
                    </w:rPr>
                    <w:fldChar w:fldCharType="end"/>
                  </w:r>
                </w:hyperlink>
              </w:p>
              <w:p w:rsidR="00F302A1" w:rsidRDefault="00BD44E1">
                <w:pPr>
                  <w:pStyle w:val="TOC2"/>
                  <w:tabs>
                    <w:tab w:val="left" w:pos="880"/>
                    <w:tab w:val="right" w:leader="dot" w:pos="9016"/>
                  </w:tabs>
                  <w:rPr>
                    <w:rFonts w:asciiTheme="minorHAnsi" w:eastAsiaTheme="minorEastAsia" w:hAnsiTheme="minorHAnsi"/>
                    <w:noProof/>
                    <w:lang w:eastAsia="en-ZA"/>
                  </w:rPr>
                </w:pPr>
                <w:hyperlink w:anchor="_Toc526324782" w:history="1">
                  <w:r w:rsidR="00F302A1" w:rsidRPr="00055ECE">
                    <w:rPr>
                      <w:rStyle w:val="Hyperlink"/>
                      <w:noProof/>
                      <w:lang w:val="en-GB"/>
                    </w:rPr>
                    <w:t>5.3.</w:t>
                  </w:r>
                  <w:r w:rsidR="00F302A1">
                    <w:rPr>
                      <w:rFonts w:asciiTheme="minorHAnsi" w:eastAsiaTheme="minorEastAsia" w:hAnsiTheme="minorHAnsi"/>
                      <w:noProof/>
                      <w:lang w:eastAsia="en-ZA"/>
                    </w:rPr>
                    <w:tab/>
                  </w:r>
                  <w:r w:rsidR="00F302A1" w:rsidRPr="00055ECE">
                    <w:rPr>
                      <w:rStyle w:val="Hyperlink"/>
                      <w:noProof/>
                      <w:lang w:val="en-GB"/>
                    </w:rPr>
                    <w:t>Interim arrangements</w:t>
                  </w:r>
                  <w:r w:rsidR="00F302A1">
                    <w:rPr>
                      <w:noProof/>
                      <w:webHidden/>
                    </w:rPr>
                    <w:tab/>
                  </w:r>
                  <w:r>
                    <w:rPr>
                      <w:noProof/>
                      <w:webHidden/>
                    </w:rPr>
                    <w:fldChar w:fldCharType="begin"/>
                  </w:r>
                  <w:r w:rsidR="00F302A1">
                    <w:rPr>
                      <w:noProof/>
                      <w:webHidden/>
                    </w:rPr>
                    <w:instrText xml:space="preserve"> PAGEREF _Toc526324782 \h </w:instrText>
                  </w:r>
                  <w:r>
                    <w:rPr>
                      <w:noProof/>
                      <w:webHidden/>
                    </w:rPr>
                  </w:r>
                  <w:r>
                    <w:rPr>
                      <w:noProof/>
                      <w:webHidden/>
                    </w:rPr>
                    <w:fldChar w:fldCharType="separate"/>
                  </w:r>
                  <w:r w:rsidR="00F302A1">
                    <w:rPr>
                      <w:noProof/>
                      <w:webHidden/>
                    </w:rPr>
                    <w:t>8</w:t>
                  </w:r>
                  <w:r>
                    <w:rPr>
                      <w:noProof/>
                      <w:webHidden/>
                    </w:rPr>
                    <w:fldChar w:fldCharType="end"/>
                  </w:r>
                </w:hyperlink>
              </w:p>
              <w:p w:rsidR="009E0C94" w:rsidRDefault="00BD44E1" w:rsidP="00893EE9">
                <w:pPr>
                  <w:pStyle w:val="ResearchTitle"/>
                  <w:rPr>
                    <w:rFonts w:cs="Arial"/>
                  </w:rPr>
                </w:pPr>
                <w:r>
                  <w:rPr>
                    <w:rFonts w:cs="Arial"/>
                  </w:rPr>
                  <w:fldChar w:fldCharType="end"/>
                </w:r>
              </w:p>
            </w:sdtContent>
          </w:sdt>
        </w:tc>
      </w:tr>
    </w:tbl>
    <w:p w:rsidR="00085161" w:rsidRDefault="00085161" w:rsidP="00085161">
      <w:pPr>
        <w:rPr>
          <w:rFonts w:cs="Arial"/>
        </w:rPr>
      </w:pPr>
    </w:p>
    <w:p w:rsidR="005D12FB" w:rsidRDefault="005D12FB" w:rsidP="00995F1B">
      <w:pPr>
        <w:pStyle w:val="Heading1"/>
      </w:pPr>
      <w:bookmarkStart w:id="0" w:name="_Toc524440609"/>
    </w:p>
    <w:p w:rsidR="00995F1B" w:rsidRDefault="00995F1B" w:rsidP="00995F1B"/>
    <w:p w:rsidR="00995F1B" w:rsidRDefault="00995F1B" w:rsidP="00995F1B"/>
    <w:p w:rsidR="00995F1B" w:rsidRDefault="00995F1B" w:rsidP="00995F1B"/>
    <w:p w:rsidR="00995F1B" w:rsidRDefault="00995F1B" w:rsidP="00995F1B"/>
    <w:p w:rsidR="00995F1B" w:rsidRPr="00995F1B" w:rsidRDefault="00995F1B" w:rsidP="00995F1B">
      <w:pPr>
        <w:sectPr w:rsidR="00995F1B" w:rsidRPr="00995F1B" w:rsidSect="005D12FB">
          <w:headerReference w:type="default" r:id="rId8"/>
          <w:footerReference w:type="default" r:id="rId9"/>
          <w:headerReference w:type="first" r:id="rId10"/>
          <w:footerReference w:type="first" r:id="rId11"/>
          <w:pgSz w:w="11906" w:h="16838"/>
          <w:pgMar w:top="1998" w:right="1440" w:bottom="1440" w:left="1440" w:header="708" w:footer="708" w:gutter="0"/>
          <w:cols w:space="708"/>
          <w:titlePg/>
          <w:docGrid w:linePitch="360"/>
        </w:sectPr>
      </w:pPr>
    </w:p>
    <w:tbl>
      <w:tblPr>
        <w:tblStyle w:val="TableGrid"/>
        <w:tblW w:w="0" w:type="auto"/>
        <w:tblLook w:val="04A0"/>
      </w:tblPr>
      <w:tblGrid>
        <w:gridCol w:w="3305"/>
        <w:gridCol w:w="10"/>
        <w:gridCol w:w="10"/>
        <w:gridCol w:w="10293"/>
      </w:tblGrid>
      <w:tr w:rsidR="006409B7" w:rsidTr="00BA14D7">
        <w:tc>
          <w:tcPr>
            <w:tcW w:w="0" w:type="auto"/>
            <w:gridSpan w:val="4"/>
          </w:tcPr>
          <w:p w:rsidR="006409B7" w:rsidRPr="0078623F" w:rsidRDefault="006409B7" w:rsidP="00A44A8A">
            <w:pPr>
              <w:pStyle w:val="Heading1"/>
              <w:numPr>
                <w:ilvl w:val="0"/>
                <w:numId w:val="2"/>
              </w:numPr>
              <w:outlineLvl w:val="0"/>
            </w:pPr>
            <w:bookmarkStart w:id="1" w:name="_Toc526324762"/>
            <w:bookmarkEnd w:id="0"/>
            <w:r>
              <w:lastRenderedPageBreak/>
              <w:t>Chapter 1: Interpretation, application, objectives and principles</w:t>
            </w:r>
            <w:bookmarkEnd w:id="1"/>
          </w:p>
        </w:tc>
      </w:tr>
      <w:tr w:rsidR="006409B7" w:rsidTr="00BA14D7">
        <w:tc>
          <w:tcPr>
            <w:tcW w:w="0" w:type="auto"/>
            <w:gridSpan w:val="4"/>
          </w:tcPr>
          <w:p w:rsidR="006409B7" w:rsidRDefault="006409B7" w:rsidP="00A44A8A">
            <w:pPr>
              <w:pStyle w:val="Heading2"/>
              <w:numPr>
                <w:ilvl w:val="1"/>
                <w:numId w:val="3"/>
              </w:numPr>
              <w:outlineLvl w:val="1"/>
              <w:rPr>
                <w:lang w:val="en-GB"/>
              </w:rPr>
            </w:pPr>
            <w:bookmarkStart w:id="2" w:name="_Toc524440610"/>
            <w:bookmarkStart w:id="3" w:name="_Toc526324763"/>
            <w:r>
              <w:rPr>
                <w:lang w:val="en-GB"/>
              </w:rPr>
              <w:t>Definitions</w:t>
            </w:r>
            <w:bookmarkEnd w:id="2"/>
            <w:bookmarkEnd w:id="3"/>
          </w:p>
          <w:p w:rsidR="00533122" w:rsidRPr="00533122" w:rsidRDefault="00533122" w:rsidP="00533122">
            <w:pPr>
              <w:rPr>
                <w:lang w:val="en-GB"/>
              </w:rPr>
            </w:pPr>
          </w:p>
        </w:tc>
      </w:tr>
      <w:tr w:rsidR="00515F27" w:rsidTr="003941F0">
        <w:tc>
          <w:tcPr>
            <w:tcW w:w="3268" w:type="dxa"/>
            <w:gridSpan w:val="3"/>
          </w:tcPr>
          <w:p w:rsidR="00D411FE" w:rsidRPr="00703B92" w:rsidRDefault="00D411FE" w:rsidP="00BA14D7">
            <w:pPr>
              <w:rPr>
                <w:i/>
              </w:rPr>
            </w:pPr>
            <w:r w:rsidRPr="00703B92">
              <w:rPr>
                <w:i/>
              </w:rPr>
              <w:t xml:space="preserve">Clause 1. </w:t>
            </w:r>
          </w:p>
          <w:p w:rsidR="00D411FE" w:rsidRDefault="00D411FE" w:rsidP="006409B7">
            <w:pPr>
              <w:pStyle w:val="Heading2"/>
              <w:ind w:left="792"/>
              <w:outlineLvl w:val="1"/>
              <w:rPr>
                <w:lang w:val="en-GB"/>
              </w:rPr>
            </w:pPr>
          </w:p>
        </w:tc>
        <w:tc>
          <w:tcPr>
            <w:tcW w:w="10124" w:type="dxa"/>
          </w:tcPr>
          <w:p w:rsidR="00D411FE" w:rsidRDefault="00D411FE" w:rsidP="00A44A8A">
            <w:pPr>
              <w:pStyle w:val="ListParagraph"/>
              <w:numPr>
                <w:ilvl w:val="0"/>
                <w:numId w:val="4"/>
              </w:numPr>
            </w:pPr>
            <w:r w:rsidRPr="00D411FE">
              <w:rPr>
                <w:b/>
              </w:rPr>
              <w:t xml:space="preserve">Abduction. </w:t>
            </w:r>
            <w:r>
              <w:t xml:space="preserve">The definition of ‘abduction’ does not address the fact that people over the age of eighteen can also be subject to abduction. The definition of abduction is also similar to ‘kidnapping’ as defined in this clause. Remove definition of ‘abduction’ as the common law and statutory offences of </w:t>
            </w:r>
            <w:r w:rsidRPr="00D411FE">
              <w:rPr>
                <w:i/>
              </w:rPr>
              <w:t xml:space="preserve">abduction </w:t>
            </w:r>
            <w:r>
              <w:t xml:space="preserve">relate to specific instances regarding the removal of a child </w:t>
            </w:r>
            <w:r w:rsidRPr="00D411FE">
              <w:rPr>
                <w:i/>
              </w:rPr>
              <w:t xml:space="preserve">for purposes of sexual intercourse </w:t>
            </w:r>
            <w:r>
              <w:t>or marriage</w:t>
            </w:r>
            <w:r w:rsidRPr="00D411FE">
              <w:rPr>
                <w:i/>
              </w:rPr>
              <w:t xml:space="preserve">. </w:t>
            </w:r>
            <w:r>
              <w:t xml:space="preserve">The unlawful removal of a person against his or her will constitutes the offence of </w:t>
            </w:r>
            <w:r w:rsidRPr="00D411FE">
              <w:rPr>
                <w:i/>
              </w:rPr>
              <w:t xml:space="preserve">kidnapping – </w:t>
            </w:r>
            <w:r>
              <w:t>a definition contained in Clause 1 and will be sufficient for the purposes of the Bill.</w:t>
            </w:r>
          </w:p>
          <w:p w:rsidR="00D411FE" w:rsidRDefault="00D411FE" w:rsidP="00D411FE">
            <w:pPr>
              <w:pStyle w:val="ListParagraph"/>
            </w:pPr>
          </w:p>
          <w:p w:rsidR="00D411FE" w:rsidRDefault="00D411FE" w:rsidP="00A44A8A">
            <w:pPr>
              <w:pStyle w:val="ListParagraph"/>
              <w:numPr>
                <w:ilvl w:val="0"/>
                <w:numId w:val="4"/>
              </w:numPr>
            </w:pPr>
            <w:r w:rsidRPr="002C0DDB">
              <w:rPr>
                <w:b/>
              </w:rPr>
              <w:t>Circumcision’</w:t>
            </w:r>
            <w:r w:rsidRPr="002C0DDB">
              <w:t>,</w:t>
            </w:r>
            <w:r>
              <w:t xml:space="preserve"> in the South African context, refers to male initiates only, and therefore the definition does not apply in respect of female initiates.</w:t>
            </w:r>
          </w:p>
          <w:p w:rsidR="00D411FE" w:rsidRDefault="00D411FE" w:rsidP="00D411FE">
            <w:pPr>
              <w:pStyle w:val="ListParagraph"/>
            </w:pPr>
          </w:p>
          <w:p w:rsidR="00D411FE" w:rsidRDefault="00D411FE" w:rsidP="00A44A8A">
            <w:pPr>
              <w:pStyle w:val="ListParagraph"/>
              <w:numPr>
                <w:ilvl w:val="0"/>
                <w:numId w:val="4"/>
              </w:numPr>
            </w:pPr>
            <w:r>
              <w:rPr>
                <w:b/>
              </w:rPr>
              <w:t xml:space="preserve">Curriculum. </w:t>
            </w:r>
            <w:r>
              <w:t xml:space="preserve">The Bill should not define ‘curriculum’ as the traditional and cultural customs and rituals performed and taught at an initiation school are too sacred and secret for public consumption. </w:t>
            </w:r>
          </w:p>
          <w:p w:rsidR="00D411FE" w:rsidRDefault="00D411FE" w:rsidP="00D411FE">
            <w:pPr>
              <w:pStyle w:val="ListParagraph"/>
            </w:pPr>
          </w:p>
          <w:p w:rsidR="00D411FE" w:rsidRPr="00A06690" w:rsidRDefault="003B1BA1" w:rsidP="00A44A8A">
            <w:pPr>
              <w:pStyle w:val="ListParagraph"/>
              <w:numPr>
                <w:ilvl w:val="0"/>
                <w:numId w:val="4"/>
              </w:numPr>
            </w:pPr>
            <w:r>
              <w:rPr>
                <w:b/>
              </w:rPr>
              <w:t xml:space="preserve">Principal. </w:t>
            </w:r>
            <w:r>
              <w:t xml:space="preserve">Specify the requirements for a principal as follows: </w:t>
            </w:r>
            <w:r w:rsidR="00D411FE">
              <w:t>This must be any person with an initiation experience of at least three years, and should initiate one of his or her</w:t>
            </w:r>
            <w:r w:rsidR="00110010">
              <w:t xml:space="preserve"> children or family member. The specification</w:t>
            </w:r>
            <w:r w:rsidR="00D411FE">
              <w:t xml:space="preserve"> will eliminate the unscrupulous elements in the initiation process. </w:t>
            </w:r>
          </w:p>
        </w:tc>
      </w:tr>
      <w:tr w:rsidR="003C1DC2" w:rsidTr="00BA14D7">
        <w:tc>
          <w:tcPr>
            <w:tcW w:w="0" w:type="auto"/>
            <w:gridSpan w:val="4"/>
          </w:tcPr>
          <w:p w:rsidR="003C1DC2" w:rsidRPr="0078623F" w:rsidRDefault="003C1DC2" w:rsidP="00A44A8A">
            <w:pPr>
              <w:pStyle w:val="Heading2"/>
              <w:numPr>
                <w:ilvl w:val="1"/>
                <w:numId w:val="3"/>
              </w:numPr>
              <w:outlineLvl w:val="1"/>
            </w:pPr>
            <w:bookmarkStart w:id="4" w:name="_Toc524440611"/>
            <w:bookmarkStart w:id="5" w:name="_Toc526324764"/>
            <w:r>
              <w:t>Applications, objectives, interpretation and prohibitions</w:t>
            </w:r>
            <w:bookmarkEnd w:id="4"/>
            <w:bookmarkEnd w:id="5"/>
          </w:p>
        </w:tc>
      </w:tr>
      <w:tr w:rsidR="00515F27" w:rsidTr="003941F0">
        <w:tc>
          <w:tcPr>
            <w:tcW w:w="3268" w:type="dxa"/>
            <w:gridSpan w:val="3"/>
          </w:tcPr>
          <w:p w:rsidR="003C1DC2" w:rsidRPr="00703B92" w:rsidRDefault="003C1DC2" w:rsidP="00BA14D7">
            <w:pPr>
              <w:rPr>
                <w:rFonts w:cs="Arial"/>
                <w:i/>
              </w:rPr>
            </w:pPr>
            <w:r w:rsidRPr="00703B92">
              <w:rPr>
                <w:rFonts w:cs="Arial"/>
                <w:i/>
              </w:rPr>
              <w:t xml:space="preserve">Clause 2(4). </w:t>
            </w:r>
          </w:p>
          <w:p w:rsidR="003C1DC2" w:rsidRDefault="003C1DC2" w:rsidP="003C1DC2">
            <w:pPr>
              <w:pStyle w:val="Heading2"/>
              <w:ind w:left="792"/>
              <w:outlineLvl w:val="1"/>
            </w:pPr>
          </w:p>
        </w:tc>
        <w:tc>
          <w:tcPr>
            <w:tcW w:w="10124" w:type="dxa"/>
          </w:tcPr>
          <w:p w:rsidR="003C1DC2" w:rsidRDefault="003C1DC2" w:rsidP="00A44A8A">
            <w:pPr>
              <w:pStyle w:val="ListParagraph"/>
              <w:numPr>
                <w:ilvl w:val="0"/>
                <w:numId w:val="5"/>
              </w:numPr>
            </w:pPr>
            <w:r w:rsidRPr="003C1DC2">
              <w:rPr>
                <w:rFonts w:cs="Arial"/>
              </w:rPr>
              <w:t xml:space="preserve">This clause should take into consideration the fact that </w:t>
            </w:r>
            <w:r>
              <w:t xml:space="preserve">some initiation traditions count the age of the person involved in the initiation process from the period in which his or her initiation took place. Therefore, replace the age requirement with the requirement for a minimum experience of ten years. </w:t>
            </w:r>
          </w:p>
          <w:p w:rsidR="003C1DC2" w:rsidRDefault="003C1DC2" w:rsidP="003C1DC2">
            <w:pPr>
              <w:pStyle w:val="ListParagraph"/>
            </w:pPr>
          </w:p>
          <w:p w:rsidR="003C1DC2" w:rsidRDefault="003C1DC2" w:rsidP="00A44A8A">
            <w:pPr>
              <w:pStyle w:val="ListParagraph"/>
              <w:numPr>
                <w:ilvl w:val="0"/>
                <w:numId w:val="5"/>
              </w:numPr>
            </w:pPr>
            <w:r>
              <w:t>A registered medical practitioner, who is at least 25 years old, should be exempt from this provision.</w:t>
            </w:r>
          </w:p>
        </w:tc>
      </w:tr>
      <w:tr w:rsidR="0078623F" w:rsidTr="00BA14D7">
        <w:tc>
          <w:tcPr>
            <w:tcW w:w="0" w:type="auto"/>
            <w:gridSpan w:val="4"/>
          </w:tcPr>
          <w:p w:rsidR="0078623F" w:rsidRDefault="0078623F" w:rsidP="00A44A8A">
            <w:pPr>
              <w:pStyle w:val="Heading1"/>
              <w:numPr>
                <w:ilvl w:val="0"/>
                <w:numId w:val="3"/>
              </w:numPr>
              <w:outlineLvl w:val="0"/>
            </w:pPr>
            <w:bookmarkStart w:id="6" w:name="_Toc524440612"/>
            <w:bookmarkStart w:id="7" w:name="_Toc526324765"/>
            <w:r w:rsidRPr="00180D47">
              <w:lastRenderedPageBreak/>
              <w:t>Chapter 2: Oversight and Coordinating Structures</w:t>
            </w:r>
            <w:bookmarkEnd w:id="6"/>
            <w:bookmarkEnd w:id="7"/>
            <w:r w:rsidRPr="00180D47">
              <w:t xml:space="preserve"> </w:t>
            </w:r>
          </w:p>
          <w:p w:rsidR="000C426C" w:rsidRDefault="000C426C" w:rsidP="000C426C"/>
          <w:p w:rsidR="000C426C" w:rsidRPr="000C426C" w:rsidRDefault="000C426C" w:rsidP="000C426C">
            <w:r>
              <w:t xml:space="preserve">Initiation practice is a family matter that should not involve any level of government. Chapter two of the Bill is therefore unnecessary. </w:t>
            </w:r>
          </w:p>
        </w:tc>
      </w:tr>
      <w:tr w:rsidR="0078623F" w:rsidTr="00BA14D7">
        <w:tc>
          <w:tcPr>
            <w:tcW w:w="0" w:type="auto"/>
            <w:gridSpan w:val="4"/>
          </w:tcPr>
          <w:p w:rsidR="0078623F" w:rsidRPr="00180D47" w:rsidRDefault="0078623F" w:rsidP="00A44A8A">
            <w:pPr>
              <w:pStyle w:val="Heading2"/>
              <w:numPr>
                <w:ilvl w:val="1"/>
                <w:numId w:val="3"/>
              </w:numPr>
              <w:outlineLvl w:val="1"/>
            </w:pPr>
            <w:bookmarkStart w:id="8" w:name="_Toc524440613"/>
            <w:bookmarkStart w:id="9" w:name="_Toc526324766"/>
            <w:r>
              <w:t>National Initiation Oversight Committee</w:t>
            </w:r>
            <w:bookmarkEnd w:id="8"/>
            <w:bookmarkEnd w:id="9"/>
          </w:p>
        </w:tc>
      </w:tr>
      <w:tr w:rsidR="0078623F" w:rsidTr="00BA14D7">
        <w:tc>
          <w:tcPr>
            <w:tcW w:w="0" w:type="auto"/>
            <w:gridSpan w:val="4"/>
          </w:tcPr>
          <w:p w:rsidR="0078623F" w:rsidRPr="0078623F" w:rsidRDefault="0078623F" w:rsidP="0078623F">
            <w:pPr>
              <w:tabs>
                <w:tab w:val="left" w:pos="1210"/>
                <w:tab w:val="left" w:pos="3180"/>
              </w:tabs>
              <w:rPr>
                <w:rFonts w:cs="Arial"/>
              </w:rPr>
            </w:pPr>
            <w:r w:rsidRPr="0078623F">
              <w:rPr>
                <w:rFonts w:cs="Arial"/>
              </w:rPr>
              <w:t>Regulations should address the question of NIOC membership, as the need to expand or minimise the Committee may change over time. Amending regulations takes a much shorter period than primary legislation.</w:t>
            </w:r>
          </w:p>
        </w:tc>
      </w:tr>
      <w:tr w:rsidR="00515F27" w:rsidTr="003941F0">
        <w:tc>
          <w:tcPr>
            <w:tcW w:w="3268" w:type="dxa"/>
            <w:gridSpan w:val="3"/>
          </w:tcPr>
          <w:p w:rsidR="00A06690" w:rsidRPr="00703B92" w:rsidRDefault="00BA14D7" w:rsidP="00BA14D7">
            <w:pPr>
              <w:rPr>
                <w:i/>
              </w:rPr>
            </w:pPr>
            <w:r w:rsidRPr="00703B92">
              <w:rPr>
                <w:i/>
              </w:rPr>
              <w:t xml:space="preserve">Clause </w:t>
            </w:r>
            <w:r w:rsidR="00A06690" w:rsidRPr="00703B92">
              <w:rPr>
                <w:i/>
              </w:rPr>
              <w:t xml:space="preserve">4(1). </w:t>
            </w:r>
          </w:p>
        </w:tc>
        <w:tc>
          <w:tcPr>
            <w:tcW w:w="10124" w:type="dxa"/>
          </w:tcPr>
          <w:p w:rsidR="00A06690" w:rsidRDefault="00A06690" w:rsidP="00A44A8A">
            <w:pPr>
              <w:pStyle w:val="ListParagraph"/>
              <w:numPr>
                <w:ilvl w:val="0"/>
                <w:numId w:val="6"/>
              </w:numPr>
            </w:pPr>
            <w:r>
              <w:t xml:space="preserve">The Minister should undertake this provision in consultation with the National House of Traditional Leaders. The clause should also include Chairpersons and Secretaries of Provincial Houses. </w:t>
            </w:r>
          </w:p>
          <w:p w:rsidR="00A06690" w:rsidRDefault="00A06690" w:rsidP="00A06690">
            <w:pPr>
              <w:pStyle w:val="ListParagraph"/>
            </w:pPr>
          </w:p>
          <w:p w:rsidR="00A06690" w:rsidRPr="00A06690" w:rsidRDefault="00A06690" w:rsidP="00A44A8A">
            <w:pPr>
              <w:pStyle w:val="ListParagraph"/>
              <w:numPr>
                <w:ilvl w:val="0"/>
                <w:numId w:val="6"/>
              </w:numPr>
            </w:pPr>
            <w:r>
              <w:t>Only those who have undergone initiation should qualify for NIOC membership.</w:t>
            </w:r>
          </w:p>
        </w:tc>
      </w:tr>
      <w:tr w:rsidR="00515F27" w:rsidTr="003941F0">
        <w:tc>
          <w:tcPr>
            <w:tcW w:w="3268" w:type="dxa"/>
            <w:gridSpan w:val="3"/>
          </w:tcPr>
          <w:p w:rsidR="00A06690" w:rsidRPr="00703B92" w:rsidRDefault="00A06690" w:rsidP="00BA14D7">
            <w:pPr>
              <w:rPr>
                <w:rFonts w:eastAsia="Times New Roman" w:cs="Arial"/>
                <w:i/>
              </w:rPr>
            </w:pPr>
            <w:r w:rsidRPr="00703B92">
              <w:rPr>
                <w:rFonts w:eastAsia="Times New Roman" w:cs="Arial"/>
                <w:i/>
              </w:rPr>
              <w:t xml:space="preserve">Clause 4(3). </w:t>
            </w:r>
          </w:p>
          <w:p w:rsidR="00A06690" w:rsidRPr="00180D47" w:rsidRDefault="00A06690" w:rsidP="00A06690">
            <w:pPr>
              <w:pStyle w:val="ListParagraph"/>
              <w:rPr>
                <w:b/>
              </w:rPr>
            </w:pPr>
          </w:p>
        </w:tc>
        <w:tc>
          <w:tcPr>
            <w:tcW w:w="10124" w:type="dxa"/>
          </w:tcPr>
          <w:p w:rsidR="00A06690" w:rsidRPr="00A06690" w:rsidRDefault="00A06690" w:rsidP="00A06690">
            <w:pPr>
              <w:rPr>
                <w:rFonts w:eastAsia="Times New Roman" w:cs="Arial"/>
                <w:b/>
              </w:rPr>
            </w:pPr>
            <w:r w:rsidRPr="00A06690">
              <w:rPr>
                <w:rFonts w:eastAsia="Times New Roman" w:cs="Arial"/>
              </w:rPr>
              <w:t xml:space="preserve">This clause is not </w:t>
            </w:r>
            <w:r>
              <w:t xml:space="preserve">sensitive to those cultures where the involvement of women in matters of male customary initiation is taboo. The scope of the women’s involvement needs clarification. </w:t>
            </w:r>
          </w:p>
        </w:tc>
      </w:tr>
      <w:tr w:rsidR="00091DEB" w:rsidTr="00BA14D7">
        <w:tc>
          <w:tcPr>
            <w:tcW w:w="0" w:type="auto"/>
            <w:gridSpan w:val="4"/>
          </w:tcPr>
          <w:p w:rsidR="00091DEB" w:rsidRPr="00091DEB" w:rsidRDefault="00091DEB" w:rsidP="00BA14D7">
            <w:pPr>
              <w:rPr>
                <w:rFonts w:eastAsia="Times New Roman" w:cs="Arial"/>
                <w:b/>
              </w:rPr>
            </w:pPr>
            <w:r>
              <w:rPr>
                <w:rFonts w:eastAsia="Times New Roman" w:cs="Arial"/>
                <w:b/>
              </w:rPr>
              <w:t>Chairperson and deputy chairperson</w:t>
            </w:r>
          </w:p>
        </w:tc>
      </w:tr>
      <w:tr w:rsidR="00515F27" w:rsidTr="003941F0">
        <w:tc>
          <w:tcPr>
            <w:tcW w:w="3268" w:type="dxa"/>
            <w:gridSpan w:val="3"/>
          </w:tcPr>
          <w:p w:rsidR="00091DEB" w:rsidRPr="00703B92" w:rsidRDefault="001F4EE7" w:rsidP="00BA14D7">
            <w:pPr>
              <w:rPr>
                <w:i/>
              </w:rPr>
            </w:pPr>
            <w:r w:rsidRPr="00703B92">
              <w:rPr>
                <w:i/>
              </w:rPr>
              <w:t>Clause 5(1).</w:t>
            </w:r>
          </w:p>
        </w:tc>
        <w:tc>
          <w:tcPr>
            <w:tcW w:w="10124" w:type="dxa"/>
          </w:tcPr>
          <w:p w:rsidR="00091DEB" w:rsidRPr="001F4EE7" w:rsidRDefault="001F4EE7" w:rsidP="001F4EE7">
            <w:r>
              <w:t>The Chairperson contemplated in this clause must be a traditional leader.</w:t>
            </w:r>
          </w:p>
        </w:tc>
      </w:tr>
      <w:tr w:rsidR="001F4EE7" w:rsidTr="00BA14D7">
        <w:tc>
          <w:tcPr>
            <w:tcW w:w="0" w:type="auto"/>
            <w:gridSpan w:val="4"/>
          </w:tcPr>
          <w:p w:rsidR="001F4EE7" w:rsidRPr="001F4EE7" w:rsidRDefault="001F4EE7" w:rsidP="00BA14D7">
            <w:pPr>
              <w:rPr>
                <w:b/>
              </w:rPr>
            </w:pPr>
            <w:r>
              <w:rPr>
                <w:b/>
              </w:rPr>
              <w:t>Disqualifications</w:t>
            </w:r>
          </w:p>
        </w:tc>
      </w:tr>
      <w:tr w:rsidR="001F4EE7" w:rsidTr="00BA14D7">
        <w:tc>
          <w:tcPr>
            <w:tcW w:w="0" w:type="auto"/>
            <w:gridSpan w:val="4"/>
          </w:tcPr>
          <w:p w:rsidR="001F4EE7" w:rsidRDefault="001F4EE7" w:rsidP="001F4EE7">
            <w:pPr>
              <w:rPr>
                <w:b/>
              </w:rPr>
            </w:pPr>
            <w:r>
              <w:t xml:space="preserve">The National House of Traditional Leaders recommends that members of the NIOC should have undergone initiation; otherwise, they should not be eligible to be members of the committee. </w:t>
            </w:r>
          </w:p>
        </w:tc>
      </w:tr>
      <w:tr w:rsidR="003941F0" w:rsidTr="003941F0">
        <w:tc>
          <w:tcPr>
            <w:tcW w:w="3260" w:type="dxa"/>
            <w:gridSpan w:val="2"/>
          </w:tcPr>
          <w:p w:rsidR="003941F0" w:rsidRPr="003941F0" w:rsidRDefault="008D755A" w:rsidP="001F4EE7">
            <w:pPr>
              <w:rPr>
                <w:i/>
              </w:rPr>
            </w:pPr>
            <w:r>
              <w:rPr>
                <w:i/>
              </w:rPr>
              <w:t xml:space="preserve">Clause </w:t>
            </w:r>
            <w:r w:rsidR="003941F0">
              <w:rPr>
                <w:i/>
              </w:rPr>
              <w:t>6(b).</w:t>
            </w:r>
          </w:p>
        </w:tc>
        <w:tc>
          <w:tcPr>
            <w:tcW w:w="10132" w:type="dxa"/>
            <w:gridSpan w:val="2"/>
          </w:tcPr>
          <w:p w:rsidR="003941F0" w:rsidRPr="003941F0" w:rsidRDefault="003941F0" w:rsidP="001F4EE7">
            <w:pPr>
              <w:rPr>
                <w:i/>
              </w:rPr>
            </w:pPr>
            <w:r>
              <w:t xml:space="preserve">This clause appears to contradict </w:t>
            </w:r>
            <w:r>
              <w:rPr>
                <w:i/>
              </w:rPr>
              <w:t>clause 2(4).</w:t>
            </w:r>
          </w:p>
        </w:tc>
      </w:tr>
      <w:tr w:rsidR="001F4EE7" w:rsidTr="00BA14D7">
        <w:tc>
          <w:tcPr>
            <w:tcW w:w="0" w:type="auto"/>
            <w:gridSpan w:val="4"/>
          </w:tcPr>
          <w:p w:rsidR="001F4EE7" w:rsidRPr="001F4EE7" w:rsidRDefault="001F4EE7" w:rsidP="00BA14D7">
            <w:pPr>
              <w:rPr>
                <w:b/>
              </w:rPr>
            </w:pPr>
            <w:r>
              <w:rPr>
                <w:b/>
              </w:rPr>
              <w:t>Meetings and functions</w:t>
            </w:r>
          </w:p>
        </w:tc>
      </w:tr>
      <w:tr w:rsidR="00515F27" w:rsidTr="003941F0">
        <w:tc>
          <w:tcPr>
            <w:tcW w:w="3268" w:type="dxa"/>
            <w:gridSpan w:val="3"/>
          </w:tcPr>
          <w:p w:rsidR="001F4EE7" w:rsidRPr="00703B92" w:rsidRDefault="00BA14D7" w:rsidP="00BA14D7">
            <w:pPr>
              <w:rPr>
                <w:i/>
              </w:rPr>
            </w:pPr>
            <w:r w:rsidRPr="00703B92">
              <w:rPr>
                <w:i/>
              </w:rPr>
              <w:t>Clause</w:t>
            </w:r>
            <w:r w:rsidR="001F4EE7" w:rsidRPr="00703B92">
              <w:rPr>
                <w:i/>
              </w:rPr>
              <w:t xml:space="preserve"> 8.</w:t>
            </w:r>
          </w:p>
        </w:tc>
        <w:tc>
          <w:tcPr>
            <w:tcW w:w="10124" w:type="dxa"/>
          </w:tcPr>
          <w:p w:rsidR="001F4EE7" w:rsidRPr="001F4EE7" w:rsidRDefault="001F4EE7" w:rsidP="001F4EE7">
            <w:r>
              <w:t>The Committee itself should determine the procedural matters pertaining to its meetings.</w:t>
            </w:r>
          </w:p>
        </w:tc>
      </w:tr>
      <w:tr w:rsidR="00014B3C" w:rsidTr="003941F0">
        <w:tc>
          <w:tcPr>
            <w:tcW w:w="3268" w:type="dxa"/>
            <w:gridSpan w:val="3"/>
          </w:tcPr>
          <w:p w:rsidR="00014B3C" w:rsidRPr="00703B92" w:rsidRDefault="00014B3C" w:rsidP="00BA14D7">
            <w:pPr>
              <w:rPr>
                <w:i/>
              </w:rPr>
            </w:pPr>
            <w:r>
              <w:rPr>
                <w:i/>
              </w:rPr>
              <w:t>Clause 8(2) (a).</w:t>
            </w:r>
          </w:p>
        </w:tc>
        <w:tc>
          <w:tcPr>
            <w:tcW w:w="10124" w:type="dxa"/>
          </w:tcPr>
          <w:p w:rsidR="00014B3C" w:rsidRDefault="00014B3C" w:rsidP="001F4EE7">
            <w:r>
              <w:t>It should be possible for meetings of the NIOC to take place anywhere in the country, not just in Pretoria.</w:t>
            </w:r>
          </w:p>
        </w:tc>
      </w:tr>
      <w:tr w:rsidR="00515F27" w:rsidTr="003941F0">
        <w:tc>
          <w:tcPr>
            <w:tcW w:w="3268" w:type="dxa"/>
            <w:gridSpan w:val="3"/>
          </w:tcPr>
          <w:p w:rsidR="001F4EE7" w:rsidRPr="00703B92" w:rsidRDefault="001F4EE7" w:rsidP="00BA14D7">
            <w:pPr>
              <w:rPr>
                <w:i/>
              </w:rPr>
            </w:pPr>
            <w:r w:rsidRPr="00703B92">
              <w:rPr>
                <w:i/>
              </w:rPr>
              <w:t>Clause 9(2).</w:t>
            </w:r>
          </w:p>
        </w:tc>
        <w:tc>
          <w:tcPr>
            <w:tcW w:w="10124" w:type="dxa"/>
          </w:tcPr>
          <w:p w:rsidR="001F4EE7" w:rsidRDefault="001F4EE7" w:rsidP="001F4EE7">
            <w:r>
              <w:t>The clause should provide for biannual reports, and regulations should address the procedural aspects.</w:t>
            </w:r>
          </w:p>
        </w:tc>
      </w:tr>
      <w:tr w:rsidR="00515F27" w:rsidTr="003941F0">
        <w:tc>
          <w:tcPr>
            <w:tcW w:w="3268" w:type="dxa"/>
            <w:gridSpan w:val="3"/>
          </w:tcPr>
          <w:p w:rsidR="001F4EE7" w:rsidRPr="00703B92" w:rsidRDefault="001F4EE7" w:rsidP="001F4EE7">
            <w:pPr>
              <w:rPr>
                <w:i/>
              </w:rPr>
            </w:pPr>
            <w:r w:rsidRPr="00703B92">
              <w:rPr>
                <w:i/>
              </w:rPr>
              <w:lastRenderedPageBreak/>
              <w:t>Clause 9(3).</w:t>
            </w:r>
          </w:p>
        </w:tc>
        <w:tc>
          <w:tcPr>
            <w:tcW w:w="10124" w:type="dxa"/>
          </w:tcPr>
          <w:p w:rsidR="001F4EE7" w:rsidRPr="001F4EE7" w:rsidRDefault="001F4EE7" w:rsidP="001F4EE7">
            <w:pPr>
              <w:rPr>
                <w:b/>
              </w:rPr>
            </w:pPr>
            <w:r>
              <w:t>Regulations should capture the details referred to in this clause.</w:t>
            </w:r>
          </w:p>
        </w:tc>
      </w:tr>
      <w:tr w:rsidR="005C50EC" w:rsidTr="003941F0">
        <w:tc>
          <w:tcPr>
            <w:tcW w:w="3268" w:type="dxa"/>
            <w:gridSpan w:val="3"/>
          </w:tcPr>
          <w:p w:rsidR="00BA14D7" w:rsidRPr="00703B92" w:rsidRDefault="00970989" w:rsidP="001F4EE7">
            <w:pPr>
              <w:rPr>
                <w:i/>
              </w:rPr>
            </w:pPr>
            <w:r w:rsidRPr="00703B92">
              <w:rPr>
                <w:i/>
              </w:rPr>
              <w:t xml:space="preserve">Clause 10. </w:t>
            </w:r>
          </w:p>
        </w:tc>
        <w:tc>
          <w:tcPr>
            <w:tcW w:w="10124" w:type="dxa"/>
          </w:tcPr>
          <w:p w:rsidR="00BA14D7" w:rsidRPr="00BA14D7" w:rsidRDefault="00BA14D7" w:rsidP="00BA14D7">
            <w:pPr>
              <w:rPr>
                <w:b/>
              </w:rPr>
            </w:pPr>
            <w:r>
              <w:t>Regulations should provide for the matters contained in this clause.</w:t>
            </w:r>
          </w:p>
        </w:tc>
      </w:tr>
      <w:tr w:rsidR="00BB3A5C" w:rsidTr="00B7391C">
        <w:tc>
          <w:tcPr>
            <w:tcW w:w="13392" w:type="dxa"/>
            <w:gridSpan w:val="4"/>
          </w:tcPr>
          <w:p w:rsidR="00BB3A5C" w:rsidRPr="00BB3A5C" w:rsidRDefault="00BB3A5C" w:rsidP="00A44A8A">
            <w:pPr>
              <w:pStyle w:val="Heading2"/>
              <w:numPr>
                <w:ilvl w:val="1"/>
                <w:numId w:val="3"/>
              </w:numPr>
              <w:outlineLvl w:val="1"/>
              <w:rPr>
                <w:rFonts w:eastAsiaTheme="minorHAnsi"/>
              </w:rPr>
            </w:pPr>
            <w:bookmarkStart w:id="10" w:name="_Toc524440614"/>
            <w:bookmarkStart w:id="11" w:name="_Toc526324767"/>
            <w:r>
              <w:t>Provincial Initiation Coordination Committees</w:t>
            </w:r>
            <w:bookmarkEnd w:id="10"/>
            <w:bookmarkEnd w:id="11"/>
          </w:p>
        </w:tc>
      </w:tr>
      <w:tr w:rsidR="00BB3A5C" w:rsidTr="00B7391C">
        <w:tc>
          <w:tcPr>
            <w:tcW w:w="13392" w:type="dxa"/>
            <w:gridSpan w:val="4"/>
          </w:tcPr>
          <w:p w:rsidR="00BB3A5C" w:rsidRPr="00BB3A5C" w:rsidRDefault="00BB3A5C" w:rsidP="00BB3A5C">
            <w:pPr>
              <w:tabs>
                <w:tab w:val="left" w:pos="6555"/>
              </w:tabs>
              <w:rPr>
                <w:rFonts w:eastAsia="Times New Roman" w:cs="Arial"/>
                <w:b/>
              </w:rPr>
            </w:pPr>
            <w:r>
              <w:rPr>
                <w:rFonts w:eastAsia="Times New Roman" w:cs="Arial"/>
                <w:b/>
              </w:rPr>
              <w:t>Establishment, composition and term of office</w:t>
            </w:r>
          </w:p>
        </w:tc>
      </w:tr>
      <w:tr w:rsidR="00515F27" w:rsidTr="003941F0">
        <w:tc>
          <w:tcPr>
            <w:tcW w:w="3268" w:type="dxa"/>
            <w:gridSpan w:val="3"/>
          </w:tcPr>
          <w:p w:rsidR="00BB3A5C" w:rsidRPr="00703B92" w:rsidRDefault="00BB3A5C" w:rsidP="00BB3A5C">
            <w:pPr>
              <w:tabs>
                <w:tab w:val="left" w:pos="6555"/>
              </w:tabs>
              <w:rPr>
                <w:rFonts w:eastAsia="Times New Roman" w:cs="Arial"/>
                <w:i/>
              </w:rPr>
            </w:pPr>
            <w:r w:rsidRPr="00703B92">
              <w:rPr>
                <w:rFonts w:eastAsia="Times New Roman" w:cs="Arial"/>
                <w:i/>
              </w:rPr>
              <w:t xml:space="preserve">Clause 11. </w:t>
            </w:r>
          </w:p>
        </w:tc>
        <w:tc>
          <w:tcPr>
            <w:tcW w:w="10124" w:type="dxa"/>
          </w:tcPr>
          <w:p w:rsidR="00CE0993" w:rsidRPr="000C3F65" w:rsidRDefault="00BB3A5C" w:rsidP="00A44A8A">
            <w:pPr>
              <w:pStyle w:val="ListParagraph"/>
              <w:numPr>
                <w:ilvl w:val="0"/>
                <w:numId w:val="7"/>
              </w:numPr>
              <w:tabs>
                <w:tab w:val="left" w:pos="6555"/>
              </w:tabs>
              <w:rPr>
                <w:rFonts w:eastAsia="Times New Roman" w:cs="Arial"/>
                <w:b/>
              </w:rPr>
            </w:pPr>
            <w:r w:rsidRPr="00BB3A5C">
              <w:rPr>
                <w:rFonts w:eastAsia="Times New Roman" w:cs="Arial"/>
              </w:rPr>
              <w:t xml:space="preserve">At least three members of the </w:t>
            </w:r>
            <w:proofErr w:type="spellStart"/>
            <w:r w:rsidRPr="00BB3A5C">
              <w:rPr>
                <w:rFonts w:eastAsia="Times New Roman" w:cs="Arial"/>
              </w:rPr>
              <w:t>Khoi</w:t>
            </w:r>
            <w:proofErr w:type="spellEnd"/>
            <w:r w:rsidRPr="00BB3A5C">
              <w:rPr>
                <w:rFonts w:eastAsia="Times New Roman" w:cs="Arial"/>
              </w:rPr>
              <w:t>-San Council must be members of the PICC in the case of the Western Cape, which neither has recognised traditional leaders nor a Provincial House of Traditional Leaders.</w:t>
            </w:r>
          </w:p>
          <w:p w:rsidR="000C3F65" w:rsidRPr="000C3F65" w:rsidRDefault="000C3F65" w:rsidP="000C3F65">
            <w:pPr>
              <w:pStyle w:val="ListParagraph"/>
              <w:tabs>
                <w:tab w:val="left" w:pos="6555"/>
              </w:tabs>
              <w:rPr>
                <w:rFonts w:eastAsia="Times New Roman" w:cs="Arial"/>
                <w:b/>
              </w:rPr>
            </w:pPr>
          </w:p>
          <w:p w:rsidR="000C3F65" w:rsidRPr="00CE0993" w:rsidRDefault="000C3F65" w:rsidP="00A44A8A">
            <w:pPr>
              <w:pStyle w:val="ListParagraph"/>
              <w:numPr>
                <w:ilvl w:val="0"/>
                <w:numId w:val="7"/>
              </w:numPr>
              <w:tabs>
                <w:tab w:val="left" w:pos="6555"/>
              </w:tabs>
              <w:rPr>
                <w:rFonts w:eastAsia="Times New Roman" w:cs="Arial"/>
                <w:b/>
              </w:rPr>
            </w:pPr>
            <w:r>
              <w:rPr>
                <w:rFonts w:eastAsia="Times New Roman" w:cs="Arial"/>
              </w:rPr>
              <w:t>The Bill must recognise and acknowledge that</w:t>
            </w:r>
            <w:r w:rsidR="00686DD9">
              <w:rPr>
                <w:rFonts w:eastAsia="Times New Roman" w:cs="Arial"/>
              </w:rPr>
              <w:t>, despite the lack of formal recognition,</w:t>
            </w:r>
            <w:r>
              <w:rPr>
                <w:rFonts w:eastAsia="Times New Roman" w:cs="Arial"/>
              </w:rPr>
              <w:t xml:space="preserve"> traditional leaders in the Western Cape play</w:t>
            </w:r>
            <w:r w:rsidR="003B26E0">
              <w:rPr>
                <w:rFonts w:eastAsia="Times New Roman" w:cs="Arial"/>
              </w:rPr>
              <w:t xml:space="preserve"> a vital role</w:t>
            </w:r>
            <w:r w:rsidR="005253F0">
              <w:rPr>
                <w:rFonts w:eastAsia="Times New Roman" w:cs="Arial"/>
              </w:rPr>
              <w:t xml:space="preserve"> in </w:t>
            </w:r>
            <w:r w:rsidR="00F52460">
              <w:rPr>
                <w:rFonts w:eastAsia="Times New Roman" w:cs="Arial"/>
              </w:rPr>
              <w:t>providing guidance and leadership in respect of cultural initiation in the province.</w:t>
            </w:r>
          </w:p>
          <w:p w:rsidR="00CE0993" w:rsidRPr="00CE0993" w:rsidRDefault="00CE0993" w:rsidP="00CE0993">
            <w:pPr>
              <w:pStyle w:val="ListParagraph"/>
              <w:tabs>
                <w:tab w:val="left" w:pos="6555"/>
              </w:tabs>
              <w:rPr>
                <w:rFonts w:eastAsia="Times New Roman" w:cs="Arial"/>
                <w:b/>
              </w:rPr>
            </w:pPr>
          </w:p>
          <w:p w:rsidR="00BB3A5C" w:rsidRPr="00CE0993" w:rsidRDefault="00BB3A5C" w:rsidP="00A44A8A">
            <w:pPr>
              <w:pStyle w:val="ListParagraph"/>
              <w:numPr>
                <w:ilvl w:val="0"/>
                <w:numId w:val="7"/>
              </w:numPr>
              <w:tabs>
                <w:tab w:val="left" w:pos="6555"/>
              </w:tabs>
              <w:rPr>
                <w:rFonts w:eastAsia="Times New Roman" w:cs="Arial"/>
                <w:b/>
              </w:rPr>
            </w:pPr>
            <w:r>
              <w:t xml:space="preserve">Regulations should provide for the exact number of representatives to form part of the Provincial Initiation Coordinating Committees. </w:t>
            </w:r>
          </w:p>
        </w:tc>
      </w:tr>
      <w:tr w:rsidR="005C50EC" w:rsidTr="00B7391C">
        <w:tc>
          <w:tcPr>
            <w:tcW w:w="13392" w:type="dxa"/>
            <w:gridSpan w:val="4"/>
          </w:tcPr>
          <w:p w:rsidR="005C50EC" w:rsidRPr="005C50EC" w:rsidRDefault="005C50EC" w:rsidP="005C50EC">
            <w:pPr>
              <w:tabs>
                <w:tab w:val="left" w:pos="6555"/>
              </w:tabs>
              <w:rPr>
                <w:rFonts w:eastAsia="Times New Roman" w:cs="Arial"/>
                <w:b/>
              </w:rPr>
            </w:pPr>
            <w:r w:rsidRPr="00165560">
              <w:rPr>
                <w:rFonts w:eastAsia="Times New Roman" w:cs="Arial"/>
                <w:b/>
              </w:rPr>
              <w:t>Chairperson and deputy chairperson</w:t>
            </w:r>
          </w:p>
        </w:tc>
      </w:tr>
      <w:tr w:rsidR="002B2428" w:rsidTr="003941F0">
        <w:tc>
          <w:tcPr>
            <w:tcW w:w="3268" w:type="dxa"/>
            <w:gridSpan w:val="3"/>
          </w:tcPr>
          <w:p w:rsidR="005C50EC" w:rsidRPr="00703B92" w:rsidRDefault="005C50EC" w:rsidP="005C50EC">
            <w:pPr>
              <w:rPr>
                <w:i/>
              </w:rPr>
            </w:pPr>
            <w:r w:rsidRPr="00703B92">
              <w:rPr>
                <w:i/>
              </w:rPr>
              <w:t xml:space="preserve">Clause 12(1) (a). </w:t>
            </w:r>
          </w:p>
        </w:tc>
        <w:tc>
          <w:tcPr>
            <w:tcW w:w="10124" w:type="dxa"/>
          </w:tcPr>
          <w:p w:rsidR="005C50EC" w:rsidRPr="005C50EC" w:rsidRDefault="005C50EC" w:rsidP="00BA14D7">
            <w:pPr>
              <w:rPr>
                <w:rFonts w:eastAsia="Times New Roman" w:cs="Arial"/>
                <w:b/>
              </w:rPr>
            </w:pPr>
            <w:r>
              <w:t>The Chairperson contemplated in this clause must be a traditional leader.</w:t>
            </w:r>
          </w:p>
        </w:tc>
      </w:tr>
      <w:tr w:rsidR="005C50EC" w:rsidTr="00B7391C">
        <w:tc>
          <w:tcPr>
            <w:tcW w:w="13392" w:type="dxa"/>
            <w:gridSpan w:val="4"/>
          </w:tcPr>
          <w:p w:rsidR="005C50EC" w:rsidRPr="005C50EC" w:rsidRDefault="005C50EC" w:rsidP="005C50EC">
            <w:pPr>
              <w:rPr>
                <w:rFonts w:eastAsia="Times New Roman" w:cs="Arial"/>
                <w:b/>
              </w:rPr>
            </w:pPr>
            <w:r>
              <w:rPr>
                <w:rFonts w:eastAsia="Times New Roman" w:cs="Arial"/>
                <w:b/>
              </w:rPr>
              <w:t>Meetings</w:t>
            </w:r>
          </w:p>
        </w:tc>
      </w:tr>
      <w:tr w:rsidR="005C50EC" w:rsidTr="003941F0">
        <w:tc>
          <w:tcPr>
            <w:tcW w:w="3252" w:type="dxa"/>
          </w:tcPr>
          <w:p w:rsidR="005C50EC" w:rsidRPr="00703B92" w:rsidRDefault="005C50EC" w:rsidP="005C50EC">
            <w:pPr>
              <w:rPr>
                <w:rFonts w:eastAsia="Times New Roman" w:cs="Arial"/>
                <w:i/>
              </w:rPr>
            </w:pPr>
            <w:r w:rsidRPr="00703B92">
              <w:rPr>
                <w:rFonts w:eastAsia="Times New Roman" w:cs="Arial"/>
                <w:i/>
              </w:rPr>
              <w:t xml:space="preserve">Clause 14. </w:t>
            </w:r>
          </w:p>
        </w:tc>
        <w:tc>
          <w:tcPr>
            <w:tcW w:w="10140" w:type="dxa"/>
            <w:gridSpan w:val="3"/>
          </w:tcPr>
          <w:p w:rsidR="005C50EC" w:rsidRPr="005C50EC" w:rsidRDefault="005C50EC" w:rsidP="00A44A8A">
            <w:pPr>
              <w:pStyle w:val="ListParagraph"/>
              <w:numPr>
                <w:ilvl w:val="0"/>
                <w:numId w:val="8"/>
              </w:numPr>
              <w:rPr>
                <w:rFonts w:eastAsia="Times New Roman" w:cs="Arial"/>
                <w:b/>
              </w:rPr>
            </w:pPr>
            <w:r w:rsidRPr="005C50EC">
              <w:rPr>
                <w:rFonts w:eastAsia="Times New Roman" w:cs="Arial"/>
              </w:rPr>
              <w:t>Regulations should deal with how the Provincial Initiation Coordinating Committees should meet.</w:t>
            </w:r>
          </w:p>
          <w:p w:rsidR="005C50EC" w:rsidRPr="005C50EC" w:rsidRDefault="005C50EC" w:rsidP="005C50EC">
            <w:pPr>
              <w:rPr>
                <w:rFonts w:eastAsia="Times New Roman" w:cs="Arial"/>
                <w:b/>
              </w:rPr>
            </w:pPr>
          </w:p>
          <w:p w:rsidR="005C50EC" w:rsidRPr="00460D0D" w:rsidRDefault="005C50EC" w:rsidP="00A44A8A">
            <w:pPr>
              <w:pStyle w:val="ListParagraph"/>
              <w:numPr>
                <w:ilvl w:val="0"/>
                <w:numId w:val="8"/>
              </w:numPr>
              <w:rPr>
                <w:rFonts w:eastAsia="Times New Roman" w:cs="Arial"/>
                <w:b/>
              </w:rPr>
            </w:pPr>
            <w:r>
              <w:t>The Committee itself should determine the procedural matters pertaining to its meetings.</w:t>
            </w:r>
          </w:p>
        </w:tc>
      </w:tr>
      <w:tr w:rsidR="007B1B9C" w:rsidTr="00B7391C">
        <w:tc>
          <w:tcPr>
            <w:tcW w:w="13392" w:type="dxa"/>
            <w:gridSpan w:val="4"/>
          </w:tcPr>
          <w:p w:rsidR="007B1B9C" w:rsidRPr="007B1B9C" w:rsidRDefault="007B1B9C" w:rsidP="007B1B9C">
            <w:pPr>
              <w:rPr>
                <w:rFonts w:eastAsia="Times New Roman" w:cs="Arial"/>
                <w:b/>
              </w:rPr>
            </w:pPr>
            <w:r>
              <w:rPr>
                <w:rFonts w:eastAsia="Times New Roman" w:cs="Arial"/>
                <w:b/>
              </w:rPr>
              <w:t>Functions</w:t>
            </w:r>
          </w:p>
        </w:tc>
      </w:tr>
      <w:tr w:rsidR="007B1B9C" w:rsidTr="003941F0">
        <w:tc>
          <w:tcPr>
            <w:tcW w:w="3252" w:type="dxa"/>
          </w:tcPr>
          <w:p w:rsidR="007B1B9C" w:rsidRPr="00703B92" w:rsidRDefault="007B1B9C" w:rsidP="007B1B9C">
            <w:pPr>
              <w:rPr>
                <w:rFonts w:eastAsia="Times New Roman" w:cs="Arial"/>
                <w:i/>
              </w:rPr>
            </w:pPr>
            <w:r w:rsidRPr="00703B92">
              <w:rPr>
                <w:rFonts w:eastAsia="Times New Roman" w:cs="Arial"/>
                <w:i/>
              </w:rPr>
              <w:t xml:space="preserve">Clause 15. </w:t>
            </w:r>
          </w:p>
        </w:tc>
        <w:tc>
          <w:tcPr>
            <w:tcW w:w="10140" w:type="dxa"/>
            <w:gridSpan w:val="3"/>
          </w:tcPr>
          <w:p w:rsidR="007B1B9C" w:rsidRPr="007B1B9C" w:rsidRDefault="007B1B9C" w:rsidP="007B1B9C">
            <w:pPr>
              <w:rPr>
                <w:rFonts w:eastAsia="Times New Roman" w:cs="Arial"/>
                <w:b/>
              </w:rPr>
            </w:pPr>
            <w:r w:rsidRPr="007B1B9C">
              <w:rPr>
                <w:rFonts w:eastAsia="Times New Roman" w:cs="Arial"/>
              </w:rPr>
              <w:t xml:space="preserve">District and Local Initiation </w:t>
            </w:r>
            <w:proofErr w:type="spellStart"/>
            <w:r w:rsidRPr="007B1B9C">
              <w:rPr>
                <w:rFonts w:eastAsia="Times New Roman" w:cs="Arial"/>
              </w:rPr>
              <w:t>Fora</w:t>
            </w:r>
            <w:proofErr w:type="spellEnd"/>
            <w:r w:rsidRPr="007B1B9C">
              <w:rPr>
                <w:rFonts w:eastAsia="Times New Roman" w:cs="Arial"/>
              </w:rPr>
              <w:t xml:space="preserve"> should assume the functions contemplated in this clause. </w:t>
            </w:r>
          </w:p>
        </w:tc>
      </w:tr>
      <w:tr w:rsidR="00515F27" w:rsidTr="003941F0">
        <w:tc>
          <w:tcPr>
            <w:tcW w:w="3252" w:type="dxa"/>
          </w:tcPr>
          <w:p w:rsidR="00515F27" w:rsidRPr="00703B92" w:rsidRDefault="00515F27" w:rsidP="007B1B9C">
            <w:pPr>
              <w:rPr>
                <w:rFonts w:eastAsia="Times New Roman" w:cs="Arial"/>
                <w:i/>
              </w:rPr>
            </w:pPr>
            <w:r w:rsidRPr="00703B92">
              <w:rPr>
                <w:rFonts w:eastAsia="Times New Roman" w:cs="Arial"/>
                <w:i/>
              </w:rPr>
              <w:t>Clause 15(1) (e).</w:t>
            </w:r>
          </w:p>
        </w:tc>
        <w:tc>
          <w:tcPr>
            <w:tcW w:w="10140" w:type="dxa"/>
            <w:gridSpan w:val="3"/>
          </w:tcPr>
          <w:p w:rsidR="00515F27" w:rsidRPr="00515F27" w:rsidRDefault="00515F27" w:rsidP="007B1B9C">
            <w:pPr>
              <w:rPr>
                <w:rFonts w:eastAsia="Times New Roman" w:cs="Arial"/>
                <w:i/>
              </w:rPr>
            </w:pPr>
            <w:r w:rsidRPr="00515F27">
              <w:rPr>
                <w:rFonts w:eastAsia="Times New Roman" w:cs="Arial"/>
              </w:rPr>
              <w:t xml:space="preserve">In making a determination on the number of initiation schools to operate within a particular municipal area, the PICC must take care not to interfere with the existing legally registered initiation schools, as this may encourage the spread of illegal initiation schools. </w:t>
            </w:r>
          </w:p>
        </w:tc>
      </w:tr>
      <w:tr w:rsidR="00515F27" w:rsidTr="003941F0">
        <w:tc>
          <w:tcPr>
            <w:tcW w:w="3252" w:type="dxa"/>
          </w:tcPr>
          <w:p w:rsidR="00515F27" w:rsidRPr="00703B92" w:rsidRDefault="00515F27" w:rsidP="00515F27">
            <w:pPr>
              <w:rPr>
                <w:rFonts w:eastAsia="Times New Roman" w:cs="Arial"/>
                <w:i/>
              </w:rPr>
            </w:pPr>
            <w:r w:rsidRPr="00703B92">
              <w:rPr>
                <w:rFonts w:eastAsia="Times New Roman" w:cs="Arial"/>
                <w:i/>
              </w:rPr>
              <w:t>Clause 15(1) (</w:t>
            </w:r>
            <w:proofErr w:type="spellStart"/>
            <w:r w:rsidRPr="00703B92">
              <w:rPr>
                <w:rFonts w:eastAsia="Times New Roman" w:cs="Arial"/>
                <w:i/>
              </w:rPr>
              <w:t>i</w:t>
            </w:r>
            <w:proofErr w:type="spellEnd"/>
            <w:r w:rsidRPr="00703B92">
              <w:rPr>
                <w:rFonts w:eastAsia="Times New Roman" w:cs="Arial"/>
                <w:i/>
              </w:rPr>
              <w:t>) (iii).</w:t>
            </w:r>
          </w:p>
          <w:p w:rsidR="00515F27" w:rsidRPr="00703B92" w:rsidRDefault="00515F27" w:rsidP="007B1B9C">
            <w:pPr>
              <w:rPr>
                <w:rFonts w:eastAsia="Times New Roman" w:cs="Arial"/>
                <w:i/>
              </w:rPr>
            </w:pPr>
          </w:p>
        </w:tc>
        <w:tc>
          <w:tcPr>
            <w:tcW w:w="10140" w:type="dxa"/>
            <w:gridSpan w:val="3"/>
          </w:tcPr>
          <w:p w:rsidR="00515F27" w:rsidRPr="00515F27" w:rsidRDefault="00515F27" w:rsidP="007B1B9C">
            <w:pPr>
              <w:rPr>
                <w:rFonts w:eastAsia="Times New Roman" w:cs="Arial"/>
                <w:i/>
              </w:rPr>
            </w:pPr>
            <w:r w:rsidRPr="00515F27">
              <w:rPr>
                <w:rFonts w:eastAsia="Times New Roman" w:cs="Arial"/>
              </w:rPr>
              <w:t>The principal of an initiation school should be under no obligation to provide any further details on the activities deemed sacred and secret.</w:t>
            </w:r>
          </w:p>
        </w:tc>
      </w:tr>
      <w:tr w:rsidR="00515F27" w:rsidTr="003941F0">
        <w:tc>
          <w:tcPr>
            <w:tcW w:w="3252" w:type="dxa"/>
          </w:tcPr>
          <w:p w:rsidR="00515F27" w:rsidRPr="00703B92" w:rsidRDefault="00515F27" w:rsidP="00515F27">
            <w:pPr>
              <w:rPr>
                <w:rFonts w:eastAsia="Times New Roman" w:cs="Arial"/>
                <w:i/>
              </w:rPr>
            </w:pPr>
            <w:r w:rsidRPr="00703B92">
              <w:rPr>
                <w:rFonts w:eastAsia="Times New Roman" w:cs="Arial"/>
                <w:i/>
              </w:rPr>
              <w:lastRenderedPageBreak/>
              <w:t>Clause 15(1) (m).</w:t>
            </w:r>
          </w:p>
        </w:tc>
        <w:tc>
          <w:tcPr>
            <w:tcW w:w="10140" w:type="dxa"/>
            <w:gridSpan w:val="3"/>
          </w:tcPr>
          <w:p w:rsidR="00515F27" w:rsidRPr="00515F27" w:rsidRDefault="00515F27" w:rsidP="00515F27">
            <w:pPr>
              <w:rPr>
                <w:rFonts w:eastAsia="Times New Roman" w:cs="Arial"/>
                <w:i/>
              </w:rPr>
            </w:pPr>
            <w:r w:rsidRPr="00515F27">
              <w:rPr>
                <w:rFonts w:eastAsia="Times New Roman" w:cs="Arial"/>
              </w:rPr>
              <w:t xml:space="preserve">This clause should entrust the responsibility to monitor and evaluate the general functioning of initiation schools, during the initiation period, only to those PICC members who have undergone initiation. </w:t>
            </w:r>
          </w:p>
        </w:tc>
      </w:tr>
      <w:tr w:rsidR="00515F27" w:rsidTr="003941F0">
        <w:tc>
          <w:tcPr>
            <w:tcW w:w="3252" w:type="dxa"/>
          </w:tcPr>
          <w:p w:rsidR="00515F27" w:rsidRPr="00703B92" w:rsidRDefault="00515F27" w:rsidP="00515F27">
            <w:pPr>
              <w:rPr>
                <w:i/>
              </w:rPr>
            </w:pPr>
            <w:r w:rsidRPr="00703B92">
              <w:rPr>
                <w:i/>
              </w:rPr>
              <w:t>Clause 15 (2)</w:t>
            </w:r>
          </w:p>
        </w:tc>
        <w:tc>
          <w:tcPr>
            <w:tcW w:w="10140" w:type="dxa"/>
            <w:gridSpan w:val="3"/>
          </w:tcPr>
          <w:p w:rsidR="00515F27" w:rsidRPr="00515F27" w:rsidRDefault="00515F27" w:rsidP="00515F27">
            <w:pPr>
              <w:tabs>
                <w:tab w:val="left" w:pos="1048"/>
              </w:tabs>
            </w:pPr>
            <w:r>
              <w:t>Regulations should deal with the provisions of this clause</w:t>
            </w:r>
          </w:p>
        </w:tc>
      </w:tr>
      <w:tr w:rsidR="00515F27" w:rsidTr="003941F0">
        <w:tc>
          <w:tcPr>
            <w:tcW w:w="3252" w:type="dxa"/>
          </w:tcPr>
          <w:p w:rsidR="00515F27" w:rsidRPr="00703B92" w:rsidRDefault="00515F27" w:rsidP="00515F27">
            <w:pPr>
              <w:rPr>
                <w:rFonts w:eastAsia="Times New Roman" w:cs="Arial"/>
                <w:i/>
              </w:rPr>
            </w:pPr>
            <w:r w:rsidRPr="00703B92">
              <w:rPr>
                <w:rFonts w:eastAsia="Times New Roman" w:cs="Arial"/>
                <w:i/>
              </w:rPr>
              <w:t xml:space="preserve">Clause 15(2) (k). </w:t>
            </w:r>
          </w:p>
        </w:tc>
        <w:tc>
          <w:tcPr>
            <w:tcW w:w="10140" w:type="dxa"/>
            <w:gridSpan w:val="3"/>
          </w:tcPr>
          <w:p w:rsidR="00515F27" w:rsidRPr="00BD0814" w:rsidRDefault="00515F27" w:rsidP="00BD0814">
            <w:pPr>
              <w:pStyle w:val="ListParagraph"/>
              <w:numPr>
                <w:ilvl w:val="0"/>
                <w:numId w:val="16"/>
              </w:numPr>
              <w:rPr>
                <w:rFonts w:eastAsia="Times New Roman" w:cs="Arial"/>
                <w:b/>
              </w:rPr>
            </w:pPr>
            <w:r w:rsidRPr="00BD0814">
              <w:rPr>
                <w:rFonts w:eastAsia="Times New Roman" w:cs="Arial"/>
              </w:rPr>
              <w:t>This clause should also consider information relating to details about initiates taken to hospitals.</w:t>
            </w:r>
          </w:p>
          <w:p w:rsidR="00BD0814" w:rsidRPr="00BD0814" w:rsidRDefault="00BD0814" w:rsidP="00BD0814">
            <w:pPr>
              <w:pStyle w:val="ListParagraph"/>
              <w:rPr>
                <w:rFonts w:eastAsia="Times New Roman" w:cs="Arial"/>
                <w:b/>
              </w:rPr>
            </w:pPr>
          </w:p>
          <w:p w:rsidR="00BD0814" w:rsidRPr="00BD0814" w:rsidRDefault="00BD0814" w:rsidP="008E2BA5">
            <w:pPr>
              <w:pStyle w:val="ListParagraph"/>
              <w:numPr>
                <w:ilvl w:val="0"/>
                <w:numId w:val="16"/>
              </w:numPr>
              <w:rPr>
                <w:rFonts w:eastAsia="Times New Roman" w:cs="Arial"/>
                <w:b/>
              </w:rPr>
            </w:pPr>
            <w:r>
              <w:rPr>
                <w:rFonts w:eastAsia="Times New Roman" w:cs="Arial"/>
              </w:rPr>
              <w:t>To a novice, this clause can also convey the impression that the purpose of initiation is to kill initiates. Therefore</w:t>
            </w:r>
            <w:r w:rsidR="00345F33">
              <w:rPr>
                <w:rFonts w:eastAsia="Times New Roman" w:cs="Arial"/>
              </w:rPr>
              <w:t>,</w:t>
            </w:r>
            <w:r>
              <w:rPr>
                <w:rFonts w:eastAsia="Times New Roman" w:cs="Arial"/>
              </w:rPr>
              <w:t xml:space="preserve"> rephrase it to read as follows: ‘information relating to the nat</w:t>
            </w:r>
            <w:r w:rsidR="008E2BA5">
              <w:rPr>
                <w:rFonts w:eastAsia="Times New Roman" w:cs="Arial"/>
              </w:rPr>
              <w:t xml:space="preserve">ure and </w:t>
            </w:r>
            <w:r w:rsidR="00FE2FB0">
              <w:rPr>
                <w:rFonts w:eastAsia="Times New Roman" w:cs="Arial"/>
              </w:rPr>
              <w:t>cause</w:t>
            </w:r>
            <w:r w:rsidR="008E2BA5">
              <w:rPr>
                <w:rFonts w:eastAsia="Times New Roman" w:cs="Arial"/>
              </w:rPr>
              <w:t xml:space="preserve"> of any unfortunate </w:t>
            </w:r>
            <w:r w:rsidR="00AC243C">
              <w:rPr>
                <w:rFonts w:eastAsia="Times New Roman" w:cs="Arial"/>
              </w:rPr>
              <w:t>loss of life of an initiate.’</w:t>
            </w:r>
            <w:r w:rsidR="00FE2FB0">
              <w:rPr>
                <w:rFonts w:eastAsia="Times New Roman" w:cs="Arial"/>
              </w:rPr>
              <w:t xml:space="preserve"> </w:t>
            </w:r>
            <w:r>
              <w:rPr>
                <w:rFonts w:eastAsia="Times New Roman" w:cs="Arial"/>
              </w:rPr>
              <w:t xml:space="preserve"> </w:t>
            </w:r>
          </w:p>
        </w:tc>
      </w:tr>
      <w:tr w:rsidR="00515F27" w:rsidTr="003941F0">
        <w:tc>
          <w:tcPr>
            <w:tcW w:w="3252" w:type="dxa"/>
          </w:tcPr>
          <w:p w:rsidR="00515F27" w:rsidRPr="00703B92" w:rsidRDefault="00515F27" w:rsidP="00515F27">
            <w:pPr>
              <w:rPr>
                <w:rFonts w:eastAsia="Times New Roman" w:cs="Arial"/>
                <w:i/>
              </w:rPr>
            </w:pPr>
            <w:r w:rsidRPr="00703B92">
              <w:rPr>
                <w:rFonts w:eastAsia="Times New Roman" w:cs="Arial"/>
                <w:i/>
              </w:rPr>
              <w:t xml:space="preserve">Clause 15(7) (a). </w:t>
            </w:r>
          </w:p>
        </w:tc>
        <w:tc>
          <w:tcPr>
            <w:tcW w:w="10140" w:type="dxa"/>
            <w:gridSpan w:val="3"/>
          </w:tcPr>
          <w:p w:rsidR="00515F27" w:rsidRPr="00515F27" w:rsidRDefault="00515F27" w:rsidP="00515F27">
            <w:pPr>
              <w:rPr>
                <w:rFonts w:eastAsia="Times New Roman" w:cs="Arial"/>
                <w:b/>
              </w:rPr>
            </w:pPr>
            <w:r w:rsidRPr="00515F27">
              <w:rPr>
                <w:rFonts w:eastAsia="Times New Roman" w:cs="Arial"/>
              </w:rPr>
              <w:t xml:space="preserve">This clause should emphasize that the initiation school that receives initiates from a closed school must as far as possible conform to the culture of the transferred initiates. </w:t>
            </w:r>
          </w:p>
        </w:tc>
      </w:tr>
      <w:tr w:rsidR="002B2428" w:rsidTr="003941F0">
        <w:tc>
          <w:tcPr>
            <w:tcW w:w="3252" w:type="dxa"/>
          </w:tcPr>
          <w:p w:rsidR="002B2428" w:rsidRPr="00703B92" w:rsidRDefault="002B2428" w:rsidP="00B7391C">
            <w:pPr>
              <w:rPr>
                <w:i/>
              </w:rPr>
            </w:pPr>
            <w:r w:rsidRPr="00703B92">
              <w:rPr>
                <w:i/>
              </w:rPr>
              <w:t>Clause 15(10) (a)</w:t>
            </w:r>
            <w:r w:rsidR="008C60D7" w:rsidRPr="00703B92">
              <w:rPr>
                <w:i/>
              </w:rPr>
              <w:t>.</w:t>
            </w:r>
          </w:p>
          <w:p w:rsidR="002B2428" w:rsidRPr="00703B92" w:rsidRDefault="002B2428" w:rsidP="00B7391C">
            <w:pPr>
              <w:rPr>
                <w:i/>
              </w:rPr>
            </w:pPr>
          </w:p>
        </w:tc>
        <w:tc>
          <w:tcPr>
            <w:tcW w:w="10140" w:type="dxa"/>
            <w:gridSpan w:val="3"/>
          </w:tcPr>
          <w:p w:rsidR="002B2428" w:rsidRPr="00970989" w:rsidRDefault="002B2428" w:rsidP="00B7391C">
            <w:pPr>
              <w:rPr>
                <w:i/>
              </w:rPr>
            </w:pPr>
            <w:r>
              <w:t xml:space="preserve">This clause should make it clear that the PICC should report to the South African Police Service any criminal conduct revealed in the process of investigating any alleged abuse of initiates. </w:t>
            </w:r>
          </w:p>
        </w:tc>
      </w:tr>
      <w:tr w:rsidR="002B2428" w:rsidTr="00B7391C">
        <w:tc>
          <w:tcPr>
            <w:tcW w:w="13392" w:type="dxa"/>
            <w:gridSpan w:val="4"/>
          </w:tcPr>
          <w:p w:rsidR="002B2428" w:rsidRPr="00B90413" w:rsidRDefault="002B2428" w:rsidP="002B2428">
            <w:pPr>
              <w:rPr>
                <w:rFonts w:eastAsia="Times New Roman" w:cs="Arial"/>
                <w:b/>
              </w:rPr>
            </w:pPr>
            <w:r w:rsidRPr="00B90413">
              <w:rPr>
                <w:rFonts w:eastAsia="Times New Roman" w:cs="Arial"/>
                <w:b/>
              </w:rPr>
              <w:t>Technical support teams</w:t>
            </w:r>
          </w:p>
          <w:p w:rsidR="002B2428" w:rsidRDefault="002B2428" w:rsidP="00B7391C"/>
        </w:tc>
      </w:tr>
    </w:tbl>
    <w:tbl>
      <w:tblPr>
        <w:tblStyle w:val="TableGrid"/>
        <w:tblpPr w:leftFromText="180" w:rightFromText="180" w:vertAnchor="text" w:tblpY="3"/>
        <w:tblW w:w="0" w:type="auto"/>
        <w:tblLook w:val="04A0"/>
      </w:tblPr>
      <w:tblGrid>
        <w:gridCol w:w="2292"/>
        <w:gridCol w:w="12"/>
        <w:gridCol w:w="23"/>
        <w:gridCol w:w="12"/>
        <w:gridCol w:w="34"/>
        <w:gridCol w:w="12"/>
        <w:gridCol w:w="69"/>
        <w:gridCol w:w="31"/>
        <w:gridCol w:w="10907"/>
      </w:tblGrid>
      <w:tr w:rsidR="002B2428" w:rsidTr="002B2428">
        <w:tc>
          <w:tcPr>
            <w:tcW w:w="2485" w:type="dxa"/>
            <w:gridSpan w:val="8"/>
          </w:tcPr>
          <w:p w:rsidR="002B2428" w:rsidRPr="00703B92" w:rsidRDefault="002B2428" w:rsidP="002B2428">
            <w:pPr>
              <w:rPr>
                <w:i/>
              </w:rPr>
            </w:pPr>
            <w:r w:rsidRPr="00703B92">
              <w:rPr>
                <w:i/>
              </w:rPr>
              <w:t>Clause 16</w:t>
            </w:r>
            <w:r w:rsidR="00BC4CC2" w:rsidRPr="00703B92">
              <w:rPr>
                <w:i/>
              </w:rPr>
              <w:t>.</w:t>
            </w:r>
          </w:p>
        </w:tc>
        <w:tc>
          <w:tcPr>
            <w:tcW w:w="10907" w:type="dxa"/>
          </w:tcPr>
          <w:p w:rsidR="002B2428" w:rsidRPr="002B2428" w:rsidRDefault="002B2428" w:rsidP="00A44A8A">
            <w:pPr>
              <w:pStyle w:val="ListParagraph"/>
              <w:numPr>
                <w:ilvl w:val="0"/>
                <w:numId w:val="9"/>
              </w:numPr>
              <w:rPr>
                <w:b/>
                <w:i/>
              </w:rPr>
            </w:pPr>
            <w:r>
              <w:t>Regulations should address the composition of the technical support teams.</w:t>
            </w:r>
          </w:p>
          <w:p w:rsidR="002B2428" w:rsidRPr="002B2428" w:rsidRDefault="002B2428" w:rsidP="002B2428">
            <w:pPr>
              <w:ind w:left="360"/>
              <w:rPr>
                <w:b/>
                <w:i/>
              </w:rPr>
            </w:pPr>
          </w:p>
          <w:p w:rsidR="002B2428" w:rsidRPr="002B2428" w:rsidRDefault="002B2428" w:rsidP="00A44A8A">
            <w:pPr>
              <w:pStyle w:val="ListParagraph"/>
              <w:numPr>
                <w:ilvl w:val="0"/>
                <w:numId w:val="9"/>
              </w:numPr>
              <w:rPr>
                <w:rFonts w:eastAsia="Times New Roman" w:cs="Arial"/>
                <w:b/>
              </w:rPr>
            </w:pPr>
            <w:r>
              <w:rPr>
                <w:rFonts w:eastAsia="Times New Roman" w:cs="Arial"/>
              </w:rPr>
              <w:t>Local Houses of Traditional Leaders should form part of the Technical Support Teams contemplated in this clause.</w:t>
            </w:r>
          </w:p>
        </w:tc>
      </w:tr>
      <w:tr w:rsidR="002B2428" w:rsidTr="002B2428">
        <w:tc>
          <w:tcPr>
            <w:tcW w:w="2485" w:type="dxa"/>
            <w:gridSpan w:val="8"/>
          </w:tcPr>
          <w:p w:rsidR="002B2428" w:rsidRPr="00703B92" w:rsidRDefault="002B2428" w:rsidP="002B2428">
            <w:pPr>
              <w:rPr>
                <w:rFonts w:eastAsia="Times New Roman" w:cs="Arial"/>
                <w:i/>
              </w:rPr>
            </w:pPr>
            <w:r w:rsidRPr="00703B92">
              <w:rPr>
                <w:rFonts w:eastAsia="Times New Roman" w:cs="Arial"/>
                <w:i/>
              </w:rPr>
              <w:t xml:space="preserve">Clause 16(1) (b). </w:t>
            </w:r>
          </w:p>
        </w:tc>
        <w:tc>
          <w:tcPr>
            <w:tcW w:w="10907" w:type="dxa"/>
          </w:tcPr>
          <w:p w:rsidR="002B2428" w:rsidRPr="002B2428" w:rsidRDefault="002B2428" w:rsidP="002B2428">
            <w:pPr>
              <w:rPr>
                <w:rFonts w:eastAsia="Times New Roman" w:cs="Arial"/>
                <w:b/>
              </w:rPr>
            </w:pPr>
            <w:r w:rsidRPr="002B2428">
              <w:rPr>
                <w:rFonts w:eastAsia="Times New Roman" w:cs="Arial"/>
              </w:rPr>
              <w:t>This clause should consider the inclusion of the Depa</w:t>
            </w:r>
            <w:r>
              <w:rPr>
                <w:rFonts w:eastAsia="Times New Roman" w:cs="Arial"/>
              </w:rPr>
              <w:t>rtment of Water and Sanitation.</w:t>
            </w:r>
          </w:p>
        </w:tc>
      </w:tr>
      <w:tr w:rsidR="002B2428" w:rsidTr="00B7391C">
        <w:tc>
          <w:tcPr>
            <w:tcW w:w="13392" w:type="dxa"/>
            <w:gridSpan w:val="9"/>
          </w:tcPr>
          <w:p w:rsidR="002B2428" w:rsidRPr="002B2428" w:rsidRDefault="002B2428" w:rsidP="002B2428">
            <w:pPr>
              <w:rPr>
                <w:rFonts w:eastAsia="Times New Roman" w:cs="Arial"/>
                <w:b/>
              </w:rPr>
            </w:pPr>
            <w:r w:rsidRPr="00AA39EB">
              <w:rPr>
                <w:rFonts w:eastAsia="Times New Roman" w:cs="Arial"/>
                <w:b/>
              </w:rPr>
              <w:t>Admin</w:t>
            </w:r>
            <w:r>
              <w:rPr>
                <w:rFonts w:eastAsia="Times New Roman" w:cs="Arial"/>
                <w:b/>
              </w:rPr>
              <w:t>istrative and financial support</w:t>
            </w:r>
          </w:p>
        </w:tc>
      </w:tr>
      <w:tr w:rsidR="002B2428" w:rsidTr="002B2428">
        <w:tc>
          <w:tcPr>
            <w:tcW w:w="2454" w:type="dxa"/>
            <w:gridSpan w:val="7"/>
          </w:tcPr>
          <w:p w:rsidR="002B2428" w:rsidRPr="00703B92" w:rsidRDefault="002B2428" w:rsidP="002B2428">
            <w:pPr>
              <w:rPr>
                <w:rFonts w:eastAsia="Times New Roman" w:cs="Arial"/>
                <w:i/>
              </w:rPr>
            </w:pPr>
            <w:r w:rsidRPr="00703B92">
              <w:rPr>
                <w:rFonts w:eastAsia="Times New Roman" w:cs="Arial"/>
                <w:i/>
              </w:rPr>
              <w:t xml:space="preserve">Clause 17. </w:t>
            </w:r>
          </w:p>
        </w:tc>
        <w:tc>
          <w:tcPr>
            <w:tcW w:w="10938" w:type="dxa"/>
            <w:gridSpan w:val="2"/>
          </w:tcPr>
          <w:p w:rsidR="002B2428" w:rsidRPr="00AA39EB" w:rsidRDefault="002B2428" w:rsidP="002B2428">
            <w:pPr>
              <w:rPr>
                <w:rFonts w:eastAsia="Times New Roman" w:cs="Arial"/>
                <w:b/>
              </w:rPr>
            </w:pPr>
            <w:r w:rsidRPr="002B2428">
              <w:rPr>
                <w:rFonts w:eastAsia="Times New Roman" w:cs="Arial"/>
              </w:rPr>
              <w:t>This clause should consider the establishment of a dedicated Initiation Support Unit in every Provincial House of Traditional Leaders.</w:t>
            </w:r>
          </w:p>
        </w:tc>
      </w:tr>
      <w:tr w:rsidR="006C3050" w:rsidTr="00B7391C">
        <w:tc>
          <w:tcPr>
            <w:tcW w:w="13392" w:type="dxa"/>
            <w:gridSpan w:val="9"/>
          </w:tcPr>
          <w:p w:rsidR="006C3050" w:rsidRPr="006C3050" w:rsidRDefault="006C3050" w:rsidP="00A44A8A">
            <w:pPr>
              <w:pStyle w:val="Heading1"/>
              <w:numPr>
                <w:ilvl w:val="0"/>
                <w:numId w:val="3"/>
              </w:numPr>
              <w:outlineLvl w:val="0"/>
            </w:pPr>
            <w:bookmarkStart w:id="12" w:name="_Toc524440615"/>
            <w:bookmarkStart w:id="13" w:name="_Toc526324768"/>
            <w:r w:rsidRPr="00C80C76">
              <w:t>Chapter 3: Role-Players</w:t>
            </w:r>
            <w:bookmarkEnd w:id="12"/>
            <w:bookmarkEnd w:id="13"/>
          </w:p>
        </w:tc>
      </w:tr>
      <w:tr w:rsidR="006C3050" w:rsidTr="00B7391C">
        <w:tc>
          <w:tcPr>
            <w:tcW w:w="13392" w:type="dxa"/>
            <w:gridSpan w:val="9"/>
          </w:tcPr>
          <w:p w:rsidR="006C3050" w:rsidRPr="00C80C76" w:rsidRDefault="006C3050" w:rsidP="006C3050">
            <w:r>
              <w:t>The initiation role-players described in this Chapter do not include the District Initiations Forums, Local Initiation Forums, and Initiation Working Committees that already exist in some areas.</w:t>
            </w:r>
          </w:p>
        </w:tc>
      </w:tr>
      <w:tr w:rsidR="006C3050" w:rsidTr="00B7391C">
        <w:tc>
          <w:tcPr>
            <w:tcW w:w="13392" w:type="dxa"/>
            <w:gridSpan w:val="9"/>
          </w:tcPr>
          <w:p w:rsidR="006C3050" w:rsidRDefault="006C3050" w:rsidP="00A44A8A">
            <w:pPr>
              <w:pStyle w:val="Heading2"/>
              <w:numPr>
                <w:ilvl w:val="1"/>
                <w:numId w:val="3"/>
              </w:numPr>
              <w:outlineLvl w:val="1"/>
            </w:pPr>
            <w:bookmarkStart w:id="14" w:name="_Toc526324769"/>
            <w:r w:rsidRPr="00DB6010">
              <w:t>Government</w:t>
            </w:r>
            <w:bookmarkEnd w:id="14"/>
            <w:r w:rsidRPr="00DB6010">
              <w:t xml:space="preserve"> </w:t>
            </w:r>
          </w:p>
        </w:tc>
      </w:tr>
      <w:tr w:rsidR="006C3050" w:rsidTr="006C3050">
        <w:tc>
          <w:tcPr>
            <w:tcW w:w="2373" w:type="dxa"/>
            <w:gridSpan w:val="5"/>
          </w:tcPr>
          <w:p w:rsidR="006C3050" w:rsidRPr="00703B92" w:rsidRDefault="006C3050" w:rsidP="006C3050">
            <w:pPr>
              <w:rPr>
                <w:i/>
              </w:rPr>
            </w:pPr>
            <w:r w:rsidRPr="00703B92">
              <w:rPr>
                <w:i/>
              </w:rPr>
              <w:t xml:space="preserve">Clause 18(2) (a). </w:t>
            </w:r>
          </w:p>
        </w:tc>
        <w:tc>
          <w:tcPr>
            <w:tcW w:w="11019" w:type="dxa"/>
            <w:gridSpan w:val="4"/>
          </w:tcPr>
          <w:p w:rsidR="006C3050" w:rsidRPr="00DB6010" w:rsidRDefault="006C3050" w:rsidP="006C3050">
            <w:r>
              <w:t xml:space="preserve">The Bill should make it explicit that this clause will apply in instances where there is no recognised traditional </w:t>
            </w:r>
            <w:r>
              <w:lastRenderedPageBreak/>
              <w:t xml:space="preserve">leader, who is the custodian of land in that particular jurisdiction. </w:t>
            </w:r>
          </w:p>
        </w:tc>
      </w:tr>
      <w:tr w:rsidR="00703B92" w:rsidTr="006C3050">
        <w:tc>
          <w:tcPr>
            <w:tcW w:w="2373" w:type="dxa"/>
            <w:gridSpan w:val="5"/>
          </w:tcPr>
          <w:p w:rsidR="00703B92" w:rsidRPr="00703B92" w:rsidRDefault="00703B92" w:rsidP="00703B92">
            <w:pPr>
              <w:rPr>
                <w:i/>
              </w:rPr>
            </w:pPr>
            <w:r w:rsidRPr="00703B92">
              <w:rPr>
                <w:i/>
              </w:rPr>
              <w:lastRenderedPageBreak/>
              <w:t xml:space="preserve">Clause 18(3) (a). </w:t>
            </w:r>
          </w:p>
        </w:tc>
        <w:tc>
          <w:tcPr>
            <w:tcW w:w="11019" w:type="dxa"/>
            <w:gridSpan w:val="4"/>
          </w:tcPr>
          <w:p w:rsidR="00703B92" w:rsidRDefault="00703B92" w:rsidP="00A44A8A">
            <w:pPr>
              <w:pStyle w:val="ListParagraph"/>
              <w:numPr>
                <w:ilvl w:val="0"/>
                <w:numId w:val="10"/>
              </w:numPr>
            </w:pPr>
            <w:r>
              <w:t xml:space="preserve">The PICC – not the Minster - should make a determination on the payment of initiation-related fees, in consultation with the relevant communities and structures. </w:t>
            </w:r>
          </w:p>
          <w:p w:rsidR="00703B92" w:rsidRDefault="00703B92" w:rsidP="00703B92">
            <w:pPr>
              <w:pStyle w:val="ListParagraph"/>
            </w:pPr>
          </w:p>
          <w:p w:rsidR="00703B92" w:rsidRDefault="00703B92" w:rsidP="00A44A8A">
            <w:pPr>
              <w:pStyle w:val="ListParagraph"/>
              <w:numPr>
                <w:ilvl w:val="0"/>
                <w:numId w:val="10"/>
              </w:numPr>
            </w:pPr>
            <w:r>
              <w:t xml:space="preserve">The determination of exact fees should depend on provincial or cultural peculiarities, and not be a ‘one size fits all.’ </w:t>
            </w:r>
          </w:p>
          <w:p w:rsidR="00703B92" w:rsidRDefault="00703B92" w:rsidP="00703B92">
            <w:pPr>
              <w:pStyle w:val="ListParagraph"/>
            </w:pPr>
          </w:p>
          <w:p w:rsidR="00703B92" w:rsidRDefault="00703B92" w:rsidP="00A44A8A">
            <w:pPr>
              <w:pStyle w:val="ListParagraph"/>
              <w:numPr>
                <w:ilvl w:val="0"/>
                <w:numId w:val="10"/>
              </w:numPr>
            </w:pPr>
            <w:r>
              <w:t>Government should also contribute to the funding of Customary Initiation in the same way it is contributing to Medical Male Circumcision.</w:t>
            </w:r>
          </w:p>
        </w:tc>
      </w:tr>
      <w:tr w:rsidR="00084485" w:rsidTr="003D2DF0">
        <w:tc>
          <w:tcPr>
            <w:tcW w:w="13392" w:type="dxa"/>
            <w:gridSpan w:val="9"/>
          </w:tcPr>
          <w:p w:rsidR="00084485" w:rsidRDefault="00084485" w:rsidP="00084485">
            <w:pPr>
              <w:pStyle w:val="Heading2"/>
              <w:numPr>
                <w:ilvl w:val="1"/>
                <w:numId w:val="3"/>
              </w:numPr>
              <w:outlineLvl w:val="1"/>
            </w:pPr>
            <w:r>
              <w:t>Traditional leaders</w:t>
            </w:r>
          </w:p>
        </w:tc>
      </w:tr>
      <w:tr w:rsidR="00084485" w:rsidTr="00DB58C3">
        <w:tc>
          <w:tcPr>
            <w:tcW w:w="2373" w:type="dxa"/>
            <w:gridSpan w:val="5"/>
          </w:tcPr>
          <w:p w:rsidR="00084485" w:rsidRPr="00084485" w:rsidRDefault="00084485" w:rsidP="00084485">
            <w:pPr>
              <w:rPr>
                <w:i/>
              </w:rPr>
            </w:pPr>
            <w:r>
              <w:rPr>
                <w:i/>
              </w:rPr>
              <w:t>Clause 20(3)(d)</w:t>
            </w:r>
          </w:p>
        </w:tc>
        <w:tc>
          <w:tcPr>
            <w:tcW w:w="11019" w:type="dxa"/>
            <w:gridSpan w:val="4"/>
          </w:tcPr>
          <w:p w:rsidR="00084485" w:rsidRDefault="00C4327B" w:rsidP="009F6FF5">
            <w:r>
              <w:t>Where there are no</w:t>
            </w:r>
            <w:r w:rsidR="00292A4C">
              <w:t xml:space="preserve"> formally</w:t>
            </w:r>
            <w:r>
              <w:t xml:space="preserve"> recognised traditional leaders, as in the Western Cape, the Bill should accommodate</w:t>
            </w:r>
            <w:r w:rsidR="00292A4C">
              <w:t xml:space="preserve"> </w:t>
            </w:r>
            <w:r w:rsidR="005E2F23">
              <w:t xml:space="preserve">traditional leaders </w:t>
            </w:r>
            <w:r w:rsidR="004909D9">
              <w:t>whom their initiation-practicing com</w:t>
            </w:r>
            <w:r w:rsidR="007C6026">
              <w:t xml:space="preserve">munities recognise, or elders who have a demonstrable </w:t>
            </w:r>
            <w:r w:rsidR="009F6FF5">
              <w:t xml:space="preserve">record of accomplishment </w:t>
            </w:r>
            <w:r w:rsidR="007C6026">
              <w:t>in initiation</w:t>
            </w:r>
            <w:r w:rsidR="00075FD2">
              <w:t xml:space="preserve"> related</w:t>
            </w:r>
            <w:r w:rsidR="007C6026">
              <w:t xml:space="preserve"> pra</w:t>
            </w:r>
            <w:r w:rsidR="00634B49">
              <w:t xml:space="preserve">ctices. Alternatively, </w:t>
            </w:r>
            <w:r w:rsidR="007A61BB">
              <w:t xml:space="preserve">appoint a credible organisation to perform the responsibilities stipulated in this section. </w:t>
            </w:r>
          </w:p>
        </w:tc>
      </w:tr>
      <w:tr w:rsidR="00C36E84" w:rsidTr="00372E2B">
        <w:tc>
          <w:tcPr>
            <w:tcW w:w="13392" w:type="dxa"/>
            <w:gridSpan w:val="9"/>
          </w:tcPr>
          <w:p w:rsidR="00C36E84" w:rsidRDefault="00C36E84" w:rsidP="00C36E84">
            <w:pPr>
              <w:pStyle w:val="Heading2"/>
              <w:numPr>
                <w:ilvl w:val="1"/>
                <w:numId w:val="3"/>
              </w:numPr>
              <w:outlineLvl w:val="1"/>
            </w:pPr>
            <w:r>
              <w:t>Principals and care givers</w:t>
            </w:r>
          </w:p>
        </w:tc>
      </w:tr>
      <w:tr w:rsidR="00682C3A" w:rsidTr="00372E2B">
        <w:tc>
          <w:tcPr>
            <w:tcW w:w="13392" w:type="dxa"/>
            <w:gridSpan w:val="9"/>
          </w:tcPr>
          <w:p w:rsidR="00682C3A" w:rsidRPr="00682C3A" w:rsidRDefault="00D54D5F" w:rsidP="00682C3A">
            <w:r>
              <w:t>In the absence of initiation school Principals, such as in the Western Cape, t</w:t>
            </w:r>
            <w:r w:rsidR="00871644">
              <w:t>he Bill mus</w:t>
            </w:r>
            <w:r>
              <w:t>t</w:t>
            </w:r>
            <w:r w:rsidR="00871644">
              <w:t xml:space="preserve"> give</w:t>
            </w:r>
            <w:r>
              <w:t xml:space="preserve"> legal</w:t>
            </w:r>
            <w:r w:rsidR="00871644">
              <w:t xml:space="preserve"> recognition</w:t>
            </w:r>
            <w:r>
              <w:t xml:space="preserve"> and clearly defined responsibilities to Initiation Forums and related structures </w:t>
            </w:r>
            <w:r w:rsidR="00651FB5">
              <w:t xml:space="preserve">who perform </w:t>
            </w:r>
            <w:r w:rsidR="0001506A">
              <w:t xml:space="preserve">the responsibility of managing initiation schools. </w:t>
            </w:r>
          </w:p>
        </w:tc>
      </w:tr>
      <w:tr w:rsidR="000571D7" w:rsidTr="00EF0F11">
        <w:tc>
          <w:tcPr>
            <w:tcW w:w="2373" w:type="dxa"/>
            <w:gridSpan w:val="5"/>
          </w:tcPr>
          <w:p w:rsidR="000571D7" w:rsidRPr="00703B92" w:rsidRDefault="000571D7" w:rsidP="000571D7">
            <w:pPr>
              <w:rPr>
                <w:i/>
              </w:rPr>
            </w:pPr>
            <w:r w:rsidRPr="00380D0B">
              <w:rPr>
                <w:i/>
              </w:rPr>
              <w:t>Clause 21(11) (b).</w:t>
            </w:r>
          </w:p>
        </w:tc>
        <w:tc>
          <w:tcPr>
            <w:tcW w:w="11019" w:type="dxa"/>
            <w:gridSpan w:val="4"/>
          </w:tcPr>
          <w:p w:rsidR="000571D7" w:rsidRDefault="000571D7" w:rsidP="000571D7">
            <w:r>
              <w:t>This clause needs further explanation, or else remove it from the Bill.</w:t>
            </w:r>
          </w:p>
        </w:tc>
      </w:tr>
      <w:tr w:rsidR="00E43BC4" w:rsidTr="00B7391C">
        <w:tc>
          <w:tcPr>
            <w:tcW w:w="13392" w:type="dxa"/>
            <w:gridSpan w:val="9"/>
          </w:tcPr>
          <w:p w:rsidR="00E43BC4" w:rsidRDefault="00E43BC4" w:rsidP="00A44A8A">
            <w:pPr>
              <w:pStyle w:val="Heading2"/>
              <w:numPr>
                <w:ilvl w:val="1"/>
                <w:numId w:val="3"/>
              </w:numPr>
              <w:outlineLvl w:val="1"/>
            </w:pPr>
            <w:bookmarkStart w:id="15" w:name="_Toc526324770"/>
            <w:r w:rsidRPr="00C413C1">
              <w:t>Parents or legal guardians</w:t>
            </w:r>
            <w:bookmarkEnd w:id="15"/>
          </w:p>
        </w:tc>
      </w:tr>
      <w:tr w:rsidR="00E43BC4" w:rsidTr="00E43BC4">
        <w:tc>
          <w:tcPr>
            <w:tcW w:w="2339" w:type="dxa"/>
            <w:gridSpan w:val="4"/>
          </w:tcPr>
          <w:p w:rsidR="00E43BC4" w:rsidRPr="00E43BC4" w:rsidRDefault="00E43BC4" w:rsidP="00E43BC4">
            <w:pPr>
              <w:rPr>
                <w:i/>
              </w:rPr>
            </w:pPr>
            <w:r w:rsidRPr="00E43BC4">
              <w:rPr>
                <w:i/>
              </w:rPr>
              <w:t xml:space="preserve">Clause 22(1) (b). </w:t>
            </w:r>
          </w:p>
          <w:p w:rsidR="00E43BC4" w:rsidRPr="00C413C1" w:rsidRDefault="00E43BC4" w:rsidP="00E43BC4">
            <w:pPr>
              <w:pStyle w:val="Heading2"/>
              <w:outlineLvl w:val="1"/>
            </w:pPr>
          </w:p>
        </w:tc>
        <w:tc>
          <w:tcPr>
            <w:tcW w:w="11053" w:type="dxa"/>
            <w:gridSpan w:val="5"/>
          </w:tcPr>
          <w:p w:rsidR="00E43BC4" w:rsidRPr="00E43BC4" w:rsidRDefault="00E43BC4" w:rsidP="00E43BC4">
            <w:pPr>
              <w:rPr>
                <w:i/>
              </w:rPr>
            </w:pPr>
            <w:r>
              <w:t xml:space="preserve">Delete the option of not ‘being circumcised at all.’ Circumcision is an obligatory, not optional, part of the male initiation process. </w:t>
            </w:r>
          </w:p>
        </w:tc>
      </w:tr>
      <w:tr w:rsidR="00E43BC4" w:rsidTr="00E43BC4">
        <w:tc>
          <w:tcPr>
            <w:tcW w:w="2339" w:type="dxa"/>
            <w:gridSpan w:val="4"/>
          </w:tcPr>
          <w:p w:rsidR="00E43BC4" w:rsidRPr="00E43BC4" w:rsidRDefault="00E43BC4" w:rsidP="00E43BC4">
            <w:pPr>
              <w:rPr>
                <w:i/>
              </w:rPr>
            </w:pPr>
            <w:r w:rsidRPr="00E43BC4">
              <w:rPr>
                <w:i/>
              </w:rPr>
              <w:t xml:space="preserve">Clause 22(4) (a). </w:t>
            </w:r>
          </w:p>
          <w:p w:rsidR="00E43BC4" w:rsidRPr="00E43BC4" w:rsidRDefault="00E43BC4" w:rsidP="00E43BC4">
            <w:pPr>
              <w:rPr>
                <w:i/>
              </w:rPr>
            </w:pPr>
          </w:p>
        </w:tc>
        <w:tc>
          <w:tcPr>
            <w:tcW w:w="11053" w:type="dxa"/>
            <w:gridSpan w:val="5"/>
          </w:tcPr>
          <w:p w:rsidR="00E43BC4" w:rsidRDefault="00E43BC4" w:rsidP="00E43BC4">
            <w:r>
              <w:t>The parents, legal or customary guardian contemplated in this clause should only be those that have undergone initiation.</w:t>
            </w:r>
          </w:p>
        </w:tc>
      </w:tr>
      <w:tr w:rsidR="006570DC" w:rsidTr="00B7391C">
        <w:tc>
          <w:tcPr>
            <w:tcW w:w="13392" w:type="dxa"/>
            <w:gridSpan w:val="9"/>
          </w:tcPr>
          <w:p w:rsidR="006570DC" w:rsidRDefault="006570DC" w:rsidP="00A44A8A">
            <w:pPr>
              <w:pStyle w:val="Heading2"/>
              <w:numPr>
                <w:ilvl w:val="1"/>
                <w:numId w:val="3"/>
              </w:numPr>
              <w:outlineLvl w:val="1"/>
            </w:pPr>
            <w:bookmarkStart w:id="16" w:name="_Toc526324771"/>
            <w:r>
              <w:t>Medical practitioners</w:t>
            </w:r>
            <w:bookmarkEnd w:id="16"/>
          </w:p>
        </w:tc>
      </w:tr>
      <w:tr w:rsidR="006570DC" w:rsidTr="006570DC">
        <w:tc>
          <w:tcPr>
            <w:tcW w:w="2304" w:type="dxa"/>
            <w:gridSpan w:val="2"/>
          </w:tcPr>
          <w:p w:rsidR="006570DC" w:rsidRPr="006570DC" w:rsidRDefault="006570DC" w:rsidP="006570DC">
            <w:pPr>
              <w:rPr>
                <w:i/>
              </w:rPr>
            </w:pPr>
            <w:r w:rsidRPr="006570DC">
              <w:rPr>
                <w:i/>
              </w:rPr>
              <w:t xml:space="preserve">Clause 24(2) (b). </w:t>
            </w:r>
          </w:p>
          <w:p w:rsidR="006570DC" w:rsidRDefault="006570DC" w:rsidP="006570DC">
            <w:pPr>
              <w:pStyle w:val="Heading2"/>
              <w:ind w:left="792"/>
              <w:outlineLvl w:val="1"/>
            </w:pPr>
          </w:p>
        </w:tc>
        <w:tc>
          <w:tcPr>
            <w:tcW w:w="11088" w:type="dxa"/>
            <w:gridSpan w:val="7"/>
          </w:tcPr>
          <w:p w:rsidR="006570DC" w:rsidRPr="006570DC" w:rsidRDefault="006570DC" w:rsidP="006570DC">
            <w:pPr>
              <w:rPr>
                <w:i/>
              </w:rPr>
            </w:pPr>
            <w:r>
              <w:t xml:space="preserve">It is impractical for medical doctors to supervise experienced surgeons with a good record of accomplishment. The Department of Health should assist with the training of traditional surgeons. </w:t>
            </w:r>
          </w:p>
        </w:tc>
      </w:tr>
      <w:tr w:rsidR="00F50F3F" w:rsidTr="006570DC">
        <w:tc>
          <w:tcPr>
            <w:tcW w:w="2304" w:type="dxa"/>
            <w:gridSpan w:val="2"/>
          </w:tcPr>
          <w:p w:rsidR="00F50F3F" w:rsidRPr="006570DC" w:rsidRDefault="00F50F3F" w:rsidP="006570DC">
            <w:pPr>
              <w:rPr>
                <w:i/>
              </w:rPr>
            </w:pPr>
            <w:r w:rsidRPr="00F50F3F">
              <w:rPr>
                <w:i/>
              </w:rPr>
              <w:t>Clause 25(1) (a).</w:t>
            </w:r>
          </w:p>
        </w:tc>
        <w:tc>
          <w:tcPr>
            <w:tcW w:w="11088" w:type="dxa"/>
            <w:gridSpan w:val="7"/>
          </w:tcPr>
          <w:p w:rsidR="00F50F3F" w:rsidRPr="00F50F3F" w:rsidRDefault="00F50F3F" w:rsidP="00F50F3F">
            <w:pPr>
              <w:rPr>
                <w:i/>
              </w:rPr>
            </w:pPr>
            <w:r>
              <w:t xml:space="preserve">The provision regulated in this clause is a well-established procedure and is not necessary to specify in the Bill. </w:t>
            </w:r>
            <w:r>
              <w:lastRenderedPageBreak/>
              <w:t>It should suffice to provide that the SAPS investigate the complaint.</w:t>
            </w:r>
          </w:p>
        </w:tc>
      </w:tr>
      <w:tr w:rsidR="00F50F3F" w:rsidTr="006570DC">
        <w:tc>
          <w:tcPr>
            <w:tcW w:w="2304" w:type="dxa"/>
            <w:gridSpan w:val="2"/>
          </w:tcPr>
          <w:p w:rsidR="00F50F3F" w:rsidRPr="00F50F3F" w:rsidRDefault="00F50F3F" w:rsidP="00F50F3F">
            <w:pPr>
              <w:rPr>
                <w:i/>
              </w:rPr>
            </w:pPr>
            <w:r w:rsidRPr="00F50F3F">
              <w:rPr>
                <w:i/>
              </w:rPr>
              <w:lastRenderedPageBreak/>
              <w:t>Clause 25(2) (c).</w:t>
            </w:r>
          </w:p>
        </w:tc>
        <w:tc>
          <w:tcPr>
            <w:tcW w:w="11088" w:type="dxa"/>
            <w:gridSpan w:val="7"/>
          </w:tcPr>
          <w:p w:rsidR="00F50F3F" w:rsidRPr="00F50F3F" w:rsidRDefault="00F50F3F" w:rsidP="00F50F3F">
            <w:pPr>
              <w:rPr>
                <w:i/>
              </w:rPr>
            </w:pPr>
            <w:r>
              <w:t xml:space="preserve">The Bill should provide for a procedure after the school’s closure in terms of this clause, as the failure to do so could provide a practical concern, such as a need for medical treatment. </w:t>
            </w:r>
          </w:p>
        </w:tc>
      </w:tr>
      <w:tr w:rsidR="00F50F3F" w:rsidTr="00B7391C">
        <w:tc>
          <w:tcPr>
            <w:tcW w:w="13392" w:type="dxa"/>
            <w:gridSpan w:val="9"/>
          </w:tcPr>
          <w:p w:rsidR="00F50F3F" w:rsidRDefault="00F50F3F" w:rsidP="00A44A8A">
            <w:pPr>
              <w:pStyle w:val="Heading1"/>
              <w:numPr>
                <w:ilvl w:val="0"/>
                <w:numId w:val="3"/>
              </w:numPr>
              <w:outlineLvl w:val="0"/>
            </w:pPr>
            <w:bookmarkStart w:id="17" w:name="_Toc524440616"/>
            <w:r>
              <w:t xml:space="preserve"> </w:t>
            </w:r>
            <w:bookmarkStart w:id="18" w:name="_Toc526324772"/>
            <w:r>
              <w:t>Chapter 4: Initiation Schools</w:t>
            </w:r>
            <w:bookmarkEnd w:id="17"/>
            <w:bookmarkEnd w:id="18"/>
          </w:p>
        </w:tc>
      </w:tr>
      <w:tr w:rsidR="00F50F3F" w:rsidTr="00B7391C">
        <w:tc>
          <w:tcPr>
            <w:tcW w:w="13392" w:type="dxa"/>
            <w:gridSpan w:val="9"/>
          </w:tcPr>
          <w:p w:rsidR="00F50F3F" w:rsidRDefault="00F50F3F" w:rsidP="00A44A8A">
            <w:pPr>
              <w:pStyle w:val="Heading2"/>
              <w:numPr>
                <w:ilvl w:val="1"/>
                <w:numId w:val="3"/>
              </w:numPr>
              <w:outlineLvl w:val="1"/>
            </w:pPr>
            <w:bookmarkStart w:id="19" w:name="_Toc526324773"/>
            <w:r>
              <w:t>Registration</w:t>
            </w:r>
            <w:bookmarkEnd w:id="19"/>
          </w:p>
        </w:tc>
      </w:tr>
      <w:tr w:rsidR="00F50F3F" w:rsidRPr="00F50F3F" w:rsidTr="00F50F3F">
        <w:tc>
          <w:tcPr>
            <w:tcW w:w="2292" w:type="dxa"/>
          </w:tcPr>
          <w:p w:rsidR="00F50F3F" w:rsidRPr="00F50F3F" w:rsidRDefault="00F50F3F" w:rsidP="00F50F3F">
            <w:pPr>
              <w:rPr>
                <w:i/>
              </w:rPr>
            </w:pPr>
            <w:r w:rsidRPr="00F50F3F">
              <w:rPr>
                <w:i/>
              </w:rPr>
              <w:t xml:space="preserve">Clause 26(2). </w:t>
            </w:r>
          </w:p>
        </w:tc>
        <w:tc>
          <w:tcPr>
            <w:tcW w:w="11100" w:type="dxa"/>
            <w:gridSpan w:val="8"/>
          </w:tcPr>
          <w:p w:rsidR="00456B61" w:rsidRDefault="00F50F3F" w:rsidP="00531B27">
            <w:pPr>
              <w:pStyle w:val="ListParagraph"/>
              <w:numPr>
                <w:ilvl w:val="0"/>
                <w:numId w:val="17"/>
              </w:numPr>
            </w:pPr>
            <w:r>
              <w:t>This provision is impractical as registration can easily become heavily bureaucratic. Rather, the registration certificate should be due for renewal every five years.</w:t>
            </w:r>
          </w:p>
          <w:p w:rsidR="00531B27" w:rsidRDefault="00531B27" w:rsidP="00531B27">
            <w:pPr>
              <w:pStyle w:val="ListParagraph"/>
            </w:pPr>
          </w:p>
          <w:p w:rsidR="00531B27" w:rsidRPr="00F50F3F" w:rsidRDefault="00531B27" w:rsidP="00531B27">
            <w:pPr>
              <w:pStyle w:val="ListParagraph"/>
              <w:numPr>
                <w:ilvl w:val="0"/>
                <w:numId w:val="17"/>
              </w:numPr>
            </w:pPr>
            <w:r>
              <w:t>In</w:t>
            </w:r>
            <w:r w:rsidR="007A4A2C">
              <w:t xml:space="preserve"> the case</w:t>
            </w:r>
            <w:r w:rsidR="00BC3C3E">
              <w:t xml:space="preserve"> of </w:t>
            </w:r>
            <w:proofErr w:type="spellStart"/>
            <w:r w:rsidR="00BC3C3E">
              <w:t>AmaXhosa</w:t>
            </w:r>
            <w:proofErr w:type="spellEnd"/>
            <w:r w:rsidR="003359FD">
              <w:t xml:space="preserve">, there is no one controlled area for practicing initiation. </w:t>
            </w:r>
            <w:r w:rsidR="000C426C">
              <w:t>Any secluded area can function as</w:t>
            </w:r>
            <w:r w:rsidR="003359FD">
              <w:t xml:space="preserve"> an initiation place, and therefore registering</w:t>
            </w:r>
            <w:r w:rsidR="005E22E3">
              <w:t xml:space="preserve"> a ‘school’ in this context is impossible. </w:t>
            </w:r>
          </w:p>
        </w:tc>
      </w:tr>
      <w:tr w:rsidR="006661F2" w:rsidRPr="00F50F3F" w:rsidTr="00B7391C">
        <w:tc>
          <w:tcPr>
            <w:tcW w:w="13392" w:type="dxa"/>
            <w:gridSpan w:val="9"/>
          </w:tcPr>
          <w:p w:rsidR="006661F2" w:rsidRDefault="006661F2" w:rsidP="00A44A8A">
            <w:pPr>
              <w:pStyle w:val="Heading2"/>
              <w:numPr>
                <w:ilvl w:val="1"/>
                <w:numId w:val="3"/>
              </w:numPr>
              <w:outlineLvl w:val="1"/>
            </w:pPr>
            <w:bookmarkStart w:id="20" w:name="_Toc526324774"/>
            <w:r>
              <w:t>Initiation seasons</w:t>
            </w:r>
            <w:bookmarkEnd w:id="20"/>
          </w:p>
        </w:tc>
      </w:tr>
      <w:tr w:rsidR="006661F2" w:rsidRPr="00F50F3F" w:rsidTr="006661F2">
        <w:tc>
          <w:tcPr>
            <w:tcW w:w="2292" w:type="dxa"/>
          </w:tcPr>
          <w:p w:rsidR="006661F2" w:rsidRPr="006661F2" w:rsidRDefault="006661F2" w:rsidP="006661F2">
            <w:pPr>
              <w:rPr>
                <w:i/>
              </w:rPr>
            </w:pPr>
            <w:r w:rsidRPr="006661F2">
              <w:rPr>
                <w:i/>
              </w:rPr>
              <w:t xml:space="preserve">Clause 27(1). </w:t>
            </w:r>
          </w:p>
          <w:p w:rsidR="006661F2" w:rsidRDefault="006661F2" w:rsidP="006661F2">
            <w:pPr>
              <w:pStyle w:val="Heading2"/>
              <w:ind w:left="792"/>
              <w:outlineLvl w:val="1"/>
            </w:pPr>
          </w:p>
        </w:tc>
        <w:tc>
          <w:tcPr>
            <w:tcW w:w="11100" w:type="dxa"/>
            <w:gridSpan w:val="8"/>
          </w:tcPr>
          <w:p w:rsidR="006661F2" w:rsidRDefault="006661F2" w:rsidP="007D309A">
            <w:pPr>
              <w:pStyle w:val="ListParagraph"/>
              <w:numPr>
                <w:ilvl w:val="0"/>
                <w:numId w:val="15"/>
              </w:numPr>
            </w:pPr>
            <w:r>
              <w:t>Proper initiation requires at least two months. This clause is not doing justice to the custom if it confines it to the relevant provincial school holidays and official school terms.</w:t>
            </w:r>
          </w:p>
          <w:p w:rsidR="007D309A" w:rsidRDefault="007D309A" w:rsidP="007D309A">
            <w:pPr>
              <w:pStyle w:val="ListParagraph"/>
            </w:pPr>
          </w:p>
          <w:p w:rsidR="007D309A" w:rsidRDefault="007D309A" w:rsidP="007D309A">
            <w:pPr>
              <w:pStyle w:val="ListParagraph"/>
              <w:numPr>
                <w:ilvl w:val="0"/>
                <w:numId w:val="15"/>
              </w:numPr>
            </w:pPr>
            <w:r>
              <w:t>Conduct initiation school in winter to facilitate the healing process</w:t>
            </w:r>
            <w:r w:rsidR="00533122">
              <w:t>.</w:t>
            </w:r>
          </w:p>
        </w:tc>
      </w:tr>
      <w:tr w:rsidR="00417640" w:rsidRPr="00F50F3F" w:rsidTr="006661F2">
        <w:tc>
          <w:tcPr>
            <w:tcW w:w="2292" w:type="dxa"/>
          </w:tcPr>
          <w:p w:rsidR="00417640" w:rsidRPr="006661F2" w:rsidRDefault="00417640" w:rsidP="006661F2">
            <w:pPr>
              <w:rPr>
                <w:i/>
              </w:rPr>
            </w:pPr>
            <w:r>
              <w:rPr>
                <w:i/>
              </w:rPr>
              <w:t>Clause 27(4)</w:t>
            </w:r>
          </w:p>
        </w:tc>
        <w:tc>
          <w:tcPr>
            <w:tcW w:w="11100" w:type="dxa"/>
            <w:gridSpan w:val="8"/>
          </w:tcPr>
          <w:p w:rsidR="00417640" w:rsidRDefault="00417640" w:rsidP="007D309A">
            <w:pPr>
              <w:pStyle w:val="ListParagraph"/>
              <w:numPr>
                <w:ilvl w:val="0"/>
                <w:numId w:val="15"/>
              </w:numPr>
            </w:pPr>
            <w:r>
              <w:t>Amend this clause by adding, ‘or of working age.’</w:t>
            </w:r>
          </w:p>
        </w:tc>
      </w:tr>
      <w:tr w:rsidR="008429B7" w:rsidRPr="00F50F3F" w:rsidTr="00B7391C">
        <w:tc>
          <w:tcPr>
            <w:tcW w:w="13392" w:type="dxa"/>
            <w:gridSpan w:val="9"/>
          </w:tcPr>
          <w:p w:rsidR="008429B7" w:rsidRDefault="00F913E3" w:rsidP="00A44A8A">
            <w:pPr>
              <w:pStyle w:val="Heading2"/>
              <w:numPr>
                <w:ilvl w:val="1"/>
                <w:numId w:val="3"/>
              </w:numPr>
              <w:outlineLvl w:val="1"/>
            </w:pPr>
            <w:bookmarkStart w:id="21" w:name="_Toc526324775"/>
            <w:r>
              <w:t>Consent, prohibitions, age and circumcision</w:t>
            </w:r>
            <w:bookmarkEnd w:id="21"/>
          </w:p>
        </w:tc>
      </w:tr>
      <w:tr w:rsidR="00F913E3" w:rsidRPr="00F50F3F" w:rsidTr="00B7391C">
        <w:tc>
          <w:tcPr>
            <w:tcW w:w="13392" w:type="dxa"/>
            <w:gridSpan w:val="9"/>
          </w:tcPr>
          <w:p w:rsidR="00F913E3" w:rsidRDefault="00F913E3" w:rsidP="00F913E3">
            <w:pPr>
              <w:tabs>
                <w:tab w:val="left" w:pos="1094"/>
              </w:tabs>
            </w:pPr>
            <w:r>
              <w:t>Replace the word ‘circumcision’ with the word ‘initiation.’</w:t>
            </w:r>
          </w:p>
        </w:tc>
      </w:tr>
      <w:tr w:rsidR="00F913E3" w:rsidRPr="00F50F3F" w:rsidTr="00CB2D89">
        <w:tc>
          <w:tcPr>
            <w:tcW w:w="2373" w:type="dxa"/>
            <w:gridSpan w:val="5"/>
          </w:tcPr>
          <w:p w:rsidR="00F913E3" w:rsidRPr="00F913E3" w:rsidRDefault="00DB58C3" w:rsidP="00F913E3">
            <w:pPr>
              <w:rPr>
                <w:i/>
              </w:rPr>
            </w:pPr>
            <w:r>
              <w:rPr>
                <w:i/>
              </w:rPr>
              <w:t>Clause 28(1) (a</w:t>
            </w:r>
            <w:r w:rsidR="00F913E3" w:rsidRPr="00F913E3">
              <w:rPr>
                <w:i/>
              </w:rPr>
              <w:t xml:space="preserve">). </w:t>
            </w:r>
          </w:p>
        </w:tc>
        <w:tc>
          <w:tcPr>
            <w:tcW w:w="11019" w:type="dxa"/>
            <w:gridSpan w:val="4"/>
          </w:tcPr>
          <w:p w:rsidR="00F913E3" w:rsidRDefault="00DB58C3" w:rsidP="00F913E3">
            <w:r>
              <w:t xml:space="preserve">Outlawing of forced initiation, particularly in instances such as the kidnapping of boys, is welcome. </w:t>
            </w:r>
            <w:r w:rsidR="00A5379C">
              <w:t xml:space="preserve">However, this section also </w:t>
            </w:r>
            <w:proofErr w:type="spellStart"/>
            <w:r w:rsidR="00A5379C">
              <w:t>disempowers</w:t>
            </w:r>
            <w:proofErr w:type="spellEnd"/>
            <w:r w:rsidR="00A5379C">
              <w:t xml:space="preserve"> community men from continuing with the accepted practice of correcting unwanted behaviours</w:t>
            </w:r>
            <w:r w:rsidR="00905AB5">
              <w:t xml:space="preserve"> by taking the boy(s) to initiation instead of formal correctional services. </w:t>
            </w:r>
          </w:p>
        </w:tc>
      </w:tr>
      <w:tr w:rsidR="00DB58C3" w:rsidRPr="00F50F3F" w:rsidTr="00EF0F11">
        <w:tc>
          <w:tcPr>
            <w:tcW w:w="2373" w:type="dxa"/>
            <w:gridSpan w:val="5"/>
          </w:tcPr>
          <w:p w:rsidR="00DB58C3" w:rsidRPr="00F913E3" w:rsidRDefault="00DB58C3" w:rsidP="00DB58C3">
            <w:pPr>
              <w:rPr>
                <w:i/>
              </w:rPr>
            </w:pPr>
            <w:r w:rsidRPr="00F913E3">
              <w:rPr>
                <w:i/>
              </w:rPr>
              <w:t xml:space="preserve">Clause 28(1) (c). </w:t>
            </w:r>
          </w:p>
        </w:tc>
        <w:tc>
          <w:tcPr>
            <w:tcW w:w="11019" w:type="dxa"/>
            <w:gridSpan w:val="4"/>
          </w:tcPr>
          <w:p w:rsidR="00DB58C3" w:rsidRDefault="00DB58C3" w:rsidP="00DB58C3">
            <w:r>
              <w:t>The initiate should obtain the consent of the parents or legal guardian before seeking to obtain the requisite medical certificate.</w:t>
            </w:r>
          </w:p>
        </w:tc>
      </w:tr>
      <w:tr w:rsidR="00DB58C3" w:rsidRPr="00F50F3F" w:rsidTr="00CB2D89">
        <w:tc>
          <w:tcPr>
            <w:tcW w:w="2373" w:type="dxa"/>
            <w:gridSpan w:val="5"/>
          </w:tcPr>
          <w:p w:rsidR="00DB58C3" w:rsidRPr="00F913E3" w:rsidRDefault="00DB58C3" w:rsidP="00F913E3">
            <w:pPr>
              <w:rPr>
                <w:i/>
              </w:rPr>
            </w:pPr>
          </w:p>
        </w:tc>
        <w:tc>
          <w:tcPr>
            <w:tcW w:w="11019" w:type="dxa"/>
            <w:gridSpan w:val="4"/>
          </w:tcPr>
          <w:p w:rsidR="00DB58C3" w:rsidRDefault="00DB58C3" w:rsidP="00F913E3"/>
        </w:tc>
      </w:tr>
      <w:tr w:rsidR="00F913E3" w:rsidRPr="00F50F3F" w:rsidTr="00CB2D89">
        <w:tc>
          <w:tcPr>
            <w:tcW w:w="2373" w:type="dxa"/>
            <w:gridSpan w:val="5"/>
          </w:tcPr>
          <w:p w:rsidR="00F913E3" w:rsidRPr="00F913E3" w:rsidRDefault="00F913E3" w:rsidP="00F913E3">
            <w:pPr>
              <w:rPr>
                <w:i/>
              </w:rPr>
            </w:pPr>
            <w:r w:rsidRPr="00F913E3">
              <w:rPr>
                <w:i/>
              </w:rPr>
              <w:t xml:space="preserve">Clause 28(2). </w:t>
            </w:r>
          </w:p>
        </w:tc>
        <w:tc>
          <w:tcPr>
            <w:tcW w:w="11019" w:type="dxa"/>
            <w:gridSpan w:val="4"/>
          </w:tcPr>
          <w:p w:rsidR="00F913E3" w:rsidRDefault="00F913E3" w:rsidP="00905AB5">
            <w:pPr>
              <w:pStyle w:val="ListParagraph"/>
              <w:numPr>
                <w:ilvl w:val="0"/>
                <w:numId w:val="15"/>
              </w:numPr>
            </w:pPr>
            <w:r>
              <w:t xml:space="preserve">This clause should also accommodate cultures that practice initiation from the ages of eight, 12 and 14. This would also need an amendment to section 12(8) of the Children’s Act. Section 5 of this Act would also need amending to accommodate young girls below the age of 16 who willingly agree to virginity </w:t>
            </w:r>
            <w:r>
              <w:lastRenderedPageBreak/>
              <w:t>testing.</w:t>
            </w:r>
          </w:p>
          <w:p w:rsidR="00905AB5" w:rsidRDefault="00905AB5" w:rsidP="00905AB5">
            <w:pPr>
              <w:pStyle w:val="ListParagraph"/>
            </w:pPr>
          </w:p>
          <w:p w:rsidR="00905AB5" w:rsidRDefault="00905AB5" w:rsidP="00905AB5">
            <w:pPr>
              <w:pStyle w:val="ListParagraph"/>
              <w:numPr>
                <w:ilvl w:val="0"/>
                <w:numId w:val="15"/>
              </w:numPr>
            </w:pPr>
            <w:r>
              <w:t>Change this clause to read: ‘No person of basic school going age should go to initiations.’ This will limit underage boys and reduce school time losses.</w:t>
            </w:r>
          </w:p>
        </w:tc>
      </w:tr>
      <w:tr w:rsidR="00A550DE" w:rsidRPr="00F50F3F" w:rsidTr="00CB2D89">
        <w:tc>
          <w:tcPr>
            <w:tcW w:w="2373" w:type="dxa"/>
            <w:gridSpan w:val="5"/>
          </w:tcPr>
          <w:p w:rsidR="00A550DE" w:rsidRPr="00F913E3" w:rsidRDefault="00A550DE" w:rsidP="00F913E3">
            <w:pPr>
              <w:rPr>
                <w:i/>
              </w:rPr>
            </w:pPr>
            <w:r>
              <w:rPr>
                <w:i/>
              </w:rPr>
              <w:lastRenderedPageBreak/>
              <w:t>Clause 28(3)(a)</w:t>
            </w:r>
          </w:p>
        </w:tc>
        <w:tc>
          <w:tcPr>
            <w:tcW w:w="11019" w:type="dxa"/>
            <w:gridSpan w:val="4"/>
          </w:tcPr>
          <w:p w:rsidR="00A550DE" w:rsidRPr="00A550DE" w:rsidRDefault="00A550DE" w:rsidP="00A550DE">
            <w:pPr>
              <w:rPr>
                <w:i/>
              </w:rPr>
            </w:pPr>
            <w:r>
              <w:t>The word ‘</w:t>
            </w:r>
            <w:r>
              <w:rPr>
                <w:i/>
              </w:rPr>
              <w:t xml:space="preserve">child’ </w:t>
            </w:r>
            <w:r>
              <w:t>should replace the reference to a ‘</w:t>
            </w:r>
            <w:r>
              <w:rPr>
                <w:i/>
              </w:rPr>
              <w:t>person.’</w:t>
            </w:r>
          </w:p>
        </w:tc>
      </w:tr>
      <w:tr w:rsidR="006A3A96" w:rsidRPr="00F50F3F" w:rsidTr="00CB2D89">
        <w:tc>
          <w:tcPr>
            <w:tcW w:w="2373" w:type="dxa"/>
            <w:gridSpan w:val="5"/>
          </w:tcPr>
          <w:p w:rsidR="006A3A96" w:rsidRDefault="0042571C" w:rsidP="00F913E3">
            <w:pPr>
              <w:rPr>
                <w:i/>
              </w:rPr>
            </w:pPr>
            <w:r>
              <w:rPr>
                <w:i/>
              </w:rPr>
              <w:t>Clause 28(6) (a</w:t>
            </w:r>
            <w:r w:rsidR="006A3A96">
              <w:rPr>
                <w:i/>
              </w:rPr>
              <w:t>)</w:t>
            </w:r>
          </w:p>
        </w:tc>
        <w:tc>
          <w:tcPr>
            <w:tcW w:w="11019" w:type="dxa"/>
            <w:gridSpan w:val="4"/>
          </w:tcPr>
          <w:p w:rsidR="006A3A96" w:rsidRDefault="006A3A96" w:rsidP="00A550DE">
            <w:r>
              <w:t xml:space="preserve">The clause must specify the envisaged religious or medical purposes. </w:t>
            </w:r>
          </w:p>
        </w:tc>
      </w:tr>
      <w:tr w:rsidR="00EA03E4" w:rsidRPr="00F50F3F" w:rsidTr="00CB2D89">
        <w:tc>
          <w:tcPr>
            <w:tcW w:w="2373" w:type="dxa"/>
            <w:gridSpan w:val="5"/>
          </w:tcPr>
          <w:p w:rsidR="00EA03E4" w:rsidRDefault="00EA03E4" w:rsidP="00F913E3">
            <w:pPr>
              <w:rPr>
                <w:i/>
              </w:rPr>
            </w:pPr>
            <w:r>
              <w:rPr>
                <w:i/>
              </w:rPr>
              <w:t>Clause 28(6</w:t>
            </w:r>
            <w:r w:rsidR="007D00A4">
              <w:rPr>
                <w:i/>
              </w:rPr>
              <w:t>) (</w:t>
            </w:r>
            <w:r>
              <w:rPr>
                <w:i/>
              </w:rPr>
              <w:t>b)</w:t>
            </w:r>
            <w:r w:rsidR="007D00A4">
              <w:rPr>
                <w:i/>
              </w:rPr>
              <w:t>.</w:t>
            </w:r>
          </w:p>
        </w:tc>
        <w:tc>
          <w:tcPr>
            <w:tcW w:w="11019" w:type="dxa"/>
            <w:gridSpan w:val="4"/>
          </w:tcPr>
          <w:p w:rsidR="00EA03E4" w:rsidRPr="00EA03E4" w:rsidRDefault="00EA03E4" w:rsidP="00A550DE">
            <w:r>
              <w:t xml:space="preserve">The reference to the </w:t>
            </w:r>
            <w:r>
              <w:rPr>
                <w:i/>
              </w:rPr>
              <w:t xml:space="preserve">General Regulations Regarding Children </w:t>
            </w:r>
            <w:r>
              <w:t>is superfluous, especially in view of the fact that the clause also refers to the Children’s Act (which includes the regulations in any event).</w:t>
            </w:r>
          </w:p>
        </w:tc>
      </w:tr>
      <w:tr w:rsidR="00F913E3" w:rsidRPr="00F50F3F" w:rsidTr="00CB2D89">
        <w:tc>
          <w:tcPr>
            <w:tcW w:w="2373" w:type="dxa"/>
            <w:gridSpan w:val="5"/>
          </w:tcPr>
          <w:p w:rsidR="00F913E3" w:rsidRPr="00F913E3" w:rsidRDefault="00F913E3" w:rsidP="00F913E3">
            <w:pPr>
              <w:rPr>
                <w:i/>
              </w:rPr>
            </w:pPr>
            <w:r w:rsidRPr="00F913E3">
              <w:rPr>
                <w:i/>
              </w:rPr>
              <w:t xml:space="preserve">Clause 28(6) (d) (ii). </w:t>
            </w:r>
          </w:p>
          <w:p w:rsidR="00F913E3" w:rsidRPr="00F913E3" w:rsidRDefault="00F913E3" w:rsidP="00F913E3">
            <w:pPr>
              <w:rPr>
                <w:i/>
              </w:rPr>
            </w:pPr>
          </w:p>
        </w:tc>
        <w:tc>
          <w:tcPr>
            <w:tcW w:w="11019" w:type="dxa"/>
            <w:gridSpan w:val="4"/>
          </w:tcPr>
          <w:p w:rsidR="00F913E3" w:rsidRDefault="00CB2D89" w:rsidP="00F302A1">
            <w:pPr>
              <w:pStyle w:val="ListParagraph"/>
              <w:numPr>
                <w:ilvl w:val="0"/>
                <w:numId w:val="13"/>
              </w:numPr>
            </w:pPr>
            <w:r>
              <w:t xml:space="preserve">This clause should not apply to registered traditional surgeons who had an excellent record of performing male circumcision. </w:t>
            </w:r>
          </w:p>
          <w:p w:rsidR="00F302A1" w:rsidRDefault="00F302A1" w:rsidP="00F302A1"/>
          <w:p w:rsidR="00F302A1" w:rsidRDefault="00F302A1" w:rsidP="00F302A1">
            <w:pPr>
              <w:pStyle w:val="ListParagraph"/>
              <w:numPr>
                <w:ilvl w:val="0"/>
                <w:numId w:val="13"/>
              </w:numPr>
            </w:pPr>
            <w:r>
              <w:t>The clause is culturally insensitive, undermines traditional surgeons and defeats the whole purpose of the Bill as it brings Medical Male Circumcision through the back door.</w:t>
            </w:r>
          </w:p>
          <w:p w:rsidR="00C9321B" w:rsidRDefault="00C9321B" w:rsidP="00C9321B">
            <w:pPr>
              <w:pStyle w:val="ListParagraph"/>
            </w:pPr>
          </w:p>
          <w:p w:rsidR="00C9321B" w:rsidRDefault="00C9321B" w:rsidP="00F302A1">
            <w:pPr>
              <w:pStyle w:val="ListParagraph"/>
              <w:numPr>
                <w:ilvl w:val="0"/>
                <w:numId w:val="13"/>
              </w:numPr>
            </w:pPr>
            <w:r>
              <w:t xml:space="preserve">This section </w:t>
            </w:r>
            <w:proofErr w:type="spellStart"/>
            <w:r>
              <w:t>disempowers</w:t>
            </w:r>
            <w:proofErr w:type="spellEnd"/>
            <w:r>
              <w:t xml:space="preserve"> </w:t>
            </w:r>
            <w:proofErr w:type="spellStart"/>
            <w:r>
              <w:rPr>
                <w:i/>
              </w:rPr>
              <w:t>ingcibi</w:t>
            </w:r>
            <w:proofErr w:type="spellEnd"/>
            <w:r>
              <w:rPr>
                <w:i/>
              </w:rPr>
              <w:t xml:space="preserve"> </w:t>
            </w:r>
            <w:r>
              <w:t xml:space="preserve">altogether. It is an insult to the traditional way of life. The consequence of this would be to distract medical practitioners from attending to the sick and emergencies. </w:t>
            </w:r>
          </w:p>
        </w:tc>
      </w:tr>
      <w:tr w:rsidR="007D00A4" w:rsidRPr="00F50F3F" w:rsidTr="00CB2D89">
        <w:tc>
          <w:tcPr>
            <w:tcW w:w="2373" w:type="dxa"/>
            <w:gridSpan w:val="5"/>
          </w:tcPr>
          <w:p w:rsidR="007D00A4" w:rsidRPr="00F913E3" w:rsidRDefault="007D00A4" w:rsidP="00F913E3">
            <w:pPr>
              <w:rPr>
                <w:i/>
              </w:rPr>
            </w:pPr>
            <w:r>
              <w:rPr>
                <w:i/>
              </w:rPr>
              <w:t xml:space="preserve">Clause 28(10). </w:t>
            </w:r>
          </w:p>
        </w:tc>
        <w:tc>
          <w:tcPr>
            <w:tcW w:w="11019" w:type="dxa"/>
            <w:gridSpan w:val="4"/>
          </w:tcPr>
          <w:p w:rsidR="007D00A4" w:rsidRDefault="00363C1F" w:rsidP="00CB2D89">
            <w:r>
              <w:t>The offence contemplated in this clause is superfluous in view of clause 33(</w:t>
            </w:r>
            <w:r w:rsidR="000F7DAB">
              <w:t>2), which deals with offences</w:t>
            </w:r>
            <w:r w:rsidR="00D40408">
              <w:t>.</w:t>
            </w:r>
          </w:p>
        </w:tc>
      </w:tr>
      <w:tr w:rsidR="00CB2D89" w:rsidRPr="00F50F3F" w:rsidTr="00B7391C">
        <w:tc>
          <w:tcPr>
            <w:tcW w:w="13392" w:type="dxa"/>
            <w:gridSpan w:val="9"/>
          </w:tcPr>
          <w:p w:rsidR="00CB2D89" w:rsidRDefault="00CB2D89" w:rsidP="00A44A8A">
            <w:pPr>
              <w:pStyle w:val="Heading2"/>
              <w:numPr>
                <w:ilvl w:val="1"/>
                <w:numId w:val="3"/>
              </w:numPr>
              <w:outlineLvl w:val="1"/>
            </w:pPr>
            <w:bookmarkStart w:id="22" w:name="_Toc526324776"/>
            <w:r w:rsidRPr="00410465">
              <w:t>Discipline and teachings</w:t>
            </w:r>
            <w:bookmarkEnd w:id="22"/>
          </w:p>
        </w:tc>
      </w:tr>
      <w:tr w:rsidR="00CB2D89" w:rsidRPr="00F50F3F" w:rsidTr="00CB2D89">
        <w:tc>
          <w:tcPr>
            <w:tcW w:w="2373" w:type="dxa"/>
            <w:gridSpan w:val="5"/>
          </w:tcPr>
          <w:p w:rsidR="00CB2D89" w:rsidRPr="00CB2D89" w:rsidRDefault="00CB2D89" w:rsidP="00CB2D89">
            <w:pPr>
              <w:rPr>
                <w:i/>
              </w:rPr>
            </w:pPr>
            <w:r w:rsidRPr="00CB2D89">
              <w:rPr>
                <w:i/>
              </w:rPr>
              <w:t>Clause 29.</w:t>
            </w:r>
          </w:p>
        </w:tc>
        <w:tc>
          <w:tcPr>
            <w:tcW w:w="11019" w:type="dxa"/>
            <w:gridSpan w:val="4"/>
          </w:tcPr>
          <w:p w:rsidR="00CB2D89" w:rsidRPr="00410465" w:rsidRDefault="00CB2D89" w:rsidP="00CB2D89">
            <w:r>
              <w:t>Regulations should address issues of discipline and teachings.</w:t>
            </w:r>
          </w:p>
        </w:tc>
      </w:tr>
      <w:tr w:rsidR="00CB2D89" w:rsidRPr="00F50F3F" w:rsidTr="00CB2D89">
        <w:tc>
          <w:tcPr>
            <w:tcW w:w="2373" w:type="dxa"/>
            <w:gridSpan w:val="5"/>
          </w:tcPr>
          <w:p w:rsidR="00CB2D89" w:rsidRPr="00CB2D89" w:rsidRDefault="00CB2D89" w:rsidP="00CB2D89">
            <w:pPr>
              <w:rPr>
                <w:i/>
              </w:rPr>
            </w:pPr>
            <w:r w:rsidRPr="00CB2D89">
              <w:rPr>
                <w:i/>
              </w:rPr>
              <w:t>Clause 29(3) (a)</w:t>
            </w:r>
            <w:r>
              <w:rPr>
                <w:i/>
              </w:rPr>
              <w:t xml:space="preserve"> </w:t>
            </w:r>
            <w:r w:rsidRPr="00CB2D89">
              <w:rPr>
                <w:i/>
              </w:rPr>
              <w:t xml:space="preserve">&amp; (b). </w:t>
            </w:r>
          </w:p>
          <w:p w:rsidR="00CB2D89" w:rsidRPr="00CB2D89" w:rsidRDefault="00CB2D89" w:rsidP="00CB2D89">
            <w:pPr>
              <w:rPr>
                <w:i/>
              </w:rPr>
            </w:pPr>
          </w:p>
        </w:tc>
        <w:tc>
          <w:tcPr>
            <w:tcW w:w="11019" w:type="dxa"/>
            <w:gridSpan w:val="4"/>
          </w:tcPr>
          <w:p w:rsidR="00CB2D89" w:rsidRDefault="00CB2D89" w:rsidP="00BE70DE">
            <w:pPr>
              <w:pStyle w:val="ListParagraph"/>
              <w:numPr>
                <w:ilvl w:val="0"/>
                <w:numId w:val="18"/>
              </w:numPr>
            </w:pPr>
            <w:r>
              <w:t xml:space="preserve">The National House recommends scrapping these sub-clauses as no one can prescribe what initiation schools can teach, considering that initiation teachings and practices are sacred and secret and not subject to open discussion. </w:t>
            </w:r>
          </w:p>
          <w:p w:rsidR="00BE70DE" w:rsidRDefault="00BE70DE" w:rsidP="00BE70DE">
            <w:pPr>
              <w:pStyle w:val="ListParagraph"/>
            </w:pPr>
          </w:p>
          <w:p w:rsidR="00BE70DE" w:rsidRDefault="00BE70DE" w:rsidP="00BE70DE">
            <w:pPr>
              <w:pStyle w:val="ListParagraph"/>
              <w:numPr>
                <w:ilvl w:val="0"/>
                <w:numId w:val="18"/>
              </w:numPr>
            </w:pPr>
            <w:r>
              <w:t xml:space="preserve">This section is impractical and </w:t>
            </w:r>
            <w:proofErr w:type="spellStart"/>
            <w:r>
              <w:t>disempowers</w:t>
            </w:r>
            <w:proofErr w:type="spellEnd"/>
            <w:r>
              <w:t xml:space="preserve"> family responsibilities. Boy’s teachings are a responsibility of family</w:t>
            </w:r>
            <w:r w:rsidR="00413E7A">
              <w:t>,</w:t>
            </w:r>
            <w:r>
              <w:t xml:space="preserve"> relatives and community at large</w:t>
            </w:r>
            <w:r w:rsidR="00413E7A">
              <w:t xml:space="preserve">. There is no school, no curriculum, no exams and no invigilators. </w:t>
            </w:r>
          </w:p>
        </w:tc>
      </w:tr>
      <w:tr w:rsidR="00CB2D89" w:rsidRPr="00F50F3F" w:rsidTr="00B7391C">
        <w:tc>
          <w:tcPr>
            <w:tcW w:w="13392" w:type="dxa"/>
            <w:gridSpan w:val="9"/>
          </w:tcPr>
          <w:p w:rsidR="00CB2D89" w:rsidRDefault="004E6D45" w:rsidP="00A44A8A">
            <w:pPr>
              <w:pStyle w:val="Heading2"/>
              <w:numPr>
                <w:ilvl w:val="1"/>
                <w:numId w:val="3"/>
              </w:numPr>
              <w:outlineLvl w:val="1"/>
            </w:pPr>
            <w:bookmarkStart w:id="23" w:name="_Toc526324777"/>
            <w:r>
              <w:t>Water, sanitation, food, health care and liquor</w:t>
            </w:r>
            <w:bookmarkEnd w:id="23"/>
          </w:p>
        </w:tc>
      </w:tr>
      <w:tr w:rsidR="004E6D45" w:rsidRPr="00F50F3F" w:rsidTr="00B7391C">
        <w:tc>
          <w:tcPr>
            <w:tcW w:w="13392" w:type="dxa"/>
            <w:gridSpan w:val="9"/>
          </w:tcPr>
          <w:p w:rsidR="004E6D45" w:rsidRDefault="004E6D45" w:rsidP="004E6D45">
            <w:r>
              <w:lastRenderedPageBreak/>
              <w:t>This section should also address the proliferation of drugs in initiation schools.</w:t>
            </w:r>
          </w:p>
        </w:tc>
      </w:tr>
      <w:tr w:rsidR="004E6D45" w:rsidRPr="00F50F3F" w:rsidTr="004E6D45">
        <w:tc>
          <w:tcPr>
            <w:tcW w:w="2373" w:type="dxa"/>
            <w:gridSpan w:val="5"/>
          </w:tcPr>
          <w:p w:rsidR="004E6D45" w:rsidRPr="004E6D45" w:rsidRDefault="004E6D45" w:rsidP="004E6D45">
            <w:pPr>
              <w:rPr>
                <w:i/>
              </w:rPr>
            </w:pPr>
            <w:r w:rsidRPr="004E6D45">
              <w:rPr>
                <w:i/>
              </w:rPr>
              <w:t xml:space="preserve">Clause 30(4) (a). </w:t>
            </w:r>
          </w:p>
        </w:tc>
        <w:tc>
          <w:tcPr>
            <w:tcW w:w="11019" w:type="dxa"/>
            <w:gridSpan w:val="4"/>
          </w:tcPr>
          <w:p w:rsidR="004E6D45" w:rsidRDefault="004E6D45" w:rsidP="00A44A8A">
            <w:pPr>
              <w:pStyle w:val="ListParagraph"/>
              <w:numPr>
                <w:ilvl w:val="0"/>
                <w:numId w:val="11"/>
              </w:numPr>
            </w:pPr>
            <w:r>
              <w:t xml:space="preserve">This clause should not refer to the selling of beer to initiates in the initiation schools, as this does not happen in the first place. It may perhaps be enough to say that illegal activities are not permissible in initiation schools. </w:t>
            </w:r>
          </w:p>
          <w:p w:rsidR="00A21E2B" w:rsidRDefault="00A21E2B" w:rsidP="00A21E2B">
            <w:pPr>
              <w:pStyle w:val="ListParagraph"/>
            </w:pPr>
          </w:p>
          <w:p w:rsidR="00A21E2B" w:rsidRDefault="00A21E2B" w:rsidP="00A44A8A">
            <w:pPr>
              <w:pStyle w:val="ListParagraph"/>
              <w:numPr>
                <w:ilvl w:val="0"/>
                <w:numId w:val="11"/>
              </w:numPr>
            </w:pPr>
            <w:r>
              <w:t>The reference to section 10(1) of the Liquor Act is an unnecessary repetition of a provision of other legislation.</w:t>
            </w:r>
            <w:r w:rsidR="000F6EDC">
              <w:t xml:space="preserve"> Should there be amendment of the provision in the Liquor Act, there is a risk that the provision contained in this clause</w:t>
            </w:r>
            <w:r w:rsidR="00797CA2">
              <w:t xml:space="preserve"> will not receive commensurate attention since another department administers the legislation. This will create unnecessary confusion, which the Bill should rather avoid. </w:t>
            </w:r>
            <w:r w:rsidR="009E70A0">
              <w:t>This also applies in respect of the repetiti</w:t>
            </w:r>
            <w:r w:rsidR="005C05F7">
              <w:t>on of the Children’s Act provisions.</w:t>
            </w:r>
          </w:p>
        </w:tc>
      </w:tr>
      <w:tr w:rsidR="004E6D45" w:rsidRPr="00F50F3F" w:rsidTr="004E6D45">
        <w:tc>
          <w:tcPr>
            <w:tcW w:w="2373" w:type="dxa"/>
            <w:gridSpan w:val="5"/>
          </w:tcPr>
          <w:p w:rsidR="004E6D45" w:rsidRPr="004E6D45" w:rsidRDefault="004E6D45" w:rsidP="004E6D45">
            <w:pPr>
              <w:rPr>
                <w:i/>
              </w:rPr>
            </w:pPr>
            <w:r w:rsidRPr="004E6D45">
              <w:rPr>
                <w:i/>
              </w:rPr>
              <w:t xml:space="preserve">Clause 30(4) (b). </w:t>
            </w:r>
          </w:p>
        </w:tc>
        <w:tc>
          <w:tcPr>
            <w:tcW w:w="11019" w:type="dxa"/>
            <w:gridSpan w:val="4"/>
          </w:tcPr>
          <w:p w:rsidR="004E6D45" w:rsidRDefault="004E6D45" w:rsidP="004E6D45">
            <w:r>
              <w:t xml:space="preserve">This clause should also consider liquor supplied for cultural purposes, for example, </w:t>
            </w:r>
            <w:proofErr w:type="spellStart"/>
            <w:r w:rsidRPr="004E6D45">
              <w:rPr>
                <w:i/>
              </w:rPr>
              <w:t>umqombothi</w:t>
            </w:r>
            <w:proofErr w:type="spellEnd"/>
            <w:r w:rsidRPr="004E6D45">
              <w:rPr>
                <w:i/>
              </w:rPr>
              <w:t xml:space="preserve">, </w:t>
            </w:r>
            <w:r>
              <w:t xml:space="preserve">which is an integral part of the festivities in some of the cultures that practice initiation. </w:t>
            </w:r>
          </w:p>
        </w:tc>
      </w:tr>
      <w:tr w:rsidR="004E6D45" w:rsidRPr="00F50F3F" w:rsidTr="00B7391C">
        <w:tc>
          <w:tcPr>
            <w:tcW w:w="13392" w:type="dxa"/>
            <w:gridSpan w:val="9"/>
          </w:tcPr>
          <w:p w:rsidR="004E6D45" w:rsidRDefault="004E6D45" w:rsidP="00A44A8A">
            <w:pPr>
              <w:pStyle w:val="Heading2"/>
              <w:numPr>
                <w:ilvl w:val="1"/>
                <w:numId w:val="3"/>
              </w:numPr>
              <w:outlineLvl w:val="1"/>
            </w:pPr>
            <w:bookmarkStart w:id="24" w:name="_Toc524440619"/>
            <w:bookmarkStart w:id="25" w:name="_Toc526324778"/>
            <w:r>
              <w:t>Death of initiate</w:t>
            </w:r>
            <w:bookmarkEnd w:id="24"/>
            <w:bookmarkEnd w:id="25"/>
          </w:p>
        </w:tc>
      </w:tr>
      <w:tr w:rsidR="004E6D45" w:rsidRPr="00F50F3F" w:rsidTr="004E6D45">
        <w:tc>
          <w:tcPr>
            <w:tcW w:w="2385" w:type="dxa"/>
            <w:gridSpan w:val="6"/>
          </w:tcPr>
          <w:p w:rsidR="004E6D45" w:rsidRPr="004E6D45" w:rsidRDefault="004E6D45" w:rsidP="004E6D45">
            <w:pPr>
              <w:rPr>
                <w:i/>
              </w:rPr>
            </w:pPr>
            <w:r w:rsidRPr="004E6D45">
              <w:rPr>
                <w:i/>
              </w:rPr>
              <w:t xml:space="preserve">Clause 31(1). </w:t>
            </w:r>
          </w:p>
        </w:tc>
        <w:tc>
          <w:tcPr>
            <w:tcW w:w="11007" w:type="dxa"/>
            <w:gridSpan w:val="3"/>
          </w:tcPr>
          <w:p w:rsidR="004E6D45" w:rsidRDefault="004E6D45" w:rsidP="004E6D45">
            <w:r>
              <w:t>This clause should also provide for the role of the caregiver, as not all initiation schools have principals.</w:t>
            </w:r>
          </w:p>
        </w:tc>
      </w:tr>
      <w:tr w:rsidR="00111455" w:rsidRPr="00F50F3F" w:rsidTr="00B7391C">
        <w:tc>
          <w:tcPr>
            <w:tcW w:w="13392" w:type="dxa"/>
            <w:gridSpan w:val="9"/>
          </w:tcPr>
          <w:p w:rsidR="00111455" w:rsidRDefault="00111455" w:rsidP="00A44A8A">
            <w:pPr>
              <w:pStyle w:val="Heading1"/>
              <w:numPr>
                <w:ilvl w:val="0"/>
                <w:numId w:val="3"/>
              </w:numPr>
              <w:outlineLvl w:val="0"/>
            </w:pPr>
            <w:bookmarkStart w:id="26" w:name="_Toc524440620"/>
            <w:bookmarkStart w:id="27" w:name="_Toc526324779"/>
            <w:r w:rsidRPr="00F715ED">
              <w:t>Chapter 5: General Provisions</w:t>
            </w:r>
            <w:bookmarkEnd w:id="26"/>
            <w:bookmarkEnd w:id="27"/>
          </w:p>
        </w:tc>
      </w:tr>
      <w:tr w:rsidR="00111455" w:rsidRPr="00F50F3F" w:rsidTr="00B7391C">
        <w:tc>
          <w:tcPr>
            <w:tcW w:w="13392" w:type="dxa"/>
            <w:gridSpan w:val="9"/>
          </w:tcPr>
          <w:p w:rsidR="00111455" w:rsidRPr="00111455" w:rsidRDefault="00111455" w:rsidP="00A44A8A">
            <w:pPr>
              <w:pStyle w:val="Heading2"/>
              <w:numPr>
                <w:ilvl w:val="1"/>
                <w:numId w:val="3"/>
              </w:numPr>
              <w:outlineLvl w:val="1"/>
              <w:rPr>
                <w:lang w:val="en-GB"/>
              </w:rPr>
            </w:pPr>
            <w:bookmarkStart w:id="28" w:name="_Toc526324780"/>
            <w:r>
              <w:rPr>
                <w:lang w:val="en-GB"/>
              </w:rPr>
              <w:t>Offences</w:t>
            </w:r>
            <w:bookmarkEnd w:id="28"/>
          </w:p>
        </w:tc>
      </w:tr>
      <w:tr w:rsidR="00111455" w:rsidRPr="00F50F3F" w:rsidTr="00111455">
        <w:tc>
          <w:tcPr>
            <w:tcW w:w="2385" w:type="dxa"/>
            <w:gridSpan w:val="6"/>
          </w:tcPr>
          <w:p w:rsidR="00111455" w:rsidRPr="00111455" w:rsidRDefault="00111455" w:rsidP="00111455">
            <w:pPr>
              <w:rPr>
                <w:i/>
                <w:lang w:val="en-GB"/>
              </w:rPr>
            </w:pPr>
            <w:r w:rsidRPr="00111455">
              <w:rPr>
                <w:i/>
                <w:lang w:val="en-GB"/>
              </w:rPr>
              <w:t xml:space="preserve">Clause 33(1) (c). </w:t>
            </w:r>
          </w:p>
        </w:tc>
        <w:tc>
          <w:tcPr>
            <w:tcW w:w="11007" w:type="dxa"/>
            <w:gridSpan w:val="3"/>
          </w:tcPr>
          <w:p w:rsidR="00111455" w:rsidRDefault="00111455" w:rsidP="00111455">
            <w:pPr>
              <w:rPr>
                <w:lang w:val="en-GB"/>
              </w:rPr>
            </w:pPr>
            <w:r w:rsidRPr="00111455">
              <w:rPr>
                <w:lang w:val="en-GB"/>
              </w:rPr>
              <w:t>Increase the duration of imprisonment to a maximum of 20yrs</w:t>
            </w:r>
            <w:r>
              <w:rPr>
                <w:lang w:val="en-GB"/>
              </w:rPr>
              <w:t>. Fifteen years is too lenient.</w:t>
            </w:r>
          </w:p>
        </w:tc>
      </w:tr>
      <w:tr w:rsidR="005C5473" w:rsidRPr="00F50F3F" w:rsidTr="00B7391C">
        <w:tc>
          <w:tcPr>
            <w:tcW w:w="13392" w:type="dxa"/>
            <w:gridSpan w:val="9"/>
          </w:tcPr>
          <w:p w:rsidR="005C5473" w:rsidRPr="005C5473" w:rsidRDefault="005C5473" w:rsidP="00A44A8A">
            <w:pPr>
              <w:pStyle w:val="Heading2"/>
              <w:numPr>
                <w:ilvl w:val="1"/>
                <w:numId w:val="3"/>
              </w:numPr>
              <w:outlineLvl w:val="1"/>
              <w:rPr>
                <w:lang w:val="en-GB"/>
              </w:rPr>
            </w:pPr>
            <w:bookmarkStart w:id="29" w:name="_Toc526324781"/>
            <w:r>
              <w:rPr>
                <w:lang w:val="en-GB"/>
              </w:rPr>
              <w:t>Appeals</w:t>
            </w:r>
            <w:bookmarkEnd w:id="29"/>
          </w:p>
        </w:tc>
      </w:tr>
      <w:tr w:rsidR="005C5473" w:rsidRPr="00F50F3F" w:rsidTr="005C5473">
        <w:tc>
          <w:tcPr>
            <w:tcW w:w="2373" w:type="dxa"/>
            <w:gridSpan w:val="5"/>
          </w:tcPr>
          <w:p w:rsidR="005C5473" w:rsidRPr="005C5473" w:rsidRDefault="005C5473" w:rsidP="005C5473">
            <w:pPr>
              <w:rPr>
                <w:i/>
                <w:lang w:val="en-GB"/>
              </w:rPr>
            </w:pPr>
            <w:r w:rsidRPr="005C5473">
              <w:rPr>
                <w:i/>
                <w:lang w:val="en-GB"/>
              </w:rPr>
              <w:t>Clause 34(1).</w:t>
            </w:r>
          </w:p>
        </w:tc>
        <w:tc>
          <w:tcPr>
            <w:tcW w:w="11019" w:type="dxa"/>
            <w:gridSpan w:val="4"/>
          </w:tcPr>
          <w:p w:rsidR="005C5473" w:rsidRDefault="005C5473" w:rsidP="005C5473">
            <w:pPr>
              <w:rPr>
                <w:lang w:val="en-GB"/>
              </w:rPr>
            </w:pPr>
            <w:r w:rsidRPr="005C5473">
              <w:rPr>
                <w:lang w:val="en-GB"/>
              </w:rPr>
              <w:t xml:space="preserve">This clause should </w:t>
            </w:r>
            <w:r>
              <w:t>make it incumbent upon provincial officials to assist aggrieved persons with lodging appeals to the relevant Premier.</w:t>
            </w:r>
          </w:p>
        </w:tc>
      </w:tr>
      <w:tr w:rsidR="005C5473" w:rsidRPr="00F50F3F" w:rsidTr="00B7391C">
        <w:tc>
          <w:tcPr>
            <w:tcW w:w="13392" w:type="dxa"/>
            <w:gridSpan w:val="9"/>
          </w:tcPr>
          <w:p w:rsidR="005C5473" w:rsidRPr="005C5473" w:rsidRDefault="005C5473" w:rsidP="00A44A8A">
            <w:pPr>
              <w:pStyle w:val="Heading2"/>
              <w:numPr>
                <w:ilvl w:val="1"/>
                <w:numId w:val="3"/>
              </w:numPr>
              <w:outlineLvl w:val="1"/>
              <w:rPr>
                <w:lang w:val="en-GB"/>
              </w:rPr>
            </w:pPr>
            <w:bookmarkStart w:id="30" w:name="_Toc524440623"/>
            <w:bookmarkStart w:id="31" w:name="_Toc526324782"/>
            <w:r w:rsidRPr="00F715ED">
              <w:rPr>
                <w:lang w:val="en-GB"/>
              </w:rPr>
              <w:t>Interim arrangements</w:t>
            </w:r>
            <w:bookmarkEnd w:id="30"/>
            <w:bookmarkEnd w:id="31"/>
          </w:p>
        </w:tc>
      </w:tr>
      <w:tr w:rsidR="005C5473" w:rsidRPr="00F50F3F" w:rsidTr="005C5473">
        <w:tc>
          <w:tcPr>
            <w:tcW w:w="2327" w:type="dxa"/>
            <w:gridSpan w:val="3"/>
          </w:tcPr>
          <w:p w:rsidR="005C5473" w:rsidRPr="005C5473" w:rsidRDefault="005C5473" w:rsidP="005C5473">
            <w:pPr>
              <w:rPr>
                <w:i/>
                <w:lang w:val="en-GB"/>
              </w:rPr>
            </w:pPr>
            <w:r w:rsidRPr="005C5473">
              <w:rPr>
                <w:i/>
                <w:lang w:val="en-GB"/>
              </w:rPr>
              <w:t xml:space="preserve">Clause 41(1). </w:t>
            </w:r>
          </w:p>
        </w:tc>
        <w:tc>
          <w:tcPr>
            <w:tcW w:w="11065" w:type="dxa"/>
            <w:gridSpan w:val="6"/>
          </w:tcPr>
          <w:p w:rsidR="005C5473" w:rsidRPr="005C5473" w:rsidRDefault="005C5473" w:rsidP="005C5473">
            <w:pPr>
              <w:rPr>
                <w:i/>
                <w:lang w:val="en-GB"/>
              </w:rPr>
            </w:pPr>
            <w:r w:rsidRPr="005C5473">
              <w:rPr>
                <w:lang w:val="en-GB"/>
              </w:rPr>
              <w:t xml:space="preserve">This clause must also apply to traditional nurses. </w:t>
            </w:r>
          </w:p>
        </w:tc>
      </w:tr>
      <w:tr w:rsidR="005C5473" w:rsidRPr="00F50F3F" w:rsidTr="005C5473">
        <w:tc>
          <w:tcPr>
            <w:tcW w:w="2327" w:type="dxa"/>
            <w:gridSpan w:val="3"/>
          </w:tcPr>
          <w:p w:rsidR="005C5473" w:rsidRPr="005C5473" w:rsidRDefault="005C5473" w:rsidP="005C5473">
            <w:pPr>
              <w:rPr>
                <w:i/>
                <w:lang w:val="en-GB"/>
              </w:rPr>
            </w:pPr>
            <w:r w:rsidRPr="005C5473">
              <w:rPr>
                <w:i/>
                <w:lang w:val="en-GB"/>
              </w:rPr>
              <w:t>Clause 41(4) (a).</w:t>
            </w:r>
          </w:p>
        </w:tc>
        <w:tc>
          <w:tcPr>
            <w:tcW w:w="11065" w:type="dxa"/>
            <w:gridSpan w:val="6"/>
          </w:tcPr>
          <w:p w:rsidR="003D2D4E" w:rsidRPr="003D2D4E" w:rsidRDefault="003D2D4E" w:rsidP="003D2D4E">
            <w:pPr>
              <w:rPr>
                <w:i/>
                <w:lang w:val="en-GB"/>
              </w:rPr>
            </w:pPr>
            <w:r w:rsidRPr="003D2D4E">
              <w:rPr>
                <w:lang w:val="en-GB"/>
              </w:rPr>
              <w:t>Community structures directly involved in the initiation process should also be among those, which the Minister may consult with, in determining initiation registration fees, and fees rendered to a traditional surgeon for his service</w:t>
            </w:r>
          </w:p>
          <w:p w:rsidR="003D2D4E" w:rsidRDefault="003D2D4E" w:rsidP="003D2D4E">
            <w:pPr>
              <w:rPr>
                <w:i/>
                <w:lang w:val="en-GB"/>
              </w:rPr>
            </w:pPr>
          </w:p>
          <w:p w:rsidR="005C5473" w:rsidRPr="005C5473" w:rsidRDefault="005C5473" w:rsidP="005C5473">
            <w:pPr>
              <w:rPr>
                <w:lang w:val="en-GB"/>
              </w:rPr>
            </w:pPr>
          </w:p>
        </w:tc>
      </w:tr>
    </w:tbl>
    <w:p w:rsidR="000D027A" w:rsidRDefault="002A3DEE" w:rsidP="002A3DEE">
      <w:pPr>
        <w:tabs>
          <w:tab w:val="left" w:pos="810"/>
          <w:tab w:val="left" w:pos="2097"/>
        </w:tabs>
        <w:rPr>
          <w:rFonts w:cs="Arial"/>
          <w:sz w:val="2"/>
          <w:szCs w:val="2"/>
        </w:rPr>
      </w:pPr>
      <w:bookmarkStart w:id="32" w:name="_GoBack"/>
      <w:bookmarkEnd w:id="32"/>
      <w:r>
        <w:rPr>
          <w:rFonts w:cs="Arial"/>
          <w:sz w:val="2"/>
          <w:szCs w:val="2"/>
        </w:rPr>
        <w:lastRenderedPageBreak/>
        <w:tab/>
      </w:r>
    </w:p>
    <w:p w:rsidR="000D027A" w:rsidRDefault="00BD44E1" w:rsidP="000D027A">
      <w:pPr>
        <w:tabs>
          <w:tab w:val="left" w:pos="2097"/>
        </w:tabs>
        <w:rPr>
          <w:rFonts w:cs="Arial"/>
          <w:sz w:val="2"/>
          <w:szCs w:val="2"/>
        </w:rPr>
      </w:pPr>
      <w:r w:rsidRPr="00BD44E1">
        <w:rPr>
          <w:rFonts w:cs="Arial"/>
          <w:noProof/>
          <w:sz w:val="2"/>
          <w:szCs w:val="2"/>
        </w:rPr>
        <w:pict>
          <v:rect id="_x0000_i1025" alt="" style="width:670.1pt;height:1.5pt;mso-width-percent:0;mso-height-percent:0;mso-width-percent:0;mso-height-percent:0" o:hralign="center" o:hrstd="t" o:hrnoshade="t" o:hr="t" fillcolor="#a0a0a0" stroked="f"/>
        </w:pict>
      </w:r>
    </w:p>
    <w:p w:rsidR="00BE1544" w:rsidRPr="000D027A" w:rsidRDefault="00BE1544" w:rsidP="000D027A">
      <w:pPr>
        <w:tabs>
          <w:tab w:val="left" w:pos="2097"/>
        </w:tabs>
        <w:rPr>
          <w:rFonts w:cs="Arial"/>
          <w:sz w:val="2"/>
          <w:szCs w:val="2"/>
        </w:rPr>
      </w:pPr>
    </w:p>
    <w:sectPr w:rsidR="00BE1544" w:rsidRPr="000D027A" w:rsidSect="00315B0C">
      <w:pgSz w:w="16838" w:h="11906" w:orient="landscape" w:code="9"/>
      <w:pgMar w:top="2268" w:right="1996"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3F1" w:rsidRDefault="00A213F1" w:rsidP="00BE1544">
      <w:pPr>
        <w:spacing w:line="240" w:lineRule="auto"/>
      </w:pPr>
      <w:r>
        <w:separator/>
      </w:r>
    </w:p>
  </w:endnote>
  <w:endnote w:type="continuationSeparator" w:id="0">
    <w:p w:rsidR="00A213F1" w:rsidRDefault="00A213F1" w:rsidP="00BE15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611025"/>
      <w:docPartObj>
        <w:docPartGallery w:val="Page Numbers (Bottom of Page)"/>
        <w:docPartUnique/>
      </w:docPartObj>
    </w:sdtPr>
    <w:sdtContent>
      <w:sdt>
        <w:sdtPr>
          <w:id w:val="-712881419"/>
          <w:docPartObj>
            <w:docPartGallery w:val="Page Numbers (Top of Page)"/>
            <w:docPartUnique/>
          </w:docPartObj>
        </w:sdtPr>
        <w:sdtContent>
          <w:p w:rsidR="00B7391C" w:rsidRPr="007E539C" w:rsidRDefault="00BD44E1" w:rsidP="00BE1544">
            <w:pPr>
              <w:pStyle w:val="Footer"/>
              <w:rPr>
                <w:sz w:val="2"/>
                <w:szCs w:val="2"/>
              </w:rPr>
            </w:pPr>
            <w:r w:rsidRPr="00BD44E1">
              <w:rPr>
                <w:rFonts w:cs="Arial"/>
                <w:b/>
                <w:noProof/>
                <w:sz w:val="16"/>
                <w:szCs w:val="16"/>
                <w:lang w:eastAsia="en-ZA"/>
              </w:rPr>
              <w:pict>
                <v:line id="Straight Connector 12" o:spid="_x0000_s4098"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790.5pt" to="447.0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" strokecolor="#70ad47 [3209]" strokeweight=".5pt">
                  <v:stroke joinstyle="miter"/>
                  <w10:wrap anchorx="margin" anchory="page"/>
                </v:line>
              </w:pict>
            </w:r>
            <w:r w:rsidR="00B7391C" w:rsidRPr="00BE1544">
              <w:rPr>
                <w:rFonts w:cs="Arial"/>
                <w:b/>
                <w:sz w:val="16"/>
                <w:szCs w:val="16"/>
              </w:rPr>
              <w:t>Research Unit |</w:t>
            </w:r>
            <w:r w:rsidR="00B7391C" w:rsidRPr="00BE1544">
              <w:rPr>
                <w:rFonts w:cs="Arial"/>
                <w:sz w:val="16"/>
                <w:szCs w:val="16"/>
              </w:rPr>
              <w:t xml:space="preserve"> </w:t>
            </w:r>
            <w:r w:rsidR="00B7391C">
              <w:rPr>
                <w:rFonts w:cs="Arial"/>
                <w:sz w:val="16"/>
                <w:szCs w:val="16"/>
              </w:rPr>
              <w:t xml:space="preserve">Consolidated Summary of all inputs on the Customary Initiation Bill                                                                                                         </w:t>
            </w:r>
            <w:r w:rsidR="00B7391C" w:rsidRPr="00BE1544">
              <w:rPr>
                <w:rFonts w:cs="Arial"/>
                <w:sz w:val="16"/>
                <w:szCs w:val="16"/>
              </w:rPr>
              <w:t xml:space="preserve">                          Page </w:t>
            </w:r>
            <w:r w:rsidRPr="00BE1544">
              <w:rPr>
                <w:rFonts w:cs="Arial"/>
                <w:bCs/>
                <w:sz w:val="16"/>
                <w:szCs w:val="16"/>
              </w:rPr>
              <w:fldChar w:fldCharType="begin"/>
            </w:r>
            <w:r w:rsidR="00B7391C" w:rsidRPr="00BE1544">
              <w:rPr>
                <w:rFonts w:cs="Arial"/>
                <w:bCs/>
                <w:sz w:val="16"/>
                <w:szCs w:val="16"/>
              </w:rPr>
              <w:instrText xml:space="preserve"> PAGE </w:instrText>
            </w:r>
            <w:r w:rsidRPr="00BE1544">
              <w:rPr>
                <w:rFonts w:cs="Arial"/>
                <w:bCs/>
                <w:sz w:val="16"/>
                <w:szCs w:val="16"/>
              </w:rPr>
              <w:fldChar w:fldCharType="separate"/>
            </w:r>
            <w:r w:rsidR="00BF0DE3">
              <w:rPr>
                <w:rFonts w:cs="Arial"/>
                <w:bCs/>
                <w:noProof/>
                <w:sz w:val="16"/>
                <w:szCs w:val="16"/>
              </w:rPr>
              <w:t>10</w:t>
            </w:r>
            <w:r w:rsidRPr="00BE1544">
              <w:rPr>
                <w:rFonts w:cs="Arial"/>
                <w:bCs/>
                <w:sz w:val="16"/>
                <w:szCs w:val="16"/>
              </w:rPr>
              <w:fldChar w:fldCharType="end"/>
            </w:r>
            <w:r w:rsidR="00B7391C" w:rsidRPr="00BE1544">
              <w:rPr>
                <w:rFonts w:cs="Arial"/>
                <w:sz w:val="16"/>
                <w:szCs w:val="16"/>
              </w:rPr>
              <w:t xml:space="preserve"> of </w:t>
            </w:r>
            <w:r w:rsidRPr="00BE1544">
              <w:rPr>
                <w:rFonts w:cs="Arial"/>
                <w:bCs/>
                <w:sz w:val="16"/>
                <w:szCs w:val="16"/>
              </w:rPr>
              <w:fldChar w:fldCharType="begin"/>
            </w:r>
            <w:r w:rsidR="00B7391C" w:rsidRPr="00BE1544">
              <w:rPr>
                <w:rFonts w:cs="Arial"/>
                <w:bCs/>
                <w:sz w:val="16"/>
                <w:szCs w:val="16"/>
              </w:rPr>
              <w:instrText xml:space="preserve"> NUMPAGES  </w:instrText>
            </w:r>
            <w:r w:rsidRPr="00BE1544">
              <w:rPr>
                <w:rFonts w:cs="Arial"/>
                <w:bCs/>
                <w:sz w:val="16"/>
                <w:szCs w:val="16"/>
              </w:rPr>
              <w:fldChar w:fldCharType="separate"/>
            </w:r>
            <w:r w:rsidR="00BF0DE3">
              <w:rPr>
                <w:rFonts w:cs="Arial"/>
                <w:bCs/>
                <w:noProof/>
                <w:sz w:val="16"/>
                <w:szCs w:val="16"/>
              </w:rPr>
              <w:t>10</w:t>
            </w:r>
            <w:r w:rsidRPr="00BE1544">
              <w:rPr>
                <w:rFonts w:cs="Arial"/>
                <w:bCs/>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91C" w:rsidRPr="007E539C" w:rsidRDefault="00BD44E1">
    <w:pPr>
      <w:pStyle w:val="Footer"/>
      <w:rPr>
        <w:rFonts w:cs="Arial"/>
        <w:sz w:val="2"/>
        <w:szCs w:val="2"/>
      </w:rPr>
    </w:pPr>
    <w:r w:rsidRPr="00BD44E1">
      <w:rPr>
        <w:rFonts w:cs="Arial"/>
        <w:b/>
        <w:noProof/>
        <w:sz w:val="16"/>
        <w:szCs w:val="16"/>
        <w:lang w:eastAsia="en-ZA"/>
      </w:rPr>
      <w:pict>
        <v:line id="Straight Connector 9" o:spid="_x0000_s4097"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3pt,790pt" to="448.35pt,7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" strokecolor="#70ad47 [3209]" strokeweight=".5pt">
          <v:stroke joinstyle="miter"/>
          <w10:wrap anchorx="margin" anchory="page"/>
        </v:line>
      </w:pict>
    </w:r>
    <w:r w:rsidR="00B7391C" w:rsidRPr="00BE1544">
      <w:rPr>
        <w:rFonts w:cs="Arial"/>
        <w:b/>
        <w:sz w:val="16"/>
        <w:szCs w:val="16"/>
      </w:rPr>
      <w:t>Research Unit</w:t>
    </w:r>
    <w:r w:rsidR="00B7391C">
      <w:rPr>
        <w:rFonts w:cs="Arial"/>
        <w:b/>
        <w:sz w:val="16"/>
        <w:szCs w:val="16"/>
      </w:rPr>
      <w:t xml:space="preserve"> </w:t>
    </w:r>
    <w:r w:rsidR="00B7391C" w:rsidRPr="00BE1544">
      <w:rPr>
        <w:rFonts w:cs="Arial"/>
        <w:b/>
        <w:sz w:val="16"/>
        <w:szCs w:val="16"/>
      </w:rPr>
      <w:t>|</w:t>
    </w:r>
    <w:r w:rsidR="00B7391C">
      <w:rPr>
        <w:rFonts w:cs="Arial"/>
        <w:sz w:val="16"/>
        <w:szCs w:val="16"/>
      </w:rPr>
      <w:t xml:space="preserve"> Author: Andile </w:t>
    </w:r>
    <w:proofErr w:type="spellStart"/>
    <w:r w:rsidR="00B7391C">
      <w:rPr>
        <w:rFonts w:cs="Arial"/>
        <w:sz w:val="16"/>
        <w:szCs w:val="16"/>
      </w:rPr>
      <w:t>Sokomani</w:t>
    </w:r>
    <w:proofErr w:type="spellEnd"/>
    <w:r w:rsidR="00B7391C" w:rsidRPr="00BE1544">
      <w:rPr>
        <w:rFonts w:cs="Arial"/>
        <w:sz w:val="16"/>
        <w:szCs w:val="16"/>
      </w:rPr>
      <w:t xml:space="preserve">                                                                                 </w:t>
    </w:r>
    <w:r w:rsidR="00B7391C">
      <w:rPr>
        <w:rFonts w:cs="Arial"/>
        <w:sz w:val="16"/>
        <w:szCs w:val="16"/>
      </w:rPr>
      <w:t xml:space="preserve">                              Contact details: 021 403 8315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3F1" w:rsidRDefault="00A213F1" w:rsidP="00BE1544">
      <w:pPr>
        <w:spacing w:line="240" w:lineRule="auto"/>
      </w:pPr>
      <w:r>
        <w:separator/>
      </w:r>
    </w:p>
  </w:footnote>
  <w:footnote w:type="continuationSeparator" w:id="0">
    <w:p w:rsidR="00A213F1" w:rsidRDefault="00A213F1" w:rsidP="00BE154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91C" w:rsidRPr="00784DA7" w:rsidRDefault="00B7391C">
    <w:pPr>
      <w:pStyle w:val="Header"/>
      <w:rPr>
        <w:sz w:val="2"/>
        <w:szCs w:val="2"/>
      </w:rPr>
    </w:pPr>
    <w:r w:rsidRPr="00784DA7">
      <w:rPr>
        <w:noProof/>
        <w:sz w:val="2"/>
        <w:szCs w:val="2"/>
        <w:lang w:eastAsia="en-ZA"/>
      </w:rPr>
      <w:drawing>
        <wp:anchor distT="0" distB="0" distL="114300" distR="114300" simplePos="0" relativeHeight="251659264" behindDoc="0" locked="0" layoutInCell="1" allowOverlap="1">
          <wp:simplePos x="0" y="0"/>
          <wp:positionH relativeFrom="margin">
            <wp:posOffset>4931410</wp:posOffset>
          </wp:positionH>
          <wp:positionV relativeFrom="page">
            <wp:posOffset>344643</wp:posOffset>
          </wp:positionV>
          <wp:extent cx="800100" cy="824230"/>
          <wp:effectExtent l="0" t="0" r="0" b="0"/>
          <wp:wrapSquare wrapText="bothSides"/>
          <wp:docPr id="24" name="Picture 2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68547"/>
                  <a:stretch>
                    <a:fillRect/>
                  </a:stretch>
                </pic:blipFill>
                <pic:spPr bwMode="auto">
                  <a:xfrm>
                    <a:off x="0" y="0"/>
                    <a:ext cx="800100" cy="824230"/>
                  </a:xfrm>
                  <a:prstGeom prst="rect">
                    <a:avLst/>
                  </a:prstGeom>
                  <a:noFill/>
                  <a:ln>
                    <a:noFill/>
                  </a:ln>
                </pic:spPr>
              </pic:pic>
            </a:graphicData>
          </a:graphic>
        </wp:anchor>
      </w:drawing>
    </w:r>
  </w:p>
  <w:p w:rsidR="00B7391C" w:rsidRPr="00784DA7" w:rsidRDefault="00B7391C">
    <w:pPr>
      <w:pStyle w:val="Head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91C" w:rsidRPr="007E539C" w:rsidRDefault="00B7391C">
    <w:pPr>
      <w:pStyle w:val="Header"/>
      <w:rPr>
        <w:sz w:val="2"/>
        <w:szCs w:val="2"/>
      </w:rPr>
    </w:pPr>
    <w:r w:rsidRPr="007E539C">
      <w:rPr>
        <w:noProof/>
        <w:sz w:val="2"/>
        <w:szCs w:val="2"/>
        <w:lang w:eastAsia="en-ZA"/>
      </w:rPr>
      <w:drawing>
        <wp:anchor distT="0" distB="0" distL="114300" distR="114300" simplePos="0" relativeHeight="251658240" behindDoc="0" locked="0" layoutInCell="1" allowOverlap="1">
          <wp:simplePos x="0" y="0"/>
          <wp:positionH relativeFrom="margin">
            <wp:posOffset>-82388</wp:posOffset>
          </wp:positionH>
          <wp:positionV relativeFrom="page">
            <wp:posOffset>411480</wp:posOffset>
          </wp:positionV>
          <wp:extent cx="2543810" cy="824230"/>
          <wp:effectExtent l="0" t="0" r="8890" b="0"/>
          <wp:wrapSquare wrapText="bothSides"/>
          <wp:docPr id="25"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3810" cy="824230"/>
                  </a:xfrm>
                  <a:prstGeom prst="rect">
                    <a:avLst/>
                  </a:prstGeom>
                  <a:noFill/>
                  <a:ln>
                    <a:noFill/>
                  </a:ln>
                </pic:spPr>
              </pic:pic>
            </a:graphicData>
          </a:graphic>
        </wp:anchor>
      </w:drawing>
    </w:r>
    <w:r w:rsidRPr="007E539C">
      <w:rPr>
        <w:noProof/>
        <w:sz w:val="2"/>
        <w:szCs w:val="2"/>
        <w:lang w:eastAsia="en-ZA"/>
      </w:rPr>
      <w:drawing>
        <wp:anchor distT="0" distB="0" distL="114300" distR="114300" simplePos="0" relativeHeight="251660288" behindDoc="1" locked="0" layoutInCell="1" allowOverlap="1">
          <wp:simplePos x="0" y="0"/>
          <wp:positionH relativeFrom="margin">
            <wp:posOffset>3557743</wp:posOffset>
          </wp:positionH>
          <wp:positionV relativeFrom="page">
            <wp:posOffset>560070</wp:posOffset>
          </wp:positionV>
          <wp:extent cx="2279650" cy="611505"/>
          <wp:effectExtent l="0" t="0" r="6350" b="0"/>
          <wp:wrapSquare wrapText="bothSides"/>
          <wp:docPr id="26" name="Picture 26"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UNIT-RGB-HEADE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79650" cy="61150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D4F3F"/>
    <w:multiLevelType w:val="hybridMultilevel"/>
    <w:tmpl w:val="B00EB8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CDA7FEE"/>
    <w:multiLevelType w:val="hybridMultilevel"/>
    <w:tmpl w:val="249E2C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FBD53C5"/>
    <w:multiLevelType w:val="hybridMultilevel"/>
    <w:tmpl w:val="091E1B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0870B85"/>
    <w:multiLevelType w:val="hybridMultilevel"/>
    <w:tmpl w:val="23B4F7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34F3485"/>
    <w:multiLevelType w:val="hybridMultilevel"/>
    <w:tmpl w:val="05DE66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8087D7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C5445DE"/>
    <w:multiLevelType w:val="hybridMultilevel"/>
    <w:tmpl w:val="1EBED3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D551DD7"/>
    <w:multiLevelType w:val="hybridMultilevel"/>
    <w:tmpl w:val="E2BCE1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FF31431"/>
    <w:multiLevelType w:val="hybridMultilevel"/>
    <w:tmpl w:val="8ACEA0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5336F01"/>
    <w:multiLevelType w:val="hybridMultilevel"/>
    <w:tmpl w:val="B0065C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A6245FF"/>
    <w:multiLevelType w:val="multilevel"/>
    <w:tmpl w:val="B55070A8"/>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A9C0503"/>
    <w:multiLevelType w:val="hybridMultilevel"/>
    <w:tmpl w:val="F5B494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E097D94"/>
    <w:multiLevelType w:val="hybridMultilevel"/>
    <w:tmpl w:val="B36E3A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F401346"/>
    <w:multiLevelType w:val="hybridMultilevel"/>
    <w:tmpl w:val="3E328C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FA36A05"/>
    <w:multiLevelType w:val="hybridMultilevel"/>
    <w:tmpl w:val="0114BE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E954C2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6966783"/>
    <w:multiLevelType w:val="hybridMultilevel"/>
    <w:tmpl w:val="1F4037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CB16020"/>
    <w:multiLevelType w:val="hybridMultilevel"/>
    <w:tmpl w:val="CFD254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5"/>
  </w:num>
  <w:num w:numId="4">
    <w:abstractNumId w:val="3"/>
  </w:num>
  <w:num w:numId="5">
    <w:abstractNumId w:val="4"/>
  </w:num>
  <w:num w:numId="6">
    <w:abstractNumId w:val="17"/>
  </w:num>
  <w:num w:numId="7">
    <w:abstractNumId w:val="12"/>
  </w:num>
  <w:num w:numId="8">
    <w:abstractNumId w:val="1"/>
  </w:num>
  <w:num w:numId="9">
    <w:abstractNumId w:val="14"/>
  </w:num>
  <w:num w:numId="10">
    <w:abstractNumId w:val="7"/>
  </w:num>
  <w:num w:numId="11">
    <w:abstractNumId w:val="6"/>
  </w:num>
  <w:num w:numId="12">
    <w:abstractNumId w:val="0"/>
  </w:num>
  <w:num w:numId="13">
    <w:abstractNumId w:val="8"/>
  </w:num>
  <w:num w:numId="14">
    <w:abstractNumId w:val="13"/>
  </w:num>
  <w:num w:numId="15">
    <w:abstractNumId w:val="16"/>
  </w:num>
  <w:num w:numId="16">
    <w:abstractNumId w:val="2"/>
  </w:num>
  <w:num w:numId="17">
    <w:abstractNumId w:val="11"/>
  </w:num>
  <w:num w:numId="18">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spelling="clean" w:grammar="clean"/>
  <w:attachedTemplate r:id="rId1"/>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8F3E3A"/>
    <w:rsid w:val="00006CB6"/>
    <w:rsid w:val="00014B3C"/>
    <w:rsid w:val="0001506A"/>
    <w:rsid w:val="00052B47"/>
    <w:rsid w:val="000571D7"/>
    <w:rsid w:val="00075FD2"/>
    <w:rsid w:val="00084485"/>
    <w:rsid w:val="00085161"/>
    <w:rsid w:val="00091DEB"/>
    <w:rsid w:val="000A26DB"/>
    <w:rsid w:val="000B6CC4"/>
    <w:rsid w:val="000C18AB"/>
    <w:rsid w:val="000C3F65"/>
    <w:rsid w:val="000C426C"/>
    <w:rsid w:val="000C5AB3"/>
    <w:rsid w:val="000D027A"/>
    <w:rsid w:val="000D5136"/>
    <w:rsid w:val="000E632F"/>
    <w:rsid w:val="000F6EDC"/>
    <w:rsid w:val="000F7DAB"/>
    <w:rsid w:val="001052A4"/>
    <w:rsid w:val="00110010"/>
    <w:rsid w:val="00111455"/>
    <w:rsid w:val="0011376D"/>
    <w:rsid w:val="00137770"/>
    <w:rsid w:val="00150917"/>
    <w:rsid w:val="00180D47"/>
    <w:rsid w:val="00182EB3"/>
    <w:rsid w:val="00184D13"/>
    <w:rsid w:val="001A77A5"/>
    <w:rsid w:val="001D7D44"/>
    <w:rsid w:val="001F4ACA"/>
    <w:rsid w:val="001F4EE7"/>
    <w:rsid w:val="00202BAE"/>
    <w:rsid w:val="002321D0"/>
    <w:rsid w:val="002432A4"/>
    <w:rsid w:val="00244295"/>
    <w:rsid w:val="002655F3"/>
    <w:rsid w:val="00284292"/>
    <w:rsid w:val="002856F1"/>
    <w:rsid w:val="00292A4C"/>
    <w:rsid w:val="002A3DEE"/>
    <w:rsid w:val="002A6E7E"/>
    <w:rsid w:val="002B2428"/>
    <w:rsid w:val="002C0DDB"/>
    <w:rsid w:val="002C4FA9"/>
    <w:rsid w:val="002D6EE7"/>
    <w:rsid w:val="002F074F"/>
    <w:rsid w:val="002F3D22"/>
    <w:rsid w:val="002F7B25"/>
    <w:rsid w:val="0031278C"/>
    <w:rsid w:val="00315B0C"/>
    <w:rsid w:val="00317BE0"/>
    <w:rsid w:val="0032556A"/>
    <w:rsid w:val="00333C00"/>
    <w:rsid w:val="00334210"/>
    <w:rsid w:val="003359FD"/>
    <w:rsid w:val="0034479B"/>
    <w:rsid w:val="00345F33"/>
    <w:rsid w:val="00357EF9"/>
    <w:rsid w:val="00361F20"/>
    <w:rsid w:val="00363C1F"/>
    <w:rsid w:val="003715F8"/>
    <w:rsid w:val="00376425"/>
    <w:rsid w:val="00380D0B"/>
    <w:rsid w:val="003939BE"/>
    <w:rsid w:val="003941F0"/>
    <w:rsid w:val="00395622"/>
    <w:rsid w:val="003A5B36"/>
    <w:rsid w:val="003B1BA1"/>
    <w:rsid w:val="003B26E0"/>
    <w:rsid w:val="003C1DC2"/>
    <w:rsid w:val="003D2D4E"/>
    <w:rsid w:val="003D3575"/>
    <w:rsid w:val="00410465"/>
    <w:rsid w:val="00413E7A"/>
    <w:rsid w:val="00417640"/>
    <w:rsid w:val="0042571C"/>
    <w:rsid w:val="00436E91"/>
    <w:rsid w:val="00440161"/>
    <w:rsid w:val="00444949"/>
    <w:rsid w:val="00455203"/>
    <w:rsid w:val="00455478"/>
    <w:rsid w:val="00456B61"/>
    <w:rsid w:val="00460D0D"/>
    <w:rsid w:val="00467C16"/>
    <w:rsid w:val="004909D9"/>
    <w:rsid w:val="004E6D45"/>
    <w:rsid w:val="005028B1"/>
    <w:rsid w:val="00515F27"/>
    <w:rsid w:val="005253F0"/>
    <w:rsid w:val="00531B27"/>
    <w:rsid w:val="00533122"/>
    <w:rsid w:val="00553F52"/>
    <w:rsid w:val="00580482"/>
    <w:rsid w:val="005A3617"/>
    <w:rsid w:val="005B0753"/>
    <w:rsid w:val="005C05F7"/>
    <w:rsid w:val="005C36D0"/>
    <w:rsid w:val="005C50EC"/>
    <w:rsid w:val="005C5473"/>
    <w:rsid w:val="005D12FB"/>
    <w:rsid w:val="005E068D"/>
    <w:rsid w:val="005E22E3"/>
    <w:rsid w:val="005E2F23"/>
    <w:rsid w:val="006038A2"/>
    <w:rsid w:val="00630EFB"/>
    <w:rsid w:val="00634B49"/>
    <w:rsid w:val="006409B7"/>
    <w:rsid w:val="00651FB5"/>
    <w:rsid w:val="006570DC"/>
    <w:rsid w:val="0066124A"/>
    <w:rsid w:val="006661F2"/>
    <w:rsid w:val="00682C3A"/>
    <w:rsid w:val="00686DD9"/>
    <w:rsid w:val="00694E92"/>
    <w:rsid w:val="006A3A96"/>
    <w:rsid w:val="006B7449"/>
    <w:rsid w:val="006C3050"/>
    <w:rsid w:val="006F5E2B"/>
    <w:rsid w:val="00703B92"/>
    <w:rsid w:val="007041C5"/>
    <w:rsid w:val="007520CE"/>
    <w:rsid w:val="00771874"/>
    <w:rsid w:val="00784DA7"/>
    <w:rsid w:val="0078623F"/>
    <w:rsid w:val="00790760"/>
    <w:rsid w:val="00790F12"/>
    <w:rsid w:val="00797CA2"/>
    <w:rsid w:val="007A4A2C"/>
    <w:rsid w:val="007A61BB"/>
    <w:rsid w:val="007B1B9C"/>
    <w:rsid w:val="007B48AF"/>
    <w:rsid w:val="007C6026"/>
    <w:rsid w:val="007D00A4"/>
    <w:rsid w:val="007D309A"/>
    <w:rsid w:val="007E539C"/>
    <w:rsid w:val="007F7A24"/>
    <w:rsid w:val="00820FC0"/>
    <w:rsid w:val="008234BE"/>
    <w:rsid w:val="008429B7"/>
    <w:rsid w:val="00871644"/>
    <w:rsid w:val="00893EE9"/>
    <w:rsid w:val="00896B5E"/>
    <w:rsid w:val="008A1185"/>
    <w:rsid w:val="008B4073"/>
    <w:rsid w:val="008C60D7"/>
    <w:rsid w:val="008D755A"/>
    <w:rsid w:val="008E2BA5"/>
    <w:rsid w:val="008F3E3A"/>
    <w:rsid w:val="00905AB5"/>
    <w:rsid w:val="00916DDB"/>
    <w:rsid w:val="00961260"/>
    <w:rsid w:val="0096602F"/>
    <w:rsid w:val="00970989"/>
    <w:rsid w:val="009814FF"/>
    <w:rsid w:val="00995F1B"/>
    <w:rsid w:val="009968E0"/>
    <w:rsid w:val="009A2690"/>
    <w:rsid w:val="009B2439"/>
    <w:rsid w:val="009E0C94"/>
    <w:rsid w:val="009E70A0"/>
    <w:rsid w:val="009F6FF5"/>
    <w:rsid w:val="00A06690"/>
    <w:rsid w:val="00A213F1"/>
    <w:rsid w:val="00A21E2B"/>
    <w:rsid w:val="00A3107A"/>
    <w:rsid w:val="00A44A8A"/>
    <w:rsid w:val="00A47352"/>
    <w:rsid w:val="00A500CE"/>
    <w:rsid w:val="00A5379C"/>
    <w:rsid w:val="00A550DE"/>
    <w:rsid w:val="00A833E0"/>
    <w:rsid w:val="00AA4C32"/>
    <w:rsid w:val="00AB17F9"/>
    <w:rsid w:val="00AB7D8A"/>
    <w:rsid w:val="00AC243C"/>
    <w:rsid w:val="00AC7A0B"/>
    <w:rsid w:val="00AD0A4E"/>
    <w:rsid w:val="00AD4696"/>
    <w:rsid w:val="00B11ADB"/>
    <w:rsid w:val="00B66FA9"/>
    <w:rsid w:val="00B71AD6"/>
    <w:rsid w:val="00B7391C"/>
    <w:rsid w:val="00B9302E"/>
    <w:rsid w:val="00BA14D7"/>
    <w:rsid w:val="00BB0034"/>
    <w:rsid w:val="00BB151C"/>
    <w:rsid w:val="00BB3A5C"/>
    <w:rsid w:val="00BB5511"/>
    <w:rsid w:val="00BB649B"/>
    <w:rsid w:val="00BC3C3E"/>
    <w:rsid w:val="00BC3E89"/>
    <w:rsid w:val="00BC4CC2"/>
    <w:rsid w:val="00BD0814"/>
    <w:rsid w:val="00BD44E1"/>
    <w:rsid w:val="00BE1544"/>
    <w:rsid w:val="00BE70DE"/>
    <w:rsid w:val="00BF0DE3"/>
    <w:rsid w:val="00C0345E"/>
    <w:rsid w:val="00C26258"/>
    <w:rsid w:val="00C303B4"/>
    <w:rsid w:val="00C36E84"/>
    <w:rsid w:val="00C4327B"/>
    <w:rsid w:val="00C80C76"/>
    <w:rsid w:val="00C9321B"/>
    <w:rsid w:val="00CA6C85"/>
    <w:rsid w:val="00CB2D89"/>
    <w:rsid w:val="00CB3A3F"/>
    <w:rsid w:val="00CE0993"/>
    <w:rsid w:val="00D323E9"/>
    <w:rsid w:val="00D40408"/>
    <w:rsid w:val="00D411FE"/>
    <w:rsid w:val="00D54D5F"/>
    <w:rsid w:val="00DB5293"/>
    <w:rsid w:val="00DB58C3"/>
    <w:rsid w:val="00DC712D"/>
    <w:rsid w:val="00E027D6"/>
    <w:rsid w:val="00E02E1A"/>
    <w:rsid w:val="00E03B14"/>
    <w:rsid w:val="00E20F08"/>
    <w:rsid w:val="00E337B5"/>
    <w:rsid w:val="00E43BC4"/>
    <w:rsid w:val="00E536C8"/>
    <w:rsid w:val="00E57BD2"/>
    <w:rsid w:val="00EA03E4"/>
    <w:rsid w:val="00EF389B"/>
    <w:rsid w:val="00F14BC4"/>
    <w:rsid w:val="00F22720"/>
    <w:rsid w:val="00F3022A"/>
    <w:rsid w:val="00F302A1"/>
    <w:rsid w:val="00F459DC"/>
    <w:rsid w:val="00F50F3F"/>
    <w:rsid w:val="00F52460"/>
    <w:rsid w:val="00F715ED"/>
    <w:rsid w:val="00F913E3"/>
    <w:rsid w:val="00FA1BA1"/>
    <w:rsid w:val="00FB1256"/>
    <w:rsid w:val="00FC0599"/>
    <w:rsid w:val="00FC4062"/>
    <w:rsid w:val="00FE2FB0"/>
    <w:rsid w:val="00FF260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D6EE7"/>
    <w:pPr>
      <w:spacing w:after="0" w:line="280" w:lineRule="exact"/>
      <w:jc w:val="both"/>
    </w:pPr>
    <w:rPr>
      <w:rFonts w:ascii="Arial" w:hAnsi="Arial"/>
    </w:rPr>
  </w:style>
  <w:style w:type="paragraph" w:styleId="Heading1">
    <w:name w:val="heading 1"/>
    <w:basedOn w:val="Normal"/>
    <w:next w:val="Normal"/>
    <w:link w:val="Heading1Char"/>
    <w:uiPriority w:val="9"/>
    <w:qFormat/>
    <w:rsid w:val="005028B1"/>
    <w:pPr>
      <w:keepNext/>
      <w:keepLines/>
      <w:spacing w:before="240"/>
      <w:outlineLvl w:val="0"/>
    </w:pPr>
    <w:rPr>
      <w:rFonts w:eastAsiaTheme="majorEastAsia" w:cstheme="majorBidi"/>
      <w:b/>
      <w:caps/>
      <w:color w:val="538135" w:themeColor="accent6" w:themeShade="BF"/>
      <w:szCs w:val="32"/>
    </w:rPr>
  </w:style>
  <w:style w:type="paragraph" w:styleId="Heading2">
    <w:name w:val="heading 2"/>
    <w:basedOn w:val="Normal"/>
    <w:next w:val="Normal"/>
    <w:link w:val="Heading2Char"/>
    <w:uiPriority w:val="9"/>
    <w:unhideWhenUsed/>
    <w:qFormat/>
    <w:rsid w:val="005028B1"/>
    <w:pPr>
      <w:keepNext/>
      <w:keepLines/>
      <w:spacing w:before="40"/>
      <w:jc w:val="left"/>
      <w:outlineLvl w:val="1"/>
    </w:pPr>
    <w:rPr>
      <w:rFonts w:eastAsiaTheme="majorEastAsia" w:cstheme="majorBidi"/>
      <w:b/>
      <w:color w:val="538135" w:themeColor="accent6" w:themeShade="BF"/>
      <w:szCs w:val="26"/>
    </w:rPr>
  </w:style>
  <w:style w:type="paragraph" w:styleId="Heading3">
    <w:name w:val="heading 3"/>
    <w:basedOn w:val="Normal"/>
    <w:next w:val="Normal"/>
    <w:link w:val="Heading3Char"/>
    <w:uiPriority w:val="9"/>
    <w:unhideWhenUsed/>
    <w:qFormat/>
    <w:rsid w:val="00052B47"/>
    <w:pPr>
      <w:keepNext/>
      <w:keepLines/>
      <w:outlineLvl w:val="2"/>
    </w:pPr>
    <w:rPr>
      <w:rFonts w:eastAsiaTheme="majorEastAsia" w:cstheme="majorBidi"/>
      <w:b/>
      <w:i/>
      <w:color w:val="538135" w:themeColor="accent6" w:themeShade="BF"/>
      <w:szCs w:val="24"/>
    </w:rPr>
  </w:style>
  <w:style w:type="paragraph" w:styleId="Heading4">
    <w:name w:val="heading 4"/>
    <w:basedOn w:val="Normal"/>
    <w:next w:val="Normal"/>
    <w:link w:val="Heading4Char"/>
    <w:uiPriority w:val="9"/>
    <w:semiHidden/>
    <w:unhideWhenUsed/>
    <w:rsid w:val="009E0C9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0C9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0C9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0C9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0C9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0C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544"/>
    <w:pPr>
      <w:tabs>
        <w:tab w:val="center" w:pos="4513"/>
        <w:tab w:val="right" w:pos="9026"/>
      </w:tabs>
      <w:spacing w:line="240" w:lineRule="auto"/>
    </w:pPr>
  </w:style>
  <w:style w:type="character" w:customStyle="1" w:styleId="HeaderChar">
    <w:name w:val="Header Char"/>
    <w:basedOn w:val="DefaultParagraphFont"/>
    <w:link w:val="Header"/>
    <w:uiPriority w:val="99"/>
    <w:rsid w:val="00BE1544"/>
  </w:style>
  <w:style w:type="paragraph" w:styleId="Footer">
    <w:name w:val="footer"/>
    <w:basedOn w:val="Normal"/>
    <w:link w:val="FooterChar"/>
    <w:uiPriority w:val="99"/>
    <w:unhideWhenUsed/>
    <w:rsid w:val="00BE1544"/>
    <w:pPr>
      <w:tabs>
        <w:tab w:val="center" w:pos="4513"/>
        <w:tab w:val="right" w:pos="9026"/>
      </w:tabs>
      <w:spacing w:line="240" w:lineRule="auto"/>
    </w:pPr>
  </w:style>
  <w:style w:type="character" w:customStyle="1" w:styleId="FooterChar">
    <w:name w:val="Footer Char"/>
    <w:basedOn w:val="DefaultParagraphFont"/>
    <w:link w:val="Footer"/>
    <w:uiPriority w:val="99"/>
    <w:rsid w:val="00BE1544"/>
  </w:style>
  <w:style w:type="paragraph" w:customStyle="1" w:styleId="ResearchTitle">
    <w:name w:val="Research Title"/>
    <w:basedOn w:val="Normal"/>
    <w:link w:val="ResearchTitleChar"/>
    <w:rsid w:val="008A1185"/>
    <w:rPr>
      <w:b/>
      <w:caps/>
      <w:color w:val="538135" w:themeColor="accent6" w:themeShade="BF"/>
      <w:sz w:val="24"/>
    </w:rPr>
  </w:style>
  <w:style w:type="paragraph" w:customStyle="1" w:styleId="ReseachMainHeading">
    <w:name w:val="Reseach Main Heading"/>
    <w:basedOn w:val="ResearchTitle"/>
    <w:link w:val="ReseachMainHeadingChar"/>
    <w:rsid w:val="005E068D"/>
    <w:rPr>
      <w:sz w:val="22"/>
    </w:rPr>
  </w:style>
  <w:style w:type="character" w:customStyle="1" w:styleId="ResearchTitleChar">
    <w:name w:val="Research Title Char"/>
    <w:basedOn w:val="DefaultParagraphFont"/>
    <w:link w:val="ResearchTitle"/>
    <w:rsid w:val="008A1185"/>
    <w:rPr>
      <w:rFonts w:ascii="Arial" w:hAnsi="Arial"/>
      <w:b/>
      <w:caps/>
      <w:color w:val="538135" w:themeColor="accent6" w:themeShade="BF"/>
      <w:sz w:val="24"/>
    </w:rPr>
  </w:style>
  <w:style w:type="paragraph" w:customStyle="1" w:styleId="ResearchSubheading">
    <w:name w:val="Research Sub heading"/>
    <w:basedOn w:val="ReseachMainHeading"/>
    <w:link w:val="ResearchSubheadingChar"/>
    <w:rsid w:val="005E068D"/>
    <w:rPr>
      <w:b w:val="0"/>
      <w:caps w:val="0"/>
    </w:rPr>
  </w:style>
  <w:style w:type="character" w:customStyle="1" w:styleId="ReseachMainHeadingChar">
    <w:name w:val="Reseach Main Heading Char"/>
    <w:basedOn w:val="ResearchTitleChar"/>
    <w:link w:val="ReseachMainHeading"/>
    <w:rsid w:val="005E068D"/>
    <w:rPr>
      <w:rFonts w:ascii="Arial" w:hAnsi="Arial"/>
      <w:b/>
      <w:caps/>
      <w:color w:val="538135" w:themeColor="accent6" w:themeShade="BF"/>
      <w:sz w:val="24"/>
    </w:rPr>
  </w:style>
  <w:style w:type="character" w:customStyle="1" w:styleId="Heading1Char">
    <w:name w:val="Heading 1 Char"/>
    <w:basedOn w:val="DefaultParagraphFont"/>
    <w:link w:val="Heading1"/>
    <w:uiPriority w:val="9"/>
    <w:rsid w:val="005028B1"/>
    <w:rPr>
      <w:rFonts w:ascii="Arial" w:eastAsiaTheme="majorEastAsia" w:hAnsi="Arial" w:cstheme="majorBidi"/>
      <w:b/>
      <w:caps/>
      <w:color w:val="538135" w:themeColor="accent6" w:themeShade="BF"/>
      <w:szCs w:val="32"/>
    </w:rPr>
  </w:style>
  <w:style w:type="character" w:customStyle="1" w:styleId="ResearchSubheadingChar">
    <w:name w:val="Research Sub heading Char"/>
    <w:basedOn w:val="ReseachMainHeadingChar"/>
    <w:link w:val="ResearchSubheading"/>
    <w:rsid w:val="005E068D"/>
    <w:rPr>
      <w:rFonts w:ascii="Arial" w:hAnsi="Arial"/>
      <w:b w:val="0"/>
      <w:caps w:val="0"/>
      <w:color w:val="538135" w:themeColor="accent6" w:themeShade="BF"/>
      <w:sz w:val="24"/>
    </w:rPr>
  </w:style>
  <w:style w:type="paragraph" w:styleId="TOCHeading">
    <w:name w:val="TOC Heading"/>
    <w:basedOn w:val="Heading1"/>
    <w:next w:val="Normal"/>
    <w:uiPriority w:val="39"/>
    <w:unhideWhenUsed/>
    <w:qFormat/>
    <w:rsid w:val="00052B47"/>
    <w:pPr>
      <w:outlineLvl w:val="9"/>
    </w:pPr>
    <w:rPr>
      <w:caps w:val="0"/>
      <w:color w:val="000000" w:themeColor="text1"/>
      <w:lang w:val="en-US"/>
    </w:rPr>
  </w:style>
  <w:style w:type="paragraph" w:styleId="TOC1">
    <w:name w:val="toc 1"/>
    <w:basedOn w:val="Normal"/>
    <w:next w:val="Normal"/>
    <w:autoRedefine/>
    <w:uiPriority w:val="39"/>
    <w:unhideWhenUsed/>
    <w:qFormat/>
    <w:rsid w:val="00052B47"/>
    <w:pPr>
      <w:spacing w:after="100"/>
    </w:pPr>
    <w:rPr>
      <w:b/>
      <w:caps/>
      <w:color w:val="000000" w:themeColor="text1"/>
      <w:sz w:val="24"/>
    </w:rPr>
  </w:style>
  <w:style w:type="character" w:styleId="Hyperlink">
    <w:name w:val="Hyperlink"/>
    <w:basedOn w:val="DefaultParagraphFont"/>
    <w:uiPriority w:val="99"/>
    <w:unhideWhenUsed/>
    <w:rsid w:val="005E068D"/>
    <w:rPr>
      <w:color w:val="0563C1" w:themeColor="hyperlink"/>
      <w:u w:val="single"/>
    </w:rPr>
  </w:style>
  <w:style w:type="paragraph" w:styleId="ListParagraph">
    <w:name w:val="List Paragraph"/>
    <w:basedOn w:val="Normal"/>
    <w:uiPriority w:val="34"/>
    <w:qFormat/>
    <w:rsid w:val="005E068D"/>
    <w:pPr>
      <w:ind w:left="720"/>
      <w:contextualSpacing/>
    </w:pPr>
  </w:style>
  <w:style w:type="character" w:customStyle="1" w:styleId="Heading2Char">
    <w:name w:val="Heading 2 Char"/>
    <w:basedOn w:val="DefaultParagraphFont"/>
    <w:link w:val="Heading2"/>
    <w:uiPriority w:val="9"/>
    <w:rsid w:val="005028B1"/>
    <w:rPr>
      <w:rFonts w:ascii="Arial" w:eastAsiaTheme="majorEastAsia" w:hAnsi="Arial" w:cstheme="majorBidi"/>
      <w:b/>
      <w:color w:val="538135" w:themeColor="accent6" w:themeShade="BF"/>
      <w:szCs w:val="26"/>
    </w:rPr>
  </w:style>
  <w:style w:type="paragraph" w:styleId="TOC2">
    <w:name w:val="toc 2"/>
    <w:basedOn w:val="Normal"/>
    <w:next w:val="Normal"/>
    <w:autoRedefine/>
    <w:uiPriority w:val="39"/>
    <w:unhideWhenUsed/>
    <w:rsid w:val="0031278C"/>
    <w:pPr>
      <w:spacing w:after="100"/>
      <w:ind w:left="220"/>
    </w:pPr>
  </w:style>
  <w:style w:type="paragraph" w:styleId="TOC3">
    <w:name w:val="toc 3"/>
    <w:basedOn w:val="Normal"/>
    <w:next w:val="Normal"/>
    <w:autoRedefine/>
    <w:uiPriority w:val="39"/>
    <w:unhideWhenUsed/>
    <w:rsid w:val="009E0C94"/>
    <w:pPr>
      <w:spacing w:after="100" w:line="240" w:lineRule="exact"/>
      <w:ind w:left="442"/>
    </w:pPr>
    <w:rPr>
      <w:rFonts w:eastAsiaTheme="minorEastAsia" w:cs="Times New Roman"/>
      <w:lang w:val="en-US"/>
    </w:rPr>
  </w:style>
  <w:style w:type="paragraph" w:styleId="Title">
    <w:name w:val="Title"/>
    <w:basedOn w:val="Normal"/>
    <w:next w:val="Normal"/>
    <w:link w:val="TitleChar"/>
    <w:uiPriority w:val="10"/>
    <w:qFormat/>
    <w:rsid w:val="00893EE9"/>
    <w:pPr>
      <w:spacing w:line="240" w:lineRule="auto"/>
      <w:contextualSpacing/>
    </w:pPr>
    <w:rPr>
      <w:rFonts w:eastAsiaTheme="majorEastAsia" w:cstheme="majorBidi"/>
      <w:b/>
      <w:caps/>
      <w:color w:val="538135" w:themeColor="accent6" w:themeShade="BF"/>
      <w:spacing w:val="-10"/>
      <w:kern w:val="28"/>
      <w:sz w:val="28"/>
      <w:szCs w:val="56"/>
    </w:rPr>
  </w:style>
  <w:style w:type="character" w:customStyle="1" w:styleId="TitleChar">
    <w:name w:val="Title Char"/>
    <w:basedOn w:val="DefaultParagraphFont"/>
    <w:link w:val="Title"/>
    <w:uiPriority w:val="10"/>
    <w:rsid w:val="00893EE9"/>
    <w:rPr>
      <w:rFonts w:ascii="Arial" w:eastAsiaTheme="majorEastAsia" w:hAnsi="Arial" w:cstheme="majorBidi"/>
      <w:b/>
      <w:caps/>
      <w:color w:val="538135" w:themeColor="accent6" w:themeShade="BF"/>
      <w:spacing w:val="-10"/>
      <w:kern w:val="28"/>
      <w:sz w:val="28"/>
      <w:szCs w:val="56"/>
    </w:rPr>
  </w:style>
  <w:style w:type="paragraph" w:styleId="Subtitle">
    <w:name w:val="Subtitle"/>
    <w:basedOn w:val="Normal"/>
    <w:next w:val="Normal"/>
    <w:link w:val="SubtitleChar"/>
    <w:uiPriority w:val="11"/>
    <w:rsid w:val="00893E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3EE9"/>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052B47"/>
    <w:rPr>
      <w:rFonts w:ascii="Arial" w:eastAsiaTheme="majorEastAsia" w:hAnsi="Arial" w:cstheme="majorBidi"/>
      <w:b/>
      <w:i/>
      <w:color w:val="538135" w:themeColor="accent6" w:themeShade="BF"/>
      <w:szCs w:val="24"/>
    </w:rPr>
  </w:style>
  <w:style w:type="character" w:customStyle="1" w:styleId="Heading4Char">
    <w:name w:val="Heading 4 Char"/>
    <w:basedOn w:val="DefaultParagraphFont"/>
    <w:link w:val="Heading4"/>
    <w:uiPriority w:val="9"/>
    <w:semiHidden/>
    <w:rsid w:val="009E0C9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0C9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0C9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0C9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0C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0C9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9E0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B9302E"/>
    <w:pPr>
      <w:numPr>
        <w:numId w:val="1"/>
      </w:numPr>
    </w:pPr>
  </w:style>
  <w:style w:type="paragraph" w:styleId="CommentText">
    <w:name w:val="annotation text"/>
    <w:basedOn w:val="Normal"/>
    <w:link w:val="CommentTextChar"/>
    <w:semiHidden/>
    <w:rsid w:val="00052B47"/>
    <w:pPr>
      <w:jc w:val="left"/>
    </w:pPr>
    <w:rPr>
      <w:rFonts w:eastAsia="Times New Roman" w:cs="Times New Roman"/>
      <w:color w:val="000000"/>
      <w:sz w:val="20"/>
      <w:szCs w:val="20"/>
      <w:lang w:val="en-GB" w:eastAsia="en-GB"/>
    </w:rPr>
  </w:style>
  <w:style w:type="character" w:customStyle="1" w:styleId="CommentTextChar">
    <w:name w:val="Comment Text Char"/>
    <w:basedOn w:val="DefaultParagraphFont"/>
    <w:link w:val="CommentText"/>
    <w:semiHidden/>
    <w:rsid w:val="00052B47"/>
    <w:rPr>
      <w:rFonts w:ascii="Arial" w:eastAsia="Times New Roman" w:hAnsi="Arial" w:cs="Times New Roman"/>
      <w:color w:val="000000"/>
      <w:sz w:val="20"/>
      <w:szCs w:val="20"/>
      <w:lang w:val="en-GB" w:eastAsia="en-GB"/>
    </w:rPr>
  </w:style>
  <w:style w:type="paragraph" w:customStyle="1" w:styleId="Style2">
    <w:name w:val="Style2"/>
    <w:basedOn w:val="FootnoteText"/>
    <w:link w:val="Style2Char"/>
    <w:qFormat/>
    <w:rsid w:val="002F074F"/>
  </w:style>
  <w:style w:type="character" w:customStyle="1" w:styleId="Style2Char">
    <w:name w:val="Style2 Char"/>
    <w:basedOn w:val="FootnoteTextChar"/>
    <w:link w:val="Style2"/>
    <w:rsid w:val="002F074F"/>
    <w:rPr>
      <w:rFonts w:ascii="Arial" w:hAnsi="Arial"/>
      <w:sz w:val="18"/>
      <w:szCs w:val="20"/>
    </w:rPr>
  </w:style>
  <w:style w:type="paragraph" w:styleId="FootnoteText">
    <w:name w:val="footnote text"/>
    <w:basedOn w:val="Normal"/>
    <w:link w:val="FootnoteTextChar"/>
    <w:autoRedefine/>
    <w:uiPriority w:val="99"/>
    <w:semiHidden/>
    <w:unhideWhenUsed/>
    <w:rsid w:val="00455478"/>
    <w:pPr>
      <w:spacing w:line="240" w:lineRule="auto"/>
    </w:pPr>
    <w:rPr>
      <w:sz w:val="18"/>
      <w:szCs w:val="20"/>
    </w:rPr>
  </w:style>
  <w:style w:type="character" w:customStyle="1" w:styleId="FootnoteTextChar">
    <w:name w:val="Footnote Text Char"/>
    <w:basedOn w:val="DefaultParagraphFont"/>
    <w:link w:val="FootnoteText"/>
    <w:uiPriority w:val="99"/>
    <w:semiHidden/>
    <w:rsid w:val="00455478"/>
    <w:rPr>
      <w:rFonts w:ascii="Arial" w:hAnsi="Arial"/>
      <w:sz w:val="18"/>
      <w:szCs w:val="20"/>
    </w:rPr>
  </w:style>
  <w:style w:type="paragraph" w:styleId="BalloonText">
    <w:name w:val="Balloon Text"/>
    <w:basedOn w:val="Normal"/>
    <w:link w:val="BalloonTextChar"/>
    <w:uiPriority w:val="99"/>
    <w:semiHidden/>
    <w:unhideWhenUsed/>
    <w:rsid w:val="00BF0D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D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okomani\Dropbox\PC%20on%20COGTA\Forms%20&amp;%20Templates\Budget%20Analysis%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B8E46-710F-4FAB-AE23-5543CE19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Analysis Template 2016</Template>
  <TotalTime>0</TotalTime>
  <Pages>10</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Andile Sokomani</dc:creator>
  <cp:lastModifiedBy>PUMZA</cp:lastModifiedBy>
  <cp:revision>2</cp:revision>
  <cp:lastPrinted>2016-02-19T12:31:00Z</cp:lastPrinted>
  <dcterms:created xsi:type="dcterms:W3CDTF">2018-10-31T08:36:00Z</dcterms:created>
  <dcterms:modified xsi:type="dcterms:W3CDTF">2018-10-31T08:36:00Z</dcterms:modified>
</cp:coreProperties>
</file>