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73AD" w14:textId="731A8FF7" w:rsidR="009E1C0A" w:rsidRPr="00DB065A" w:rsidRDefault="00702B4F">
      <w:pPr>
        <w:jc w:val="center"/>
        <w:rPr>
          <w:b/>
          <w:sz w:val="36"/>
          <w:szCs w:val="36"/>
          <w:lang w:val="en-GB"/>
        </w:rPr>
      </w:pPr>
      <w:r w:rsidRPr="00DB065A">
        <w:rPr>
          <w:b/>
          <w:sz w:val="36"/>
          <w:szCs w:val="36"/>
          <w:lang w:val="en-GB"/>
        </w:rPr>
        <w:t xml:space="preserve">Submission by </w:t>
      </w:r>
      <w:r w:rsidR="0081615F">
        <w:rPr>
          <w:b/>
          <w:sz w:val="36"/>
          <w:szCs w:val="36"/>
          <w:lang w:val="en-GB"/>
        </w:rPr>
        <w:t xml:space="preserve">the </w:t>
      </w:r>
      <w:r w:rsidRPr="00DB065A">
        <w:rPr>
          <w:b/>
          <w:sz w:val="36"/>
          <w:szCs w:val="36"/>
          <w:lang w:val="en-GB"/>
        </w:rPr>
        <w:t xml:space="preserve">Budget Justice Coalition </w:t>
      </w:r>
    </w:p>
    <w:p w14:paraId="011D76EA" w14:textId="77777777" w:rsidR="009E1C0A" w:rsidRPr="00DB065A" w:rsidRDefault="009E1C0A">
      <w:pPr>
        <w:jc w:val="center"/>
        <w:rPr>
          <w:b/>
          <w:sz w:val="36"/>
          <w:szCs w:val="36"/>
          <w:lang w:val="en-GB"/>
        </w:rPr>
      </w:pPr>
    </w:p>
    <w:p w14:paraId="626791EC" w14:textId="77777777" w:rsidR="009E1C0A" w:rsidRPr="00DB065A" w:rsidRDefault="00702B4F">
      <w:pPr>
        <w:jc w:val="center"/>
        <w:rPr>
          <w:b/>
          <w:sz w:val="36"/>
          <w:szCs w:val="36"/>
          <w:lang w:val="en-GB"/>
        </w:rPr>
      </w:pPr>
      <w:r w:rsidRPr="00DB065A">
        <w:rPr>
          <w:b/>
          <w:sz w:val="36"/>
          <w:szCs w:val="36"/>
          <w:lang w:val="en-GB"/>
        </w:rPr>
        <w:t xml:space="preserve">On the report of the panel of experts on </w:t>
      </w:r>
    </w:p>
    <w:p w14:paraId="3A91819A" w14:textId="77777777" w:rsidR="00F93D19" w:rsidRDefault="00F93D19">
      <w:pPr>
        <w:jc w:val="center"/>
        <w:rPr>
          <w:b/>
          <w:sz w:val="36"/>
          <w:szCs w:val="36"/>
          <w:lang w:val="en-GB"/>
        </w:rPr>
      </w:pPr>
      <w:r>
        <w:rPr>
          <w:b/>
          <w:sz w:val="36"/>
          <w:szCs w:val="36"/>
          <w:lang w:val="en-GB"/>
        </w:rPr>
        <w:t>mitigating</w:t>
      </w:r>
      <w:r w:rsidR="00C91C50">
        <w:rPr>
          <w:b/>
          <w:sz w:val="36"/>
          <w:szCs w:val="36"/>
          <w:lang w:val="en-GB"/>
        </w:rPr>
        <w:t xml:space="preserve"> the</w:t>
      </w:r>
      <w:r w:rsidR="00702B4F" w:rsidRPr="00DB065A">
        <w:rPr>
          <w:b/>
          <w:sz w:val="36"/>
          <w:szCs w:val="36"/>
          <w:lang w:val="en-GB"/>
        </w:rPr>
        <w:t xml:space="preserve"> negative effects </w:t>
      </w:r>
      <w:r w:rsidR="00C91C50">
        <w:rPr>
          <w:b/>
          <w:sz w:val="36"/>
          <w:szCs w:val="36"/>
          <w:lang w:val="en-GB"/>
        </w:rPr>
        <w:t xml:space="preserve">of the VAT increase </w:t>
      </w:r>
    </w:p>
    <w:p w14:paraId="3A55FD4D" w14:textId="7B25CE74" w:rsidR="009E1C0A" w:rsidRPr="00DB065A" w:rsidRDefault="00F239AB">
      <w:pPr>
        <w:jc w:val="center"/>
        <w:rPr>
          <w:b/>
          <w:sz w:val="36"/>
          <w:szCs w:val="36"/>
          <w:lang w:val="en-GB"/>
        </w:rPr>
      </w:pPr>
      <w:r>
        <w:rPr>
          <w:b/>
          <w:sz w:val="36"/>
          <w:szCs w:val="36"/>
          <w:lang w:val="en-GB"/>
        </w:rPr>
        <w:t>for</w:t>
      </w:r>
      <w:r w:rsidR="00702B4F" w:rsidRPr="00DB065A">
        <w:rPr>
          <w:b/>
          <w:sz w:val="36"/>
          <w:szCs w:val="36"/>
          <w:lang w:val="en-GB"/>
        </w:rPr>
        <w:t xml:space="preserve"> poor and low income households</w:t>
      </w:r>
    </w:p>
    <w:p w14:paraId="0FE34DDD" w14:textId="77777777" w:rsidR="009E1C0A" w:rsidRPr="00DB065A" w:rsidRDefault="00702B4F">
      <w:pPr>
        <w:rPr>
          <w:lang w:val="en-GB"/>
        </w:rPr>
      </w:pPr>
      <w:r w:rsidRPr="00DB065A">
        <w:rPr>
          <w:lang w:val="en-GB"/>
        </w:rPr>
        <w:t xml:space="preserve"> </w:t>
      </w:r>
    </w:p>
    <w:p w14:paraId="1E2ED76D" w14:textId="62F818C1" w:rsidR="009E1C0A" w:rsidRPr="00DB065A" w:rsidRDefault="0070769F">
      <w:pPr>
        <w:jc w:val="center"/>
        <w:rPr>
          <w:lang w:val="en-GB"/>
        </w:rPr>
      </w:pPr>
      <w:r>
        <w:rPr>
          <w:lang w:val="en-GB"/>
        </w:rPr>
        <w:t>3 September</w:t>
      </w:r>
      <w:r w:rsidR="00702B4F" w:rsidRPr="00DB065A">
        <w:rPr>
          <w:lang w:val="en-GB"/>
        </w:rPr>
        <w:t xml:space="preserve"> 2018</w:t>
      </w:r>
    </w:p>
    <w:p w14:paraId="060B36A9" w14:textId="77777777" w:rsidR="009E1C0A" w:rsidRPr="00DB065A" w:rsidRDefault="009E1C0A">
      <w:pPr>
        <w:rPr>
          <w:lang w:val="en-GB"/>
        </w:rPr>
      </w:pPr>
    </w:p>
    <w:p w14:paraId="773C9E80" w14:textId="77777777" w:rsidR="009E1C0A" w:rsidRPr="00DB065A" w:rsidRDefault="00702B4F">
      <w:pPr>
        <w:jc w:val="center"/>
        <w:rPr>
          <w:lang w:val="en-GB"/>
        </w:rPr>
      </w:pPr>
      <w:r w:rsidRPr="00DB065A">
        <w:rPr>
          <w:lang w:val="en-GB"/>
        </w:rPr>
        <w:t>Submitted by:</w:t>
      </w:r>
    </w:p>
    <w:p w14:paraId="6B997BAD" w14:textId="77777777" w:rsidR="009E1C0A" w:rsidRPr="00DB065A" w:rsidRDefault="009E1C0A">
      <w:pPr>
        <w:jc w:val="center"/>
        <w:rPr>
          <w:lang w:val="en-GB"/>
        </w:rPr>
      </w:pPr>
    </w:p>
    <w:p w14:paraId="7A2A7A54" w14:textId="77777777" w:rsidR="009E1C0A" w:rsidRPr="00DB065A" w:rsidRDefault="00702B4F">
      <w:pPr>
        <w:jc w:val="center"/>
        <w:rPr>
          <w:lang w:val="en-GB"/>
        </w:rPr>
      </w:pPr>
      <w:r w:rsidRPr="00DB065A">
        <w:rPr>
          <w:noProof/>
          <w:lang w:val="en-ZA"/>
        </w:rPr>
        <w:drawing>
          <wp:inline distT="114300" distB="114300" distL="114300" distR="114300" wp14:anchorId="4B68B4E4" wp14:editId="01F0F794">
            <wp:extent cx="1647825" cy="5715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647825" cy="571500"/>
                    </a:xfrm>
                    <a:prstGeom prst="rect">
                      <a:avLst/>
                    </a:prstGeom>
                    <a:ln/>
                  </pic:spPr>
                </pic:pic>
              </a:graphicData>
            </a:graphic>
          </wp:inline>
        </w:drawing>
      </w:r>
      <w:r w:rsidRPr="00DB065A">
        <w:rPr>
          <w:lang w:val="en-GB"/>
        </w:rPr>
        <w:t xml:space="preserve">       </w:t>
      </w:r>
      <w:r w:rsidRPr="00DB065A">
        <w:rPr>
          <w:noProof/>
          <w:lang w:val="en-ZA"/>
        </w:rPr>
        <w:drawing>
          <wp:inline distT="114300" distB="114300" distL="114300" distR="114300" wp14:anchorId="46EE9722" wp14:editId="4A28D4D5">
            <wp:extent cx="962025" cy="78105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962025" cy="781050"/>
                    </a:xfrm>
                    <a:prstGeom prst="rect">
                      <a:avLst/>
                    </a:prstGeom>
                    <a:ln/>
                  </pic:spPr>
                </pic:pic>
              </a:graphicData>
            </a:graphic>
          </wp:inline>
        </w:drawing>
      </w:r>
      <w:r w:rsidRPr="00DB065A">
        <w:rPr>
          <w:lang w:val="en-GB"/>
        </w:rPr>
        <w:t xml:space="preserve">        </w:t>
      </w:r>
      <w:r w:rsidRPr="00DB065A">
        <w:rPr>
          <w:noProof/>
          <w:lang w:val="en-ZA"/>
        </w:rPr>
        <w:drawing>
          <wp:inline distT="114300" distB="114300" distL="114300" distR="114300" wp14:anchorId="1B79D549" wp14:editId="2BF80632">
            <wp:extent cx="2505075" cy="600075"/>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505075" cy="600075"/>
                    </a:xfrm>
                    <a:prstGeom prst="rect">
                      <a:avLst/>
                    </a:prstGeom>
                    <a:ln/>
                  </pic:spPr>
                </pic:pic>
              </a:graphicData>
            </a:graphic>
          </wp:inline>
        </w:drawing>
      </w:r>
    </w:p>
    <w:p w14:paraId="4AA3EAAA" w14:textId="77777777" w:rsidR="009E1C0A" w:rsidRPr="00DB065A" w:rsidRDefault="00702B4F">
      <w:pPr>
        <w:jc w:val="center"/>
        <w:rPr>
          <w:lang w:val="en-GB"/>
        </w:rPr>
      </w:pPr>
      <w:r w:rsidRPr="00DB065A">
        <w:rPr>
          <w:noProof/>
          <w:lang w:val="en-ZA"/>
        </w:rPr>
        <w:drawing>
          <wp:inline distT="114300" distB="114300" distL="114300" distR="114300" wp14:anchorId="65127A3D" wp14:editId="10E85A58">
            <wp:extent cx="1847850" cy="485775"/>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1847850" cy="485775"/>
                    </a:xfrm>
                    <a:prstGeom prst="rect">
                      <a:avLst/>
                    </a:prstGeom>
                    <a:ln/>
                  </pic:spPr>
                </pic:pic>
              </a:graphicData>
            </a:graphic>
          </wp:inline>
        </w:drawing>
      </w:r>
      <w:r w:rsidRPr="00DB065A">
        <w:rPr>
          <w:lang w:val="en-GB"/>
        </w:rPr>
        <w:t xml:space="preserve">        </w:t>
      </w:r>
      <w:r w:rsidRPr="00DB065A">
        <w:rPr>
          <w:noProof/>
          <w:lang w:val="en-ZA"/>
        </w:rPr>
        <w:drawing>
          <wp:inline distT="114300" distB="114300" distL="114300" distR="114300" wp14:anchorId="3CDE8FD3" wp14:editId="414071C9">
            <wp:extent cx="1981200" cy="26670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1981200" cy="266700"/>
                    </a:xfrm>
                    <a:prstGeom prst="rect">
                      <a:avLst/>
                    </a:prstGeom>
                    <a:ln/>
                  </pic:spPr>
                </pic:pic>
              </a:graphicData>
            </a:graphic>
          </wp:inline>
        </w:drawing>
      </w:r>
      <w:r w:rsidRPr="00DB065A">
        <w:rPr>
          <w:lang w:val="en-GB"/>
        </w:rPr>
        <w:t xml:space="preserve">        </w:t>
      </w:r>
      <w:r w:rsidRPr="00DB065A">
        <w:rPr>
          <w:noProof/>
          <w:lang w:val="en-ZA"/>
        </w:rPr>
        <w:drawing>
          <wp:inline distT="114300" distB="114300" distL="114300" distR="114300" wp14:anchorId="605A0795" wp14:editId="78E1B79E">
            <wp:extent cx="1019175" cy="83820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1019175" cy="838200"/>
                    </a:xfrm>
                    <a:prstGeom prst="rect">
                      <a:avLst/>
                    </a:prstGeom>
                    <a:ln/>
                  </pic:spPr>
                </pic:pic>
              </a:graphicData>
            </a:graphic>
          </wp:inline>
        </w:drawing>
      </w:r>
    </w:p>
    <w:p w14:paraId="0D6E693B" w14:textId="77777777" w:rsidR="009E1C0A" w:rsidRPr="00DB065A" w:rsidRDefault="009E1C0A">
      <w:pPr>
        <w:jc w:val="center"/>
        <w:rPr>
          <w:lang w:val="en-GB"/>
        </w:rPr>
      </w:pPr>
    </w:p>
    <w:p w14:paraId="5FC7BE5E" w14:textId="77777777" w:rsidR="009E1C0A" w:rsidRPr="00DB065A" w:rsidRDefault="00702B4F">
      <w:pPr>
        <w:jc w:val="center"/>
        <w:rPr>
          <w:lang w:val="en-GB"/>
        </w:rPr>
      </w:pPr>
      <w:r w:rsidRPr="00DB065A">
        <w:rPr>
          <w:noProof/>
          <w:lang w:val="en-ZA"/>
        </w:rPr>
        <w:drawing>
          <wp:inline distT="114300" distB="114300" distL="114300" distR="114300" wp14:anchorId="064E1619" wp14:editId="7CB26D8F">
            <wp:extent cx="3276600" cy="619125"/>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3276600" cy="619125"/>
                    </a:xfrm>
                    <a:prstGeom prst="rect">
                      <a:avLst/>
                    </a:prstGeom>
                    <a:ln/>
                  </pic:spPr>
                </pic:pic>
              </a:graphicData>
            </a:graphic>
          </wp:inline>
        </w:drawing>
      </w:r>
      <w:r w:rsidRPr="00DB065A">
        <w:rPr>
          <w:lang w:val="en-GB"/>
        </w:rPr>
        <w:t xml:space="preserve">        </w:t>
      </w:r>
      <w:r w:rsidRPr="00DB065A">
        <w:rPr>
          <w:noProof/>
          <w:lang w:val="en-ZA"/>
        </w:rPr>
        <w:drawing>
          <wp:inline distT="114300" distB="114300" distL="114300" distR="114300" wp14:anchorId="6421F4CB" wp14:editId="05B8F4AE">
            <wp:extent cx="1724025" cy="685800"/>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1724025" cy="685800"/>
                    </a:xfrm>
                    <a:prstGeom prst="rect">
                      <a:avLst/>
                    </a:prstGeom>
                    <a:ln/>
                  </pic:spPr>
                </pic:pic>
              </a:graphicData>
            </a:graphic>
          </wp:inline>
        </w:drawing>
      </w:r>
    </w:p>
    <w:p w14:paraId="0CDF165C" w14:textId="77777777" w:rsidR="009E1C0A" w:rsidRPr="00DB065A" w:rsidRDefault="009E1C0A">
      <w:pPr>
        <w:jc w:val="center"/>
        <w:rPr>
          <w:lang w:val="en-GB"/>
        </w:rPr>
      </w:pPr>
    </w:p>
    <w:p w14:paraId="656984B6" w14:textId="68BAFF39" w:rsidR="009E1C0A" w:rsidRPr="00DB065A" w:rsidRDefault="0042233F" w:rsidP="0042233F">
      <w:pPr>
        <w:rPr>
          <w:lang w:val="en-GB"/>
        </w:rPr>
      </w:pPr>
      <w:r>
        <w:rPr>
          <w:noProof/>
          <w:lang w:val="en-ZA"/>
        </w:rPr>
        <w:drawing>
          <wp:inline distT="0" distB="0" distL="0" distR="0" wp14:anchorId="00523D26" wp14:editId="15368C8F">
            <wp:extent cx="2804160" cy="868680"/>
            <wp:effectExtent l="0" t="0" r="0" b="7620"/>
            <wp:docPr id="13" name="Picture 13" descr="C:\Users\Paula\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AppData\Local\Microsoft\Windows\Temporary Internet Files\Content.Word\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4160" cy="868680"/>
                    </a:xfrm>
                    <a:prstGeom prst="rect">
                      <a:avLst/>
                    </a:prstGeom>
                    <a:noFill/>
                    <a:ln>
                      <a:noFill/>
                    </a:ln>
                  </pic:spPr>
                </pic:pic>
              </a:graphicData>
            </a:graphic>
          </wp:inline>
        </w:drawing>
      </w:r>
      <w:r w:rsidR="00702B4F" w:rsidRPr="00DB065A">
        <w:rPr>
          <w:noProof/>
          <w:lang w:val="en-ZA"/>
        </w:rPr>
        <w:drawing>
          <wp:inline distT="114300" distB="114300" distL="114300" distR="114300" wp14:anchorId="238F5E07" wp14:editId="649920F5">
            <wp:extent cx="2232660" cy="601980"/>
            <wp:effectExtent l="0" t="0" r="0" b="762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2243260" cy="604838"/>
                    </a:xfrm>
                    <a:prstGeom prst="rect">
                      <a:avLst/>
                    </a:prstGeom>
                    <a:ln/>
                  </pic:spPr>
                </pic:pic>
              </a:graphicData>
            </a:graphic>
          </wp:inline>
        </w:drawing>
      </w:r>
    </w:p>
    <w:p w14:paraId="1C152A4A" w14:textId="77777777" w:rsidR="009E1C0A" w:rsidRPr="00DB065A" w:rsidRDefault="009E1C0A">
      <w:pPr>
        <w:jc w:val="center"/>
        <w:rPr>
          <w:lang w:val="en-GB"/>
        </w:rPr>
      </w:pPr>
    </w:p>
    <w:p w14:paraId="73040922" w14:textId="77777777" w:rsidR="009E1C0A" w:rsidRPr="00DB065A" w:rsidRDefault="00702B4F">
      <w:pPr>
        <w:rPr>
          <w:b/>
          <w:lang w:val="en-GB"/>
        </w:rPr>
      </w:pPr>
      <w:r w:rsidRPr="00DB065A">
        <w:rPr>
          <w:b/>
          <w:lang w:val="en-GB"/>
        </w:rPr>
        <w:t xml:space="preserve">For further information contact: </w:t>
      </w:r>
    </w:p>
    <w:p w14:paraId="5F0595B4" w14:textId="49C35044" w:rsidR="00653951" w:rsidRDefault="00653951">
      <w:pPr>
        <w:rPr>
          <w:sz w:val="20"/>
          <w:szCs w:val="20"/>
          <w:lang w:val="en-GB"/>
        </w:rPr>
      </w:pPr>
      <w:r w:rsidRPr="00C91C50">
        <w:rPr>
          <w:sz w:val="20"/>
          <w:szCs w:val="20"/>
          <w:lang w:val="en-GB"/>
        </w:rPr>
        <w:t xml:space="preserve">Alternative Information &amp; Development Centre | </w:t>
      </w:r>
      <w:proofErr w:type="spellStart"/>
      <w:r w:rsidRPr="00C91C50">
        <w:rPr>
          <w:sz w:val="20"/>
          <w:szCs w:val="20"/>
          <w:lang w:val="en-GB"/>
        </w:rPr>
        <w:t>Erwan</w:t>
      </w:r>
      <w:proofErr w:type="spellEnd"/>
      <w:r w:rsidRPr="00C91C50">
        <w:rPr>
          <w:sz w:val="20"/>
          <w:szCs w:val="20"/>
          <w:lang w:val="en-GB"/>
        </w:rPr>
        <w:t xml:space="preserve"> </w:t>
      </w:r>
      <w:proofErr w:type="spellStart"/>
      <w:r w:rsidRPr="00C91C50">
        <w:rPr>
          <w:sz w:val="20"/>
          <w:szCs w:val="20"/>
          <w:lang w:val="en-GB"/>
        </w:rPr>
        <w:t>Malary</w:t>
      </w:r>
      <w:proofErr w:type="spellEnd"/>
      <w:r w:rsidRPr="00C91C50">
        <w:rPr>
          <w:sz w:val="20"/>
          <w:szCs w:val="20"/>
          <w:lang w:val="en-GB"/>
        </w:rPr>
        <w:t xml:space="preserve"> | erwan@aidc.org.za | 079 310 3779</w:t>
      </w:r>
    </w:p>
    <w:p w14:paraId="1B6FFBF8" w14:textId="2CA3FBF2" w:rsidR="00653951" w:rsidRPr="00C91C50" w:rsidRDefault="00653951" w:rsidP="00653951">
      <w:pPr>
        <w:rPr>
          <w:sz w:val="20"/>
          <w:szCs w:val="20"/>
          <w:lang w:val="en-GB"/>
        </w:rPr>
      </w:pPr>
      <w:r w:rsidRPr="00C91C50">
        <w:rPr>
          <w:sz w:val="20"/>
          <w:szCs w:val="20"/>
          <w:lang w:val="en-GB"/>
        </w:rPr>
        <w:t>Amandla.mobi | Paul Mason | paul@amandla.mobi</w:t>
      </w:r>
      <w:r>
        <w:rPr>
          <w:sz w:val="20"/>
          <w:szCs w:val="20"/>
          <w:lang w:val="en-GB"/>
        </w:rPr>
        <w:t xml:space="preserve"> | 076 299 0983</w:t>
      </w:r>
    </w:p>
    <w:p w14:paraId="7CDF5CA7" w14:textId="77777777" w:rsidR="009E1C0A" w:rsidRPr="00C91C50" w:rsidRDefault="00702B4F">
      <w:pPr>
        <w:rPr>
          <w:sz w:val="20"/>
          <w:szCs w:val="20"/>
          <w:lang w:val="en-GB"/>
        </w:rPr>
      </w:pPr>
      <w:r w:rsidRPr="00C91C50">
        <w:rPr>
          <w:sz w:val="20"/>
          <w:szCs w:val="20"/>
          <w:lang w:val="en-GB"/>
        </w:rPr>
        <w:t>Children’s Institute | Paula Proudlock | paula.proudlock@uct.ac.za | 083 412 4458</w:t>
      </w:r>
    </w:p>
    <w:p w14:paraId="5F2C5001" w14:textId="77777777" w:rsidR="00653951" w:rsidRPr="00C91C50" w:rsidRDefault="00653951" w:rsidP="00653951">
      <w:pPr>
        <w:rPr>
          <w:sz w:val="20"/>
          <w:szCs w:val="20"/>
          <w:lang w:val="en-GB"/>
        </w:rPr>
      </w:pPr>
      <w:proofErr w:type="spellStart"/>
      <w:r w:rsidRPr="00C91C50">
        <w:rPr>
          <w:sz w:val="20"/>
          <w:szCs w:val="20"/>
          <w:lang w:val="en-GB"/>
        </w:rPr>
        <w:t>Dullah</w:t>
      </w:r>
      <w:proofErr w:type="spellEnd"/>
      <w:r w:rsidRPr="00C91C50">
        <w:rPr>
          <w:sz w:val="20"/>
          <w:szCs w:val="20"/>
          <w:lang w:val="en-GB"/>
        </w:rPr>
        <w:t xml:space="preserve"> Omar Institute, UWC | Samantha Waterhouse | swaterhouse@uwc.ac.za | 084 522 9646</w:t>
      </w:r>
    </w:p>
    <w:p w14:paraId="0F0C2C30" w14:textId="59C1805C" w:rsidR="00AB0864" w:rsidRDefault="00AB0864" w:rsidP="00653951">
      <w:pPr>
        <w:rPr>
          <w:sz w:val="20"/>
          <w:szCs w:val="20"/>
          <w:lang w:val="en-GB"/>
        </w:rPr>
      </w:pPr>
      <w:r>
        <w:rPr>
          <w:sz w:val="20"/>
          <w:szCs w:val="20"/>
          <w:lang w:val="en-GB"/>
        </w:rPr>
        <w:t xml:space="preserve">Equal Education Law Centre </w:t>
      </w:r>
      <w:r w:rsidRPr="00C91C50">
        <w:rPr>
          <w:sz w:val="20"/>
          <w:szCs w:val="20"/>
          <w:lang w:val="en-GB"/>
        </w:rPr>
        <w:t xml:space="preserve">| </w:t>
      </w:r>
      <w:proofErr w:type="spellStart"/>
      <w:r>
        <w:rPr>
          <w:sz w:val="20"/>
          <w:szCs w:val="20"/>
          <w:lang w:val="en-GB"/>
        </w:rPr>
        <w:t>Nurina</w:t>
      </w:r>
      <w:proofErr w:type="spellEnd"/>
      <w:r>
        <w:rPr>
          <w:sz w:val="20"/>
          <w:szCs w:val="20"/>
          <w:lang w:val="en-GB"/>
        </w:rPr>
        <w:t xml:space="preserve"> Ally </w:t>
      </w:r>
      <w:r w:rsidRPr="00C91C50">
        <w:rPr>
          <w:sz w:val="20"/>
          <w:szCs w:val="20"/>
          <w:lang w:val="en-GB"/>
        </w:rPr>
        <w:t xml:space="preserve">| </w:t>
      </w:r>
      <w:r>
        <w:rPr>
          <w:sz w:val="20"/>
          <w:szCs w:val="20"/>
          <w:lang w:val="en-GB"/>
        </w:rPr>
        <w:t xml:space="preserve">nurina@eelawcentre.org.za | </w:t>
      </w:r>
      <w:r w:rsidR="00C717F1" w:rsidRPr="00C717F1">
        <w:rPr>
          <w:sz w:val="20"/>
          <w:szCs w:val="20"/>
        </w:rPr>
        <w:t>021 461 1421</w:t>
      </w:r>
    </w:p>
    <w:p w14:paraId="7E04686C" w14:textId="77777777" w:rsidR="00653951" w:rsidRPr="00C91C50" w:rsidRDefault="00653951" w:rsidP="00653951">
      <w:pPr>
        <w:rPr>
          <w:sz w:val="20"/>
          <w:szCs w:val="20"/>
          <w:lang w:val="en-GB"/>
        </w:rPr>
      </w:pPr>
      <w:r w:rsidRPr="00C91C50">
        <w:rPr>
          <w:sz w:val="20"/>
          <w:szCs w:val="20"/>
          <w:lang w:val="en-GB"/>
        </w:rPr>
        <w:t>Institute for Economic Justice | Gilad Isaacs</w:t>
      </w:r>
      <w:r>
        <w:rPr>
          <w:sz w:val="20"/>
          <w:szCs w:val="20"/>
          <w:lang w:val="en-GB"/>
        </w:rPr>
        <w:t>| 082 786 2473</w:t>
      </w:r>
      <w:r w:rsidRPr="00C91C50">
        <w:rPr>
          <w:sz w:val="20"/>
          <w:szCs w:val="20"/>
          <w:lang w:val="en-GB"/>
        </w:rPr>
        <w:t xml:space="preserve">| </w:t>
      </w:r>
      <w:r>
        <w:rPr>
          <w:sz w:val="20"/>
          <w:szCs w:val="20"/>
          <w:lang w:val="en-GB"/>
        </w:rPr>
        <w:t>gilad.isaacs@gmail.com</w:t>
      </w:r>
    </w:p>
    <w:p w14:paraId="115A332F" w14:textId="77777777" w:rsidR="00653951" w:rsidRPr="00C91C50" w:rsidRDefault="00653951" w:rsidP="00653951">
      <w:pPr>
        <w:rPr>
          <w:sz w:val="20"/>
          <w:szCs w:val="20"/>
          <w:lang w:val="en-GB"/>
        </w:rPr>
      </w:pPr>
      <w:r w:rsidRPr="00C91C50">
        <w:rPr>
          <w:sz w:val="20"/>
          <w:szCs w:val="20"/>
          <w:lang w:val="en-GB"/>
        </w:rPr>
        <w:t>Public Service Accountability Monitor | Zukiswa Kota | z.kota@ru.ac.za | 072 648 3398</w:t>
      </w:r>
    </w:p>
    <w:p w14:paraId="2345EC0B" w14:textId="23E08D84" w:rsidR="00653951" w:rsidRPr="00C91C50" w:rsidRDefault="00653951" w:rsidP="00653951">
      <w:pPr>
        <w:rPr>
          <w:sz w:val="20"/>
          <w:szCs w:val="20"/>
          <w:lang w:val="en-GB"/>
        </w:rPr>
      </w:pPr>
      <w:r w:rsidRPr="00C91C50">
        <w:rPr>
          <w:sz w:val="20"/>
          <w:szCs w:val="20"/>
          <w:lang w:val="en-GB"/>
        </w:rPr>
        <w:t>Rural Health Advoc</w:t>
      </w:r>
      <w:r>
        <w:rPr>
          <w:sz w:val="20"/>
          <w:szCs w:val="20"/>
          <w:lang w:val="en-GB"/>
        </w:rPr>
        <w:t xml:space="preserve">acy Project | Russell Rensburg </w:t>
      </w:r>
      <w:r w:rsidRPr="00C91C50">
        <w:rPr>
          <w:sz w:val="20"/>
          <w:szCs w:val="20"/>
          <w:lang w:val="en-GB"/>
        </w:rPr>
        <w:t>| russell@rhap.org.za | 079 544 3317</w:t>
      </w:r>
    </w:p>
    <w:p w14:paraId="7A060294" w14:textId="77777777" w:rsidR="00653951" w:rsidRPr="00C91C50" w:rsidRDefault="00653951" w:rsidP="00653951">
      <w:pPr>
        <w:rPr>
          <w:sz w:val="20"/>
          <w:szCs w:val="20"/>
          <w:lang w:val="en-GB"/>
        </w:rPr>
      </w:pPr>
      <w:r w:rsidRPr="00C91C50">
        <w:rPr>
          <w:sz w:val="20"/>
          <w:szCs w:val="20"/>
          <w:lang w:val="en-GB"/>
        </w:rPr>
        <w:t>SECTION27 | Daniel McLaren | mclaren@section27.org.za | 079 9101 453</w:t>
      </w:r>
    </w:p>
    <w:p w14:paraId="1FF263E3" w14:textId="77777777" w:rsidR="009E1C0A" w:rsidRPr="00C91C50" w:rsidRDefault="00702B4F">
      <w:pPr>
        <w:rPr>
          <w:sz w:val="20"/>
          <w:szCs w:val="20"/>
          <w:lang w:val="en-GB"/>
        </w:rPr>
      </w:pPr>
      <w:r w:rsidRPr="00C91C50">
        <w:rPr>
          <w:sz w:val="20"/>
          <w:szCs w:val="20"/>
          <w:lang w:val="en-GB"/>
        </w:rPr>
        <w:t>Studies in Poverty and Inequality Institute | Isobel Frye | isobel@spii.org.za | 011 833 0161</w:t>
      </w:r>
    </w:p>
    <w:p w14:paraId="0E2EFA48" w14:textId="77777777" w:rsidR="009E1C0A" w:rsidRPr="00DB065A" w:rsidRDefault="00702B4F">
      <w:pPr>
        <w:pStyle w:val="Heading1"/>
        <w:keepNext w:val="0"/>
        <w:keepLines w:val="0"/>
        <w:spacing w:before="480"/>
        <w:rPr>
          <w:b/>
          <w:sz w:val="24"/>
          <w:szCs w:val="24"/>
          <w:lang w:val="en-GB"/>
        </w:rPr>
      </w:pPr>
      <w:bookmarkStart w:id="0" w:name="_gjdgxs" w:colFirst="0" w:colLast="0"/>
      <w:bookmarkEnd w:id="0"/>
      <w:r w:rsidRPr="00DB065A">
        <w:rPr>
          <w:b/>
          <w:sz w:val="24"/>
          <w:szCs w:val="24"/>
          <w:lang w:val="en-GB"/>
        </w:rPr>
        <w:lastRenderedPageBreak/>
        <w:t>1.  Introduction</w:t>
      </w:r>
    </w:p>
    <w:p w14:paraId="3B44588D" w14:textId="77777777" w:rsidR="009E1C0A" w:rsidRPr="00DB065A" w:rsidRDefault="00702B4F">
      <w:pPr>
        <w:jc w:val="both"/>
        <w:rPr>
          <w:sz w:val="24"/>
          <w:szCs w:val="24"/>
          <w:lang w:val="en-GB"/>
        </w:rPr>
      </w:pPr>
      <w:r w:rsidRPr="00DB065A">
        <w:rPr>
          <w:sz w:val="24"/>
          <w:szCs w:val="24"/>
          <w:lang w:val="en-GB"/>
        </w:rPr>
        <w:t xml:space="preserve"> </w:t>
      </w:r>
    </w:p>
    <w:p w14:paraId="4805DC22" w14:textId="77777777" w:rsidR="009E1C0A" w:rsidRPr="00DB065A" w:rsidRDefault="00702B4F">
      <w:pPr>
        <w:spacing w:line="288" w:lineRule="auto"/>
        <w:jc w:val="both"/>
        <w:rPr>
          <w:sz w:val="24"/>
          <w:szCs w:val="24"/>
          <w:lang w:val="en-GB"/>
        </w:rPr>
      </w:pPr>
      <w:r w:rsidRPr="00DB065A">
        <w:rPr>
          <w:sz w:val="24"/>
          <w:szCs w:val="24"/>
          <w:lang w:val="en-GB"/>
        </w:rPr>
        <w:t>This submission is made in response to the call by National Treasury for public comment on the report by the Panel for the review of the current list of zero-rated VAT items.</w:t>
      </w:r>
    </w:p>
    <w:p w14:paraId="23DAE60F" w14:textId="77777777" w:rsidR="009E1C0A" w:rsidRPr="00DB065A" w:rsidRDefault="009E1C0A">
      <w:pPr>
        <w:spacing w:line="288" w:lineRule="auto"/>
        <w:jc w:val="both"/>
        <w:rPr>
          <w:sz w:val="24"/>
          <w:szCs w:val="24"/>
          <w:lang w:val="en-GB"/>
        </w:rPr>
      </w:pPr>
    </w:p>
    <w:p w14:paraId="1FB8A1E5" w14:textId="405E077C" w:rsidR="009E1C0A" w:rsidRPr="00DB065A" w:rsidRDefault="00702B4F">
      <w:pPr>
        <w:spacing w:line="288" w:lineRule="auto"/>
        <w:jc w:val="both"/>
        <w:rPr>
          <w:sz w:val="24"/>
          <w:szCs w:val="24"/>
          <w:lang w:val="en-GB"/>
        </w:rPr>
      </w:pPr>
      <w:r w:rsidRPr="00DB065A">
        <w:rPr>
          <w:sz w:val="24"/>
          <w:szCs w:val="24"/>
          <w:lang w:val="en-GB"/>
        </w:rPr>
        <w:t>As raised in our submissions to Parliament on the 2018 Budget and the draft Rates and Monetary Amounts Amendment Bill</w:t>
      </w:r>
      <w:r w:rsidR="009853D0" w:rsidRPr="00DB065A">
        <w:rPr>
          <w:sz w:val="24"/>
          <w:szCs w:val="24"/>
          <w:lang w:val="en-GB"/>
        </w:rPr>
        <w:t>,</w:t>
      </w:r>
      <w:r w:rsidRPr="00DB065A">
        <w:rPr>
          <w:sz w:val="24"/>
          <w:szCs w:val="24"/>
          <w:lang w:val="en-GB"/>
        </w:rPr>
        <w:t xml:space="preserve"> we are concerned about the negative effects the increase to the VAT rate is having on poor and low-income households. We are also concerned by the simultaneous increases in the fuel levy as this has resulted in higher transport costs – impacting negatively on food and public transport costs. As a result poor and low income households are struggling to afford nutritious food and transport to school, work and health facilities. The harsh spending cuts prescribed in the technical guidelines for the Medium Term Expenditure Framework will exacerbate the situation.</w:t>
      </w:r>
    </w:p>
    <w:p w14:paraId="09279CDF" w14:textId="77777777" w:rsidR="009E1C0A" w:rsidRPr="00DB065A" w:rsidRDefault="009E1C0A">
      <w:pPr>
        <w:spacing w:line="288" w:lineRule="auto"/>
        <w:jc w:val="both"/>
        <w:rPr>
          <w:sz w:val="24"/>
          <w:szCs w:val="24"/>
          <w:lang w:val="en-GB"/>
        </w:rPr>
      </w:pPr>
    </w:p>
    <w:p w14:paraId="6C7965AE" w14:textId="77777777" w:rsidR="003B49A2" w:rsidRDefault="00702B4F" w:rsidP="00C717F1">
      <w:pPr>
        <w:spacing w:line="288" w:lineRule="auto"/>
        <w:jc w:val="both"/>
        <w:rPr>
          <w:sz w:val="24"/>
          <w:szCs w:val="24"/>
          <w:lang w:val="en-GB"/>
        </w:rPr>
      </w:pPr>
      <w:r w:rsidRPr="00DB065A">
        <w:rPr>
          <w:sz w:val="24"/>
          <w:szCs w:val="24"/>
          <w:lang w:val="en-GB"/>
        </w:rPr>
        <w:t xml:space="preserve">In this submission we again re-iterate our objection to the February 2018 decision to increase VAT and call on Treasury and Parliament to reconsider this decision. If Parliament ultimately agrees to the VAT increase by the passage of the Rates and Monetary Amounts Amendment Bill, we call on National Treasury and Parliament to implement </w:t>
      </w:r>
      <w:r w:rsidRPr="00DB065A">
        <w:rPr>
          <w:sz w:val="24"/>
          <w:szCs w:val="24"/>
          <w:u w:val="single"/>
          <w:lang w:val="en-GB"/>
        </w:rPr>
        <w:t>comprehensive mitigating measures</w:t>
      </w:r>
      <w:r w:rsidRPr="0070769F">
        <w:rPr>
          <w:sz w:val="24"/>
          <w:szCs w:val="24"/>
          <w:lang w:val="en-GB"/>
        </w:rPr>
        <w:t xml:space="preserve"> </w:t>
      </w:r>
      <w:r w:rsidRPr="00DB065A">
        <w:rPr>
          <w:sz w:val="24"/>
          <w:szCs w:val="24"/>
          <w:lang w:val="en-GB"/>
        </w:rPr>
        <w:t>that recognise the full extent of the financial crisis being experienced on a daily basis by the majority of poor and low</w:t>
      </w:r>
      <w:r w:rsidR="00DB065A">
        <w:rPr>
          <w:sz w:val="24"/>
          <w:szCs w:val="24"/>
          <w:lang w:val="en-GB"/>
        </w:rPr>
        <w:t>-</w:t>
      </w:r>
      <w:r w:rsidRPr="00DB065A">
        <w:rPr>
          <w:sz w:val="24"/>
          <w:szCs w:val="24"/>
          <w:lang w:val="en-GB"/>
        </w:rPr>
        <w:t>income earners.</w:t>
      </w:r>
      <w:r w:rsidR="003B49A2">
        <w:rPr>
          <w:sz w:val="24"/>
          <w:szCs w:val="24"/>
          <w:lang w:val="en-GB"/>
        </w:rPr>
        <w:t xml:space="preserve"> </w:t>
      </w:r>
    </w:p>
    <w:p w14:paraId="6647BEC6" w14:textId="77777777" w:rsidR="003B49A2" w:rsidRDefault="003B49A2" w:rsidP="00C717F1">
      <w:pPr>
        <w:spacing w:line="288" w:lineRule="auto"/>
        <w:jc w:val="both"/>
        <w:rPr>
          <w:sz w:val="24"/>
          <w:szCs w:val="24"/>
          <w:lang w:val="en-GB"/>
        </w:rPr>
      </w:pPr>
    </w:p>
    <w:p w14:paraId="6BEFC003" w14:textId="2D390C28" w:rsidR="00C717F1" w:rsidRDefault="00CF3CF1" w:rsidP="00C717F1">
      <w:pPr>
        <w:spacing w:line="288" w:lineRule="auto"/>
        <w:jc w:val="both"/>
        <w:rPr>
          <w:sz w:val="24"/>
          <w:szCs w:val="24"/>
          <w:lang w:val="en-GB"/>
        </w:rPr>
      </w:pPr>
      <w:r>
        <w:rPr>
          <w:sz w:val="24"/>
          <w:szCs w:val="24"/>
          <w:lang w:val="en-GB"/>
        </w:rPr>
        <w:t>Zero-rating only an additional</w:t>
      </w:r>
      <w:r w:rsidRPr="00DB065A">
        <w:rPr>
          <w:sz w:val="24"/>
          <w:szCs w:val="24"/>
          <w:lang w:val="en-GB"/>
        </w:rPr>
        <w:t xml:space="preserve"> six </w:t>
      </w:r>
      <w:r>
        <w:rPr>
          <w:sz w:val="24"/>
          <w:szCs w:val="24"/>
          <w:lang w:val="en-GB"/>
        </w:rPr>
        <w:t>goods</w:t>
      </w:r>
      <w:r w:rsidR="003B49A2">
        <w:rPr>
          <w:sz w:val="24"/>
          <w:szCs w:val="24"/>
          <w:lang w:val="en-GB"/>
        </w:rPr>
        <w:t xml:space="preserve"> as recommended by the Panel, </w:t>
      </w:r>
      <w:r>
        <w:rPr>
          <w:sz w:val="24"/>
          <w:szCs w:val="24"/>
          <w:lang w:val="en-GB"/>
        </w:rPr>
        <w:t xml:space="preserve">will not </w:t>
      </w:r>
      <w:r w:rsidR="003B49A2">
        <w:rPr>
          <w:sz w:val="24"/>
          <w:szCs w:val="24"/>
          <w:lang w:val="en-GB"/>
        </w:rPr>
        <w:t xml:space="preserve">amount to adequate mitigation. </w:t>
      </w:r>
      <w:r>
        <w:rPr>
          <w:sz w:val="24"/>
          <w:szCs w:val="24"/>
          <w:lang w:val="en-GB"/>
        </w:rPr>
        <w:t>We recommend further items be considered by Treasury and Parliament</w:t>
      </w:r>
      <w:r w:rsidR="007A5EE4">
        <w:rPr>
          <w:sz w:val="24"/>
          <w:szCs w:val="24"/>
          <w:lang w:val="en-GB"/>
        </w:rPr>
        <w:t xml:space="preserve"> as well as increased investment in social programmes that impact directly on the household budgets of poor and low income households</w:t>
      </w:r>
      <w:r>
        <w:rPr>
          <w:sz w:val="24"/>
          <w:szCs w:val="24"/>
          <w:lang w:val="en-GB"/>
        </w:rPr>
        <w:t xml:space="preserve">. </w:t>
      </w:r>
      <w:r w:rsidR="007A5EE4">
        <w:rPr>
          <w:sz w:val="24"/>
          <w:szCs w:val="24"/>
          <w:lang w:val="en-GB"/>
        </w:rPr>
        <w:t>For additional items to be considered, further</w:t>
      </w:r>
      <w:r w:rsidR="000B4E92">
        <w:rPr>
          <w:sz w:val="24"/>
          <w:szCs w:val="24"/>
          <w:lang w:val="en-GB"/>
        </w:rPr>
        <w:t xml:space="preserve"> information will n</w:t>
      </w:r>
      <w:r w:rsidR="007A5EE4">
        <w:rPr>
          <w:sz w:val="24"/>
          <w:szCs w:val="24"/>
          <w:lang w:val="en-GB"/>
        </w:rPr>
        <w:t>eed to be supplied by the Panel:</w:t>
      </w:r>
      <w:r w:rsidR="000B4E92">
        <w:rPr>
          <w:sz w:val="24"/>
          <w:szCs w:val="24"/>
          <w:lang w:val="en-GB"/>
        </w:rPr>
        <w:t xml:space="preserve"> w</w:t>
      </w:r>
      <w:r w:rsidR="00C717F1">
        <w:rPr>
          <w:sz w:val="24"/>
          <w:szCs w:val="24"/>
          <w:lang w:val="en-GB"/>
        </w:rPr>
        <w:t xml:space="preserve">hile the Report presents generous </w:t>
      </w:r>
      <w:r w:rsidR="00C717F1" w:rsidRPr="00DB065A">
        <w:rPr>
          <w:sz w:val="24"/>
          <w:szCs w:val="24"/>
          <w:lang w:val="en-GB"/>
        </w:rPr>
        <w:t xml:space="preserve">detail and </w:t>
      </w:r>
      <w:r w:rsidR="00C717F1">
        <w:rPr>
          <w:sz w:val="24"/>
          <w:szCs w:val="24"/>
          <w:lang w:val="en-GB"/>
        </w:rPr>
        <w:t xml:space="preserve">demonstrates clear </w:t>
      </w:r>
      <w:r w:rsidR="00C717F1" w:rsidRPr="00DB065A">
        <w:rPr>
          <w:sz w:val="24"/>
          <w:szCs w:val="24"/>
          <w:lang w:val="en-GB"/>
        </w:rPr>
        <w:t>rigour of analysis regarding the eight items</w:t>
      </w:r>
      <w:r w:rsidR="00C717F1">
        <w:rPr>
          <w:sz w:val="24"/>
          <w:szCs w:val="24"/>
          <w:lang w:val="en-GB"/>
        </w:rPr>
        <w:t xml:space="preserve"> identified, it does not provide any information on the</w:t>
      </w:r>
      <w:r>
        <w:rPr>
          <w:sz w:val="24"/>
          <w:szCs w:val="24"/>
          <w:lang w:val="en-GB"/>
        </w:rPr>
        <w:t xml:space="preserve"> other 58 items.  This makes it difficult for stakeholders to engage in informed debate with the Panel recommendations</w:t>
      </w:r>
      <w:r w:rsidR="006A5D9E">
        <w:rPr>
          <w:sz w:val="24"/>
          <w:szCs w:val="24"/>
          <w:lang w:val="en-GB"/>
        </w:rPr>
        <w:t xml:space="preserve"> and methodology. For example, s</w:t>
      </w:r>
      <w:r>
        <w:rPr>
          <w:sz w:val="24"/>
          <w:szCs w:val="24"/>
          <w:lang w:val="en-GB"/>
        </w:rPr>
        <w:t xml:space="preserve">ome of the 58 items may pass the more significant tests and therefore be good candidates for zero-rating. </w:t>
      </w:r>
      <w:r w:rsidR="006A5D9E">
        <w:rPr>
          <w:sz w:val="24"/>
          <w:szCs w:val="24"/>
          <w:lang w:val="en-GB"/>
        </w:rPr>
        <w:t xml:space="preserve">This detail would also enable a comparison with the items identified for zero-rating in recent research by the Institute for Economic Justice (IEJ). </w:t>
      </w:r>
      <w:r w:rsidR="003B49A2">
        <w:rPr>
          <w:sz w:val="24"/>
          <w:szCs w:val="24"/>
          <w:lang w:val="en-GB"/>
        </w:rPr>
        <w:t xml:space="preserve">We therefore request the Panel </w:t>
      </w:r>
      <w:r w:rsidR="006A5D9E">
        <w:rPr>
          <w:sz w:val="24"/>
          <w:szCs w:val="24"/>
          <w:lang w:val="en-GB"/>
        </w:rPr>
        <w:t>make this detail public to promote a more informed debate going forward.</w:t>
      </w:r>
      <w:r w:rsidR="007A5EE4">
        <w:rPr>
          <w:sz w:val="24"/>
          <w:szCs w:val="24"/>
          <w:lang w:val="en-GB"/>
        </w:rPr>
        <w:t xml:space="preserve"> </w:t>
      </w:r>
      <w:r w:rsidR="003B49A2">
        <w:rPr>
          <w:sz w:val="24"/>
          <w:szCs w:val="24"/>
          <w:lang w:val="en-GB"/>
        </w:rPr>
        <w:t xml:space="preserve"> </w:t>
      </w:r>
    </w:p>
    <w:p w14:paraId="5252D9D4" w14:textId="3EEE08F6" w:rsidR="009E1C0A" w:rsidRDefault="009E1C0A">
      <w:pPr>
        <w:spacing w:line="288" w:lineRule="auto"/>
        <w:jc w:val="both"/>
        <w:rPr>
          <w:sz w:val="24"/>
          <w:szCs w:val="24"/>
          <w:lang w:val="en-GB"/>
        </w:rPr>
      </w:pPr>
    </w:p>
    <w:p w14:paraId="59F86ACD" w14:textId="66DB8EB2" w:rsidR="0070769F" w:rsidRDefault="007A5EE4" w:rsidP="0070769F">
      <w:pPr>
        <w:pStyle w:val="Heading1"/>
        <w:keepNext w:val="0"/>
        <w:keepLines w:val="0"/>
        <w:spacing w:before="480"/>
        <w:rPr>
          <w:b/>
          <w:sz w:val="24"/>
          <w:szCs w:val="24"/>
        </w:rPr>
      </w:pPr>
      <w:r>
        <w:rPr>
          <w:b/>
          <w:sz w:val="24"/>
          <w:szCs w:val="24"/>
        </w:rPr>
        <w:lastRenderedPageBreak/>
        <w:t>2.  Factors leading to the VAT</w:t>
      </w:r>
      <w:r w:rsidR="0070769F">
        <w:rPr>
          <w:b/>
          <w:sz w:val="24"/>
          <w:szCs w:val="24"/>
        </w:rPr>
        <w:t xml:space="preserve"> increase  </w:t>
      </w:r>
    </w:p>
    <w:p w14:paraId="2A2625B2" w14:textId="7B8DCC7C" w:rsidR="0070769F" w:rsidRDefault="0070769F" w:rsidP="0070769F">
      <w:pPr>
        <w:spacing w:line="288" w:lineRule="auto"/>
        <w:jc w:val="both"/>
        <w:rPr>
          <w:sz w:val="24"/>
          <w:szCs w:val="24"/>
        </w:rPr>
      </w:pPr>
      <w:r>
        <w:rPr>
          <w:sz w:val="24"/>
          <w:szCs w:val="24"/>
        </w:rPr>
        <w:t>On 17 August 2015, the Davis Tax Committee put out a media statement clarifying its position in relation to its first interim report on VAT.</w:t>
      </w:r>
      <w:r>
        <w:rPr>
          <w:sz w:val="24"/>
          <w:szCs w:val="24"/>
          <w:vertAlign w:val="superscript"/>
        </w:rPr>
        <w:footnoteReference w:id="1"/>
      </w:r>
      <w:r>
        <w:rPr>
          <w:sz w:val="24"/>
          <w:szCs w:val="24"/>
        </w:rPr>
        <w:t xml:space="preserve"> In this media statement, it was outlined that the committee’s interim position is that no explicit recommendations were made to increase the VAT rate. The interim report outlined that although from a purely macroeconomic standpoint, an increase in VAT is less distortionary than an increase in direct taxes, an increase in VAT would have a greater negative impact on inequality than an increase in Personal Income Tax or Company Income Tax. The DTC continued that should it be necessary to increase the standard rate of VAT, it will be important for the fiscal authorities to think carefully about compensatory mechanisms for the poor who will be adversely affected by the increase. </w:t>
      </w:r>
      <w:r w:rsidR="009A77B4">
        <w:rPr>
          <w:sz w:val="24"/>
          <w:szCs w:val="24"/>
        </w:rPr>
        <w:t xml:space="preserve">The report finally </w:t>
      </w:r>
      <w:proofErr w:type="spellStart"/>
      <w:r>
        <w:rPr>
          <w:sz w:val="24"/>
          <w:szCs w:val="24"/>
        </w:rPr>
        <w:t>emphasised</w:t>
      </w:r>
      <w:proofErr w:type="spellEnd"/>
      <w:r>
        <w:rPr>
          <w:sz w:val="24"/>
          <w:szCs w:val="24"/>
        </w:rPr>
        <w:t xml:space="preserve"> that a VAT increase without a significant measure of recycling of revenue in </w:t>
      </w:r>
      <w:proofErr w:type="spellStart"/>
      <w:r>
        <w:rPr>
          <w:sz w:val="24"/>
          <w:szCs w:val="24"/>
        </w:rPr>
        <w:t>favour</w:t>
      </w:r>
      <w:proofErr w:type="spellEnd"/>
      <w:r>
        <w:rPr>
          <w:sz w:val="24"/>
          <w:szCs w:val="24"/>
        </w:rPr>
        <w:t xml:space="preserve"> of poorer people is inherently retrogressive. </w:t>
      </w:r>
    </w:p>
    <w:p w14:paraId="1480F4BC" w14:textId="77777777" w:rsidR="0070769F" w:rsidRDefault="0070769F" w:rsidP="0070769F">
      <w:pPr>
        <w:spacing w:line="288" w:lineRule="auto"/>
        <w:jc w:val="both"/>
        <w:rPr>
          <w:sz w:val="24"/>
          <w:szCs w:val="24"/>
        </w:rPr>
      </w:pPr>
    </w:p>
    <w:p w14:paraId="32398652" w14:textId="77777777" w:rsidR="0070769F" w:rsidRDefault="0070769F" w:rsidP="0070769F">
      <w:pPr>
        <w:spacing w:line="288" w:lineRule="auto"/>
        <w:jc w:val="both"/>
        <w:rPr>
          <w:sz w:val="24"/>
          <w:szCs w:val="24"/>
        </w:rPr>
      </w:pPr>
      <w:r>
        <w:rPr>
          <w:sz w:val="24"/>
          <w:szCs w:val="24"/>
        </w:rPr>
        <w:t>However, in February 2018, the Executive announced that the VAT rate would be increased. There was no public participation process preceding this decision. This lack of public consultation is constitutionally problematic given the potentially negative impact of a VAT increase for poor and low income households.</w:t>
      </w:r>
    </w:p>
    <w:p w14:paraId="63E2D034" w14:textId="77777777" w:rsidR="0070769F" w:rsidRDefault="0070769F" w:rsidP="0070769F">
      <w:pPr>
        <w:spacing w:line="288" w:lineRule="auto"/>
        <w:jc w:val="both"/>
        <w:rPr>
          <w:sz w:val="24"/>
          <w:szCs w:val="24"/>
        </w:rPr>
      </w:pPr>
    </w:p>
    <w:p w14:paraId="0F5A419F" w14:textId="09EAA317" w:rsidR="0070769F" w:rsidRDefault="0070769F" w:rsidP="0070769F">
      <w:pPr>
        <w:spacing w:line="288" w:lineRule="auto"/>
        <w:jc w:val="both"/>
        <w:rPr>
          <w:sz w:val="24"/>
          <w:szCs w:val="24"/>
        </w:rPr>
      </w:pPr>
      <w:r>
        <w:rPr>
          <w:sz w:val="24"/>
          <w:szCs w:val="24"/>
        </w:rPr>
        <w:t>The Budget Justice Coalition takes note of the National Treasury inputs at the Nugent Inquiry. Specifically we note that poor collection of tax by the South African Revenue Services (</w:t>
      </w:r>
      <w:proofErr w:type="spellStart"/>
      <w:r>
        <w:rPr>
          <w:sz w:val="24"/>
          <w:szCs w:val="24"/>
        </w:rPr>
        <w:t>Sars</w:t>
      </w:r>
      <w:proofErr w:type="spellEnd"/>
      <w:r>
        <w:rPr>
          <w:sz w:val="24"/>
          <w:szCs w:val="24"/>
        </w:rPr>
        <w:t xml:space="preserve">) was offered as a contributing factor to the increase of VAT. We also take note that National Treasury has outlined that the underlying data didn't support the claim that it was sluggish economic growth alone that contributed to the revenue shortfall. Other testimonies at the Nugent Inquiry have outlined how the erosion of administration and governance at SARS took place and how the collapse of the Large Business Centre led to issues with collection of corporate taxes. We also take </w:t>
      </w:r>
      <w:r w:rsidR="009A77B4">
        <w:rPr>
          <w:sz w:val="24"/>
          <w:szCs w:val="24"/>
        </w:rPr>
        <w:t xml:space="preserve">note </w:t>
      </w:r>
      <w:r>
        <w:rPr>
          <w:sz w:val="24"/>
          <w:szCs w:val="24"/>
        </w:rPr>
        <w:t xml:space="preserve">of Judge Davis’s input wherein he noted that the causes for the SARS under collection are complex and include slippage in tax morality- caused by broader levels of corruption- not just allegations at SARS. Various books have offered insights into the dismantling of SARS’s investigative capacity and into tax evasion. This is as concerning to the Budget Justice Coalition as it is to National Treasury officials. </w:t>
      </w:r>
    </w:p>
    <w:p w14:paraId="1494255D" w14:textId="77777777" w:rsidR="0070769F" w:rsidRDefault="0070769F" w:rsidP="0070769F">
      <w:pPr>
        <w:spacing w:line="288" w:lineRule="auto"/>
        <w:jc w:val="both"/>
        <w:rPr>
          <w:sz w:val="24"/>
          <w:szCs w:val="24"/>
        </w:rPr>
      </w:pPr>
    </w:p>
    <w:p w14:paraId="126A27E5" w14:textId="214EA6B6" w:rsidR="0070769F" w:rsidRDefault="007A5EE4" w:rsidP="0070769F">
      <w:pPr>
        <w:spacing w:line="288" w:lineRule="auto"/>
        <w:jc w:val="both"/>
        <w:rPr>
          <w:sz w:val="24"/>
          <w:szCs w:val="24"/>
        </w:rPr>
      </w:pPr>
      <w:r>
        <w:rPr>
          <w:sz w:val="24"/>
          <w:szCs w:val="24"/>
        </w:rPr>
        <w:t>It is our contention that the VAT</w:t>
      </w:r>
      <w:r w:rsidR="0070769F">
        <w:rPr>
          <w:sz w:val="24"/>
          <w:szCs w:val="24"/>
        </w:rPr>
        <w:t xml:space="preserve"> rate increase is one of the ways in which the cost of state capture and a lack of accountability is being visited upon citizens</w:t>
      </w:r>
      <w:r>
        <w:rPr>
          <w:sz w:val="24"/>
          <w:szCs w:val="24"/>
        </w:rPr>
        <w:t xml:space="preserve"> – in particular </w:t>
      </w:r>
      <w:r w:rsidR="003F11F9">
        <w:rPr>
          <w:sz w:val="24"/>
          <w:szCs w:val="24"/>
        </w:rPr>
        <w:lastRenderedPageBreak/>
        <w:t xml:space="preserve">poor and </w:t>
      </w:r>
      <w:proofErr w:type="gramStart"/>
      <w:r w:rsidR="003F11F9">
        <w:rPr>
          <w:sz w:val="24"/>
          <w:szCs w:val="24"/>
        </w:rPr>
        <w:t>low income</w:t>
      </w:r>
      <w:proofErr w:type="gramEnd"/>
      <w:r w:rsidR="003F11F9">
        <w:rPr>
          <w:sz w:val="24"/>
          <w:szCs w:val="24"/>
        </w:rPr>
        <w:t xml:space="preserve"> househol</w:t>
      </w:r>
      <w:r>
        <w:rPr>
          <w:sz w:val="24"/>
          <w:szCs w:val="24"/>
        </w:rPr>
        <w:t>ds</w:t>
      </w:r>
      <w:r w:rsidR="0070769F">
        <w:rPr>
          <w:sz w:val="24"/>
          <w:szCs w:val="24"/>
        </w:rPr>
        <w:t xml:space="preserve">. </w:t>
      </w:r>
      <w:r>
        <w:rPr>
          <w:sz w:val="24"/>
          <w:szCs w:val="24"/>
        </w:rPr>
        <w:t xml:space="preserve">This </w:t>
      </w:r>
      <w:r w:rsidR="003F11F9">
        <w:rPr>
          <w:sz w:val="24"/>
          <w:szCs w:val="24"/>
        </w:rPr>
        <w:t xml:space="preserve">context </w:t>
      </w:r>
      <w:r>
        <w:rPr>
          <w:sz w:val="24"/>
          <w:szCs w:val="24"/>
        </w:rPr>
        <w:t>needs to be borne in mind by Treasury and Parliament when considering</w:t>
      </w:r>
      <w:r w:rsidR="003F11F9">
        <w:rPr>
          <w:sz w:val="24"/>
          <w:szCs w:val="24"/>
        </w:rPr>
        <w:t xml:space="preserve"> the VAT increase and</w:t>
      </w:r>
      <w:r>
        <w:rPr>
          <w:sz w:val="24"/>
          <w:szCs w:val="24"/>
        </w:rPr>
        <w:t xml:space="preserve"> the extent and appropriate mix of mitigatory measures selected.</w:t>
      </w:r>
    </w:p>
    <w:p w14:paraId="4F7B7C2C" w14:textId="78BF8A87" w:rsidR="009E1C0A" w:rsidRPr="00DB065A" w:rsidRDefault="009A77B4">
      <w:pPr>
        <w:pStyle w:val="Heading1"/>
        <w:keepNext w:val="0"/>
        <w:keepLines w:val="0"/>
        <w:spacing w:before="480"/>
        <w:rPr>
          <w:b/>
          <w:sz w:val="24"/>
          <w:szCs w:val="24"/>
          <w:lang w:val="en-GB"/>
        </w:rPr>
      </w:pPr>
      <w:bookmarkStart w:id="1" w:name="_30j0zll" w:colFirst="0" w:colLast="0"/>
      <w:bookmarkEnd w:id="1"/>
      <w:r>
        <w:rPr>
          <w:b/>
          <w:sz w:val="24"/>
          <w:szCs w:val="24"/>
          <w:lang w:val="en-GB"/>
        </w:rPr>
        <w:t>3</w:t>
      </w:r>
      <w:r w:rsidR="00702B4F" w:rsidRPr="00DB065A">
        <w:rPr>
          <w:b/>
          <w:sz w:val="24"/>
          <w:szCs w:val="24"/>
          <w:lang w:val="en-GB"/>
        </w:rPr>
        <w:t>.  Re-iterating our call on Parliament to reject the February 2018 VAT increase</w:t>
      </w:r>
    </w:p>
    <w:p w14:paraId="4F577BE0" w14:textId="77777777" w:rsidR="009E1C0A" w:rsidRPr="00DB065A" w:rsidRDefault="00702B4F">
      <w:pPr>
        <w:pBdr>
          <w:top w:val="nil"/>
          <w:left w:val="nil"/>
          <w:bottom w:val="nil"/>
          <w:right w:val="nil"/>
          <w:between w:val="nil"/>
        </w:pBdr>
        <w:spacing w:line="288" w:lineRule="auto"/>
        <w:jc w:val="both"/>
        <w:rPr>
          <w:color w:val="000000"/>
          <w:sz w:val="24"/>
          <w:szCs w:val="24"/>
          <w:lang w:val="en-GB"/>
        </w:rPr>
      </w:pPr>
      <w:bookmarkStart w:id="2" w:name="_1fob9te" w:colFirst="0" w:colLast="0"/>
      <w:bookmarkEnd w:id="2"/>
      <w:r w:rsidRPr="00DB065A">
        <w:rPr>
          <w:color w:val="000000"/>
          <w:sz w:val="24"/>
          <w:szCs w:val="24"/>
          <w:lang w:val="en-GB"/>
        </w:rPr>
        <w:t xml:space="preserve">When the VAT increase was announced by the Minister of Finance in February 2018, we expressed our concerns with the way the decision was made by the Executive, in particular the </w:t>
      </w:r>
      <w:r w:rsidR="00DB065A">
        <w:rPr>
          <w:color w:val="000000"/>
          <w:sz w:val="24"/>
          <w:szCs w:val="24"/>
          <w:lang w:val="en-GB"/>
        </w:rPr>
        <w:t xml:space="preserve">potential impact on poor and low-income households and the </w:t>
      </w:r>
      <w:r w:rsidRPr="00DB065A">
        <w:rPr>
          <w:color w:val="000000"/>
          <w:sz w:val="24"/>
          <w:szCs w:val="24"/>
          <w:lang w:val="en-GB"/>
        </w:rPr>
        <w:t xml:space="preserve">lack of meaningful public participation prior to the decision being made. </w:t>
      </w:r>
    </w:p>
    <w:p w14:paraId="6A381CAF" w14:textId="77777777" w:rsidR="009E1C0A" w:rsidRPr="00DB065A" w:rsidRDefault="009E1C0A">
      <w:pPr>
        <w:pBdr>
          <w:top w:val="nil"/>
          <w:left w:val="nil"/>
          <w:bottom w:val="nil"/>
          <w:right w:val="nil"/>
          <w:between w:val="nil"/>
        </w:pBdr>
        <w:spacing w:line="288" w:lineRule="auto"/>
        <w:jc w:val="both"/>
        <w:rPr>
          <w:color w:val="000000"/>
          <w:sz w:val="24"/>
          <w:szCs w:val="24"/>
          <w:lang w:val="en-GB"/>
        </w:rPr>
      </w:pPr>
    </w:p>
    <w:p w14:paraId="041D4C3A" w14:textId="2C8EF994" w:rsidR="009E1C0A" w:rsidRPr="00DB065A" w:rsidRDefault="00702B4F">
      <w:pPr>
        <w:pBdr>
          <w:top w:val="nil"/>
          <w:left w:val="nil"/>
          <w:bottom w:val="nil"/>
          <w:right w:val="nil"/>
          <w:between w:val="nil"/>
        </w:pBdr>
        <w:spacing w:line="288" w:lineRule="auto"/>
        <w:jc w:val="both"/>
        <w:rPr>
          <w:color w:val="000000"/>
          <w:sz w:val="24"/>
          <w:szCs w:val="24"/>
          <w:lang w:val="en-GB"/>
        </w:rPr>
      </w:pPr>
      <w:r w:rsidRPr="00DB065A">
        <w:rPr>
          <w:color w:val="000000"/>
          <w:sz w:val="24"/>
          <w:szCs w:val="24"/>
          <w:lang w:val="en-GB"/>
        </w:rPr>
        <w:t xml:space="preserve">In February 2018, we presented to the </w:t>
      </w:r>
      <w:r w:rsidRPr="00DB065A">
        <w:rPr>
          <w:sz w:val="24"/>
          <w:szCs w:val="24"/>
          <w:lang w:val="en-GB"/>
        </w:rPr>
        <w:t xml:space="preserve">Standing Committee of Finance </w:t>
      </w:r>
      <w:r w:rsidRPr="00DB065A">
        <w:rPr>
          <w:color w:val="000000"/>
          <w:sz w:val="24"/>
          <w:szCs w:val="24"/>
          <w:lang w:val="en-GB"/>
        </w:rPr>
        <w:t>on the 2018 Budget and expressed alarm at the regressive taxation measur</w:t>
      </w:r>
      <w:r w:rsidR="009A77B4">
        <w:rPr>
          <w:color w:val="000000"/>
          <w:sz w:val="24"/>
          <w:szCs w:val="24"/>
          <w:lang w:val="en-GB"/>
        </w:rPr>
        <w:t>es and social spending cuts bein</w:t>
      </w:r>
      <w:r w:rsidRPr="00DB065A">
        <w:rPr>
          <w:color w:val="000000"/>
          <w:sz w:val="24"/>
          <w:szCs w:val="24"/>
          <w:lang w:val="en-GB"/>
        </w:rPr>
        <w:t xml:space="preserve">g proposed. Of the additional revenue needed, the budget proposed that over 70% should come from three indirect taxes: VAT, fuel and excise (sin) taxes. Our submission provided evidence that this was regressive because the lowest income groups spend the highest share of their expenditure on these taxes, and because forms of tax which reduce inequality had not been effectively used to make the tax mix more progressive. We demonstrated that effective rates of CIT and PIT have fallen since 1999 and room thus exists for increasing these (direct and progressive) taxes. Our submission also countered the claim that South Africa’s CIT rate is high by international standards – we rank 172 out of 213 countries for company tax contributions (where 1 is the highest). We also noted that taxes on property and wealth in South Africa are unacceptably low. The submission costed and proposed alternative revenue raising measures that would increase the progressivity of the tax system while ensuring that revenue shortfalls and social needs are met. </w:t>
      </w:r>
    </w:p>
    <w:p w14:paraId="7301F3E1" w14:textId="77777777" w:rsidR="009E1C0A" w:rsidRPr="00DB065A" w:rsidRDefault="009E1C0A">
      <w:pPr>
        <w:pBdr>
          <w:top w:val="nil"/>
          <w:left w:val="nil"/>
          <w:bottom w:val="nil"/>
          <w:right w:val="nil"/>
          <w:between w:val="nil"/>
        </w:pBdr>
        <w:spacing w:line="288" w:lineRule="auto"/>
        <w:jc w:val="both"/>
        <w:rPr>
          <w:color w:val="000000"/>
          <w:sz w:val="24"/>
          <w:szCs w:val="24"/>
          <w:lang w:val="en-GB"/>
        </w:rPr>
      </w:pPr>
    </w:p>
    <w:p w14:paraId="2CF60264" w14:textId="77777777" w:rsidR="009E1C0A" w:rsidRPr="00DB065A" w:rsidRDefault="00702B4F">
      <w:pPr>
        <w:pBdr>
          <w:top w:val="nil"/>
          <w:left w:val="nil"/>
          <w:bottom w:val="nil"/>
          <w:right w:val="nil"/>
          <w:between w:val="nil"/>
        </w:pBdr>
        <w:spacing w:line="288" w:lineRule="auto"/>
        <w:jc w:val="both"/>
        <w:rPr>
          <w:color w:val="000000"/>
          <w:sz w:val="24"/>
          <w:szCs w:val="24"/>
          <w:lang w:val="en-GB"/>
        </w:rPr>
      </w:pPr>
      <w:r w:rsidRPr="00DB065A">
        <w:rPr>
          <w:color w:val="000000"/>
          <w:sz w:val="24"/>
          <w:szCs w:val="24"/>
          <w:lang w:val="en-GB"/>
        </w:rPr>
        <w:t>Our evidence showed that the real value of social grants has barely kept pace with CPI inflation in recent years and often not with food price inflation. This means that the modest increases to social grants proposed in the 2018 budget will not ameliorate the impact of the VAT rise. Neither will the zero rating of the current limited number of basic foodstuffs.</w:t>
      </w:r>
    </w:p>
    <w:p w14:paraId="74C66F58" w14:textId="77777777" w:rsidR="009E1C0A" w:rsidRPr="00DB065A" w:rsidRDefault="009E1C0A">
      <w:pPr>
        <w:pBdr>
          <w:top w:val="nil"/>
          <w:left w:val="nil"/>
          <w:bottom w:val="nil"/>
          <w:right w:val="nil"/>
          <w:between w:val="nil"/>
        </w:pBdr>
        <w:spacing w:line="288" w:lineRule="auto"/>
        <w:jc w:val="both"/>
        <w:rPr>
          <w:color w:val="000000"/>
          <w:sz w:val="24"/>
          <w:szCs w:val="24"/>
          <w:lang w:val="en-GB"/>
        </w:rPr>
      </w:pPr>
    </w:p>
    <w:p w14:paraId="7BAA8BEF" w14:textId="77777777" w:rsidR="009E1C0A" w:rsidRPr="00DB065A" w:rsidRDefault="00702B4F">
      <w:pPr>
        <w:pBdr>
          <w:top w:val="nil"/>
          <w:left w:val="nil"/>
          <w:bottom w:val="nil"/>
          <w:right w:val="nil"/>
          <w:between w:val="nil"/>
        </w:pBdr>
        <w:spacing w:line="288" w:lineRule="auto"/>
        <w:jc w:val="both"/>
        <w:rPr>
          <w:color w:val="000000"/>
          <w:sz w:val="24"/>
          <w:szCs w:val="24"/>
          <w:lang w:val="en-GB"/>
        </w:rPr>
      </w:pPr>
      <w:r w:rsidRPr="00DB065A">
        <w:rPr>
          <w:color w:val="000000"/>
          <w:sz w:val="24"/>
          <w:szCs w:val="24"/>
          <w:lang w:val="en-GB"/>
        </w:rPr>
        <w:t xml:space="preserve">We cautioned that the revenue proposals, coupled with the planned expenditure cuts in essential services, would exacerbate the already unacceptably high levels of poverty and inequality in our country. We highlighted that tax and spending plans </w:t>
      </w:r>
      <w:r w:rsidRPr="00DB065A">
        <w:rPr>
          <w:i/>
          <w:color w:val="000000"/>
          <w:sz w:val="24"/>
          <w:szCs w:val="24"/>
          <w:lang w:val="en-GB"/>
        </w:rPr>
        <w:t>must</w:t>
      </w:r>
      <w:r w:rsidRPr="00DB065A">
        <w:rPr>
          <w:color w:val="000000"/>
          <w:sz w:val="24"/>
          <w:szCs w:val="24"/>
          <w:lang w:val="en-GB"/>
        </w:rPr>
        <w:t xml:space="preserve"> be redistributive. This follows from Section 9 of the Constitution as well as the fact that reducing inequality and poverty is essential for inclusive economic growth.</w:t>
      </w:r>
    </w:p>
    <w:p w14:paraId="58C75186" w14:textId="77777777" w:rsidR="009E1C0A" w:rsidRPr="00DB065A" w:rsidRDefault="009E1C0A">
      <w:pPr>
        <w:pBdr>
          <w:top w:val="nil"/>
          <w:left w:val="nil"/>
          <w:bottom w:val="nil"/>
          <w:right w:val="nil"/>
          <w:between w:val="nil"/>
        </w:pBdr>
        <w:spacing w:line="288" w:lineRule="auto"/>
        <w:jc w:val="both"/>
        <w:rPr>
          <w:color w:val="000000"/>
          <w:sz w:val="24"/>
          <w:szCs w:val="24"/>
          <w:lang w:val="en-GB"/>
        </w:rPr>
      </w:pPr>
    </w:p>
    <w:p w14:paraId="718F6BB3" w14:textId="77777777" w:rsidR="009E1C0A" w:rsidRPr="00DB065A" w:rsidRDefault="00702B4F">
      <w:pPr>
        <w:pBdr>
          <w:top w:val="nil"/>
          <w:left w:val="nil"/>
          <w:bottom w:val="nil"/>
          <w:right w:val="nil"/>
          <w:between w:val="nil"/>
        </w:pBdr>
        <w:spacing w:line="288" w:lineRule="auto"/>
        <w:jc w:val="both"/>
        <w:rPr>
          <w:color w:val="000000"/>
          <w:sz w:val="24"/>
          <w:szCs w:val="24"/>
          <w:lang w:val="en-GB"/>
        </w:rPr>
      </w:pPr>
      <w:r w:rsidRPr="00DB065A">
        <w:rPr>
          <w:color w:val="000000"/>
          <w:sz w:val="24"/>
          <w:szCs w:val="24"/>
          <w:lang w:val="en-GB"/>
        </w:rPr>
        <w:lastRenderedPageBreak/>
        <w:t xml:space="preserve">Finally we called on Parliament to: </w:t>
      </w:r>
    </w:p>
    <w:p w14:paraId="2623B30E" w14:textId="77777777" w:rsidR="009E1C0A" w:rsidRPr="00DB065A" w:rsidRDefault="00702B4F">
      <w:pPr>
        <w:numPr>
          <w:ilvl w:val="0"/>
          <w:numId w:val="3"/>
        </w:numPr>
        <w:pBdr>
          <w:top w:val="nil"/>
          <w:left w:val="nil"/>
          <w:bottom w:val="nil"/>
          <w:right w:val="nil"/>
          <w:between w:val="nil"/>
        </w:pBdr>
        <w:spacing w:line="288" w:lineRule="auto"/>
        <w:jc w:val="both"/>
        <w:rPr>
          <w:color w:val="000000"/>
          <w:sz w:val="24"/>
          <w:szCs w:val="24"/>
          <w:lang w:val="en-GB"/>
        </w:rPr>
      </w:pPr>
      <w:r w:rsidRPr="00DB065A">
        <w:rPr>
          <w:color w:val="000000"/>
          <w:sz w:val="24"/>
          <w:szCs w:val="24"/>
          <w:lang w:val="en-GB"/>
        </w:rPr>
        <w:t xml:space="preserve">withhold approval of the tax proposals; </w:t>
      </w:r>
    </w:p>
    <w:p w14:paraId="4298F1D5" w14:textId="77777777" w:rsidR="009E1C0A" w:rsidRPr="00DB065A" w:rsidRDefault="00702B4F">
      <w:pPr>
        <w:numPr>
          <w:ilvl w:val="0"/>
          <w:numId w:val="3"/>
        </w:numPr>
        <w:pBdr>
          <w:top w:val="nil"/>
          <w:left w:val="nil"/>
          <w:bottom w:val="nil"/>
          <w:right w:val="nil"/>
          <w:between w:val="nil"/>
        </w:pBdr>
        <w:spacing w:line="288" w:lineRule="auto"/>
        <w:jc w:val="both"/>
        <w:rPr>
          <w:color w:val="000000"/>
          <w:sz w:val="24"/>
          <w:szCs w:val="24"/>
          <w:lang w:val="en-GB"/>
        </w:rPr>
      </w:pPr>
      <w:r w:rsidRPr="00DB065A">
        <w:rPr>
          <w:color w:val="000000"/>
          <w:sz w:val="24"/>
          <w:szCs w:val="24"/>
          <w:lang w:val="en-GB"/>
        </w:rPr>
        <w:t xml:space="preserve">require Treasury to provide evidence for </w:t>
      </w:r>
      <w:r w:rsidRPr="00DB065A">
        <w:rPr>
          <w:sz w:val="24"/>
          <w:szCs w:val="24"/>
          <w:lang w:val="en-GB"/>
        </w:rPr>
        <w:t>the</w:t>
      </w:r>
      <w:r w:rsidRPr="00DB065A">
        <w:rPr>
          <w:color w:val="000000"/>
          <w:sz w:val="24"/>
          <w:szCs w:val="24"/>
          <w:lang w:val="en-GB"/>
        </w:rPr>
        <w:t xml:space="preserve"> claim that raising direct taxes would be more harmful to the reduction of poverty, inequality, unemployment and increased economic growth; and </w:t>
      </w:r>
    </w:p>
    <w:p w14:paraId="008258BE" w14:textId="77777777" w:rsidR="009E1C0A" w:rsidRPr="00DB065A" w:rsidRDefault="00702B4F">
      <w:pPr>
        <w:numPr>
          <w:ilvl w:val="0"/>
          <w:numId w:val="3"/>
        </w:numPr>
        <w:pBdr>
          <w:top w:val="nil"/>
          <w:left w:val="nil"/>
          <w:bottom w:val="nil"/>
          <w:right w:val="nil"/>
          <w:between w:val="nil"/>
        </w:pBdr>
        <w:spacing w:line="288" w:lineRule="auto"/>
        <w:jc w:val="both"/>
        <w:rPr>
          <w:color w:val="000000"/>
          <w:sz w:val="24"/>
          <w:szCs w:val="24"/>
          <w:lang w:val="en-GB"/>
        </w:rPr>
      </w:pPr>
      <w:r w:rsidRPr="00DB065A">
        <w:rPr>
          <w:color w:val="000000"/>
          <w:sz w:val="24"/>
          <w:szCs w:val="24"/>
          <w:lang w:val="en-GB"/>
        </w:rPr>
        <w:t>institute a meaningful process of public engagement on optimal revenue raising measures.</w:t>
      </w:r>
    </w:p>
    <w:p w14:paraId="239314C4" w14:textId="4518449B" w:rsidR="009E1C0A" w:rsidRPr="00DB065A" w:rsidRDefault="00702B4F">
      <w:pPr>
        <w:pStyle w:val="Heading1"/>
        <w:keepNext w:val="0"/>
        <w:keepLines w:val="0"/>
        <w:spacing w:before="480" w:line="288" w:lineRule="auto"/>
        <w:jc w:val="both"/>
        <w:rPr>
          <w:sz w:val="24"/>
          <w:szCs w:val="24"/>
          <w:lang w:val="en-GB"/>
        </w:rPr>
      </w:pPr>
      <w:r w:rsidRPr="00DB065A">
        <w:rPr>
          <w:sz w:val="24"/>
          <w:szCs w:val="24"/>
          <w:lang w:val="en-GB"/>
        </w:rPr>
        <w:t>Following their consideration of the 2018 Budget and the concerns expressed during the public hearings, the Standing Committee of Finance recommended to the Minister of Finance, that future proposals to increase taxes, especially indirect taxes like VAT</w:t>
      </w:r>
      <w:r w:rsidR="0017271A">
        <w:rPr>
          <w:sz w:val="24"/>
          <w:szCs w:val="24"/>
          <w:lang w:val="en-GB"/>
        </w:rPr>
        <w:t>,</w:t>
      </w:r>
      <w:r w:rsidRPr="00DB065A">
        <w:rPr>
          <w:sz w:val="24"/>
          <w:szCs w:val="24"/>
          <w:lang w:val="en-GB"/>
        </w:rPr>
        <w:t xml:space="preserve"> should be tabled in the October MTBPS to allow for more transparency. They also recommended that Treasury should present alternative options and scenarios for raising revenue for consideration.</w:t>
      </w:r>
      <w:r w:rsidRPr="00DB065A">
        <w:rPr>
          <w:sz w:val="24"/>
          <w:szCs w:val="24"/>
          <w:vertAlign w:val="superscript"/>
          <w:lang w:val="en-GB"/>
        </w:rPr>
        <w:footnoteReference w:id="2"/>
      </w:r>
      <w:r w:rsidRPr="00DB065A">
        <w:rPr>
          <w:sz w:val="24"/>
          <w:szCs w:val="24"/>
          <w:lang w:val="en-GB"/>
        </w:rPr>
        <w:t xml:space="preserve"> </w:t>
      </w:r>
    </w:p>
    <w:p w14:paraId="5C906F54" w14:textId="77777777" w:rsidR="009E1C0A" w:rsidRPr="00DB065A" w:rsidRDefault="00702B4F">
      <w:pPr>
        <w:spacing w:line="288" w:lineRule="auto"/>
        <w:ind w:left="720"/>
        <w:jc w:val="both"/>
        <w:rPr>
          <w:sz w:val="24"/>
          <w:szCs w:val="24"/>
          <w:lang w:val="en-GB"/>
        </w:rPr>
      </w:pPr>
      <w:r w:rsidRPr="00DB065A">
        <w:rPr>
          <w:sz w:val="20"/>
          <w:szCs w:val="20"/>
          <w:lang w:val="en-GB"/>
        </w:rPr>
        <w:t>“The Committee notes that the processes of increasing taxes require more time for consultation with a wider range of stakeholders and civil society, outside of government, and that in future the MTBPS tabling can better prepare for such taxation changes. The Committee is fully aware of the market and other sensitivities about prematurely releasing tax increases figures, but believe more consultation is possible without undermining NT’s concerns. The Committee recommends that NT presents quantified alternative measures, options and scenarios when introducing new or adjusting tax rates and utilise the MTBPS to enhance transparency of the budget processes, especially on indirect taxes which pose little risks for tax restructuring and avoidance.</w:t>
      </w:r>
      <w:r w:rsidRPr="00DB065A">
        <w:rPr>
          <w:sz w:val="24"/>
          <w:szCs w:val="24"/>
          <w:lang w:val="en-GB"/>
        </w:rPr>
        <w:t xml:space="preserve"> “</w:t>
      </w:r>
    </w:p>
    <w:p w14:paraId="2C0BE3D6" w14:textId="4F0CD3FC" w:rsidR="009E1C0A" w:rsidRPr="00DB065A" w:rsidRDefault="00702B4F">
      <w:pPr>
        <w:pStyle w:val="Heading1"/>
        <w:keepNext w:val="0"/>
        <w:keepLines w:val="0"/>
        <w:spacing w:before="480" w:line="288" w:lineRule="auto"/>
        <w:jc w:val="both"/>
        <w:rPr>
          <w:sz w:val="24"/>
          <w:szCs w:val="24"/>
          <w:lang w:val="en-GB"/>
        </w:rPr>
      </w:pPr>
      <w:r w:rsidRPr="00DB065A">
        <w:rPr>
          <w:sz w:val="24"/>
          <w:szCs w:val="24"/>
          <w:lang w:val="en-GB"/>
        </w:rPr>
        <w:t xml:space="preserve">We believe this will also allow for meaningful and informed public participation prior to the decision being announced in the February budget speech. We appeal to the Minister of Finance to heed this recommendation with regards to future revenue proposals. </w:t>
      </w:r>
    </w:p>
    <w:p w14:paraId="5F3063B4" w14:textId="77777777" w:rsidR="009E1C0A" w:rsidRPr="00DB065A" w:rsidRDefault="009E1C0A">
      <w:pPr>
        <w:spacing w:line="288" w:lineRule="auto"/>
        <w:rPr>
          <w:sz w:val="24"/>
          <w:szCs w:val="24"/>
          <w:lang w:val="en-GB"/>
        </w:rPr>
      </w:pPr>
    </w:p>
    <w:p w14:paraId="5E6DDDDC" w14:textId="0D4FEC2D" w:rsidR="009E1C0A" w:rsidRPr="00DB065A" w:rsidRDefault="00702B4F">
      <w:pPr>
        <w:spacing w:line="288" w:lineRule="auto"/>
        <w:jc w:val="both"/>
        <w:rPr>
          <w:sz w:val="24"/>
          <w:szCs w:val="24"/>
          <w:lang w:val="en-GB"/>
        </w:rPr>
      </w:pPr>
      <w:r w:rsidRPr="00DB065A">
        <w:rPr>
          <w:sz w:val="24"/>
          <w:szCs w:val="24"/>
          <w:lang w:val="en-GB"/>
        </w:rPr>
        <w:t>We were disappointed that the Standing Committee chose to accept the February 2018 VAT increase decision. We note the Committee’s view that rejecting the VAT increase decision would be ‘difficult’ to</w:t>
      </w:r>
      <w:r w:rsidR="0017271A">
        <w:rPr>
          <w:sz w:val="24"/>
          <w:szCs w:val="24"/>
          <w:lang w:val="en-GB"/>
        </w:rPr>
        <w:t xml:space="preserve"> do due to the tight timeframes, </w:t>
      </w:r>
      <w:r w:rsidRPr="00DB065A">
        <w:rPr>
          <w:sz w:val="24"/>
          <w:szCs w:val="24"/>
          <w:lang w:val="en-GB"/>
        </w:rPr>
        <w:t xml:space="preserve">the onerous requirements of the Money Bills Amendment Procedure Act, and the Committee’s interpretation of s7(4) of the VAT Act. </w:t>
      </w:r>
    </w:p>
    <w:p w14:paraId="37E52939" w14:textId="77777777" w:rsidR="009E1C0A" w:rsidRPr="00DB065A" w:rsidRDefault="009E1C0A">
      <w:pPr>
        <w:pBdr>
          <w:top w:val="nil"/>
          <w:left w:val="nil"/>
          <w:bottom w:val="nil"/>
          <w:right w:val="nil"/>
          <w:between w:val="nil"/>
        </w:pBdr>
        <w:spacing w:line="288" w:lineRule="auto"/>
        <w:rPr>
          <w:color w:val="000000"/>
          <w:sz w:val="24"/>
          <w:szCs w:val="24"/>
          <w:lang w:val="en-GB"/>
        </w:rPr>
      </w:pPr>
    </w:p>
    <w:p w14:paraId="6D6B438D" w14:textId="77777777" w:rsidR="009E1C0A" w:rsidRPr="00DB065A" w:rsidRDefault="00702B4F">
      <w:pPr>
        <w:pBdr>
          <w:top w:val="nil"/>
          <w:left w:val="nil"/>
          <w:bottom w:val="nil"/>
          <w:right w:val="nil"/>
          <w:between w:val="nil"/>
        </w:pBdr>
        <w:spacing w:line="288" w:lineRule="auto"/>
        <w:ind w:left="720"/>
        <w:jc w:val="both"/>
        <w:rPr>
          <w:color w:val="000000"/>
          <w:sz w:val="20"/>
          <w:szCs w:val="20"/>
          <w:lang w:val="en-GB"/>
        </w:rPr>
      </w:pPr>
      <w:r w:rsidRPr="00DB065A">
        <w:rPr>
          <w:color w:val="000000"/>
          <w:sz w:val="20"/>
          <w:szCs w:val="20"/>
          <w:lang w:val="en-GB"/>
        </w:rPr>
        <w:t xml:space="preserve">“Should parliament reject the VAT increase through the Fiscal Framework we will have to propose alternatives to raise an estimated R22,9 billion during the 2018/19 financial year, instead of through the VAT increase. Given the tight timeframes and the onerous requirements of the Money Bills Act this is difficult to do. Even if we reject the VAT increase through the Fiscal </w:t>
      </w:r>
      <w:r w:rsidRPr="00DB065A">
        <w:rPr>
          <w:color w:val="000000"/>
          <w:sz w:val="20"/>
          <w:szCs w:val="20"/>
          <w:lang w:val="en-GB"/>
        </w:rPr>
        <w:lastRenderedPageBreak/>
        <w:t>Framework it will still be implemented on 1 April in terms of the legal provision in s7(4) of the Value-Added Tax Act. It will continue to apply for a 12-month period from the date of the budget and will only lapse at the beginning of the next financial year if it is not given effect through the passing of the Rates and Revenue Bill through which the VAT increase can be rejected.”</w:t>
      </w:r>
      <w:r w:rsidRPr="00DB065A">
        <w:rPr>
          <w:color w:val="000000"/>
          <w:sz w:val="20"/>
          <w:szCs w:val="20"/>
          <w:vertAlign w:val="superscript"/>
          <w:lang w:val="en-GB"/>
        </w:rPr>
        <w:footnoteReference w:id="3"/>
      </w:r>
      <w:r w:rsidRPr="00DB065A">
        <w:rPr>
          <w:color w:val="000000"/>
          <w:sz w:val="20"/>
          <w:szCs w:val="20"/>
          <w:lang w:val="en-GB"/>
        </w:rPr>
        <w:t xml:space="preserve"> </w:t>
      </w:r>
    </w:p>
    <w:p w14:paraId="470B5BE1" w14:textId="77777777" w:rsidR="009E1C0A" w:rsidRPr="00DB065A" w:rsidRDefault="009E1C0A">
      <w:pPr>
        <w:spacing w:line="288" w:lineRule="auto"/>
        <w:rPr>
          <w:sz w:val="24"/>
          <w:szCs w:val="24"/>
          <w:lang w:val="en-GB"/>
        </w:rPr>
      </w:pPr>
    </w:p>
    <w:p w14:paraId="19D090B2" w14:textId="7B012BF6" w:rsidR="009E1C0A" w:rsidRPr="00DB065A" w:rsidRDefault="00702B4F">
      <w:pPr>
        <w:spacing w:line="288" w:lineRule="auto"/>
        <w:jc w:val="both"/>
        <w:rPr>
          <w:sz w:val="24"/>
          <w:szCs w:val="24"/>
          <w:lang w:val="en-GB"/>
        </w:rPr>
      </w:pPr>
      <w:r w:rsidRPr="00DB065A">
        <w:rPr>
          <w:sz w:val="24"/>
          <w:szCs w:val="24"/>
          <w:lang w:val="en-GB"/>
        </w:rPr>
        <w:t>While recognising the constraints facing Parliament, we do not agree with the Committee’s decision not to take on this ‘difficult’ task or their interpretation of the meaning of s7(4) of the VAT Act. Parliament could</w:t>
      </w:r>
      <w:r w:rsidR="003F11F9">
        <w:rPr>
          <w:sz w:val="24"/>
          <w:szCs w:val="24"/>
          <w:lang w:val="en-GB"/>
        </w:rPr>
        <w:t xml:space="preserve"> (and still can)</w:t>
      </w:r>
      <w:r w:rsidRPr="00DB065A">
        <w:rPr>
          <w:sz w:val="24"/>
          <w:szCs w:val="24"/>
          <w:lang w:val="en-GB"/>
        </w:rPr>
        <w:t xml:space="preserve"> have required Treasury to provide costed alternative options and scenarios for raising the required revenue, to ensure that Parliament had the necessary information to make an alternative decision.</w:t>
      </w:r>
      <w:r w:rsidR="003F11F9">
        <w:rPr>
          <w:sz w:val="24"/>
          <w:szCs w:val="24"/>
          <w:lang w:val="en-GB"/>
        </w:rPr>
        <w:t xml:space="preserve"> </w:t>
      </w:r>
    </w:p>
    <w:p w14:paraId="714BBADA" w14:textId="77777777" w:rsidR="009E1C0A" w:rsidRPr="00DB065A" w:rsidRDefault="009E1C0A">
      <w:pPr>
        <w:spacing w:line="288" w:lineRule="auto"/>
        <w:jc w:val="both"/>
        <w:rPr>
          <w:sz w:val="24"/>
          <w:szCs w:val="24"/>
          <w:lang w:val="en-GB"/>
        </w:rPr>
      </w:pPr>
    </w:p>
    <w:p w14:paraId="014C3443" w14:textId="68416B61" w:rsidR="009E1C0A" w:rsidRPr="00DB065A" w:rsidRDefault="00702B4F">
      <w:pPr>
        <w:spacing w:line="288" w:lineRule="auto"/>
        <w:jc w:val="both"/>
        <w:rPr>
          <w:sz w:val="24"/>
          <w:szCs w:val="24"/>
          <w:lang w:val="en-GB"/>
        </w:rPr>
      </w:pPr>
      <w:r w:rsidRPr="00DB065A">
        <w:rPr>
          <w:sz w:val="24"/>
          <w:szCs w:val="24"/>
          <w:lang w:val="en-GB"/>
        </w:rPr>
        <w:t>When we were invited to make submissions on the Draft Rates and Monetary Amounts Amendment Bill in April, we were uncertain as to why we should engage, given that the Standing Committee on Finance had already indicated its intention</w:t>
      </w:r>
      <w:r w:rsidR="00594256">
        <w:rPr>
          <w:sz w:val="24"/>
          <w:szCs w:val="24"/>
          <w:lang w:val="en-GB"/>
        </w:rPr>
        <w:t>,</w:t>
      </w:r>
      <w:r w:rsidRPr="00DB065A">
        <w:rPr>
          <w:sz w:val="24"/>
          <w:szCs w:val="24"/>
          <w:lang w:val="en-GB"/>
        </w:rPr>
        <w:t xml:space="preserve"> in its Report on the Fiscal Framework</w:t>
      </w:r>
      <w:r w:rsidR="00594256">
        <w:rPr>
          <w:sz w:val="24"/>
          <w:szCs w:val="24"/>
          <w:lang w:val="en-GB"/>
        </w:rPr>
        <w:t>,</w:t>
      </w:r>
      <w:r w:rsidRPr="00DB065A">
        <w:rPr>
          <w:sz w:val="24"/>
          <w:szCs w:val="24"/>
          <w:lang w:val="en-GB"/>
        </w:rPr>
        <w:t xml:space="preserve"> to agree to the VAT increase. We continued however to engage and presented a further submission. In this submission we re-iterated the points made in our February submission</w:t>
      </w:r>
      <w:r w:rsidR="00594256">
        <w:rPr>
          <w:sz w:val="24"/>
          <w:szCs w:val="24"/>
          <w:lang w:val="en-GB"/>
        </w:rPr>
        <w:t xml:space="preserve">. </w:t>
      </w:r>
      <w:r w:rsidR="006A5D9E">
        <w:rPr>
          <w:sz w:val="24"/>
          <w:szCs w:val="24"/>
          <w:lang w:val="en-GB"/>
        </w:rPr>
        <w:t>While the most recent evidence</w:t>
      </w:r>
      <w:r w:rsidR="006A5D9E">
        <w:rPr>
          <w:rStyle w:val="FootnoteReference"/>
          <w:sz w:val="24"/>
          <w:szCs w:val="24"/>
          <w:lang w:val="en-GB"/>
        </w:rPr>
        <w:footnoteReference w:id="4"/>
      </w:r>
      <w:r w:rsidR="006A5D9E">
        <w:rPr>
          <w:sz w:val="24"/>
          <w:szCs w:val="24"/>
          <w:lang w:val="en-GB"/>
        </w:rPr>
        <w:t xml:space="preserve"> indicates that VAT in South Africa, due to existing zero-rating, is not in itself “regressive”, i</w:t>
      </w:r>
      <w:r w:rsidR="006A5D9E" w:rsidRPr="0094746F">
        <w:rPr>
          <w:sz w:val="24"/>
          <w:szCs w:val="24"/>
          <w:lang w:val="en-GB"/>
        </w:rPr>
        <w:t>ncreasing VAT makes the tax mix more regressive by increasing the tax contribution of poor and low-income households.</w:t>
      </w:r>
      <w:r w:rsidR="006A5D9E">
        <w:rPr>
          <w:sz w:val="24"/>
          <w:szCs w:val="24"/>
          <w:lang w:val="en-GB"/>
        </w:rPr>
        <w:t xml:space="preserve"> It is also a more regressive tax than other options available. </w:t>
      </w:r>
      <w:r w:rsidR="006A5D9E" w:rsidRPr="0094746F">
        <w:rPr>
          <w:sz w:val="24"/>
          <w:szCs w:val="24"/>
          <w:lang w:val="en-GB"/>
        </w:rPr>
        <w:t>Further, it has the potential to dampen domestic demand and growth, and increase inequality.</w:t>
      </w:r>
      <w:r w:rsidR="006A5D9E">
        <w:rPr>
          <w:sz w:val="24"/>
          <w:szCs w:val="24"/>
          <w:lang w:val="en-GB"/>
        </w:rPr>
        <w:t xml:space="preserve"> </w:t>
      </w:r>
      <w:r w:rsidRPr="00DB065A">
        <w:rPr>
          <w:sz w:val="24"/>
          <w:szCs w:val="24"/>
          <w:lang w:val="en-GB"/>
        </w:rPr>
        <w:t xml:space="preserve">We further highlighted how a different management of the South African public debt and a strengthened focus on illicit financial flows and tax compliance could provide the necessary fiscal space to avoid the proposed VAT increase. </w:t>
      </w:r>
      <w:r w:rsidR="00594256">
        <w:rPr>
          <w:sz w:val="24"/>
          <w:szCs w:val="24"/>
          <w:lang w:val="en-GB"/>
        </w:rPr>
        <w:t xml:space="preserve">We </w:t>
      </w:r>
      <w:r w:rsidR="00594256" w:rsidRPr="00DB065A">
        <w:rPr>
          <w:sz w:val="24"/>
          <w:szCs w:val="24"/>
          <w:lang w:val="en-GB"/>
        </w:rPr>
        <w:t>reminded the Committee that our February submission had contained evidence based alternative options for raising revenu</w:t>
      </w:r>
      <w:r w:rsidR="00594256">
        <w:rPr>
          <w:sz w:val="24"/>
          <w:szCs w:val="24"/>
          <w:lang w:val="en-GB"/>
        </w:rPr>
        <w:t xml:space="preserve">e other than via a VAT increase and we included these alternatives again. </w:t>
      </w:r>
      <w:r w:rsidRPr="00DB065A">
        <w:rPr>
          <w:sz w:val="24"/>
          <w:szCs w:val="24"/>
          <w:lang w:val="en-GB"/>
        </w:rPr>
        <w:t xml:space="preserve">We called on the Committee to reject the VAT increase proposed in the draft Amendment Bill and amend the Bill to rather increase CIT, PIT and </w:t>
      </w:r>
      <w:r w:rsidR="000A586D">
        <w:rPr>
          <w:sz w:val="24"/>
          <w:szCs w:val="24"/>
          <w:lang w:val="en-GB"/>
        </w:rPr>
        <w:t>p</w:t>
      </w:r>
      <w:r w:rsidRPr="00DB065A">
        <w:rPr>
          <w:sz w:val="24"/>
          <w:szCs w:val="24"/>
          <w:lang w:val="en-GB"/>
        </w:rPr>
        <w:t xml:space="preserve">roperty </w:t>
      </w:r>
      <w:r w:rsidR="000A586D">
        <w:rPr>
          <w:sz w:val="24"/>
          <w:szCs w:val="24"/>
          <w:lang w:val="en-GB"/>
        </w:rPr>
        <w:t>t</w:t>
      </w:r>
      <w:r w:rsidRPr="00DB065A">
        <w:rPr>
          <w:sz w:val="24"/>
          <w:szCs w:val="24"/>
          <w:lang w:val="en-GB"/>
        </w:rPr>
        <w:t xml:space="preserve">axes and to implement a comprehensive wealth tax to raise the required revenue. </w:t>
      </w:r>
    </w:p>
    <w:p w14:paraId="637D9394" w14:textId="77777777" w:rsidR="009E1C0A" w:rsidRPr="00DB065A" w:rsidRDefault="009E1C0A">
      <w:pPr>
        <w:spacing w:line="288" w:lineRule="auto"/>
        <w:jc w:val="both"/>
        <w:rPr>
          <w:sz w:val="24"/>
          <w:szCs w:val="24"/>
          <w:lang w:val="en-GB"/>
        </w:rPr>
      </w:pPr>
    </w:p>
    <w:p w14:paraId="6393792B" w14:textId="093322B3" w:rsidR="009E1C0A" w:rsidRPr="00DB065A" w:rsidRDefault="0017271A">
      <w:pPr>
        <w:spacing w:line="288" w:lineRule="auto"/>
        <w:jc w:val="both"/>
        <w:rPr>
          <w:b/>
          <w:sz w:val="24"/>
          <w:szCs w:val="24"/>
          <w:lang w:val="en-GB"/>
        </w:rPr>
      </w:pPr>
      <w:r>
        <w:rPr>
          <w:b/>
          <w:sz w:val="24"/>
          <w:szCs w:val="24"/>
          <w:lang w:val="en-GB"/>
        </w:rPr>
        <w:t>4</w:t>
      </w:r>
      <w:r w:rsidR="00702B4F" w:rsidRPr="00DB065A">
        <w:rPr>
          <w:b/>
          <w:sz w:val="24"/>
          <w:szCs w:val="24"/>
          <w:lang w:val="en-GB"/>
        </w:rPr>
        <w:t>. Comment on measures to mitigate the impact of the VAT increase</w:t>
      </w:r>
    </w:p>
    <w:p w14:paraId="2B9C5B36" w14:textId="77777777" w:rsidR="009E1C0A" w:rsidRDefault="009E1C0A">
      <w:pPr>
        <w:spacing w:line="288" w:lineRule="auto"/>
        <w:jc w:val="both"/>
        <w:rPr>
          <w:sz w:val="24"/>
          <w:szCs w:val="24"/>
          <w:lang w:val="en-GB"/>
        </w:rPr>
      </w:pPr>
    </w:p>
    <w:p w14:paraId="0544864C" w14:textId="0D893010" w:rsidR="009E1C0A" w:rsidRPr="00227DB0" w:rsidRDefault="00702B4F">
      <w:pPr>
        <w:spacing w:line="288" w:lineRule="auto"/>
        <w:jc w:val="both"/>
        <w:rPr>
          <w:sz w:val="24"/>
          <w:szCs w:val="24"/>
          <w:lang w:val="en-GB"/>
        </w:rPr>
      </w:pPr>
      <w:r w:rsidRPr="00DB065A">
        <w:rPr>
          <w:sz w:val="24"/>
          <w:szCs w:val="24"/>
          <w:lang w:val="en-GB"/>
        </w:rPr>
        <w:t xml:space="preserve">If Parliament decides to accept the VAT increase for 2018 and beyond, we call on the Minister of Finance and Parliament to implement </w:t>
      </w:r>
      <w:r w:rsidRPr="00DB065A">
        <w:rPr>
          <w:sz w:val="24"/>
          <w:szCs w:val="24"/>
          <w:u w:val="single"/>
          <w:lang w:val="en-GB"/>
        </w:rPr>
        <w:t>comprehensive mitigating measures</w:t>
      </w:r>
      <w:r w:rsidR="0017271A">
        <w:rPr>
          <w:sz w:val="24"/>
          <w:szCs w:val="24"/>
          <w:u w:val="single"/>
          <w:lang w:val="en-GB"/>
        </w:rPr>
        <w:t xml:space="preserve"> </w:t>
      </w:r>
      <w:r w:rsidR="0017271A" w:rsidRPr="00227DB0">
        <w:rPr>
          <w:sz w:val="24"/>
          <w:szCs w:val="24"/>
          <w:lang w:val="en-GB"/>
        </w:rPr>
        <w:t>to reduce the</w:t>
      </w:r>
      <w:r w:rsidR="00227DB0" w:rsidRPr="00227DB0">
        <w:rPr>
          <w:sz w:val="24"/>
          <w:szCs w:val="24"/>
          <w:lang w:val="en-GB"/>
        </w:rPr>
        <w:t xml:space="preserve"> negative impact that the VAT increase is having on poor and low income earners and on the economy</w:t>
      </w:r>
      <w:r w:rsidRPr="00227DB0">
        <w:rPr>
          <w:sz w:val="24"/>
          <w:szCs w:val="24"/>
          <w:lang w:val="en-GB"/>
        </w:rPr>
        <w:t xml:space="preserve">. </w:t>
      </w:r>
    </w:p>
    <w:p w14:paraId="392997D9" w14:textId="69001011" w:rsidR="009E1C0A" w:rsidRPr="00DB065A" w:rsidRDefault="00702B4F">
      <w:pPr>
        <w:spacing w:line="288" w:lineRule="auto"/>
        <w:jc w:val="both"/>
        <w:rPr>
          <w:sz w:val="24"/>
          <w:szCs w:val="24"/>
          <w:lang w:val="en-GB"/>
        </w:rPr>
      </w:pPr>
      <w:r w:rsidRPr="00DB065A">
        <w:rPr>
          <w:sz w:val="24"/>
          <w:szCs w:val="24"/>
          <w:lang w:val="en-GB"/>
        </w:rPr>
        <w:lastRenderedPageBreak/>
        <w:t>Given that the VAT and Fuel Levy increases have been in effect since 1 April, mitigating measures that involve increased budgetary allocation to social programmes need to be implemented as soon as possible, preferably in October 2018 via the Adjustment Budget. Due to the urgency of the financial crisis facing poor and low</w:t>
      </w:r>
      <w:r w:rsidR="000A586D">
        <w:rPr>
          <w:sz w:val="24"/>
          <w:szCs w:val="24"/>
          <w:lang w:val="en-GB"/>
        </w:rPr>
        <w:t>-</w:t>
      </w:r>
      <w:r w:rsidRPr="00DB065A">
        <w:rPr>
          <w:sz w:val="24"/>
          <w:szCs w:val="24"/>
          <w:lang w:val="en-GB"/>
        </w:rPr>
        <w:t>income earners, we recommend that those mitigating measures that are able to reach poor and low income households immediately and directly, should be preferred, over measures that require further investigation before their effectiveness or success can be assured.</w:t>
      </w:r>
    </w:p>
    <w:p w14:paraId="0BB32AEA" w14:textId="77777777" w:rsidR="009E1C0A" w:rsidRPr="00DB065A" w:rsidRDefault="009E1C0A">
      <w:pPr>
        <w:spacing w:line="288" w:lineRule="auto"/>
        <w:jc w:val="both"/>
        <w:rPr>
          <w:sz w:val="24"/>
          <w:szCs w:val="24"/>
          <w:lang w:val="en-GB"/>
        </w:rPr>
      </w:pPr>
    </w:p>
    <w:p w14:paraId="738206A1" w14:textId="43D335DE" w:rsidR="009E1C0A" w:rsidRPr="00DB065A" w:rsidRDefault="00702B4F">
      <w:pPr>
        <w:spacing w:line="288" w:lineRule="auto"/>
        <w:jc w:val="both"/>
        <w:rPr>
          <w:sz w:val="24"/>
          <w:szCs w:val="24"/>
          <w:lang w:val="en-GB"/>
        </w:rPr>
      </w:pPr>
      <w:r w:rsidRPr="00DB065A">
        <w:rPr>
          <w:sz w:val="24"/>
          <w:szCs w:val="24"/>
          <w:lang w:val="en-GB"/>
        </w:rPr>
        <w:t xml:space="preserve">The addition of zero rated items and additional financial investment in social programmes should not </w:t>
      </w:r>
      <w:proofErr w:type="gramStart"/>
      <w:r w:rsidRPr="00DB065A">
        <w:rPr>
          <w:sz w:val="24"/>
          <w:szCs w:val="24"/>
          <w:lang w:val="en-GB"/>
        </w:rPr>
        <w:t>be seen as</w:t>
      </w:r>
      <w:proofErr w:type="gramEnd"/>
      <w:r w:rsidRPr="00DB065A">
        <w:rPr>
          <w:sz w:val="24"/>
          <w:szCs w:val="24"/>
          <w:lang w:val="en-GB"/>
        </w:rPr>
        <w:t xml:space="preserve"> an either/or. We recommend that a mixture of </w:t>
      </w:r>
      <w:r w:rsidRPr="00DB065A">
        <w:rPr>
          <w:sz w:val="24"/>
          <w:szCs w:val="24"/>
          <w:u w:val="single"/>
          <w:lang w:val="en-GB"/>
        </w:rPr>
        <w:t>both of these steps</w:t>
      </w:r>
      <w:r w:rsidRPr="00DB065A">
        <w:rPr>
          <w:sz w:val="24"/>
          <w:szCs w:val="24"/>
          <w:lang w:val="en-GB"/>
        </w:rPr>
        <w:t xml:space="preserve"> need to be taken to fully reverse the negative impact of the VAT (and Fuel levy) increase on poor and low income earners. For example, a decision to take only one mitigating measure, for example small increases to social grants, would not directly assist people who are not receiving social grants. This includes the majority of poor people aged 18 to 60 who are completely left out of the social assistance programme. And a decision to zero-rate </w:t>
      </w:r>
      <w:r w:rsidR="00227DB0">
        <w:rPr>
          <w:sz w:val="24"/>
          <w:szCs w:val="24"/>
          <w:lang w:val="en-GB"/>
        </w:rPr>
        <w:t xml:space="preserve">only </w:t>
      </w:r>
      <w:r w:rsidRPr="00DB065A">
        <w:rPr>
          <w:sz w:val="24"/>
          <w:szCs w:val="24"/>
          <w:lang w:val="en-GB"/>
        </w:rPr>
        <w:t xml:space="preserve">a further </w:t>
      </w:r>
      <w:r w:rsidR="000A586D">
        <w:rPr>
          <w:sz w:val="24"/>
          <w:szCs w:val="24"/>
          <w:lang w:val="en-GB"/>
        </w:rPr>
        <w:t>six</w:t>
      </w:r>
      <w:r w:rsidRPr="00DB065A">
        <w:rPr>
          <w:sz w:val="24"/>
          <w:szCs w:val="24"/>
          <w:lang w:val="en-GB"/>
        </w:rPr>
        <w:t xml:space="preserve"> items and not also increase expenditure on key social programmes will have minimal impact taking into account both the VAT and Fuel levy increases and expenditure cuts to key social programmes. </w:t>
      </w:r>
    </w:p>
    <w:p w14:paraId="5E455475" w14:textId="77777777" w:rsidR="009E1C0A" w:rsidRPr="00DB065A" w:rsidRDefault="009E1C0A">
      <w:pPr>
        <w:spacing w:line="288" w:lineRule="auto"/>
        <w:jc w:val="both"/>
        <w:rPr>
          <w:sz w:val="24"/>
          <w:szCs w:val="24"/>
          <w:lang w:val="en-GB"/>
        </w:rPr>
      </w:pPr>
    </w:p>
    <w:p w14:paraId="24C60404" w14:textId="0EE51D97" w:rsidR="009E1C0A" w:rsidRPr="00DB065A" w:rsidRDefault="00227DB0">
      <w:pPr>
        <w:spacing w:line="288" w:lineRule="auto"/>
        <w:jc w:val="both"/>
        <w:rPr>
          <w:b/>
          <w:sz w:val="24"/>
          <w:szCs w:val="24"/>
          <w:lang w:val="en-GB"/>
        </w:rPr>
      </w:pPr>
      <w:r>
        <w:rPr>
          <w:b/>
          <w:sz w:val="24"/>
          <w:szCs w:val="24"/>
          <w:lang w:val="en-GB"/>
        </w:rPr>
        <w:t>4</w:t>
      </w:r>
      <w:r w:rsidR="00702B4F" w:rsidRPr="00DB065A">
        <w:rPr>
          <w:b/>
          <w:sz w:val="24"/>
          <w:szCs w:val="24"/>
          <w:lang w:val="en-GB"/>
        </w:rPr>
        <w:t>.1 Recommendations on additional items for zero rating</w:t>
      </w:r>
    </w:p>
    <w:p w14:paraId="5B94DC6D" w14:textId="77777777" w:rsidR="009E1C0A" w:rsidRPr="00DB065A" w:rsidRDefault="009E1C0A">
      <w:pPr>
        <w:spacing w:line="288" w:lineRule="auto"/>
        <w:jc w:val="both"/>
        <w:rPr>
          <w:b/>
          <w:sz w:val="24"/>
          <w:szCs w:val="24"/>
          <w:lang w:val="en-GB"/>
        </w:rPr>
      </w:pPr>
    </w:p>
    <w:p w14:paraId="78D92CAB" w14:textId="1037875A" w:rsidR="009E1C0A" w:rsidRPr="00DB065A" w:rsidRDefault="00702B4F">
      <w:pPr>
        <w:jc w:val="both"/>
        <w:rPr>
          <w:sz w:val="24"/>
          <w:szCs w:val="24"/>
          <w:lang w:val="en-GB"/>
        </w:rPr>
      </w:pPr>
      <w:r w:rsidRPr="00DB065A">
        <w:rPr>
          <w:sz w:val="24"/>
          <w:szCs w:val="24"/>
          <w:lang w:val="en-GB"/>
        </w:rPr>
        <w:t>We support the Panel’s conclusion that the current zero-rated item list should be kept as such. While some of the items may not</w:t>
      </w:r>
      <w:r w:rsidR="009F7117">
        <w:rPr>
          <w:sz w:val="24"/>
          <w:szCs w:val="24"/>
          <w:lang w:val="en-GB"/>
        </w:rPr>
        <w:t>, in a narrow financial sense based on the distribution of expenditure on these items, disproportionately benefit poor and low-income households,</w:t>
      </w:r>
      <w:r w:rsidRPr="00DB065A">
        <w:rPr>
          <w:sz w:val="24"/>
          <w:szCs w:val="24"/>
          <w:lang w:val="en-GB"/>
        </w:rPr>
        <w:t xml:space="preserve"> they should be retained for </w:t>
      </w:r>
      <w:r w:rsidR="00227DB0">
        <w:rPr>
          <w:sz w:val="24"/>
          <w:szCs w:val="24"/>
          <w:lang w:val="en-GB"/>
        </w:rPr>
        <w:t xml:space="preserve">equity and </w:t>
      </w:r>
      <w:r w:rsidRPr="00DB065A">
        <w:rPr>
          <w:sz w:val="24"/>
          <w:szCs w:val="24"/>
          <w:lang w:val="en-GB"/>
        </w:rPr>
        <w:t xml:space="preserve">health promotion reasons, in particular fruit, vegetables, milk products and lentils. </w:t>
      </w:r>
    </w:p>
    <w:p w14:paraId="3E938B9D" w14:textId="77777777" w:rsidR="009E1C0A" w:rsidRPr="00DB065A" w:rsidRDefault="009E1C0A">
      <w:pPr>
        <w:spacing w:line="288" w:lineRule="auto"/>
        <w:jc w:val="both"/>
        <w:rPr>
          <w:sz w:val="24"/>
          <w:szCs w:val="24"/>
          <w:lang w:val="en-GB"/>
        </w:rPr>
      </w:pPr>
    </w:p>
    <w:p w14:paraId="3D5FEAAA" w14:textId="07C79616" w:rsidR="009E1C0A" w:rsidRPr="00DB065A" w:rsidRDefault="00702B4F">
      <w:pPr>
        <w:jc w:val="both"/>
        <w:rPr>
          <w:sz w:val="24"/>
          <w:szCs w:val="24"/>
          <w:lang w:val="en-GB"/>
        </w:rPr>
      </w:pPr>
      <w:r w:rsidRPr="00DB065A">
        <w:rPr>
          <w:sz w:val="24"/>
          <w:szCs w:val="24"/>
          <w:lang w:val="en-GB"/>
        </w:rPr>
        <w:t xml:space="preserve">We support the </w:t>
      </w:r>
      <w:r w:rsidR="009F7117">
        <w:rPr>
          <w:sz w:val="24"/>
          <w:szCs w:val="24"/>
          <w:lang w:val="en-GB"/>
        </w:rPr>
        <w:t>six</w:t>
      </w:r>
      <w:r w:rsidRPr="00DB065A">
        <w:rPr>
          <w:sz w:val="24"/>
          <w:szCs w:val="24"/>
          <w:lang w:val="en-GB"/>
        </w:rPr>
        <w:t xml:space="preserve"> items identified by the Panel for zero-rating. The focus on items that wi</w:t>
      </w:r>
      <w:r w:rsidR="00B3709D">
        <w:rPr>
          <w:sz w:val="24"/>
          <w:szCs w:val="24"/>
          <w:lang w:val="en-GB"/>
        </w:rPr>
        <w:t>ll assist women and children is</w:t>
      </w:r>
      <w:r w:rsidRPr="00DB065A">
        <w:rPr>
          <w:sz w:val="24"/>
          <w:szCs w:val="24"/>
          <w:lang w:val="en-GB"/>
        </w:rPr>
        <w:t xml:space="preserve"> welcomed. However</w:t>
      </w:r>
      <w:r w:rsidR="009F7117">
        <w:rPr>
          <w:sz w:val="24"/>
          <w:szCs w:val="24"/>
          <w:lang w:val="en-GB"/>
        </w:rPr>
        <w:t>,</w:t>
      </w:r>
      <w:r w:rsidRPr="00DB065A">
        <w:rPr>
          <w:sz w:val="24"/>
          <w:szCs w:val="24"/>
          <w:lang w:val="en-GB"/>
        </w:rPr>
        <w:t xml:space="preserve"> the addition of only </w:t>
      </w:r>
      <w:r w:rsidR="009F7117">
        <w:rPr>
          <w:sz w:val="24"/>
          <w:szCs w:val="24"/>
          <w:lang w:val="en-GB"/>
        </w:rPr>
        <w:t>six</w:t>
      </w:r>
      <w:r w:rsidRPr="00DB065A">
        <w:rPr>
          <w:sz w:val="24"/>
          <w:szCs w:val="24"/>
          <w:lang w:val="en-GB"/>
        </w:rPr>
        <w:t xml:space="preserve"> items to the list will not sufficiently address the adverse impact of the VAT increase, especially if the increase is going to be retained beyond 2019.</w:t>
      </w:r>
    </w:p>
    <w:p w14:paraId="23BA536D" w14:textId="77777777" w:rsidR="009E1C0A" w:rsidRDefault="009E1C0A">
      <w:pPr>
        <w:jc w:val="both"/>
        <w:rPr>
          <w:sz w:val="24"/>
          <w:szCs w:val="24"/>
          <w:lang w:val="en-GB"/>
        </w:rPr>
      </w:pPr>
    </w:p>
    <w:p w14:paraId="47587FED" w14:textId="2E6C3F94" w:rsidR="00050E8F" w:rsidRDefault="00050E8F">
      <w:pPr>
        <w:jc w:val="both"/>
        <w:rPr>
          <w:sz w:val="24"/>
          <w:szCs w:val="24"/>
          <w:lang w:val="en-GB"/>
        </w:rPr>
      </w:pPr>
      <w:r>
        <w:rPr>
          <w:sz w:val="24"/>
          <w:szCs w:val="24"/>
          <w:lang w:val="en-GB"/>
        </w:rPr>
        <w:t>A weakness of the panel report regards the methodology used to narrow the list of potential zero-rated items from the 66 considered to 8</w:t>
      </w:r>
      <w:r w:rsidR="00227DB0">
        <w:rPr>
          <w:sz w:val="24"/>
          <w:szCs w:val="24"/>
          <w:lang w:val="en-GB"/>
        </w:rPr>
        <w:t xml:space="preserve"> - </w:t>
      </w:r>
      <w:r>
        <w:rPr>
          <w:sz w:val="24"/>
          <w:szCs w:val="24"/>
          <w:lang w:val="en-GB"/>
        </w:rPr>
        <w:t>at no point are the results of the analysis of the 66 items given.</w:t>
      </w:r>
      <w:r w:rsidR="002C3E9F">
        <w:rPr>
          <w:sz w:val="24"/>
          <w:szCs w:val="24"/>
          <w:lang w:val="en-GB"/>
        </w:rPr>
        <w:t xml:space="preserve"> The report consider</w:t>
      </w:r>
      <w:r w:rsidR="00B3709D">
        <w:rPr>
          <w:sz w:val="24"/>
          <w:szCs w:val="24"/>
          <w:lang w:val="en-GB"/>
        </w:rPr>
        <w:t>s</w:t>
      </w:r>
      <w:r>
        <w:rPr>
          <w:sz w:val="24"/>
          <w:szCs w:val="24"/>
          <w:lang w:val="en-GB"/>
        </w:rPr>
        <w:t>:</w:t>
      </w:r>
    </w:p>
    <w:p w14:paraId="0CC61F57" w14:textId="50A536CB" w:rsidR="00050E8F" w:rsidRDefault="00050E8F" w:rsidP="005F58D4">
      <w:pPr>
        <w:pStyle w:val="ListParagraph"/>
        <w:numPr>
          <w:ilvl w:val="0"/>
          <w:numId w:val="6"/>
        </w:numPr>
        <w:jc w:val="both"/>
        <w:rPr>
          <w:sz w:val="24"/>
          <w:szCs w:val="24"/>
          <w:lang w:val="en-GB"/>
        </w:rPr>
      </w:pPr>
      <w:r>
        <w:rPr>
          <w:sz w:val="24"/>
          <w:szCs w:val="24"/>
          <w:lang w:val="en-GB"/>
        </w:rPr>
        <w:t>Equity-gain ratios</w:t>
      </w:r>
      <w:r w:rsidR="00306605">
        <w:rPr>
          <w:sz w:val="24"/>
          <w:szCs w:val="24"/>
          <w:lang w:val="en-GB"/>
        </w:rPr>
        <w:t>,</w:t>
      </w:r>
      <w:r>
        <w:rPr>
          <w:sz w:val="24"/>
          <w:szCs w:val="24"/>
          <w:lang w:val="en-GB"/>
        </w:rPr>
        <w:t xml:space="preserve"> comparing the </w:t>
      </w:r>
      <w:r w:rsidR="00306605">
        <w:rPr>
          <w:sz w:val="24"/>
          <w:szCs w:val="24"/>
          <w:lang w:val="en-GB"/>
        </w:rPr>
        <w:t xml:space="preserve">gains to very-poor households in deciles 1-4 to those in very high-income deciles 9-10. </w:t>
      </w:r>
    </w:p>
    <w:p w14:paraId="41E0302E" w14:textId="0B5ED00B" w:rsidR="00306605" w:rsidRDefault="00306605" w:rsidP="005F58D4">
      <w:pPr>
        <w:pStyle w:val="ListParagraph"/>
        <w:numPr>
          <w:ilvl w:val="0"/>
          <w:numId w:val="6"/>
        </w:numPr>
        <w:jc w:val="both"/>
        <w:rPr>
          <w:sz w:val="24"/>
          <w:szCs w:val="24"/>
          <w:lang w:val="en-GB"/>
        </w:rPr>
      </w:pPr>
      <w:r>
        <w:rPr>
          <w:sz w:val="24"/>
          <w:szCs w:val="24"/>
          <w:lang w:val="en-GB"/>
        </w:rPr>
        <w:t>Relative benefit of tax reduction (based on relative current expenditure) accruing to households in deciles 1-4 vs. households in de</w:t>
      </w:r>
      <w:r w:rsidR="002C3E9F">
        <w:rPr>
          <w:sz w:val="24"/>
          <w:szCs w:val="24"/>
          <w:lang w:val="en-GB"/>
        </w:rPr>
        <w:t>ciles 5-10</w:t>
      </w:r>
      <w:r>
        <w:rPr>
          <w:sz w:val="24"/>
          <w:szCs w:val="24"/>
          <w:lang w:val="en-GB"/>
        </w:rPr>
        <w:t xml:space="preserve">. </w:t>
      </w:r>
    </w:p>
    <w:p w14:paraId="1703F717" w14:textId="7D4C1BE2" w:rsidR="00306605" w:rsidRDefault="00306605" w:rsidP="00306605">
      <w:pPr>
        <w:pStyle w:val="ListParagraph"/>
        <w:numPr>
          <w:ilvl w:val="0"/>
          <w:numId w:val="6"/>
        </w:numPr>
        <w:jc w:val="both"/>
        <w:rPr>
          <w:sz w:val="24"/>
          <w:szCs w:val="24"/>
          <w:lang w:val="en-GB"/>
        </w:rPr>
      </w:pPr>
      <w:r>
        <w:rPr>
          <w:sz w:val="24"/>
          <w:szCs w:val="24"/>
          <w:lang w:val="en-GB"/>
        </w:rPr>
        <w:lastRenderedPageBreak/>
        <w:t>Relative benefit of tax reduction (based on relative current expenditure) accruing to households in deciles 1</w:t>
      </w:r>
      <w:r w:rsidR="002C3E9F">
        <w:rPr>
          <w:sz w:val="24"/>
          <w:szCs w:val="24"/>
          <w:lang w:val="en-GB"/>
        </w:rPr>
        <w:t>-7 vs. households in deciles 8-10</w:t>
      </w:r>
      <w:r>
        <w:rPr>
          <w:sz w:val="24"/>
          <w:szCs w:val="24"/>
          <w:lang w:val="en-GB"/>
        </w:rPr>
        <w:t xml:space="preserve">. </w:t>
      </w:r>
    </w:p>
    <w:p w14:paraId="16297559" w14:textId="1C0C9095" w:rsidR="00306605" w:rsidRDefault="00306605" w:rsidP="005F58D4">
      <w:pPr>
        <w:pStyle w:val="ListParagraph"/>
        <w:numPr>
          <w:ilvl w:val="0"/>
          <w:numId w:val="6"/>
        </w:numPr>
        <w:jc w:val="both"/>
        <w:rPr>
          <w:sz w:val="24"/>
          <w:szCs w:val="24"/>
          <w:lang w:val="en-GB"/>
        </w:rPr>
      </w:pPr>
      <w:r>
        <w:rPr>
          <w:sz w:val="24"/>
          <w:szCs w:val="24"/>
          <w:lang w:val="en-GB"/>
        </w:rPr>
        <w:t xml:space="preserve">Whether or not zero rating would make VAT more or less progressive based on the ratio of VAT paid on a particular item as a share of income. </w:t>
      </w:r>
    </w:p>
    <w:p w14:paraId="00E9F2BA" w14:textId="28089866" w:rsidR="00306605" w:rsidRDefault="00306605" w:rsidP="005F58D4">
      <w:pPr>
        <w:pStyle w:val="ListParagraph"/>
        <w:numPr>
          <w:ilvl w:val="0"/>
          <w:numId w:val="6"/>
        </w:numPr>
        <w:jc w:val="both"/>
        <w:rPr>
          <w:sz w:val="24"/>
          <w:szCs w:val="24"/>
          <w:lang w:val="en-GB"/>
        </w:rPr>
      </w:pPr>
      <w:r>
        <w:rPr>
          <w:sz w:val="24"/>
          <w:szCs w:val="24"/>
          <w:lang w:val="en-GB"/>
        </w:rPr>
        <w:t>Socio-economic considerations that are vaguely defined as “items that are beneficial to the poor”.</w:t>
      </w:r>
    </w:p>
    <w:p w14:paraId="4145564D" w14:textId="77777777" w:rsidR="00306605" w:rsidRDefault="00306605" w:rsidP="00306605">
      <w:pPr>
        <w:jc w:val="both"/>
        <w:rPr>
          <w:sz w:val="24"/>
          <w:szCs w:val="24"/>
          <w:lang w:val="en-GB"/>
        </w:rPr>
      </w:pPr>
    </w:p>
    <w:p w14:paraId="68F33208" w14:textId="6FDE7319" w:rsidR="00306605" w:rsidRDefault="00B3709D" w:rsidP="00306605">
      <w:pPr>
        <w:jc w:val="both"/>
        <w:rPr>
          <w:sz w:val="24"/>
          <w:szCs w:val="24"/>
          <w:lang w:val="en-GB"/>
        </w:rPr>
      </w:pPr>
      <w:r>
        <w:rPr>
          <w:sz w:val="24"/>
          <w:szCs w:val="24"/>
          <w:lang w:val="en-GB"/>
        </w:rPr>
        <w:t>T</w:t>
      </w:r>
      <w:r w:rsidR="00306605">
        <w:rPr>
          <w:sz w:val="24"/>
          <w:szCs w:val="24"/>
          <w:lang w:val="en-GB"/>
        </w:rPr>
        <w:t xml:space="preserve">he panel seems to place particular emphasis on the second criteria above, potential VAT savings of households in deciles 1-4 (the poorest 40%) compared </w:t>
      </w:r>
      <w:r w:rsidR="005F58D4">
        <w:rPr>
          <w:sz w:val="24"/>
          <w:szCs w:val="24"/>
          <w:lang w:val="en-GB"/>
        </w:rPr>
        <w:t xml:space="preserve">to </w:t>
      </w:r>
      <w:r w:rsidR="00306605">
        <w:rPr>
          <w:sz w:val="24"/>
          <w:szCs w:val="24"/>
          <w:lang w:val="en-GB"/>
        </w:rPr>
        <w:t>households in deciles 5-10.</w:t>
      </w:r>
    </w:p>
    <w:p w14:paraId="1ACA37F1" w14:textId="77777777" w:rsidR="00306605" w:rsidRDefault="00306605" w:rsidP="00306605">
      <w:pPr>
        <w:jc w:val="both"/>
        <w:rPr>
          <w:sz w:val="24"/>
          <w:szCs w:val="24"/>
          <w:lang w:val="en-GB"/>
        </w:rPr>
      </w:pPr>
    </w:p>
    <w:p w14:paraId="163BA536" w14:textId="24BA04AA" w:rsidR="00306605" w:rsidRDefault="00B3709D" w:rsidP="00306605">
      <w:pPr>
        <w:jc w:val="both"/>
        <w:rPr>
          <w:sz w:val="24"/>
          <w:szCs w:val="24"/>
          <w:lang w:val="en-GB"/>
        </w:rPr>
      </w:pPr>
      <w:r>
        <w:rPr>
          <w:sz w:val="24"/>
          <w:szCs w:val="24"/>
          <w:lang w:val="en-GB"/>
        </w:rPr>
        <w:t>The</w:t>
      </w:r>
      <w:r w:rsidR="00306605">
        <w:rPr>
          <w:sz w:val="24"/>
          <w:szCs w:val="24"/>
          <w:lang w:val="en-GB"/>
        </w:rPr>
        <w:t xml:space="preserve"> methodological approach is problematic in three ways. </w:t>
      </w:r>
    </w:p>
    <w:p w14:paraId="093DC0AB" w14:textId="77777777" w:rsidR="00306605" w:rsidRDefault="00306605" w:rsidP="00306605">
      <w:pPr>
        <w:jc w:val="both"/>
        <w:rPr>
          <w:sz w:val="24"/>
          <w:szCs w:val="24"/>
          <w:lang w:val="en-GB"/>
        </w:rPr>
      </w:pPr>
    </w:p>
    <w:p w14:paraId="3FDA2F0C" w14:textId="672900FD" w:rsidR="00306605" w:rsidRDefault="00306605" w:rsidP="00306605">
      <w:pPr>
        <w:jc w:val="both"/>
        <w:rPr>
          <w:sz w:val="24"/>
          <w:szCs w:val="24"/>
          <w:lang w:val="en-GB"/>
        </w:rPr>
      </w:pPr>
      <w:r>
        <w:rPr>
          <w:sz w:val="24"/>
          <w:szCs w:val="24"/>
          <w:lang w:val="en-GB"/>
        </w:rPr>
        <w:t>First</w:t>
      </w:r>
      <w:r w:rsidR="00B3709D">
        <w:rPr>
          <w:sz w:val="24"/>
          <w:szCs w:val="24"/>
          <w:lang w:val="en-GB"/>
        </w:rPr>
        <w:t>ly</w:t>
      </w:r>
      <w:r>
        <w:rPr>
          <w:sz w:val="24"/>
          <w:szCs w:val="24"/>
          <w:lang w:val="en-GB"/>
        </w:rPr>
        <w:t xml:space="preserve">, the report </w:t>
      </w:r>
      <w:r w:rsidR="00B3709D">
        <w:rPr>
          <w:sz w:val="24"/>
          <w:szCs w:val="24"/>
          <w:lang w:val="en-GB"/>
        </w:rPr>
        <w:t xml:space="preserve">does not </w:t>
      </w:r>
      <w:r>
        <w:rPr>
          <w:sz w:val="24"/>
          <w:szCs w:val="24"/>
          <w:lang w:val="en-GB"/>
        </w:rPr>
        <w:t>list how the 66 items faired with regards to these</w:t>
      </w:r>
      <w:r w:rsidR="00B3709D">
        <w:rPr>
          <w:sz w:val="24"/>
          <w:szCs w:val="24"/>
          <w:lang w:val="en-GB"/>
        </w:rPr>
        <w:t xml:space="preserve"> five</w:t>
      </w:r>
      <w:r>
        <w:rPr>
          <w:sz w:val="24"/>
          <w:szCs w:val="24"/>
          <w:lang w:val="en-GB"/>
        </w:rPr>
        <w:t xml:space="preserve"> tests. </w:t>
      </w:r>
      <w:r w:rsidR="00CB359E">
        <w:rPr>
          <w:sz w:val="24"/>
          <w:szCs w:val="24"/>
          <w:lang w:val="en-GB"/>
        </w:rPr>
        <w:t xml:space="preserve">We are not informed </w:t>
      </w:r>
      <w:r>
        <w:rPr>
          <w:sz w:val="24"/>
          <w:szCs w:val="24"/>
          <w:lang w:val="en-GB"/>
        </w:rPr>
        <w:t>whether items “passed” one or more of these tests, and which ones. A</w:t>
      </w:r>
      <w:r w:rsidR="00D5236D">
        <w:rPr>
          <w:sz w:val="24"/>
          <w:szCs w:val="24"/>
          <w:lang w:val="en-GB"/>
        </w:rPr>
        <w:t>n</w:t>
      </w:r>
      <w:r>
        <w:rPr>
          <w:sz w:val="24"/>
          <w:szCs w:val="24"/>
          <w:lang w:val="en-GB"/>
        </w:rPr>
        <w:t xml:space="preserve"> i</w:t>
      </w:r>
      <w:r w:rsidR="005F58D4">
        <w:rPr>
          <w:sz w:val="24"/>
          <w:szCs w:val="24"/>
          <w:lang w:val="en-GB"/>
        </w:rPr>
        <w:t>nformed public conversation can</w:t>
      </w:r>
      <w:r>
        <w:rPr>
          <w:sz w:val="24"/>
          <w:szCs w:val="24"/>
          <w:lang w:val="en-GB"/>
        </w:rPr>
        <w:t xml:space="preserve">not take place on this basis (note, the report does give </w:t>
      </w:r>
      <w:r w:rsidR="00D5236D">
        <w:rPr>
          <w:sz w:val="24"/>
          <w:szCs w:val="24"/>
          <w:lang w:val="en-GB"/>
        </w:rPr>
        <w:t>fuller</w:t>
      </w:r>
      <w:r>
        <w:rPr>
          <w:sz w:val="24"/>
          <w:szCs w:val="24"/>
          <w:lang w:val="en-GB"/>
        </w:rPr>
        <w:t xml:space="preserve"> results for existing zero-rated items). </w:t>
      </w:r>
    </w:p>
    <w:p w14:paraId="71E84D8F" w14:textId="77777777" w:rsidR="00306605" w:rsidRDefault="00306605" w:rsidP="00306605">
      <w:pPr>
        <w:jc w:val="both"/>
        <w:rPr>
          <w:sz w:val="24"/>
          <w:szCs w:val="24"/>
          <w:lang w:val="en-GB"/>
        </w:rPr>
      </w:pPr>
    </w:p>
    <w:p w14:paraId="3F375C45" w14:textId="173ED14F" w:rsidR="002C3E9F" w:rsidRPr="002C3E9F" w:rsidRDefault="00306605" w:rsidP="002C3E9F">
      <w:pPr>
        <w:jc w:val="both"/>
        <w:rPr>
          <w:sz w:val="24"/>
          <w:szCs w:val="24"/>
          <w:lang w:val="en-GB"/>
        </w:rPr>
      </w:pPr>
      <w:r>
        <w:rPr>
          <w:sz w:val="24"/>
          <w:szCs w:val="24"/>
          <w:lang w:val="en-GB"/>
        </w:rPr>
        <w:t>Second</w:t>
      </w:r>
      <w:r w:rsidR="00CB359E">
        <w:rPr>
          <w:sz w:val="24"/>
          <w:szCs w:val="24"/>
          <w:lang w:val="en-GB"/>
        </w:rPr>
        <w:t>ly</w:t>
      </w:r>
      <w:r>
        <w:rPr>
          <w:sz w:val="24"/>
          <w:szCs w:val="24"/>
          <w:lang w:val="en-GB"/>
        </w:rPr>
        <w:t xml:space="preserve">, the special emphasis given to the second test above (deciles 1-4 vs. decile 5-10) is inappropriate. </w:t>
      </w:r>
      <w:r w:rsidR="00D5236D">
        <w:rPr>
          <w:sz w:val="24"/>
          <w:szCs w:val="24"/>
          <w:lang w:val="en-GB"/>
        </w:rPr>
        <w:t>Concentrating on</w:t>
      </w:r>
      <w:r w:rsidR="002C3E9F">
        <w:rPr>
          <w:sz w:val="24"/>
          <w:szCs w:val="24"/>
          <w:lang w:val="en-GB"/>
        </w:rPr>
        <w:t xml:space="preserve"> deciles 1-7 vs deciles 8-10 would have been far more appropriate as argued by the report compiled by the Institute for Economic Justice (IEJ).</w:t>
      </w:r>
      <w:r w:rsidR="002C3E9F">
        <w:rPr>
          <w:rStyle w:val="FootnoteReference"/>
          <w:sz w:val="24"/>
          <w:szCs w:val="24"/>
          <w:lang w:val="en-GB"/>
        </w:rPr>
        <w:footnoteReference w:id="5"/>
      </w:r>
      <w:r w:rsidR="002C3E9F" w:rsidRPr="002C3E9F">
        <w:rPr>
          <w:rFonts w:asciiTheme="minorHAnsi" w:eastAsiaTheme="minorEastAsia" w:hAnsiTheme="minorHAnsi" w:cstheme="minorBidi"/>
          <w:szCs w:val="24"/>
          <w:lang w:val="en-GB" w:eastAsia="en-US"/>
        </w:rPr>
        <w:t xml:space="preserve"> </w:t>
      </w:r>
      <w:r w:rsidR="002C3E9F" w:rsidRPr="002C3E9F">
        <w:rPr>
          <w:sz w:val="24"/>
          <w:szCs w:val="24"/>
          <w:lang w:val="en-GB"/>
        </w:rPr>
        <w:t xml:space="preserve">55% of South Africans are poor </w:t>
      </w:r>
      <w:r w:rsidR="002C3E9F">
        <w:rPr>
          <w:sz w:val="24"/>
          <w:szCs w:val="24"/>
          <w:lang w:val="en-GB"/>
        </w:rPr>
        <w:t>so deciles 1-4 do</w:t>
      </w:r>
      <w:r w:rsidR="00CB359E">
        <w:rPr>
          <w:sz w:val="24"/>
          <w:szCs w:val="24"/>
          <w:lang w:val="en-GB"/>
        </w:rPr>
        <w:t xml:space="preserve"> not</w:t>
      </w:r>
      <w:r w:rsidR="002C3E9F">
        <w:rPr>
          <w:sz w:val="24"/>
          <w:szCs w:val="24"/>
          <w:lang w:val="en-GB"/>
        </w:rPr>
        <w:t xml:space="preserve"> capture all poor people, </w:t>
      </w:r>
      <w:r w:rsidR="005F58D4">
        <w:rPr>
          <w:sz w:val="24"/>
          <w:szCs w:val="24"/>
          <w:lang w:val="en-GB"/>
        </w:rPr>
        <w:t>and exclude</w:t>
      </w:r>
      <w:r w:rsidR="002C3E9F">
        <w:rPr>
          <w:sz w:val="24"/>
          <w:szCs w:val="24"/>
          <w:lang w:val="en-GB"/>
        </w:rPr>
        <w:t xml:space="preserve"> low-income households; almost all of the l</w:t>
      </w:r>
      <w:r w:rsidR="002C3E9F" w:rsidRPr="002C3E9F">
        <w:rPr>
          <w:sz w:val="24"/>
          <w:szCs w:val="24"/>
          <w:lang w:val="en-GB"/>
        </w:rPr>
        <w:t>owest spending/earning 70% earn below the income-tax threshold</w:t>
      </w:r>
      <w:r w:rsidR="002C3E9F">
        <w:rPr>
          <w:sz w:val="24"/>
          <w:szCs w:val="24"/>
          <w:lang w:val="en-GB"/>
        </w:rPr>
        <w:t xml:space="preserve"> (see further reasons in the IEJ report)</w:t>
      </w:r>
      <w:r w:rsidR="00CB359E">
        <w:rPr>
          <w:sz w:val="24"/>
          <w:szCs w:val="24"/>
          <w:lang w:val="en-GB"/>
        </w:rPr>
        <w:t xml:space="preserve">. The Parliament’s Standing Committee on Finance </w:t>
      </w:r>
      <w:hyperlink r:id="rId18" w:history="1">
        <w:r w:rsidR="002C3E9F" w:rsidRPr="00653951">
          <w:rPr>
            <w:rStyle w:val="Hyperlink"/>
            <w:color w:val="auto"/>
            <w:sz w:val="24"/>
            <w:szCs w:val="24"/>
            <w:u w:val="none"/>
            <w:lang w:val="en-GB"/>
          </w:rPr>
          <w:t>strongly argued</w:t>
        </w:r>
      </w:hyperlink>
      <w:r w:rsidR="002C3E9F" w:rsidRPr="00653951">
        <w:rPr>
          <w:sz w:val="24"/>
          <w:szCs w:val="24"/>
          <w:lang w:val="en-GB"/>
        </w:rPr>
        <w:t xml:space="preserve"> “t</w:t>
      </w:r>
      <w:r w:rsidR="002C3E9F" w:rsidRPr="002C3E9F">
        <w:rPr>
          <w:sz w:val="24"/>
          <w:szCs w:val="24"/>
          <w:lang w:val="en-GB"/>
        </w:rPr>
        <w:t xml:space="preserve">hat the list of zero-rated items needs to be expanded taking into account the needs of the </w:t>
      </w:r>
      <w:r w:rsidR="002C3E9F" w:rsidRPr="002C3E9F">
        <w:rPr>
          <w:i/>
          <w:sz w:val="24"/>
          <w:szCs w:val="24"/>
          <w:lang w:val="en-GB"/>
        </w:rPr>
        <w:t xml:space="preserve">poor and low-income </w:t>
      </w:r>
      <w:r w:rsidR="002C3E9F" w:rsidRPr="002C3E9F">
        <w:rPr>
          <w:sz w:val="24"/>
          <w:szCs w:val="24"/>
          <w:lang w:val="en-GB"/>
        </w:rPr>
        <w:t>earners”.</w:t>
      </w:r>
    </w:p>
    <w:p w14:paraId="76990FBD" w14:textId="6DF509B5" w:rsidR="00306605" w:rsidRDefault="00306605" w:rsidP="00306605">
      <w:pPr>
        <w:jc w:val="both"/>
        <w:rPr>
          <w:sz w:val="24"/>
          <w:szCs w:val="24"/>
          <w:lang w:val="en-GB"/>
        </w:rPr>
      </w:pPr>
    </w:p>
    <w:p w14:paraId="60CC2760" w14:textId="1FE9D5C9" w:rsidR="002C3E9F" w:rsidRDefault="002C3E9F" w:rsidP="00306605">
      <w:pPr>
        <w:jc w:val="both"/>
        <w:rPr>
          <w:sz w:val="24"/>
          <w:szCs w:val="24"/>
          <w:lang w:val="en-GB"/>
        </w:rPr>
      </w:pPr>
      <w:r>
        <w:rPr>
          <w:sz w:val="24"/>
          <w:szCs w:val="24"/>
          <w:lang w:val="en-GB"/>
        </w:rPr>
        <w:t>Third</w:t>
      </w:r>
      <w:r w:rsidR="00CB359E">
        <w:rPr>
          <w:sz w:val="24"/>
          <w:szCs w:val="24"/>
          <w:lang w:val="en-GB"/>
        </w:rPr>
        <w:t>ly</w:t>
      </w:r>
      <w:r>
        <w:rPr>
          <w:sz w:val="24"/>
          <w:szCs w:val="24"/>
          <w:lang w:val="en-GB"/>
        </w:rPr>
        <w:t xml:space="preserve">, there is no evidence of gender or age sensitive analysis being applied to </w:t>
      </w:r>
      <w:r w:rsidR="00CB359E">
        <w:rPr>
          <w:sz w:val="24"/>
          <w:szCs w:val="24"/>
          <w:lang w:val="en-GB"/>
        </w:rPr>
        <w:t xml:space="preserve">all </w:t>
      </w:r>
      <w:r>
        <w:rPr>
          <w:sz w:val="24"/>
          <w:szCs w:val="24"/>
          <w:lang w:val="en-GB"/>
        </w:rPr>
        <w:t>the 66 items considered. The needs of women, children, mothers and pensioners at times differ from those of the general population and as these groups are the most vulnerable they should be given special consideration. The IEJ report offers detailed consideration of this</w:t>
      </w:r>
      <w:r w:rsidR="00D5236D">
        <w:rPr>
          <w:sz w:val="24"/>
          <w:szCs w:val="24"/>
          <w:lang w:val="en-GB"/>
        </w:rPr>
        <w:t>,</w:t>
      </w:r>
      <w:r>
        <w:rPr>
          <w:sz w:val="24"/>
          <w:szCs w:val="24"/>
          <w:lang w:val="en-GB"/>
        </w:rPr>
        <w:t xml:space="preserve"> highlighting how zero-rating certain products would disproportionately benefit these groups. </w:t>
      </w:r>
    </w:p>
    <w:p w14:paraId="61FE62D1" w14:textId="77777777" w:rsidR="002C3E9F" w:rsidRDefault="002C3E9F" w:rsidP="00306605">
      <w:pPr>
        <w:jc w:val="both"/>
        <w:rPr>
          <w:sz w:val="24"/>
          <w:szCs w:val="24"/>
          <w:lang w:val="en-GB"/>
        </w:rPr>
      </w:pPr>
    </w:p>
    <w:p w14:paraId="7721D08D" w14:textId="3707C7B6" w:rsidR="002C3E9F" w:rsidRDefault="002C3E9F" w:rsidP="00306605">
      <w:pPr>
        <w:jc w:val="both"/>
        <w:rPr>
          <w:sz w:val="24"/>
          <w:szCs w:val="24"/>
          <w:lang w:val="en-GB"/>
        </w:rPr>
      </w:pPr>
      <w:r>
        <w:rPr>
          <w:sz w:val="24"/>
          <w:szCs w:val="24"/>
          <w:lang w:val="en-GB"/>
        </w:rPr>
        <w:t xml:space="preserve">The criteria used by the report are </w:t>
      </w:r>
      <w:r w:rsidRPr="005F58D4">
        <w:rPr>
          <w:i/>
          <w:sz w:val="24"/>
          <w:szCs w:val="24"/>
          <w:lang w:val="en-GB"/>
        </w:rPr>
        <w:t>at times</w:t>
      </w:r>
      <w:r>
        <w:rPr>
          <w:sz w:val="24"/>
          <w:szCs w:val="24"/>
          <w:lang w:val="en-GB"/>
        </w:rPr>
        <w:t xml:space="preserve"> insufficient or inappropriate, it is </w:t>
      </w:r>
      <w:r w:rsidR="00D5236D">
        <w:rPr>
          <w:sz w:val="24"/>
          <w:szCs w:val="24"/>
          <w:lang w:val="en-GB"/>
        </w:rPr>
        <w:t>unclear</w:t>
      </w:r>
      <w:r>
        <w:rPr>
          <w:sz w:val="24"/>
          <w:szCs w:val="24"/>
          <w:lang w:val="en-GB"/>
        </w:rPr>
        <w:t xml:space="preserve"> which tests are given more weight, and we are therefore essentially asked by the panel to take on faith that none of the other 66 items were appropriate candidates without </w:t>
      </w:r>
      <w:r>
        <w:rPr>
          <w:sz w:val="24"/>
          <w:szCs w:val="24"/>
          <w:lang w:val="en-GB"/>
        </w:rPr>
        <w:lastRenderedPageBreak/>
        <w:t>being presented with the evidence of this. An informed p</w:t>
      </w:r>
      <w:r w:rsidR="00CB359E">
        <w:rPr>
          <w:sz w:val="24"/>
          <w:szCs w:val="24"/>
          <w:lang w:val="en-GB"/>
        </w:rPr>
        <w:t>ublic debate cannot occur on this basis</w:t>
      </w:r>
      <w:r>
        <w:rPr>
          <w:sz w:val="24"/>
          <w:szCs w:val="24"/>
          <w:lang w:val="en-GB"/>
        </w:rPr>
        <w:t xml:space="preserve">. </w:t>
      </w:r>
    </w:p>
    <w:p w14:paraId="54D34727" w14:textId="77777777" w:rsidR="00306605" w:rsidRPr="005F58D4" w:rsidRDefault="00306605" w:rsidP="00306605">
      <w:pPr>
        <w:jc w:val="both"/>
        <w:rPr>
          <w:sz w:val="24"/>
          <w:szCs w:val="24"/>
          <w:lang w:val="en-GB"/>
        </w:rPr>
      </w:pPr>
    </w:p>
    <w:p w14:paraId="752659B5" w14:textId="594AB36B" w:rsidR="009E1C0A" w:rsidRPr="00DB065A" w:rsidRDefault="00D5236D" w:rsidP="00D5236D">
      <w:pPr>
        <w:spacing w:line="288" w:lineRule="auto"/>
        <w:jc w:val="both"/>
        <w:rPr>
          <w:color w:val="000000"/>
          <w:sz w:val="24"/>
          <w:szCs w:val="24"/>
          <w:lang w:val="en-GB"/>
        </w:rPr>
      </w:pPr>
      <w:r>
        <w:rPr>
          <w:sz w:val="24"/>
          <w:szCs w:val="24"/>
          <w:lang w:val="en-GB"/>
        </w:rPr>
        <w:t xml:space="preserve">The Panel should be </w:t>
      </w:r>
      <w:r w:rsidR="005F58D4">
        <w:rPr>
          <w:sz w:val="24"/>
          <w:szCs w:val="24"/>
          <w:lang w:val="en-GB"/>
        </w:rPr>
        <w:t xml:space="preserve">requested </w:t>
      </w:r>
      <w:r>
        <w:rPr>
          <w:sz w:val="24"/>
          <w:szCs w:val="24"/>
          <w:lang w:val="en-GB"/>
        </w:rPr>
        <w:t xml:space="preserve">to provide this information, in an easy to understand manner, </w:t>
      </w:r>
      <w:r w:rsidR="00702B4F" w:rsidRPr="00DB065A">
        <w:rPr>
          <w:color w:val="000000"/>
          <w:sz w:val="24"/>
          <w:szCs w:val="24"/>
          <w:lang w:val="en-GB"/>
        </w:rPr>
        <w:t>prior to the public hearings</w:t>
      </w:r>
      <w:r>
        <w:rPr>
          <w:color w:val="000000"/>
          <w:sz w:val="24"/>
          <w:szCs w:val="24"/>
          <w:lang w:val="en-GB"/>
        </w:rPr>
        <w:t>. This would allow us, and others,</w:t>
      </w:r>
      <w:r w:rsidR="00702B4F" w:rsidRPr="00DB065A">
        <w:rPr>
          <w:color w:val="000000"/>
          <w:sz w:val="24"/>
          <w:szCs w:val="24"/>
          <w:lang w:val="en-GB"/>
        </w:rPr>
        <w:t xml:space="preserve"> </w:t>
      </w:r>
      <w:r>
        <w:rPr>
          <w:color w:val="000000"/>
          <w:sz w:val="24"/>
          <w:szCs w:val="24"/>
          <w:lang w:val="en-GB"/>
        </w:rPr>
        <w:t xml:space="preserve">to </w:t>
      </w:r>
      <w:r w:rsidR="00702B4F" w:rsidRPr="00DB065A">
        <w:rPr>
          <w:color w:val="000000"/>
          <w:sz w:val="24"/>
          <w:szCs w:val="24"/>
          <w:lang w:val="en-GB"/>
        </w:rPr>
        <w:t xml:space="preserve">compare </w:t>
      </w:r>
      <w:r>
        <w:rPr>
          <w:color w:val="000000"/>
          <w:sz w:val="24"/>
          <w:szCs w:val="24"/>
          <w:lang w:val="en-GB"/>
        </w:rPr>
        <w:t xml:space="preserve">the results with </w:t>
      </w:r>
      <w:r w:rsidR="00702B4F" w:rsidRPr="00DB065A">
        <w:rPr>
          <w:color w:val="000000"/>
          <w:sz w:val="24"/>
          <w:szCs w:val="24"/>
          <w:lang w:val="en-GB"/>
        </w:rPr>
        <w:t>our own research</w:t>
      </w:r>
      <w:r>
        <w:rPr>
          <w:color w:val="000000"/>
          <w:sz w:val="24"/>
          <w:szCs w:val="24"/>
          <w:lang w:val="en-GB"/>
        </w:rPr>
        <w:t>. We would be able to</w:t>
      </w:r>
      <w:r w:rsidR="00702B4F" w:rsidRPr="00DB065A">
        <w:rPr>
          <w:color w:val="000000"/>
          <w:sz w:val="24"/>
          <w:szCs w:val="24"/>
          <w:lang w:val="en-GB"/>
        </w:rPr>
        <w:t xml:space="preserve"> consult with all coalition members and make a further short-list for consideration at the public hearings.</w:t>
      </w:r>
    </w:p>
    <w:p w14:paraId="5B4C59E8" w14:textId="77777777" w:rsidR="009E1C0A" w:rsidRPr="00DB065A" w:rsidRDefault="009E1C0A">
      <w:pPr>
        <w:jc w:val="both"/>
        <w:rPr>
          <w:sz w:val="24"/>
          <w:szCs w:val="24"/>
          <w:lang w:val="en-GB"/>
        </w:rPr>
      </w:pPr>
    </w:p>
    <w:p w14:paraId="1B21FB84" w14:textId="6A5904DD" w:rsidR="009E1C0A" w:rsidRPr="00DB065A" w:rsidRDefault="00702B4F">
      <w:pPr>
        <w:jc w:val="both"/>
        <w:rPr>
          <w:sz w:val="24"/>
          <w:szCs w:val="24"/>
          <w:lang w:val="en-GB"/>
        </w:rPr>
      </w:pPr>
      <w:r w:rsidRPr="00DB065A">
        <w:rPr>
          <w:sz w:val="24"/>
          <w:szCs w:val="24"/>
          <w:lang w:val="en-GB"/>
        </w:rPr>
        <w:t xml:space="preserve">We would recommend in particular that the panel provide more detailed information on the results of their tests for the items contained in </w:t>
      </w:r>
      <w:r w:rsidR="00D5236D">
        <w:rPr>
          <w:sz w:val="24"/>
          <w:szCs w:val="24"/>
          <w:lang w:val="en-GB"/>
        </w:rPr>
        <w:t>T</w:t>
      </w:r>
      <w:r w:rsidRPr="00DB065A">
        <w:rPr>
          <w:sz w:val="24"/>
          <w:szCs w:val="24"/>
          <w:lang w:val="en-GB"/>
        </w:rPr>
        <w:t>able 1 below.</w:t>
      </w:r>
      <w:r w:rsidR="00286ED3">
        <w:rPr>
          <w:rStyle w:val="FootnoteReference"/>
          <w:sz w:val="24"/>
          <w:szCs w:val="24"/>
          <w:lang w:val="en-GB"/>
        </w:rPr>
        <w:footnoteReference w:id="6"/>
      </w:r>
      <w:r w:rsidRPr="00DB065A">
        <w:rPr>
          <w:sz w:val="24"/>
          <w:szCs w:val="24"/>
          <w:lang w:val="en-GB"/>
        </w:rPr>
        <w:t xml:space="preserve"> These items scored high</w:t>
      </w:r>
      <w:r w:rsidR="00CB359E">
        <w:rPr>
          <w:sz w:val="24"/>
          <w:szCs w:val="24"/>
          <w:lang w:val="en-GB"/>
        </w:rPr>
        <w:t>ly</w:t>
      </w:r>
      <w:r w:rsidRPr="00DB065A">
        <w:rPr>
          <w:sz w:val="24"/>
          <w:szCs w:val="24"/>
          <w:lang w:val="en-GB"/>
        </w:rPr>
        <w:t xml:space="preserve"> with respect to the tests applied in the </w:t>
      </w:r>
      <w:r w:rsidR="00D5236D">
        <w:rPr>
          <w:sz w:val="24"/>
          <w:szCs w:val="24"/>
          <w:lang w:val="en-GB"/>
        </w:rPr>
        <w:t>IEJ</w:t>
      </w:r>
      <w:r w:rsidR="0016401E">
        <w:rPr>
          <w:sz w:val="24"/>
          <w:szCs w:val="24"/>
          <w:lang w:val="en-GB"/>
        </w:rPr>
        <w:t xml:space="preserve"> research report</w:t>
      </w:r>
      <w:r w:rsidRPr="00DB065A">
        <w:rPr>
          <w:sz w:val="24"/>
          <w:szCs w:val="24"/>
          <w:lang w:val="en-GB"/>
        </w:rPr>
        <w:t>.</w:t>
      </w:r>
    </w:p>
    <w:p w14:paraId="01BAAF74" w14:textId="77777777" w:rsidR="009E1C0A" w:rsidRPr="00DB065A" w:rsidRDefault="009E1C0A">
      <w:pPr>
        <w:spacing w:line="288" w:lineRule="auto"/>
        <w:jc w:val="both"/>
        <w:rPr>
          <w:color w:val="000000"/>
          <w:sz w:val="24"/>
          <w:szCs w:val="24"/>
          <w:lang w:val="en-GB"/>
        </w:rPr>
      </w:pPr>
    </w:p>
    <w:p w14:paraId="71E9A6F7" w14:textId="77777777" w:rsidR="009E1C0A" w:rsidRPr="0016401E" w:rsidRDefault="00702B4F">
      <w:pPr>
        <w:keepNext/>
        <w:pBdr>
          <w:top w:val="nil"/>
          <w:left w:val="nil"/>
          <w:bottom w:val="nil"/>
          <w:right w:val="nil"/>
          <w:between w:val="nil"/>
        </w:pBdr>
        <w:spacing w:after="200" w:line="240" w:lineRule="auto"/>
        <w:rPr>
          <w:rFonts w:eastAsia="Cambria"/>
          <w:b/>
          <w:color w:val="000000"/>
          <w:lang w:val="en-GB"/>
        </w:rPr>
      </w:pPr>
      <w:r w:rsidRPr="0016401E">
        <w:rPr>
          <w:rFonts w:eastAsia="Cambria"/>
          <w:b/>
          <w:color w:val="000000"/>
          <w:lang w:val="en-GB"/>
        </w:rPr>
        <w:t>Table 1 Candidates for further zero-rating</w:t>
      </w:r>
    </w:p>
    <w:tbl>
      <w:tblPr>
        <w:tblStyle w:val="a"/>
        <w:tblW w:w="9371" w:type="dxa"/>
        <w:tblInd w:w="93" w:type="dxa"/>
        <w:tblLayout w:type="fixed"/>
        <w:tblLook w:val="0400" w:firstRow="0" w:lastRow="0" w:firstColumn="0" w:lastColumn="0" w:noHBand="0" w:noVBand="1"/>
      </w:tblPr>
      <w:tblGrid>
        <w:gridCol w:w="2709"/>
        <w:gridCol w:w="2126"/>
        <w:gridCol w:w="1843"/>
        <w:gridCol w:w="1275"/>
        <w:gridCol w:w="1418"/>
      </w:tblGrid>
      <w:tr w:rsidR="009E1C0A" w:rsidRPr="00DB065A" w14:paraId="0C7579EE" w14:textId="77777777">
        <w:trPr>
          <w:trHeight w:val="280"/>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749EB" w14:textId="77777777" w:rsidR="009E1C0A" w:rsidRPr="0016401E" w:rsidRDefault="00702B4F">
            <w:pPr>
              <w:rPr>
                <w:rFonts w:eastAsia="Calibri"/>
                <w:b/>
                <w:color w:val="000000"/>
                <w:sz w:val="20"/>
                <w:szCs w:val="20"/>
                <w:lang w:val="en-GB"/>
              </w:rPr>
            </w:pPr>
            <w:r w:rsidRPr="0016401E">
              <w:rPr>
                <w:rFonts w:eastAsia="Calibri"/>
                <w:b/>
                <w:color w:val="000000"/>
                <w:sz w:val="20"/>
                <w:szCs w:val="20"/>
                <w:lang w:val="en-GB"/>
              </w:rPr>
              <w:t>ITEM</w:t>
            </w:r>
          </w:p>
        </w:tc>
        <w:tc>
          <w:tcPr>
            <w:tcW w:w="2126" w:type="dxa"/>
            <w:tcBorders>
              <w:top w:val="single" w:sz="4" w:space="0" w:color="000000"/>
              <w:left w:val="nil"/>
              <w:bottom w:val="single" w:sz="4" w:space="0" w:color="000000"/>
              <w:right w:val="single" w:sz="4" w:space="0" w:color="000000"/>
            </w:tcBorders>
            <w:shd w:val="clear" w:color="auto" w:fill="auto"/>
            <w:vAlign w:val="center"/>
          </w:tcPr>
          <w:p w14:paraId="319B946A" w14:textId="3B8456FF" w:rsidR="009E1C0A" w:rsidRPr="0016401E" w:rsidRDefault="00702B4F">
            <w:pPr>
              <w:rPr>
                <w:rFonts w:eastAsia="Calibri"/>
                <w:b/>
                <w:color w:val="000000"/>
                <w:sz w:val="20"/>
                <w:szCs w:val="20"/>
                <w:lang w:val="en-GB"/>
              </w:rPr>
            </w:pPr>
            <w:r w:rsidRPr="0016401E">
              <w:rPr>
                <w:rFonts w:eastAsia="Calibri"/>
                <w:b/>
                <w:color w:val="000000"/>
                <w:sz w:val="20"/>
                <w:szCs w:val="20"/>
                <w:lang w:val="en-GB"/>
              </w:rPr>
              <w:t>Pass primary test?</w:t>
            </w:r>
            <w:r w:rsidR="00D5236D" w:rsidRPr="0016401E">
              <w:rPr>
                <w:rStyle w:val="FootnoteReference"/>
                <w:rFonts w:eastAsia="Calibri"/>
                <w:b/>
                <w:color w:val="000000"/>
                <w:sz w:val="20"/>
                <w:szCs w:val="20"/>
                <w:lang w:val="en-GB"/>
              </w:rPr>
              <w:footnoteReference w:id="7"/>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38996A65" w14:textId="77777777" w:rsidR="009E1C0A" w:rsidRPr="0016401E" w:rsidRDefault="00702B4F">
            <w:pPr>
              <w:rPr>
                <w:rFonts w:eastAsia="Calibri"/>
                <w:b/>
                <w:color w:val="000000"/>
                <w:sz w:val="20"/>
                <w:szCs w:val="20"/>
                <w:lang w:val="en-GB"/>
              </w:rPr>
            </w:pPr>
            <w:r w:rsidRPr="0016401E">
              <w:rPr>
                <w:rFonts w:eastAsia="Calibri"/>
                <w:b/>
                <w:color w:val="000000"/>
                <w:sz w:val="20"/>
                <w:szCs w:val="20"/>
                <w:lang w:val="en-GB"/>
              </w:rPr>
              <w:t>Benefits poor and low-income women more?</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70936DE5" w14:textId="77777777" w:rsidR="009E1C0A" w:rsidRPr="0016401E" w:rsidRDefault="00702B4F">
            <w:pPr>
              <w:rPr>
                <w:rFonts w:eastAsia="Calibri"/>
                <w:b/>
                <w:color w:val="000000"/>
                <w:sz w:val="20"/>
                <w:szCs w:val="20"/>
                <w:lang w:val="en-GB"/>
              </w:rPr>
            </w:pPr>
            <w:r w:rsidRPr="0016401E">
              <w:rPr>
                <w:rFonts w:eastAsia="Calibri"/>
                <w:b/>
                <w:color w:val="000000"/>
                <w:sz w:val="20"/>
                <w:szCs w:val="20"/>
                <w:lang w:val="en-GB"/>
              </w:rPr>
              <w:t>Socio-economic considerations</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E0C8E56" w14:textId="77777777" w:rsidR="0016401E" w:rsidRDefault="00702B4F">
            <w:pPr>
              <w:rPr>
                <w:rFonts w:eastAsia="Calibri"/>
                <w:b/>
                <w:color w:val="000000"/>
                <w:sz w:val="20"/>
                <w:szCs w:val="20"/>
                <w:lang w:val="en-GB"/>
              </w:rPr>
            </w:pPr>
            <w:r w:rsidRPr="0016401E">
              <w:rPr>
                <w:rFonts w:eastAsia="Calibri"/>
                <w:b/>
                <w:color w:val="000000"/>
                <w:sz w:val="20"/>
                <w:szCs w:val="20"/>
                <w:lang w:val="en-GB"/>
              </w:rPr>
              <w:t xml:space="preserve">VAT forgone </w:t>
            </w:r>
          </w:p>
          <w:p w14:paraId="62EBD5C9" w14:textId="12BD3D6E" w:rsidR="009E1C0A" w:rsidRPr="0016401E" w:rsidRDefault="00702B4F">
            <w:pPr>
              <w:rPr>
                <w:rFonts w:eastAsia="Calibri"/>
                <w:b/>
                <w:color w:val="000000"/>
                <w:sz w:val="20"/>
                <w:szCs w:val="20"/>
                <w:lang w:val="en-GB"/>
              </w:rPr>
            </w:pPr>
            <w:r w:rsidRPr="0016401E">
              <w:rPr>
                <w:rFonts w:eastAsia="Calibri"/>
                <w:b/>
                <w:color w:val="000000"/>
                <w:sz w:val="20"/>
                <w:szCs w:val="20"/>
                <w:lang w:val="en-GB"/>
              </w:rPr>
              <w:t xml:space="preserve">(R </w:t>
            </w:r>
            <w:proofErr w:type="spellStart"/>
            <w:r w:rsidRPr="0016401E">
              <w:rPr>
                <w:rFonts w:eastAsia="Calibri"/>
                <w:b/>
                <w:color w:val="000000"/>
                <w:sz w:val="20"/>
                <w:szCs w:val="20"/>
                <w:lang w:val="en-GB"/>
              </w:rPr>
              <w:t>mn</w:t>
            </w:r>
            <w:proofErr w:type="spellEnd"/>
            <w:r w:rsidRPr="0016401E">
              <w:rPr>
                <w:rFonts w:eastAsia="Calibri"/>
                <w:b/>
                <w:color w:val="000000"/>
                <w:sz w:val="20"/>
                <w:szCs w:val="20"/>
                <w:lang w:val="en-GB"/>
              </w:rPr>
              <w:t>)</w:t>
            </w:r>
          </w:p>
        </w:tc>
      </w:tr>
      <w:tr w:rsidR="009E1C0A" w:rsidRPr="00DB065A" w14:paraId="0248D0D7"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11D3673F"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Cake and bread flour</w:t>
            </w:r>
          </w:p>
        </w:tc>
        <w:tc>
          <w:tcPr>
            <w:tcW w:w="2126" w:type="dxa"/>
            <w:tcBorders>
              <w:top w:val="nil"/>
              <w:left w:val="nil"/>
              <w:bottom w:val="single" w:sz="4" w:space="0" w:color="000000"/>
              <w:right w:val="single" w:sz="4" w:space="0" w:color="000000"/>
            </w:tcBorders>
            <w:shd w:val="clear" w:color="auto" w:fill="C6E0B4"/>
            <w:vAlign w:val="center"/>
          </w:tcPr>
          <w:p w14:paraId="762C8FC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2695F3A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61B2413C"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0E7D91A3"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491</w:t>
            </w:r>
          </w:p>
        </w:tc>
      </w:tr>
      <w:tr w:rsidR="009E1C0A" w:rsidRPr="00DB065A" w14:paraId="1AEFA345"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3E808B8B"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xml:space="preserve">Sorghum meal/powder and </w:t>
            </w:r>
            <w:proofErr w:type="spellStart"/>
            <w:r w:rsidRPr="0016401E">
              <w:rPr>
                <w:rFonts w:eastAsia="Calibri"/>
                <w:color w:val="000000"/>
                <w:sz w:val="20"/>
                <w:szCs w:val="20"/>
                <w:lang w:val="en-GB"/>
              </w:rPr>
              <w:t>mabella</w:t>
            </w:r>
            <w:proofErr w:type="spellEnd"/>
          </w:p>
        </w:tc>
        <w:tc>
          <w:tcPr>
            <w:tcW w:w="2126" w:type="dxa"/>
            <w:tcBorders>
              <w:top w:val="nil"/>
              <w:left w:val="nil"/>
              <w:bottom w:val="single" w:sz="4" w:space="0" w:color="000000"/>
              <w:right w:val="single" w:sz="4" w:space="0" w:color="000000"/>
            </w:tcBorders>
            <w:shd w:val="clear" w:color="auto" w:fill="C6E0B4"/>
            <w:vAlign w:val="center"/>
          </w:tcPr>
          <w:p w14:paraId="64761941"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21B3C794"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08FC4100"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5056545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68</w:t>
            </w:r>
          </w:p>
        </w:tc>
      </w:tr>
      <w:tr w:rsidR="009E1C0A" w:rsidRPr="00DB065A" w14:paraId="1A098D6C"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765750F9"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Poultry (</w:t>
            </w:r>
            <w:proofErr w:type="spellStart"/>
            <w:r w:rsidRPr="0016401E">
              <w:rPr>
                <w:rFonts w:eastAsia="Calibri"/>
                <w:color w:val="000000"/>
                <w:sz w:val="20"/>
                <w:szCs w:val="20"/>
                <w:lang w:val="en-GB"/>
              </w:rPr>
              <w:t>incl</w:t>
            </w:r>
            <w:proofErr w:type="spellEnd"/>
            <w:r w:rsidRPr="0016401E">
              <w:rPr>
                <w:rFonts w:eastAsia="Calibri"/>
                <w:color w:val="000000"/>
                <w:sz w:val="20"/>
                <w:szCs w:val="20"/>
                <w:lang w:val="en-GB"/>
              </w:rPr>
              <w:t xml:space="preserve"> heads and feet)</w:t>
            </w:r>
          </w:p>
        </w:tc>
        <w:tc>
          <w:tcPr>
            <w:tcW w:w="2126" w:type="dxa"/>
            <w:tcBorders>
              <w:top w:val="nil"/>
              <w:left w:val="nil"/>
              <w:bottom w:val="single" w:sz="4" w:space="0" w:color="000000"/>
              <w:right w:val="single" w:sz="4" w:space="0" w:color="000000"/>
            </w:tcBorders>
            <w:shd w:val="clear" w:color="auto" w:fill="auto"/>
            <w:vAlign w:val="center"/>
          </w:tcPr>
          <w:p w14:paraId="0ECA6888"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CLOSE BUT NO</w:t>
            </w:r>
          </w:p>
        </w:tc>
        <w:tc>
          <w:tcPr>
            <w:tcW w:w="1843" w:type="dxa"/>
            <w:tcBorders>
              <w:top w:val="nil"/>
              <w:left w:val="nil"/>
              <w:bottom w:val="single" w:sz="4" w:space="0" w:color="000000"/>
              <w:right w:val="single" w:sz="4" w:space="0" w:color="000000"/>
            </w:tcBorders>
            <w:shd w:val="clear" w:color="auto" w:fill="auto"/>
            <w:vAlign w:val="center"/>
          </w:tcPr>
          <w:p w14:paraId="0618D77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275" w:type="dxa"/>
            <w:tcBorders>
              <w:top w:val="nil"/>
              <w:left w:val="nil"/>
              <w:bottom w:val="single" w:sz="4" w:space="0" w:color="000000"/>
              <w:right w:val="single" w:sz="4" w:space="0" w:color="000000"/>
            </w:tcBorders>
            <w:shd w:val="clear" w:color="auto" w:fill="C6E0B4"/>
            <w:vAlign w:val="center"/>
          </w:tcPr>
          <w:p w14:paraId="020FA517"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2D3D0C31"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3 982</w:t>
            </w:r>
          </w:p>
        </w:tc>
      </w:tr>
      <w:tr w:rsidR="009E1C0A" w:rsidRPr="00DB065A" w14:paraId="1304B30B"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7B8315A3"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Mopane worms</w:t>
            </w:r>
          </w:p>
        </w:tc>
        <w:tc>
          <w:tcPr>
            <w:tcW w:w="2126" w:type="dxa"/>
            <w:tcBorders>
              <w:top w:val="nil"/>
              <w:left w:val="nil"/>
              <w:bottom w:val="single" w:sz="4" w:space="0" w:color="000000"/>
              <w:right w:val="single" w:sz="4" w:space="0" w:color="000000"/>
            </w:tcBorders>
            <w:shd w:val="clear" w:color="auto" w:fill="C6E0B4"/>
            <w:vAlign w:val="center"/>
          </w:tcPr>
          <w:p w14:paraId="6EE21143"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71BD2BB3"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014275AE"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6DA94D3B"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3</w:t>
            </w:r>
          </w:p>
        </w:tc>
      </w:tr>
      <w:tr w:rsidR="009E1C0A" w:rsidRPr="00DB065A" w14:paraId="5DFE9ABE"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36556D83"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Other canned fish</w:t>
            </w:r>
          </w:p>
        </w:tc>
        <w:tc>
          <w:tcPr>
            <w:tcW w:w="2126" w:type="dxa"/>
            <w:tcBorders>
              <w:top w:val="nil"/>
              <w:left w:val="nil"/>
              <w:bottom w:val="single" w:sz="4" w:space="0" w:color="000000"/>
              <w:right w:val="single" w:sz="4" w:space="0" w:color="000000"/>
            </w:tcBorders>
            <w:shd w:val="clear" w:color="auto" w:fill="C6E0B4"/>
            <w:vAlign w:val="center"/>
          </w:tcPr>
          <w:p w14:paraId="0656FD21"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523999DA"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06D02940"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7ACB22A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27</w:t>
            </w:r>
          </w:p>
        </w:tc>
      </w:tr>
      <w:tr w:rsidR="009E1C0A" w:rsidRPr="00DB065A" w14:paraId="42ADF50B"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0B835EF1"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Whiteners (</w:t>
            </w:r>
            <w:proofErr w:type="spellStart"/>
            <w:r w:rsidRPr="0016401E">
              <w:rPr>
                <w:rFonts w:eastAsia="Calibri"/>
                <w:color w:val="000000"/>
                <w:sz w:val="20"/>
                <w:szCs w:val="20"/>
                <w:lang w:val="en-GB"/>
              </w:rPr>
              <w:t>Cremora</w:t>
            </w:r>
            <w:proofErr w:type="spellEnd"/>
            <w:r w:rsidRPr="0016401E">
              <w:rPr>
                <w:rFonts w:eastAsia="Calibri"/>
                <w:color w:val="000000"/>
                <w:sz w:val="20"/>
                <w:szCs w:val="20"/>
                <w:lang w:val="en-GB"/>
              </w:rPr>
              <w:t>; Ellis Brown)</w:t>
            </w:r>
          </w:p>
        </w:tc>
        <w:tc>
          <w:tcPr>
            <w:tcW w:w="2126" w:type="dxa"/>
            <w:tcBorders>
              <w:top w:val="nil"/>
              <w:left w:val="nil"/>
              <w:bottom w:val="single" w:sz="4" w:space="0" w:color="000000"/>
              <w:right w:val="single" w:sz="4" w:space="0" w:color="000000"/>
            </w:tcBorders>
            <w:shd w:val="clear" w:color="auto" w:fill="C6E0B4"/>
            <w:vAlign w:val="center"/>
          </w:tcPr>
          <w:p w14:paraId="49DDF6F4"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6357B958"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376E427B"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1BF93689"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137</w:t>
            </w:r>
          </w:p>
        </w:tc>
      </w:tr>
      <w:tr w:rsidR="009E1C0A" w:rsidRPr="00DB065A" w14:paraId="601DE8B3"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269E8795" w14:textId="77777777" w:rsidR="009E1C0A" w:rsidRPr="0016401E" w:rsidRDefault="00702B4F">
            <w:pPr>
              <w:rPr>
                <w:rFonts w:eastAsia="Calibri"/>
                <w:color w:val="000000"/>
                <w:sz w:val="20"/>
                <w:szCs w:val="20"/>
                <w:lang w:val="en-GB"/>
              </w:rPr>
            </w:pPr>
            <w:proofErr w:type="spellStart"/>
            <w:r w:rsidRPr="0016401E">
              <w:rPr>
                <w:rFonts w:eastAsia="Calibri"/>
                <w:color w:val="000000"/>
                <w:sz w:val="20"/>
                <w:szCs w:val="20"/>
                <w:lang w:val="en-GB"/>
              </w:rPr>
              <w:t>Amageu</w:t>
            </w:r>
            <w:proofErr w:type="spellEnd"/>
          </w:p>
        </w:tc>
        <w:tc>
          <w:tcPr>
            <w:tcW w:w="2126" w:type="dxa"/>
            <w:tcBorders>
              <w:top w:val="nil"/>
              <w:left w:val="nil"/>
              <w:bottom w:val="single" w:sz="4" w:space="0" w:color="000000"/>
              <w:right w:val="single" w:sz="4" w:space="0" w:color="000000"/>
            </w:tcBorders>
            <w:shd w:val="clear" w:color="auto" w:fill="C6E0B4"/>
            <w:vAlign w:val="center"/>
          </w:tcPr>
          <w:p w14:paraId="2AC417C7"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auto"/>
            <w:vAlign w:val="center"/>
          </w:tcPr>
          <w:p w14:paraId="3FD0ED0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275" w:type="dxa"/>
            <w:tcBorders>
              <w:top w:val="nil"/>
              <w:left w:val="nil"/>
              <w:bottom w:val="single" w:sz="4" w:space="0" w:color="000000"/>
              <w:right w:val="single" w:sz="4" w:space="0" w:color="000000"/>
            </w:tcBorders>
            <w:shd w:val="clear" w:color="auto" w:fill="auto"/>
            <w:vAlign w:val="center"/>
          </w:tcPr>
          <w:p w14:paraId="4D232207"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57DD4E9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26</w:t>
            </w:r>
          </w:p>
        </w:tc>
      </w:tr>
      <w:tr w:rsidR="009E1C0A" w:rsidRPr="00DB065A" w14:paraId="78A22389"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76750B0B"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Baby food</w:t>
            </w:r>
          </w:p>
        </w:tc>
        <w:tc>
          <w:tcPr>
            <w:tcW w:w="2126" w:type="dxa"/>
            <w:tcBorders>
              <w:top w:val="nil"/>
              <w:left w:val="nil"/>
              <w:bottom w:val="single" w:sz="4" w:space="0" w:color="000000"/>
              <w:right w:val="single" w:sz="4" w:space="0" w:color="000000"/>
            </w:tcBorders>
            <w:shd w:val="clear" w:color="auto" w:fill="FFFFFF"/>
            <w:vAlign w:val="center"/>
          </w:tcPr>
          <w:p w14:paraId="0335940B"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SOME, NOT ALL</w:t>
            </w:r>
          </w:p>
        </w:tc>
        <w:tc>
          <w:tcPr>
            <w:tcW w:w="1843" w:type="dxa"/>
            <w:tcBorders>
              <w:top w:val="nil"/>
              <w:left w:val="nil"/>
              <w:bottom w:val="single" w:sz="4" w:space="0" w:color="000000"/>
              <w:right w:val="single" w:sz="4" w:space="0" w:color="000000"/>
            </w:tcBorders>
            <w:shd w:val="clear" w:color="auto" w:fill="C6E0B4"/>
            <w:vAlign w:val="center"/>
          </w:tcPr>
          <w:p w14:paraId="397D24F7"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C6E0B4"/>
            <w:vAlign w:val="center"/>
          </w:tcPr>
          <w:p w14:paraId="10FFEFB4"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459B79F2"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395</w:t>
            </w:r>
          </w:p>
        </w:tc>
      </w:tr>
      <w:tr w:rsidR="009E1C0A" w:rsidRPr="00DB065A" w14:paraId="5E253886"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7F3A2AD0"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Powder soup</w:t>
            </w:r>
          </w:p>
        </w:tc>
        <w:tc>
          <w:tcPr>
            <w:tcW w:w="2126" w:type="dxa"/>
            <w:tcBorders>
              <w:top w:val="nil"/>
              <w:left w:val="nil"/>
              <w:bottom w:val="single" w:sz="4" w:space="0" w:color="000000"/>
              <w:right w:val="single" w:sz="4" w:space="0" w:color="000000"/>
            </w:tcBorders>
            <w:shd w:val="clear" w:color="auto" w:fill="C6E0B4"/>
            <w:vAlign w:val="center"/>
          </w:tcPr>
          <w:p w14:paraId="75896B10"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33DD4E9B"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4C1D6BA5"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1FB782E4"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187</w:t>
            </w:r>
          </w:p>
        </w:tc>
      </w:tr>
      <w:tr w:rsidR="009E1C0A" w:rsidRPr="00DB065A" w14:paraId="06928A48"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54F64266"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Instant yeast</w:t>
            </w:r>
          </w:p>
        </w:tc>
        <w:tc>
          <w:tcPr>
            <w:tcW w:w="2126" w:type="dxa"/>
            <w:tcBorders>
              <w:top w:val="nil"/>
              <w:left w:val="nil"/>
              <w:bottom w:val="single" w:sz="4" w:space="0" w:color="000000"/>
              <w:right w:val="single" w:sz="4" w:space="0" w:color="000000"/>
            </w:tcBorders>
            <w:shd w:val="clear" w:color="auto" w:fill="C6E0B4"/>
            <w:vAlign w:val="center"/>
          </w:tcPr>
          <w:p w14:paraId="065E151B"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auto"/>
            <w:vAlign w:val="center"/>
          </w:tcPr>
          <w:p w14:paraId="625C5C50"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275" w:type="dxa"/>
            <w:tcBorders>
              <w:top w:val="nil"/>
              <w:left w:val="nil"/>
              <w:bottom w:val="single" w:sz="4" w:space="0" w:color="000000"/>
              <w:right w:val="single" w:sz="4" w:space="0" w:color="000000"/>
            </w:tcBorders>
            <w:shd w:val="clear" w:color="auto" w:fill="auto"/>
            <w:vAlign w:val="center"/>
          </w:tcPr>
          <w:p w14:paraId="0C4E490D"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32551EFC"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19</w:t>
            </w:r>
          </w:p>
        </w:tc>
      </w:tr>
      <w:tr w:rsidR="009E1C0A" w:rsidRPr="00DB065A" w14:paraId="3CC65B20"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3ECFB2BD"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Soya product (excluding soy milk)</w:t>
            </w:r>
          </w:p>
        </w:tc>
        <w:tc>
          <w:tcPr>
            <w:tcW w:w="2126" w:type="dxa"/>
            <w:tcBorders>
              <w:top w:val="nil"/>
              <w:left w:val="nil"/>
              <w:bottom w:val="single" w:sz="4" w:space="0" w:color="000000"/>
              <w:right w:val="single" w:sz="4" w:space="0" w:color="000000"/>
            </w:tcBorders>
            <w:shd w:val="clear" w:color="auto" w:fill="C6E0B4"/>
            <w:vAlign w:val="center"/>
          </w:tcPr>
          <w:p w14:paraId="4108DA8C"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0BB4F731"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387BCD78"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0086570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19</w:t>
            </w:r>
          </w:p>
        </w:tc>
      </w:tr>
      <w:tr w:rsidR="009E1C0A" w:rsidRPr="00DB065A" w14:paraId="03D44E98"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20A2A675"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Tea</w:t>
            </w:r>
          </w:p>
        </w:tc>
        <w:tc>
          <w:tcPr>
            <w:tcW w:w="2126" w:type="dxa"/>
            <w:tcBorders>
              <w:top w:val="nil"/>
              <w:left w:val="nil"/>
              <w:bottom w:val="single" w:sz="4" w:space="0" w:color="000000"/>
              <w:right w:val="single" w:sz="4" w:space="0" w:color="000000"/>
            </w:tcBorders>
            <w:shd w:val="clear" w:color="auto" w:fill="C6E0B4"/>
            <w:vAlign w:val="center"/>
          </w:tcPr>
          <w:p w14:paraId="1AD88E8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00E18BF9"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67C36D47"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4F4421D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197</w:t>
            </w:r>
          </w:p>
        </w:tc>
      </w:tr>
      <w:tr w:rsidR="009E1C0A" w:rsidRPr="00DB065A" w14:paraId="69892D39"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02D7C3E3"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Infants and children’s clothing and footwear (include school uniforms)</w:t>
            </w:r>
          </w:p>
        </w:tc>
        <w:tc>
          <w:tcPr>
            <w:tcW w:w="2126" w:type="dxa"/>
            <w:tcBorders>
              <w:top w:val="nil"/>
              <w:left w:val="nil"/>
              <w:bottom w:val="single" w:sz="4" w:space="0" w:color="000000"/>
              <w:right w:val="single" w:sz="4" w:space="0" w:color="000000"/>
            </w:tcBorders>
            <w:shd w:val="clear" w:color="auto" w:fill="FFFFFF"/>
            <w:vAlign w:val="center"/>
          </w:tcPr>
          <w:p w14:paraId="2A828474"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SOME, NOT ALL</w:t>
            </w:r>
          </w:p>
        </w:tc>
        <w:tc>
          <w:tcPr>
            <w:tcW w:w="1843" w:type="dxa"/>
            <w:tcBorders>
              <w:top w:val="nil"/>
              <w:left w:val="nil"/>
              <w:bottom w:val="single" w:sz="4" w:space="0" w:color="000000"/>
              <w:right w:val="single" w:sz="4" w:space="0" w:color="000000"/>
            </w:tcBorders>
            <w:shd w:val="clear" w:color="auto" w:fill="C6E0B4"/>
            <w:vAlign w:val="center"/>
          </w:tcPr>
          <w:p w14:paraId="6C201754"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C6E0B4"/>
            <w:vAlign w:val="center"/>
          </w:tcPr>
          <w:p w14:paraId="262BE369"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7CBFEA37"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4 108</w:t>
            </w:r>
          </w:p>
        </w:tc>
      </w:tr>
      <w:tr w:rsidR="009E1C0A" w:rsidRPr="00DB065A" w14:paraId="38161B93"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4E98DD9D"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Candles and matches</w:t>
            </w:r>
          </w:p>
        </w:tc>
        <w:tc>
          <w:tcPr>
            <w:tcW w:w="2126" w:type="dxa"/>
            <w:tcBorders>
              <w:top w:val="nil"/>
              <w:left w:val="nil"/>
              <w:bottom w:val="single" w:sz="4" w:space="0" w:color="000000"/>
              <w:right w:val="single" w:sz="4" w:space="0" w:color="000000"/>
            </w:tcBorders>
            <w:shd w:val="clear" w:color="auto" w:fill="C6E0B4"/>
            <w:vAlign w:val="center"/>
          </w:tcPr>
          <w:p w14:paraId="597ABE2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54DEC500"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0138661F"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6BB273EC"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116</w:t>
            </w:r>
          </w:p>
        </w:tc>
      </w:tr>
      <w:tr w:rsidR="009E1C0A" w:rsidRPr="00DB065A" w14:paraId="09120FF9"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432C9890"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Coal (including anthracite)</w:t>
            </w:r>
          </w:p>
        </w:tc>
        <w:tc>
          <w:tcPr>
            <w:tcW w:w="2126" w:type="dxa"/>
            <w:tcBorders>
              <w:top w:val="nil"/>
              <w:left w:val="nil"/>
              <w:bottom w:val="single" w:sz="4" w:space="0" w:color="000000"/>
              <w:right w:val="single" w:sz="4" w:space="0" w:color="000000"/>
            </w:tcBorders>
            <w:shd w:val="clear" w:color="auto" w:fill="C6E0B4"/>
            <w:vAlign w:val="center"/>
          </w:tcPr>
          <w:p w14:paraId="20E5B511"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275FFE1B"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28A41CBD"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3AEF4AB7"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11</w:t>
            </w:r>
          </w:p>
        </w:tc>
      </w:tr>
      <w:tr w:rsidR="009E1C0A" w:rsidRPr="00DB065A" w14:paraId="589DA60E"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14FB6D7F"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lastRenderedPageBreak/>
              <w:t>Hotplates</w:t>
            </w:r>
          </w:p>
        </w:tc>
        <w:tc>
          <w:tcPr>
            <w:tcW w:w="2126" w:type="dxa"/>
            <w:tcBorders>
              <w:top w:val="nil"/>
              <w:left w:val="nil"/>
              <w:bottom w:val="single" w:sz="4" w:space="0" w:color="000000"/>
              <w:right w:val="single" w:sz="4" w:space="0" w:color="000000"/>
            </w:tcBorders>
            <w:shd w:val="clear" w:color="auto" w:fill="C6E0B4"/>
            <w:vAlign w:val="center"/>
          </w:tcPr>
          <w:p w14:paraId="0CA450CB"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16BC434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auto"/>
            <w:vAlign w:val="center"/>
          </w:tcPr>
          <w:p w14:paraId="4F6ECCB8"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68B09053"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43</w:t>
            </w:r>
          </w:p>
        </w:tc>
      </w:tr>
      <w:tr w:rsidR="009E1C0A" w:rsidRPr="00DB065A" w14:paraId="1F9EB4D0"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32F84220"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Soap</w:t>
            </w:r>
          </w:p>
        </w:tc>
        <w:tc>
          <w:tcPr>
            <w:tcW w:w="2126" w:type="dxa"/>
            <w:tcBorders>
              <w:top w:val="nil"/>
              <w:left w:val="nil"/>
              <w:bottom w:val="single" w:sz="4" w:space="0" w:color="000000"/>
              <w:right w:val="single" w:sz="4" w:space="0" w:color="000000"/>
            </w:tcBorders>
            <w:shd w:val="clear" w:color="auto" w:fill="auto"/>
            <w:vAlign w:val="center"/>
          </w:tcPr>
          <w:p w14:paraId="790D93B2"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843" w:type="dxa"/>
            <w:tcBorders>
              <w:top w:val="nil"/>
              <w:left w:val="nil"/>
              <w:bottom w:val="single" w:sz="4" w:space="0" w:color="000000"/>
              <w:right w:val="single" w:sz="4" w:space="0" w:color="000000"/>
            </w:tcBorders>
            <w:shd w:val="clear" w:color="auto" w:fill="auto"/>
            <w:vAlign w:val="center"/>
          </w:tcPr>
          <w:p w14:paraId="18E81E36"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275" w:type="dxa"/>
            <w:tcBorders>
              <w:top w:val="nil"/>
              <w:left w:val="nil"/>
              <w:bottom w:val="single" w:sz="4" w:space="0" w:color="000000"/>
              <w:right w:val="single" w:sz="4" w:space="0" w:color="000000"/>
            </w:tcBorders>
            <w:shd w:val="clear" w:color="auto" w:fill="C6E0B4"/>
            <w:vAlign w:val="center"/>
          </w:tcPr>
          <w:p w14:paraId="1BDBAB8D"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555100F6"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1 525</w:t>
            </w:r>
          </w:p>
        </w:tc>
      </w:tr>
      <w:tr w:rsidR="009E1C0A" w:rsidRPr="00DB065A" w14:paraId="3F1EF7A1"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268B4211"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Medicine and medical services in public institutions</w:t>
            </w:r>
          </w:p>
        </w:tc>
        <w:tc>
          <w:tcPr>
            <w:tcW w:w="2126" w:type="dxa"/>
            <w:tcBorders>
              <w:top w:val="nil"/>
              <w:left w:val="nil"/>
              <w:bottom w:val="single" w:sz="4" w:space="0" w:color="000000"/>
              <w:right w:val="single" w:sz="4" w:space="0" w:color="000000"/>
            </w:tcBorders>
            <w:shd w:val="clear" w:color="auto" w:fill="FFFFFF"/>
            <w:vAlign w:val="center"/>
          </w:tcPr>
          <w:p w14:paraId="477249FC"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SOME, NOT ALL</w:t>
            </w:r>
          </w:p>
        </w:tc>
        <w:tc>
          <w:tcPr>
            <w:tcW w:w="1843" w:type="dxa"/>
            <w:tcBorders>
              <w:top w:val="nil"/>
              <w:left w:val="nil"/>
              <w:bottom w:val="single" w:sz="4" w:space="0" w:color="000000"/>
              <w:right w:val="single" w:sz="4" w:space="0" w:color="000000"/>
            </w:tcBorders>
            <w:shd w:val="clear" w:color="auto" w:fill="FFFFFF"/>
            <w:vAlign w:val="center"/>
          </w:tcPr>
          <w:p w14:paraId="068D3127"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SOME, NOT ALL</w:t>
            </w:r>
          </w:p>
        </w:tc>
        <w:tc>
          <w:tcPr>
            <w:tcW w:w="1275" w:type="dxa"/>
            <w:tcBorders>
              <w:top w:val="nil"/>
              <w:left w:val="nil"/>
              <w:bottom w:val="single" w:sz="4" w:space="0" w:color="000000"/>
              <w:right w:val="single" w:sz="4" w:space="0" w:color="000000"/>
            </w:tcBorders>
            <w:shd w:val="clear" w:color="auto" w:fill="C6E0B4"/>
            <w:vAlign w:val="center"/>
          </w:tcPr>
          <w:p w14:paraId="71A34828"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20142011"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309</w:t>
            </w:r>
          </w:p>
        </w:tc>
      </w:tr>
      <w:tr w:rsidR="009E1C0A" w:rsidRPr="00DB065A" w14:paraId="0B44A0DB"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220EB1F5"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Calls (including airtime for cellular phones)</w:t>
            </w:r>
          </w:p>
        </w:tc>
        <w:tc>
          <w:tcPr>
            <w:tcW w:w="2126" w:type="dxa"/>
            <w:tcBorders>
              <w:top w:val="nil"/>
              <w:left w:val="nil"/>
              <w:bottom w:val="single" w:sz="4" w:space="0" w:color="000000"/>
              <w:right w:val="single" w:sz="4" w:space="0" w:color="000000"/>
            </w:tcBorders>
            <w:shd w:val="clear" w:color="auto" w:fill="auto"/>
            <w:vAlign w:val="center"/>
          </w:tcPr>
          <w:p w14:paraId="28CDCF02"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843" w:type="dxa"/>
            <w:tcBorders>
              <w:top w:val="nil"/>
              <w:left w:val="nil"/>
              <w:bottom w:val="single" w:sz="4" w:space="0" w:color="000000"/>
              <w:right w:val="single" w:sz="4" w:space="0" w:color="000000"/>
            </w:tcBorders>
            <w:shd w:val="clear" w:color="auto" w:fill="auto"/>
            <w:vAlign w:val="center"/>
          </w:tcPr>
          <w:p w14:paraId="7A8B52B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275" w:type="dxa"/>
            <w:tcBorders>
              <w:top w:val="nil"/>
              <w:left w:val="nil"/>
              <w:bottom w:val="single" w:sz="4" w:space="0" w:color="000000"/>
              <w:right w:val="single" w:sz="4" w:space="0" w:color="000000"/>
            </w:tcBorders>
            <w:shd w:val="clear" w:color="auto" w:fill="C6E0B4"/>
            <w:vAlign w:val="center"/>
          </w:tcPr>
          <w:p w14:paraId="4DF24D1E"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638548B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4 180</w:t>
            </w:r>
          </w:p>
        </w:tc>
      </w:tr>
      <w:tr w:rsidR="009E1C0A" w:rsidRPr="00DB065A" w14:paraId="1C402624"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62DBA063"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Textbooks and stationery</w:t>
            </w:r>
          </w:p>
        </w:tc>
        <w:tc>
          <w:tcPr>
            <w:tcW w:w="2126" w:type="dxa"/>
            <w:tcBorders>
              <w:top w:val="nil"/>
              <w:left w:val="nil"/>
              <w:bottom w:val="single" w:sz="4" w:space="0" w:color="000000"/>
              <w:right w:val="single" w:sz="4" w:space="0" w:color="000000"/>
            </w:tcBorders>
            <w:shd w:val="clear" w:color="auto" w:fill="auto"/>
            <w:vAlign w:val="center"/>
          </w:tcPr>
          <w:p w14:paraId="1EA4E3F6"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843" w:type="dxa"/>
            <w:tcBorders>
              <w:top w:val="nil"/>
              <w:left w:val="nil"/>
              <w:bottom w:val="single" w:sz="4" w:space="0" w:color="000000"/>
              <w:right w:val="single" w:sz="4" w:space="0" w:color="000000"/>
            </w:tcBorders>
            <w:shd w:val="clear" w:color="auto" w:fill="auto"/>
            <w:vAlign w:val="center"/>
          </w:tcPr>
          <w:p w14:paraId="36CA20B8"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275" w:type="dxa"/>
            <w:tcBorders>
              <w:top w:val="nil"/>
              <w:left w:val="nil"/>
              <w:bottom w:val="single" w:sz="4" w:space="0" w:color="000000"/>
              <w:right w:val="single" w:sz="4" w:space="0" w:color="000000"/>
            </w:tcBorders>
            <w:shd w:val="clear" w:color="auto" w:fill="C6E0B4"/>
            <w:vAlign w:val="center"/>
          </w:tcPr>
          <w:p w14:paraId="03561035"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17B8812C"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355</w:t>
            </w:r>
          </w:p>
        </w:tc>
      </w:tr>
      <w:tr w:rsidR="009E1C0A" w:rsidRPr="00DB065A" w14:paraId="34C196FB"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6403EC8C"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Disposable nappies</w:t>
            </w:r>
          </w:p>
        </w:tc>
        <w:tc>
          <w:tcPr>
            <w:tcW w:w="2126" w:type="dxa"/>
            <w:tcBorders>
              <w:top w:val="nil"/>
              <w:left w:val="nil"/>
              <w:bottom w:val="single" w:sz="4" w:space="0" w:color="000000"/>
              <w:right w:val="single" w:sz="4" w:space="0" w:color="000000"/>
            </w:tcBorders>
            <w:shd w:val="clear" w:color="auto" w:fill="C6E0B4"/>
            <w:vAlign w:val="center"/>
          </w:tcPr>
          <w:p w14:paraId="05969CEA"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843" w:type="dxa"/>
            <w:tcBorders>
              <w:top w:val="nil"/>
              <w:left w:val="nil"/>
              <w:bottom w:val="single" w:sz="4" w:space="0" w:color="000000"/>
              <w:right w:val="single" w:sz="4" w:space="0" w:color="000000"/>
            </w:tcBorders>
            <w:shd w:val="clear" w:color="auto" w:fill="C6E0B4"/>
            <w:vAlign w:val="center"/>
          </w:tcPr>
          <w:p w14:paraId="7E0E7F9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C6E0B4"/>
            <w:vAlign w:val="center"/>
          </w:tcPr>
          <w:p w14:paraId="0D42BC99"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5449F825"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685</w:t>
            </w:r>
          </w:p>
        </w:tc>
      </w:tr>
      <w:tr w:rsidR="009E1C0A" w:rsidRPr="00DB065A" w14:paraId="262935B1"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01C9F879"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Sanitary towels and tampons</w:t>
            </w:r>
          </w:p>
        </w:tc>
        <w:tc>
          <w:tcPr>
            <w:tcW w:w="2126" w:type="dxa"/>
            <w:tcBorders>
              <w:top w:val="nil"/>
              <w:left w:val="nil"/>
              <w:bottom w:val="single" w:sz="4" w:space="0" w:color="000000"/>
              <w:right w:val="single" w:sz="4" w:space="0" w:color="000000"/>
            </w:tcBorders>
            <w:shd w:val="clear" w:color="auto" w:fill="auto"/>
            <w:vAlign w:val="center"/>
          </w:tcPr>
          <w:p w14:paraId="3C4DF2E7"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NO</w:t>
            </w:r>
          </w:p>
        </w:tc>
        <w:tc>
          <w:tcPr>
            <w:tcW w:w="1843" w:type="dxa"/>
            <w:tcBorders>
              <w:top w:val="nil"/>
              <w:left w:val="nil"/>
              <w:bottom w:val="single" w:sz="4" w:space="0" w:color="000000"/>
              <w:right w:val="single" w:sz="4" w:space="0" w:color="000000"/>
            </w:tcBorders>
            <w:shd w:val="clear" w:color="auto" w:fill="C6E0B4"/>
            <w:vAlign w:val="center"/>
          </w:tcPr>
          <w:p w14:paraId="156C638F"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YES</w:t>
            </w:r>
          </w:p>
        </w:tc>
        <w:tc>
          <w:tcPr>
            <w:tcW w:w="1275" w:type="dxa"/>
            <w:tcBorders>
              <w:top w:val="nil"/>
              <w:left w:val="nil"/>
              <w:bottom w:val="single" w:sz="4" w:space="0" w:color="000000"/>
              <w:right w:val="single" w:sz="4" w:space="0" w:color="000000"/>
            </w:tcBorders>
            <w:shd w:val="clear" w:color="auto" w:fill="C6E0B4"/>
            <w:vAlign w:val="center"/>
          </w:tcPr>
          <w:p w14:paraId="7A34350B"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YES</w:t>
            </w:r>
          </w:p>
        </w:tc>
        <w:tc>
          <w:tcPr>
            <w:tcW w:w="1418" w:type="dxa"/>
            <w:tcBorders>
              <w:top w:val="nil"/>
              <w:left w:val="nil"/>
              <w:bottom w:val="single" w:sz="4" w:space="0" w:color="000000"/>
              <w:right w:val="single" w:sz="4" w:space="0" w:color="000000"/>
            </w:tcBorders>
            <w:shd w:val="clear" w:color="auto" w:fill="auto"/>
            <w:vAlign w:val="bottom"/>
          </w:tcPr>
          <w:p w14:paraId="3FE3EDD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100</w:t>
            </w:r>
          </w:p>
        </w:tc>
      </w:tr>
      <w:tr w:rsidR="009E1C0A" w:rsidRPr="00DB065A" w14:paraId="48EDFFBF" w14:textId="77777777">
        <w:trPr>
          <w:trHeight w:val="280"/>
        </w:trPr>
        <w:tc>
          <w:tcPr>
            <w:tcW w:w="2709" w:type="dxa"/>
            <w:tcBorders>
              <w:top w:val="nil"/>
              <w:left w:val="single" w:sz="4" w:space="0" w:color="000000"/>
              <w:bottom w:val="single" w:sz="4" w:space="0" w:color="000000"/>
              <w:right w:val="single" w:sz="4" w:space="0" w:color="000000"/>
            </w:tcBorders>
            <w:shd w:val="clear" w:color="auto" w:fill="auto"/>
            <w:vAlign w:val="center"/>
          </w:tcPr>
          <w:p w14:paraId="15FD8B30"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Agricultural own production</w:t>
            </w:r>
          </w:p>
        </w:tc>
        <w:tc>
          <w:tcPr>
            <w:tcW w:w="2126" w:type="dxa"/>
            <w:tcBorders>
              <w:top w:val="nil"/>
              <w:left w:val="nil"/>
              <w:bottom w:val="single" w:sz="4" w:space="0" w:color="000000"/>
              <w:right w:val="single" w:sz="4" w:space="0" w:color="000000"/>
            </w:tcBorders>
            <w:shd w:val="clear" w:color="auto" w:fill="FFFFFF"/>
            <w:vAlign w:val="center"/>
          </w:tcPr>
          <w:p w14:paraId="3AD179A5"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MOST, NOT ALL</w:t>
            </w:r>
          </w:p>
        </w:tc>
        <w:tc>
          <w:tcPr>
            <w:tcW w:w="1843" w:type="dxa"/>
            <w:tcBorders>
              <w:top w:val="nil"/>
              <w:left w:val="nil"/>
              <w:bottom w:val="single" w:sz="4" w:space="0" w:color="000000"/>
              <w:right w:val="single" w:sz="4" w:space="0" w:color="000000"/>
            </w:tcBorders>
            <w:shd w:val="clear" w:color="auto" w:fill="FFFFFF"/>
            <w:vAlign w:val="center"/>
          </w:tcPr>
          <w:p w14:paraId="1134742E"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SOME, NOT ALL</w:t>
            </w:r>
          </w:p>
        </w:tc>
        <w:tc>
          <w:tcPr>
            <w:tcW w:w="1275" w:type="dxa"/>
            <w:tcBorders>
              <w:top w:val="nil"/>
              <w:left w:val="nil"/>
              <w:bottom w:val="single" w:sz="4" w:space="0" w:color="000000"/>
              <w:right w:val="single" w:sz="4" w:space="0" w:color="000000"/>
            </w:tcBorders>
            <w:shd w:val="clear" w:color="auto" w:fill="auto"/>
            <w:vAlign w:val="center"/>
          </w:tcPr>
          <w:p w14:paraId="2459B5E5" w14:textId="77777777" w:rsidR="009E1C0A" w:rsidRPr="0016401E" w:rsidRDefault="00702B4F">
            <w:pPr>
              <w:rPr>
                <w:rFonts w:eastAsia="Calibri"/>
                <w:color w:val="000000"/>
                <w:sz w:val="20"/>
                <w:szCs w:val="20"/>
                <w:lang w:val="en-GB"/>
              </w:rPr>
            </w:pPr>
            <w:r w:rsidRPr="0016401E">
              <w:rPr>
                <w:rFonts w:eastAsia="Calibri"/>
                <w:color w:val="000000"/>
                <w:sz w:val="20"/>
                <w:szCs w:val="20"/>
                <w:lang w:val="en-GB"/>
              </w:rPr>
              <w:t> </w:t>
            </w:r>
          </w:p>
        </w:tc>
        <w:tc>
          <w:tcPr>
            <w:tcW w:w="1418" w:type="dxa"/>
            <w:tcBorders>
              <w:top w:val="nil"/>
              <w:left w:val="nil"/>
              <w:bottom w:val="single" w:sz="4" w:space="0" w:color="000000"/>
              <w:right w:val="single" w:sz="4" w:space="0" w:color="000000"/>
            </w:tcBorders>
            <w:shd w:val="clear" w:color="auto" w:fill="auto"/>
            <w:vAlign w:val="bottom"/>
          </w:tcPr>
          <w:p w14:paraId="20A3D9FA" w14:textId="77777777" w:rsidR="009E1C0A" w:rsidRPr="0016401E" w:rsidRDefault="00702B4F">
            <w:pPr>
              <w:jc w:val="right"/>
              <w:rPr>
                <w:rFonts w:eastAsia="Calibri"/>
                <w:color w:val="000000"/>
                <w:sz w:val="20"/>
                <w:szCs w:val="20"/>
                <w:lang w:val="en-GB"/>
              </w:rPr>
            </w:pPr>
            <w:r w:rsidRPr="0016401E">
              <w:rPr>
                <w:rFonts w:eastAsia="Calibri"/>
                <w:color w:val="000000"/>
                <w:sz w:val="20"/>
                <w:szCs w:val="20"/>
                <w:lang w:val="en-GB"/>
              </w:rPr>
              <w:t>53</w:t>
            </w:r>
          </w:p>
        </w:tc>
      </w:tr>
    </w:tbl>
    <w:p w14:paraId="6D791781" w14:textId="77777777" w:rsidR="009E1C0A" w:rsidRPr="0016401E" w:rsidRDefault="00702B4F">
      <w:pPr>
        <w:rPr>
          <w:rFonts w:eastAsia="Cambria"/>
          <w:sz w:val="18"/>
          <w:szCs w:val="18"/>
          <w:lang w:val="en-GB"/>
        </w:rPr>
      </w:pPr>
      <w:r w:rsidRPr="0016401E">
        <w:rPr>
          <w:rFonts w:eastAsia="Cambria"/>
          <w:sz w:val="18"/>
          <w:szCs w:val="18"/>
          <w:lang w:val="en-GB"/>
        </w:rPr>
        <w:t>Source: Statistics South Africa, Living Conditions Survey 2014/15, IEJ calculations</w:t>
      </w:r>
    </w:p>
    <w:p w14:paraId="598796E3" w14:textId="77777777" w:rsidR="009E1C0A" w:rsidRPr="00DB065A" w:rsidRDefault="009E1C0A">
      <w:pPr>
        <w:spacing w:line="288" w:lineRule="auto"/>
        <w:jc w:val="both"/>
        <w:rPr>
          <w:sz w:val="24"/>
          <w:szCs w:val="24"/>
          <w:lang w:val="en-GB"/>
        </w:rPr>
      </w:pPr>
    </w:p>
    <w:p w14:paraId="41B47960" w14:textId="77777777" w:rsidR="009E1C0A" w:rsidRPr="00DB065A" w:rsidRDefault="00702B4F">
      <w:pPr>
        <w:spacing w:line="288" w:lineRule="auto"/>
        <w:jc w:val="both"/>
        <w:rPr>
          <w:sz w:val="24"/>
          <w:szCs w:val="24"/>
          <w:lang w:val="en-GB"/>
        </w:rPr>
      </w:pPr>
      <w:r w:rsidRPr="00DB065A">
        <w:rPr>
          <w:sz w:val="24"/>
          <w:szCs w:val="24"/>
          <w:lang w:val="en-GB"/>
        </w:rPr>
        <w:t xml:space="preserve">Zero-rating most of these items would disproportionately benefit poor and low-income households. This includes: cake and bread flour; sorghum meal/powder and </w:t>
      </w:r>
      <w:proofErr w:type="spellStart"/>
      <w:r w:rsidRPr="00DB065A">
        <w:rPr>
          <w:sz w:val="24"/>
          <w:szCs w:val="24"/>
          <w:lang w:val="en-GB"/>
        </w:rPr>
        <w:t>mabella</w:t>
      </w:r>
      <w:proofErr w:type="spellEnd"/>
      <w:r w:rsidRPr="00DB065A">
        <w:rPr>
          <w:sz w:val="24"/>
          <w:szCs w:val="24"/>
          <w:lang w:val="en-GB"/>
        </w:rPr>
        <w:t>; mopane worms; other canned fish; whiteners (</w:t>
      </w:r>
      <w:proofErr w:type="spellStart"/>
      <w:r w:rsidRPr="00DB065A">
        <w:rPr>
          <w:sz w:val="24"/>
          <w:szCs w:val="24"/>
          <w:lang w:val="en-GB"/>
        </w:rPr>
        <w:t>Cremora</w:t>
      </w:r>
      <w:proofErr w:type="spellEnd"/>
      <w:r w:rsidRPr="00DB065A">
        <w:rPr>
          <w:sz w:val="24"/>
          <w:szCs w:val="24"/>
          <w:lang w:val="en-GB"/>
        </w:rPr>
        <w:t xml:space="preserve">; Ellis Brown); </w:t>
      </w:r>
      <w:proofErr w:type="spellStart"/>
      <w:r w:rsidRPr="00DB065A">
        <w:rPr>
          <w:sz w:val="24"/>
          <w:szCs w:val="24"/>
          <w:lang w:val="en-GB"/>
        </w:rPr>
        <w:t>amageu</w:t>
      </w:r>
      <w:proofErr w:type="spellEnd"/>
      <w:r w:rsidRPr="00DB065A">
        <w:rPr>
          <w:sz w:val="24"/>
          <w:szCs w:val="24"/>
          <w:lang w:val="en-GB"/>
        </w:rPr>
        <w:t xml:space="preserve">; powder soup; instant yeast; soya product (excluding soy milk); tea; candles and matches; coal (including anthracite); hotplates; and disposable nappies. For most of these women benefit disproportionately. </w:t>
      </w:r>
    </w:p>
    <w:p w14:paraId="43A13BD4" w14:textId="77777777" w:rsidR="009E1C0A" w:rsidRPr="00DB065A" w:rsidRDefault="009E1C0A">
      <w:pPr>
        <w:spacing w:line="288" w:lineRule="auto"/>
        <w:jc w:val="both"/>
        <w:rPr>
          <w:sz w:val="24"/>
          <w:szCs w:val="24"/>
          <w:lang w:val="en-GB"/>
        </w:rPr>
      </w:pPr>
    </w:p>
    <w:p w14:paraId="1B8119B2" w14:textId="1492735D" w:rsidR="009E1C0A" w:rsidRPr="00DB065A" w:rsidRDefault="00702B4F" w:rsidP="00286ED3">
      <w:pPr>
        <w:spacing w:line="288" w:lineRule="auto"/>
        <w:jc w:val="both"/>
        <w:rPr>
          <w:sz w:val="24"/>
          <w:szCs w:val="24"/>
          <w:lang w:val="en-GB"/>
        </w:rPr>
      </w:pPr>
      <w:r w:rsidRPr="00DB065A">
        <w:rPr>
          <w:sz w:val="24"/>
          <w:szCs w:val="24"/>
          <w:lang w:val="en-GB"/>
        </w:rPr>
        <w:t>Poultry is included because it is a major source of animal protein for poor and low-income households. South Africa’s high (and increasing) stunting rates for children under 5 (27% of all children under 5) and high rates of iron deficiency for pregnant women (26%) indicate a need for increased access to foods high in protein.</w:t>
      </w:r>
      <w:r w:rsidR="00286ED3">
        <w:rPr>
          <w:sz w:val="24"/>
          <w:szCs w:val="24"/>
          <w:lang w:val="en-GB"/>
        </w:rPr>
        <w:t xml:space="preserve"> PACSA, leading experts in the monitoring of food prices and consumption</w:t>
      </w:r>
      <w:r w:rsidR="003D077F">
        <w:rPr>
          <w:sz w:val="24"/>
          <w:szCs w:val="24"/>
          <w:lang w:val="en-GB"/>
        </w:rPr>
        <w:t>,</w:t>
      </w:r>
      <w:r w:rsidR="00286ED3">
        <w:rPr>
          <w:sz w:val="24"/>
          <w:szCs w:val="24"/>
          <w:lang w:val="en-GB"/>
        </w:rPr>
        <w:t xml:space="preserve"> include chicken in the list of items that when food prices rise poor and low-income “[h]</w:t>
      </w:r>
      <w:proofErr w:type="spellStart"/>
      <w:proofErr w:type="gramStart"/>
      <w:r w:rsidR="00286ED3" w:rsidRPr="00286ED3">
        <w:rPr>
          <w:sz w:val="24"/>
          <w:szCs w:val="24"/>
          <w:lang w:val="en-GB"/>
        </w:rPr>
        <w:t>ouseholds</w:t>
      </w:r>
      <w:proofErr w:type="spellEnd"/>
      <w:r w:rsidR="00286ED3" w:rsidRPr="00286ED3">
        <w:rPr>
          <w:sz w:val="24"/>
          <w:szCs w:val="24"/>
          <w:lang w:val="en-GB"/>
        </w:rPr>
        <w:t xml:space="preserve">  prioritise</w:t>
      </w:r>
      <w:proofErr w:type="gramEnd"/>
      <w:r w:rsidR="00286ED3" w:rsidRPr="00286ED3">
        <w:rPr>
          <w:sz w:val="24"/>
          <w:szCs w:val="24"/>
          <w:lang w:val="en-GB"/>
        </w:rPr>
        <w:t xml:space="preserve">  the  securing  of  foods which  they  cannot  live  without</w:t>
      </w:r>
      <w:r w:rsidR="00286ED3">
        <w:rPr>
          <w:sz w:val="24"/>
          <w:szCs w:val="24"/>
          <w:lang w:val="en-GB"/>
        </w:rPr>
        <w:t xml:space="preserve">”. Women in particular report chicken to be an item they “cannot live without”. According to PACSA frozen chicken pieces saw a year-on-year price increase of 36% between 2016 and 2017 – </w:t>
      </w:r>
      <w:r w:rsidR="008D7058">
        <w:rPr>
          <w:sz w:val="24"/>
          <w:szCs w:val="24"/>
          <w:lang w:val="en-GB"/>
        </w:rPr>
        <w:t xml:space="preserve">suppliers and supermarkets have </w:t>
      </w:r>
      <w:r w:rsidR="00286ED3">
        <w:rPr>
          <w:sz w:val="24"/>
          <w:szCs w:val="24"/>
          <w:lang w:val="en-GB"/>
        </w:rPr>
        <w:t xml:space="preserve">attempted to </w:t>
      </w:r>
      <w:r w:rsidR="008D7058">
        <w:rPr>
          <w:sz w:val="24"/>
          <w:szCs w:val="24"/>
          <w:lang w:val="en-GB"/>
        </w:rPr>
        <w:t>mask this</w:t>
      </w:r>
      <w:r w:rsidR="00286ED3">
        <w:rPr>
          <w:sz w:val="24"/>
          <w:szCs w:val="24"/>
          <w:lang w:val="en-GB"/>
        </w:rPr>
        <w:t xml:space="preserve"> by reducing the amount of chicken in each bag</w:t>
      </w:r>
      <w:r w:rsidR="008D7058">
        <w:rPr>
          <w:sz w:val="24"/>
          <w:szCs w:val="24"/>
          <w:lang w:val="en-GB"/>
        </w:rPr>
        <w:t xml:space="preserve"> so it appears they are cheaper;</w:t>
      </w:r>
      <w:r w:rsidR="00286ED3">
        <w:rPr>
          <w:sz w:val="24"/>
          <w:szCs w:val="24"/>
          <w:lang w:val="en-GB"/>
        </w:rPr>
        <w:t xml:space="preserve"> women also reported that the quality of chicken had decreased</w:t>
      </w:r>
      <w:r w:rsidR="008D7058">
        <w:rPr>
          <w:sz w:val="24"/>
          <w:szCs w:val="24"/>
          <w:lang w:val="en-GB"/>
        </w:rPr>
        <w:t>.</w:t>
      </w:r>
      <w:r w:rsidR="00AA0FEA">
        <w:rPr>
          <w:rStyle w:val="FootnoteReference"/>
          <w:sz w:val="24"/>
          <w:szCs w:val="24"/>
          <w:lang w:val="en-GB"/>
        </w:rPr>
        <w:footnoteReference w:id="8"/>
      </w:r>
      <w:r w:rsidR="00286ED3">
        <w:rPr>
          <w:sz w:val="24"/>
          <w:szCs w:val="24"/>
          <w:lang w:val="en-GB"/>
        </w:rPr>
        <w:t xml:space="preserve"> </w:t>
      </w:r>
      <w:r w:rsidR="001F0784">
        <w:rPr>
          <w:sz w:val="24"/>
          <w:szCs w:val="24"/>
        </w:rPr>
        <w:t>We note that the panel could not reach consensus on this item</w:t>
      </w:r>
      <w:r w:rsidR="0016401E">
        <w:rPr>
          <w:sz w:val="24"/>
          <w:szCs w:val="24"/>
        </w:rPr>
        <w:t xml:space="preserve"> with the majority deciding to exclude it from zero-rating</w:t>
      </w:r>
      <w:r w:rsidR="001F0784">
        <w:rPr>
          <w:sz w:val="24"/>
          <w:szCs w:val="24"/>
        </w:rPr>
        <w:t>.</w:t>
      </w:r>
      <w:r w:rsidR="0016401E">
        <w:rPr>
          <w:sz w:val="24"/>
          <w:szCs w:val="24"/>
        </w:rPr>
        <w:t xml:space="preserve"> </w:t>
      </w:r>
      <w:r w:rsidR="001F0784">
        <w:rPr>
          <w:sz w:val="24"/>
          <w:szCs w:val="24"/>
          <w:lang w:val="en-GB"/>
        </w:rPr>
        <w:t xml:space="preserve">We do not agree </w:t>
      </w:r>
      <w:r w:rsidR="0016401E">
        <w:rPr>
          <w:sz w:val="24"/>
          <w:szCs w:val="24"/>
          <w:lang w:val="en-GB"/>
        </w:rPr>
        <w:t xml:space="preserve">that </w:t>
      </w:r>
      <w:r w:rsidR="001F0784">
        <w:rPr>
          <w:sz w:val="24"/>
          <w:szCs w:val="24"/>
          <w:lang w:val="en-GB"/>
        </w:rPr>
        <w:t xml:space="preserve">the </w:t>
      </w:r>
      <w:r w:rsidRPr="00DB065A">
        <w:rPr>
          <w:sz w:val="24"/>
          <w:szCs w:val="24"/>
          <w:lang w:val="en-GB"/>
        </w:rPr>
        <w:t xml:space="preserve"> reasons </w:t>
      </w:r>
      <w:r w:rsidR="0016401E">
        <w:rPr>
          <w:sz w:val="24"/>
          <w:szCs w:val="24"/>
          <w:lang w:val="en-GB"/>
        </w:rPr>
        <w:t xml:space="preserve">advanced </w:t>
      </w:r>
      <w:r w:rsidRPr="00DB065A">
        <w:rPr>
          <w:sz w:val="24"/>
          <w:szCs w:val="24"/>
          <w:lang w:val="en-GB"/>
        </w:rPr>
        <w:t xml:space="preserve">for excluding chicken from the list </w:t>
      </w:r>
      <w:r w:rsidR="0016401E">
        <w:rPr>
          <w:sz w:val="24"/>
          <w:szCs w:val="24"/>
          <w:lang w:val="en-GB"/>
        </w:rPr>
        <w:t xml:space="preserve">out-weigh the socio-economic benefits (especially for pregnant women and children) of including chicken </w:t>
      </w:r>
      <w:r w:rsidRPr="00DB065A">
        <w:rPr>
          <w:sz w:val="24"/>
          <w:szCs w:val="24"/>
          <w:lang w:val="en-GB"/>
        </w:rPr>
        <w:t>for further zero</w:t>
      </w:r>
      <w:r w:rsidR="0016401E">
        <w:rPr>
          <w:sz w:val="24"/>
          <w:szCs w:val="24"/>
          <w:lang w:val="en-GB"/>
        </w:rPr>
        <w:t>-</w:t>
      </w:r>
      <w:r w:rsidRPr="00DB065A">
        <w:rPr>
          <w:sz w:val="24"/>
          <w:szCs w:val="24"/>
          <w:lang w:val="en-GB"/>
        </w:rPr>
        <w:t xml:space="preserve">rating and call </w:t>
      </w:r>
      <w:r w:rsidR="0016401E">
        <w:rPr>
          <w:sz w:val="24"/>
          <w:szCs w:val="24"/>
          <w:lang w:val="en-GB"/>
        </w:rPr>
        <w:t xml:space="preserve">for </w:t>
      </w:r>
      <w:r w:rsidR="003D077F">
        <w:rPr>
          <w:sz w:val="24"/>
          <w:szCs w:val="24"/>
          <w:lang w:val="en-GB"/>
        </w:rPr>
        <w:t>chicken to</w:t>
      </w:r>
      <w:r w:rsidR="0016401E">
        <w:rPr>
          <w:sz w:val="24"/>
          <w:szCs w:val="24"/>
          <w:lang w:val="en-GB"/>
        </w:rPr>
        <w:t xml:space="preserve"> be added</w:t>
      </w:r>
      <w:r w:rsidR="003D077F">
        <w:rPr>
          <w:sz w:val="24"/>
          <w:szCs w:val="24"/>
          <w:lang w:val="en-GB"/>
        </w:rPr>
        <w:t xml:space="preserve"> the list.</w:t>
      </w:r>
    </w:p>
    <w:p w14:paraId="42C387CC" w14:textId="77777777" w:rsidR="009E1C0A" w:rsidRPr="00DB065A" w:rsidRDefault="009E1C0A">
      <w:pPr>
        <w:spacing w:line="288" w:lineRule="auto"/>
        <w:jc w:val="both"/>
        <w:rPr>
          <w:sz w:val="24"/>
          <w:szCs w:val="24"/>
          <w:lang w:val="en-GB"/>
        </w:rPr>
      </w:pPr>
    </w:p>
    <w:p w14:paraId="623D778C" w14:textId="004CF3F3" w:rsidR="009E1C0A" w:rsidRPr="00DB065A" w:rsidRDefault="008D7058">
      <w:pPr>
        <w:spacing w:line="288" w:lineRule="auto"/>
        <w:jc w:val="both"/>
        <w:rPr>
          <w:sz w:val="24"/>
          <w:szCs w:val="24"/>
          <w:lang w:val="en-GB"/>
        </w:rPr>
      </w:pPr>
      <w:r>
        <w:rPr>
          <w:sz w:val="24"/>
          <w:szCs w:val="24"/>
          <w:lang w:val="en-GB"/>
        </w:rPr>
        <w:t>In the IEJ report, n</w:t>
      </w:r>
      <w:r w:rsidR="00702B4F" w:rsidRPr="00DB065A">
        <w:rPr>
          <w:sz w:val="24"/>
          <w:szCs w:val="24"/>
          <w:lang w:val="en-GB"/>
        </w:rPr>
        <w:t xml:space="preserve">ot all forms of baby food, infants and children’s clothing and footwear, and textbooks and stationery, pass the </w:t>
      </w:r>
      <w:r>
        <w:rPr>
          <w:sz w:val="24"/>
          <w:szCs w:val="24"/>
          <w:lang w:val="en-GB"/>
        </w:rPr>
        <w:t>“</w:t>
      </w:r>
      <w:r w:rsidR="00702B4F" w:rsidRPr="00DB065A">
        <w:rPr>
          <w:sz w:val="24"/>
          <w:szCs w:val="24"/>
          <w:lang w:val="en-GB"/>
        </w:rPr>
        <w:t>primary test</w:t>
      </w:r>
      <w:r>
        <w:rPr>
          <w:sz w:val="24"/>
          <w:szCs w:val="24"/>
          <w:lang w:val="en-GB"/>
        </w:rPr>
        <w:t>” (proportional benefits of deciles 1-</w:t>
      </w:r>
      <w:r>
        <w:rPr>
          <w:sz w:val="24"/>
          <w:szCs w:val="24"/>
          <w:lang w:val="en-GB"/>
        </w:rPr>
        <w:lastRenderedPageBreak/>
        <w:t>7 vs decile 8-10)</w:t>
      </w:r>
      <w:r w:rsidR="00702B4F" w:rsidRPr="00DB065A">
        <w:rPr>
          <w:sz w:val="24"/>
          <w:szCs w:val="24"/>
          <w:lang w:val="en-GB"/>
        </w:rPr>
        <w:t xml:space="preserve">. However, zero-rating these items would disproportionately assist women and advance the rights of children to food, dignity and education. Similarly, making sanitary products more accessible is a national imperative, both to ensure the dignity and health of women, and because of the benefit to improve school attendance by teenage girls. </w:t>
      </w:r>
    </w:p>
    <w:p w14:paraId="6B2018EA" w14:textId="77777777" w:rsidR="009E1C0A" w:rsidRPr="00DB065A" w:rsidRDefault="009E1C0A">
      <w:pPr>
        <w:spacing w:line="288" w:lineRule="auto"/>
        <w:rPr>
          <w:sz w:val="24"/>
          <w:szCs w:val="24"/>
          <w:lang w:val="en-GB"/>
        </w:rPr>
      </w:pPr>
    </w:p>
    <w:p w14:paraId="4968A7CB" w14:textId="77777777" w:rsidR="009E1C0A" w:rsidRPr="00DB065A" w:rsidRDefault="00702B4F">
      <w:pPr>
        <w:spacing w:line="288" w:lineRule="auto"/>
        <w:rPr>
          <w:sz w:val="24"/>
          <w:szCs w:val="24"/>
          <w:lang w:val="en-GB"/>
        </w:rPr>
      </w:pPr>
      <w:r w:rsidRPr="00DB065A">
        <w:rPr>
          <w:sz w:val="24"/>
          <w:szCs w:val="24"/>
          <w:lang w:val="en-GB"/>
        </w:rPr>
        <w:t xml:space="preserve">Ensuring cheaper access to soap and medicines and medical services (limited to those in public institutions) would advance the rights to health, sanitation and dignity. </w:t>
      </w:r>
    </w:p>
    <w:p w14:paraId="4EF9E80B" w14:textId="77777777" w:rsidR="009E1C0A" w:rsidRPr="00DB065A" w:rsidRDefault="009E1C0A">
      <w:pPr>
        <w:spacing w:line="288" w:lineRule="auto"/>
        <w:rPr>
          <w:sz w:val="24"/>
          <w:szCs w:val="24"/>
          <w:lang w:val="en-GB"/>
        </w:rPr>
      </w:pPr>
    </w:p>
    <w:p w14:paraId="6447CAE8" w14:textId="77777777" w:rsidR="009E1C0A" w:rsidRPr="00DB065A" w:rsidRDefault="00702B4F">
      <w:pPr>
        <w:spacing w:line="288" w:lineRule="auto"/>
        <w:rPr>
          <w:sz w:val="24"/>
          <w:szCs w:val="24"/>
          <w:lang w:val="en-GB"/>
        </w:rPr>
      </w:pPr>
      <w:r w:rsidRPr="00DB065A">
        <w:rPr>
          <w:sz w:val="24"/>
          <w:szCs w:val="24"/>
          <w:lang w:val="en-GB"/>
        </w:rPr>
        <w:t xml:space="preserve">Airtime costs are also included in the list, on the understanding that a strong case can be made that access to communication and the internet is essential to participation in society, education and the labour market. </w:t>
      </w:r>
    </w:p>
    <w:p w14:paraId="3140091D" w14:textId="77777777" w:rsidR="009E1C0A" w:rsidRPr="00DB065A" w:rsidRDefault="009E1C0A">
      <w:pPr>
        <w:spacing w:line="288" w:lineRule="auto"/>
        <w:rPr>
          <w:sz w:val="24"/>
          <w:szCs w:val="24"/>
          <w:lang w:val="en-GB"/>
        </w:rPr>
      </w:pPr>
    </w:p>
    <w:p w14:paraId="65D80C89" w14:textId="770080FD" w:rsidR="009E1C0A" w:rsidRPr="00DB065A" w:rsidRDefault="00702B4F" w:rsidP="003F11F9">
      <w:pPr>
        <w:spacing w:line="288" w:lineRule="auto"/>
        <w:rPr>
          <w:sz w:val="24"/>
          <w:szCs w:val="24"/>
          <w:lang w:val="en-GB"/>
        </w:rPr>
      </w:pPr>
      <w:r w:rsidRPr="00DB065A">
        <w:rPr>
          <w:sz w:val="24"/>
          <w:szCs w:val="24"/>
          <w:lang w:val="en-GB"/>
        </w:rPr>
        <w:t>For almost all items, their inclusion in the basket of zero-rate items would make the tax mix more progressive. For more details, please see the attached research report by the Institute for Economic Justice, one of the Coalition members.</w:t>
      </w:r>
    </w:p>
    <w:p w14:paraId="2C65E0CA" w14:textId="77777777" w:rsidR="009E1C0A" w:rsidRPr="00DB065A" w:rsidRDefault="009E1C0A">
      <w:pPr>
        <w:spacing w:line="288" w:lineRule="auto"/>
        <w:jc w:val="both"/>
        <w:rPr>
          <w:b/>
          <w:color w:val="000000"/>
          <w:sz w:val="24"/>
          <w:szCs w:val="24"/>
          <w:lang w:val="en-GB"/>
        </w:rPr>
      </w:pPr>
    </w:p>
    <w:p w14:paraId="5B6D6EA9" w14:textId="7954BD07" w:rsidR="009E1C0A" w:rsidRPr="00DB065A" w:rsidRDefault="00712D19">
      <w:pPr>
        <w:spacing w:line="288" w:lineRule="auto"/>
        <w:jc w:val="both"/>
        <w:rPr>
          <w:b/>
          <w:color w:val="000000"/>
          <w:sz w:val="24"/>
          <w:szCs w:val="24"/>
          <w:lang w:val="en-GB"/>
        </w:rPr>
      </w:pPr>
      <w:r>
        <w:rPr>
          <w:b/>
          <w:sz w:val="24"/>
          <w:szCs w:val="24"/>
          <w:lang w:val="en-GB"/>
        </w:rPr>
        <w:t>4</w:t>
      </w:r>
      <w:r w:rsidR="00702B4F" w:rsidRPr="00DB065A">
        <w:rPr>
          <w:b/>
          <w:sz w:val="24"/>
          <w:szCs w:val="24"/>
          <w:lang w:val="en-GB"/>
        </w:rPr>
        <w:t xml:space="preserve">.2 </w:t>
      </w:r>
      <w:r w:rsidR="00702B4F" w:rsidRPr="00DB065A">
        <w:rPr>
          <w:b/>
          <w:color w:val="000000"/>
          <w:sz w:val="24"/>
          <w:szCs w:val="24"/>
          <w:lang w:val="en-GB"/>
        </w:rPr>
        <w:t>Recommendations for higher ad valorem excise duties and 25% VAT rate for luxury items</w:t>
      </w:r>
    </w:p>
    <w:p w14:paraId="103B3BF7" w14:textId="77777777" w:rsidR="009E1C0A" w:rsidRPr="00DB065A" w:rsidRDefault="00702B4F">
      <w:pPr>
        <w:spacing w:line="288" w:lineRule="auto"/>
        <w:jc w:val="both"/>
        <w:rPr>
          <w:b/>
          <w:color w:val="000000"/>
          <w:sz w:val="24"/>
          <w:szCs w:val="24"/>
          <w:lang w:val="en-GB"/>
        </w:rPr>
      </w:pPr>
      <w:r w:rsidRPr="00DB065A">
        <w:rPr>
          <w:b/>
          <w:color w:val="000000"/>
          <w:sz w:val="24"/>
          <w:szCs w:val="24"/>
          <w:lang w:val="en-GB"/>
        </w:rPr>
        <w:t xml:space="preserve"> </w:t>
      </w:r>
    </w:p>
    <w:p w14:paraId="4B781BCA" w14:textId="2BA50E91" w:rsidR="009E1C0A" w:rsidRPr="00DB065A" w:rsidRDefault="00702B4F">
      <w:pPr>
        <w:spacing w:line="288" w:lineRule="auto"/>
        <w:jc w:val="both"/>
        <w:rPr>
          <w:sz w:val="24"/>
          <w:szCs w:val="24"/>
          <w:lang w:val="en-GB"/>
        </w:rPr>
      </w:pPr>
      <w:r w:rsidRPr="00DB065A">
        <w:rPr>
          <w:sz w:val="24"/>
          <w:szCs w:val="24"/>
          <w:lang w:val="en-GB"/>
        </w:rPr>
        <w:t xml:space="preserve">The IEJ report </w:t>
      </w:r>
      <w:r w:rsidR="0024480C">
        <w:rPr>
          <w:sz w:val="24"/>
          <w:szCs w:val="24"/>
          <w:lang w:val="en-GB"/>
        </w:rPr>
        <w:t xml:space="preserve">also </w:t>
      </w:r>
      <w:r w:rsidRPr="00DB065A">
        <w:rPr>
          <w:sz w:val="24"/>
          <w:szCs w:val="24"/>
          <w:lang w:val="en-GB"/>
        </w:rPr>
        <w:t xml:space="preserve">shows that more than half of the costs of zero-rating the above items (R9.6 billion out of R17 billion) could be made up through imposing a VAT rate of 25% on a basket of luxury goods consumed by the rich. </w:t>
      </w:r>
    </w:p>
    <w:p w14:paraId="59CF02E7" w14:textId="77777777" w:rsidR="009E1C0A" w:rsidRPr="00DB065A" w:rsidRDefault="009E1C0A">
      <w:pPr>
        <w:spacing w:line="288" w:lineRule="auto"/>
        <w:jc w:val="both"/>
        <w:rPr>
          <w:sz w:val="24"/>
          <w:szCs w:val="24"/>
          <w:lang w:val="en-GB"/>
        </w:rPr>
      </w:pPr>
    </w:p>
    <w:p w14:paraId="75AF2EAF" w14:textId="77777777" w:rsidR="009E1C0A" w:rsidRPr="00DB065A" w:rsidRDefault="00702B4F">
      <w:pPr>
        <w:spacing w:line="288" w:lineRule="auto"/>
        <w:jc w:val="both"/>
        <w:rPr>
          <w:sz w:val="24"/>
          <w:szCs w:val="24"/>
          <w:lang w:val="en-GB"/>
        </w:rPr>
      </w:pPr>
      <w:r w:rsidRPr="00DB065A">
        <w:rPr>
          <w:sz w:val="24"/>
          <w:szCs w:val="24"/>
          <w:lang w:val="en-GB"/>
        </w:rPr>
        <w:t xml:space="preserve">South Africa currently has a limited range of </w:t>
      </w:r>
      <w:r w:rsidRPr="00DB065A">
        <w:rPr>
          <w:i/>
          <w:sz w:val="24"/>
          <w:szCs w:val="24"/>
          <w:lang w:val="en-GB"/>
        </w:rPr>
        <w:t>ad valorem</w:t>
      </w:r>
      <w:r w:rsidRPr="00DB065A">
        <w:rPr>
          <w:sz w:val="24"/>
          <w:szCs w:val="24"/>
          <w:lang w:val="en-GB"/>
        </w:rPr>
        <w:t xml:space="preserve"> excise duties on luxury goods paid by the manufacturer or importer. These raise a limited, but not insignificant, amount of revenue – in 2017/2018 R3.8bn and projected to rise to R4.8bn in 2020/2021 (in nominal terms). However, they are projected to maintain their share in the overall tax mix. There is, therefore, room to further tax luxury consumption through the increase and expansion of </w:t>
      </w:r>
      <w:r w:rsidRPr="00DB065A">
        <w:rPr>
          <w:i/>
          <w:sz w:val="24"/>
          <w:szCs w:val="24"/>
          <w:lang w:val="en-GB"/>
        </w:rPr>
        <w:t>ad valorem</w:t>
      </w:r>
      <w:r w:rsidRPr="00DB065A">
        <w:rPr>
          <w:sz w:val="24"/>
          <w:szCs w:val="24"/>
          <w:lang w:val="en-GB"/>
        </w:rPr>
        <w:t xml:space="preserve"> excise duties and the institution of a higher VAT rate on luxury goods.</w:t>
      </w:r>
    </w:p>
    <w:p w14:paraId="5C9ED673" w14:textId="77777777" w:rsidR="009E1C0A" w:rsidRPr="00DB065A" w:rsidRDefault="009E1C0A">
      <w:pPr>
        <w:spacing w:line="288" w:lineRule="auto"/>
        <w:jc w:val="both"/>
        <w:rPr>
          <w:sz w:val="24"/>
          <w:szCs w:val="24"/>
          <w:lang w:val="en-GB"/>
        </w:rPr>
      </w:pPr>
    </w:p>
    <w:p w14:paraId="5495E2C0" w14:textId="77777777" w:rsidR="009E1C0A" w:rsidRPr="00DB065A" w:rsidRDefault="00702B4F">
      <w:pPr>
        <w:spacing w:line="288" w:lineRule="auto"/>
        <w:jc w:val="both"/>
        <w:rPr>
          <w:sz w:val="24"/>
          <w:szCs w:val="24"/>
          <w:lang w:val="en-GB"/>
        </w:rPr>
      </w:pPr>
      <w:r w:rsidRPr="00DB065A">
        <w:rPr>
          <w:sz w:val="24"/>
          <w:szCs w:val="24"/>
          <w:lang w:val="en-GB"/>
        </w:rPr>
        <w:t xml:space="preserve">“Luxury goods” could include those items bought only by the rich, as well as upper segments of other goods markets, for example, fancy cars, expensive fridges, and so on. Given the existing tax administration systems this can be feasibly implemented. Given that a higher share of luxury items is imported, this should not unduly dampen domestic demand and could modestly assist in closing the balance of payments. Access to luxury goods is an expression of inequality. The selection of items should not place goods that poorer households save for, beyond their reach. </w:t>
      </w:r>
    </w:p>
    <w:p w14:paraId="5924E7D7" w14:textId="77777777" w:rsidR="009E1C0A" w:rsidRPr="00DB065A" w:rsidRDefault="00702B4F">
      <w:pPr>
        <w:spacing w:line="288" w:lineRule="auto"/>
        <w:jc w:val="both"/>
        <w:rPr>
          <w:sz w:val="24"/>
          <w:szCs w:val="24"/>
          <w:lang w:val="en-GB"/>
        </w:rPr>
      </w:pPr>
      <w:r w:rsidRPr="00DB065A">
        <w:rPr>
          <w:sz w:val="24"/>
          <w:szCs w:val="24"/>
          <w:lang w:val="en-GB"/>
        </w:rPr>
        <w:lastRenderedPageBreak/>
        <w:t xml:space="preserve">Table 2 provides a sample of items that could be good candidates for a luxury VAT rate as well as the revenue this could raise. The test for inclusion is whether 70% or more of expenditure on the item is spent by decile 10 (and more than 90% by deciles 8-10). The columns show additional revenue (over and above the existing 15% VAT rate) that would be earned from a 25% VAT rate on all goods in that category (the second last column). </w:t>
      </w:r>
    </w:p>
    <w:p w14:paraId="42E4AB1B" w14:textId="77777777" w:rsidR="00712D19" w:rsidRDefault="00712D19">
      <w:pPr>
        <w:spacing w:line="288" w:lineRule="auto"/>
        <w:jc w:val="both"/>
        <w:rPr>
          <w:sz w:val="24"/>
          <w:szCs w:val="24"/>
          <w:lang w:val="en-GB"/>
        </w:rPr>
      </w:pPr>
    </w:p>
    <w:p w14:paraId="4474953A" w14:textId="77777777" w:rsidR="009E1C0A" w:rsidRPr="00DB065A" w:rsidRDefault="00702B4F">
      <w:pPr>
        <w:spacing w:line="288" w:lineRule="auto"/>
        <w:jc w:val="both"/>
        <w:rPr>
          <w:sz w:val="24"/>
          <w:szCs w:val="24"/>
          <w:lang w:val="en-GB"/>
        </w:rPr>
      </w:pPr>
      <w:r w:rsidRPr="00DB065A">
        <w:rPr>
          <w:sz w:val="24"/>
          <w:szCs w:val="24"/>
          <w:lang w:val="en-GB"/>
        </w:rPr>
        <w:t xml:space="preserve">Another test is applied to mimic a higher VAT rate on expensive versions of a particular good (the last column). Unfortunately, the data set is limiting and a luxury VAT rate cannot be properly applied to this data based on price differentiation, for example, levying a higher tax for cars selling for more than R500 000. For a selection of items, we have applied the 25% VAT rate only to the consumption of decile 10, on the loose assumption that decile 10 would purchase more expensive versions of this item. </w:t>
      </w:r>
    </w:p>
    <w:p w14:paraId="478DB174" w14:textId="77777777" w:rsidR="009E1C0A" w:rsidRPr="00DB065A" w:rsidRDefault="009E1C0A">
      <w:pPr>
        <w:spacing w:line="360" w:lineRule="auto"/>
        <w:jc w:val="both"/>
        <w:rPr>
          <w:rFonts w:ascii="Cambria" w:eastAsia="Cambria" w:hAnsi="Cambria" w:cs="Cambria"/>
          <w:lang w:val="en-GB"/>
        </w:rPr>
      </w:pPr>
    </w:p>
    <w:p w14:paraId="21DD91C0" w14:textId="77777777" w:rsidR="009E1C0A" w:rsidRPr="0016401E" w:rsidRDefault="00702B4F">
      <w:pPr>
        <w:keepNext/>
        <w:pBdr>
          <w:top w:val="nil"/>
          <w:left w:val="nil"/>
          <w:bottom w:val="nil"/>
          <w:right w:val="nil"/>
          <w:between w:val="nil"/>
        </w:pBdr>
        <w:spacing w:after="200" w:line="240" w:lineRule="auto"/>
        <w:rPr>
          <w:rFonts w:eastAsia="Cambria"/>
          <w:b/>
          <w:color w:val="000000"/>
          <w:sz w:val="20"/>
          <w:szCs w:val="20"/>
          <w:lang w:val="en-GB"/>
        </w:rPr>
      </w:pPr>
      <w:r w:rsidRPr="0016401E">
        <w:rPr>
          <w:rFonts w:eastAsia="Cambria"/>
          <w:b/>
          <w:color w:val="000000"/>
          <w:sz w:val="20"/>
          <w:szCs w:val="20"/>
          <w:lang w:val="en-GB"/>
        </w:rPr>
        <w:t>Table 2: Indicative items for luxury VAT rate and fiscal benefit</w:t>
      </w:r>
    </w:p>
    <w:tbl>
      <w:tblPr>
        <w:tblStyle w:val="a0"/>
        <w:tblW w:w="9229" w:type="dxa"/>
        <w:tblInd w:w="93" w:type="dxa"/>
        <w:tblLayout w:type="fixed"/>
        <w:tblLook w:val="0400" w:firstRow="0" w:lastRow="0" w:firstColumn="0" w:lastColumn="0" w:noHBand="0" w:noVBand="1"/>
      </w:tblPr>
      <w:tblGrid>
        <w:gridCol w:w="3850"/>
        <w:gridCol w:w="1417"/>
        <w:gridCol w:w="1985"/>
        <w:gridCol w:w="1977"/>
      </w:tblGrid>
      <w:tr w:rsidR="009E1C0A" w:rsidRPr="00DB065A" w14:paraId="54658D4D" w14:textId="77777777" w:rsidTr="00F93D19">
        <w:trPr>
          <w:trHeight w:val="956"/>
        </w:trPr>
        <w:tc>
          <w:tcPr>
            <w:tcW w:w="3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2D27B9" w14:textId="79DB9462" w:rsidR="009E1C0A" w:rsidRPr="00F93D19" w:rsidRDefault="00F93D19" w:rsidP="00F93D19">
            <w:pPr>
              <w:spacing w:line="240" w:lineRule="auto"/>
              <w:rPr>
                <w:rFonts w:eastAsia="Cambria"/>
                <w:b/>
                <w:color w:val="000000"/>
                <w:sz w:val="20"/>
                <w:szCs w:val="20"/>
                <w:lang w:val="en-GB"/>
              </w:rPr>
            </w:pPr>
            <w:r w:rsidRPr="00F93D19">
              <w:rPr>
                <w:rFonts w:eastAsia="Cambria"/>
                <w:b/>
                <w:color w:val="000000"/>
                <w:sz w:val="20"/>
                <w:szCs w:val="20"/>
                <w:lang w:val="en-GB"/>
              </w:rPr>
              <w:t>Item</w:t>
            </w:r>
          </w:p>
        </w:tc>
        <w:tc>
          <w:tcPr>
            <w:tcW w:w="1417" w:type="dxa"/>
            <w:tcBorders>
              <w:top w:val="single" w:sz="4" w:space="0" w:color="000000"/>
              <w:left w:val="nil"/>
              <w:bottom w:val="single" w:sz="4" w:space="0" w:color="000000"/>
              <w:right w:val="single" w:sz="4" w:space="0" w:color="000000"/>
            </w:tcBorders>
            <w:shd w:val="clear" w:color="auto" w:fill="auto"/>
            <w:vAlign w:val="bottom"/>
          </w:tcPr>
          <w:p w14:paraId="7B59CE27" w14:textId="2DFDEA11" w:rsidR="009E1C0A" w:rsidRPr="00F93D19" w:rsidRDefault="003F11F9" w:rsidP="003F11F9">
            <w:pPr>
              <w:spacing w:line="240" w:lineRule="auto"/>
              <w:rPr>
                <w:rFonts w:eastAsia="Cambria"/>
                <w:b/>
                <w:color w:val="000000"/>
                <w:sz w:val="20"/>
                <w:szCs w:val="20"/>
                <w:lang w:val="en-GB"/>
              </w:rPr>
            </w:pPr>
            <w:r w:rsidRPr="00F93D19">
              <w:rPr>
                <w:rFonts w:eastAsia="Cambria"/>
                <w:b/>
                <w:color w:val="000000"/>
                <w:sz w:val="20"/>
                <w:szCs w:val="20"/>
                <w:lang w:val="en-GB"/>
              </w:rPr>
              <w:t>Percentage consumed by decile 10</w:t>
            </w:r>
          </w:p>
        </w:tc>
        <w:tc>
          <w:tcPr>
            <w:tcW w:w="1985" w:type="dxa"/>
            <w:tcBorders>
              <w:top w:val="single" w:sz="4" w:space="0" w:color="000000"/>
              <w:left w:val="nil"/>
              <w:bottom w:val="single" w:sz="4" w:space="0" w:color="000000"/>
              <w:right w:val="single" w:sz="4" w:space="0" w:color="000000"/>
            </w:tcBorders>
            <w:shd w:val="clear" w:color="auto" w:fill="auto"/>
            <w:vAlign w:val="bottom"/>
          </w:tcPr>
          <w:p w14:paraId="4EB7449F" w14:textId="77777777" w:rsidR="00F93D19" w:rsidRDefault="003F11F9" w:rsidP="00F93D19">
            <w:pPr>
              <w:spacing w:line="240" w:lineRule="auto"/>
              <w:rPr>
                <w:rFonts w:eastAsia="Cambria"/>
                <w:b/>
                <w:color w:val="000000"/>
                <w:sz w:val="20"/>
                <w:szCs w:val="20"/>
                <w:lang w:val="en-GB"/>
              </w:rPr>
            </w:pPr>
            <w:r w:rsidRPr="00F93D19">
              <w:rPr>
                <w:rFonts w:eastAsia="Cambria"/>
                <w:b/>
                <w:color w:val="000000"/>
                <w:sz w:val="20"/>
                <w:szCs w:val="20"/>
                <w:lang w:val="en-GB"/>
              </w:rPr>
              <w:t xml:space="preserve">Extra tax at 25% VAT rate applied to all goods in category </w:t>
            </w:r>
          </w:p>
          <w:p w14:paraId="3F46A83A" w14:textId="67D06652" w:rsidR="009E1C0A" w:rsidRPr="00F93D19" w:rsidRDefault="003F11F9" w:rsidP="00F93D19">
            <w:pPr>
              <w:spacing w:line="240" w:lineRule="auto"/>
              <w:rPr>
                <w:rFonts w:eastAsia="Cambria"/>
                <w:b/>
                <w:color w:val="000000"/>
                <w:sz w:val="20"/>
                <w:szCs w:val="20"/>
                <w:lang w:val="en-GB"/>
              </w:rPr>
            </w:pPr>
            <w:r w:rsidRPr="00F93D19">
              <w:rPr>
                <w:rFonts w:eastAsia="Cambria"/>
                <w:b/>
                <w:color w:val="000000"/>
                <w:sz w:val="20"/>
                <w:szCs w:val="20"/>
                <w:lang w:val="en-GB"/>
              </w:rPr>
              <w:t xml:space="preserve">(R </w:t>
            </w:r>
            <w:proofErr w:type="spellStart"/>
            <w:r w:rsidRPr="00F93D19">
              <w:rPr>
                <w:rFonts w:eastAsia="Cambria"/>
                <w:b/>
                <w:color w:val="000000"/>
                <w:sz w:val="20"/>
                <w:szCs w:val="20"/>
                <w:lang w:val="en-GB"/>
              </w:rPr>
              <w:t>mn</w:t>
            </w:r>
            <w:proofErr w:type="spellEnd"/>
            <w:r w:rsidRPr="00F93D19">
              <w:rPr>
                <w:rFonts w:eastAsia="Cambria"/>
                <w:b/>
                <w:color w:val="000000"/>
                <w:sz w:val="20"/>
                <w:szCs w:val="20"/>
                <w:lang w:val="en-GB"/>
              </w:rPr>
              <w:t>)</w:t>
            </w:r>
            <w:r w:rsidR="00F93D19" w:rsidRPr="00F93D19">
              <w:rPr>
                <w:rFonts w:eastAsia="Cambria"/>
                <w:b/>
                <w:color w:val="000000"/>
                <w:sz w:val="20"/>
                <w:szCs w:val="20"/>
                <w:lang w:val="en-GB"/>
              </w:rPr>
              <w:t xml:space="preserve"> </w:t>
            </w:r>
          </w:p>
        </w:tc>
        <w:tc>
          <w:tcPr>
            <w:tcW w:w="1977" w:type="dxa"/>
            <w:tcBorders>
              <w:top w:val="single" w:sz="4" w:space="0" w:color="000000"/>
              <w:left w:val="nil"/>
              <w:bottom w:val="single" w:sz="4" w:space="0" w:color="000000"/>
              <w:right w:val="single" w:sz="4" w:space="0" w:color="000000"/>
            </w:tcBorders>
            <w:shd w:val="clear" w:color="auto" w:fill="auto"/>
            <w:vAlign w:val="bottom"/>
          </w:tcPr>
          <w:p w14:paraId="0BB963F7" w14:textId="77777777" w:rsidR="00F93D19" w:rsidRDefault="003F11F9" w:rsidP="00F93D19">
            <w:pPr>
              <w:spacing w:line="240" w:lineRule="auto"/>
              <w:rPr>
                <w:rFonts w:eastAsia="Cambria"/>
                <w:b/>
                <w:color w:val="000000"/>
                <w:sz w:val="20"/>
                <w:szCs w:val="20"/>
                <w:lang w:val="en-GB"/>
              </w:rPr>
            </w:pPr>
            <w:r w:rsidRPr="00F93D19">
              <w:rPr>
                <w:rFonts w:eastAsia="Cambria"/>
                <w:b/>
                <w:color w:val="000000"/>
                <w:sz w:val="20"/>
                <w:szCs w:val="20"/>
                <w:lang w:val="en-GB"/>
              </w:rPr>
              <w:t xml:space="preserve">Extra tax at 25% VAT rate applied to decile 10 consumption </w:t>
            </w:r>
          </w:p>
          <w:p w14:paraId="14B08EDE" w14:textId="623CB9F8" w:rsidR="009E1C0A" w:rsidRPr="00F93D19" w:rsidRDefault="003F11F9" w:rsidP="00F93D19">
            <w:pPr>
              <w:spacing w:line="240" w:lineRule="auto"/>
              <w:rPr>
                <w:rFonts w:eastAsia="Cambria"/>
                <w:b/>
                <w:color w:val="000000"/>
                <w:sz w:val="20"/>
                <w:szCs w:val="20"/>
                <w:lang w:val="en-GB"/>
              </w:rPr>
            </w:pPr>
            <w:r w:rsidRPr="00F93D19">
              <w:rPr>
                <w:rFonts w:eastAsia="Cambria"/>
                <w:b/>
                <w:color w:val="000000"/>
                <w:sz w:val="20"/>
                <w:szCs w:val="20"/>
                <w:lang w:val="en-GB"/>
              </w:rPr>
              <w:t xml:space="preserve">(R </w:t>
            </w:r>
            <w:proofErr w:type="spellStart"/>
            <w:r w:rsidRPr="00F93D19">
              <w:rPr>
                <w:rFonts w:eastAsia="Cambria"/>
                <w:b/>
                <w:color w:val="000000"/>
                <w:sz w:val="20"/>
                <w:szCs w:val="20"/>
                <w:lang w:val="en-GB"/>
              </w:rPr>
              <w:t>mn</w:t>
            </w:r>
            <w:proofErr w:type="spellEnd"/>
            <w:r w:rsidRPr="00F93D19">
              <w:rPr>
                <w:rFonts w:eastAsia="Cambria"/>
                <w:b/>
                <w:color w:val="000000"/>
                <w:sz w:val="20"/>
                <w:szCs w:val="20"/>
                <w:lang w:val="en-GB"/>
              </w:rPr>
              <w:t>)</w:t>
            </w:r>
            <w:r w:rsidR="00F93D19" w:rsidRPr="00F93D19">
              <w:rPr>
                <w:rFonts w:eastAsia="Cambria"/>
                <w:b/>
                <w:color w:val="000000"/>
                <w:sz w:val="20"/>
                <w:szCs w:val="20"/>
                <w:lang w:val="en-GB"/>
              </w:rPr>
              <w:t xml:space="preserve"> </w:t>
            </w:r>
          </w:p>
        </w:tc>
      </w:tr>
      <w:tr w:rsidR="009E1C0A" w:rsidRPr="00DB065A" w14:paraId="311B370C"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6EA94B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Security systems (including alarms; panic buttons)</w:t>
            </w:r>
          </w:p>
        </w:tc>
        <w:tc>
          <w:tcPr>
            <w:tcW w:w="1417" w:type="dxa"/>
            <w:tcBorders>
              <w:top w:val="nil"/>
              <w:left w:val="nil"/>
              <w:bottom w:val="single" w:sz="4" w:space="0" w:color="000000"/>
              <w:right w:val="single" w:sz="4" w:space="0" w:color="000000"/>
            </w:tcBorders>
            <w:shd w:val="clear" w:color="auto" w:fill="auto"/>
            <w:vAlign w:val="bottom"/>
          </w:tcPr>
          <w:p w14:paraId="0058373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80%</w:t>
            </w:r>
          </w:p>
        </w:tc>
        <w:tc>
          <w:tcPr>
            <w:tcW w:w="1985" w:type="dxa"/>
            <w:tcBorders>
              <w:top w:val="nil"/>
              <w:left w:val="nil"/>
              <w:bottom w:val="single" w:sz="4" w:space="0" w:color="000000"/>
              <w:right w:val="single" w:sz="4" w:space="0" w:color="000000"/>
            </w:tcBorders>
            <w:shd w:val="clear" w:color="auto" w:fill="auto"/>
            <w:vAlign w:val="bottom"/>
          </w:tcPr>
          <w:p w14:paraId="534A8FF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54</w:t>
            </w:r>
          </w:p>
        </w:tc>
        <w:tc>
          <w:tcPr>
            <w:tcW w:w="1977" w:type="dxa"/>
            <w:tcBorders>
              <w:top w:val="nil"/>
              <w:left w:val="nil"/>
              <w:bottom w:val="single" w:sz="4" w:space="0" w:color="000000"/>
              <w:right w:val="single" w:sz="4" w:space="0" w:color="000000"/>
            </w:tcBorders>
            <w:shd w:val="clear" w:color="auto" w:fill="auto"/>
            <w:vAlign w:val="bottom"/>
          </w:tcPr>
          <w:p w14:paraId="6E82F5C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23DDFC15" w14:textId="77777777" w:rsidTr="00F93D19">
        <w:trPr>
          <w:trHeight w:val="84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C1B8EE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Swimming pool maintenance (excluding wages of persons who maintain pools; but including chemicals)</w:t>
            </w:r>
          </w:p>
        </w:tc>
        <w:tc>
          <w:tcPr>
            <w:tcW w:w="1417" w:type="dxa"/>
            <w:tcBorders>
              <w:top w:val="nil"/>
              <w:left w:val="nil"/>
              <w:bottom w:val="single" w:sz="4" w:space="0" w:color="000000"/>
              <w:right w:val="single" w:sz="4" w:space="0" w:color="000000"/>
            </w:tcBorders>
            <w:shd w:val="clear" w:color="auto" w:fill="auto"/>
            <w:vAlign w:val="bottom"/>
          </w:tcPr>
          <w:p w14:paraId="484692C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83%</w:t>
            </w:r>
          </w:p>
        </w:tc>
        <w:tc>
          <w:tcPr>
            <w:tcW w:w="1985" w:type="dxa"/>
            <w:tcBorders>
              <w:top w:val="nil"/>
              <w:left w:val="nil"/>
              <w:bottom w:val="single" w:sz="4" w:space="0" w:color="000000"/>
              <w:right w:val="single" w:sz="4" w:space="0" w:color="000000"/>
            </w:tcBorders>
            <w:shd w:val="clear" w:color="auto" w:fill="auto"/>
            <w:vAlign w:val="bottom"/>
          </w:tcPr>
          <w:p w14:paraId="5678D7B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97</w:t>
            </w:r>
          </w:p>
        </w:tc>
        <w:tc>
          <w:tcPr>
            <w:tcW w:w="1977" w:type="dxa"/>
            <w:tcBorders>
              <w:top w:val="nil"/>
              <w:left w:val="nil"/>
              <w:bottom w:val="single" w:sz="4" w:space="0" w:color="000000"/>
              <w:right w:val="single" w:sz="4" w:space="0" w:color="000000"/>
            </w:tcBorders>
            <w:shd w:val="clear" w:color="auto" w:fill="auto"/>
            <w:vAlign w:val="bottom"/>
          </w:tcPr>
          <w:p w14:paraId="74F987D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D049FCB"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61C808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Security services (including reaction services and neighbourhood watch)</w:t>
            </w:r>
          </w:p>
        </w:tc>
        <w:tc>
          <w:tcPr>
            <w:tcW w:w="1417" w:type="dxa"/>
            <w:tcBorders>
              <w:top w:val="nil"/>
              <w:left w:val="nil"/>
              <w:bottom w:val="single" w:sz="4" w:space="0" w:color="000000"/>
              <w:right w:val="single" w:sz="4" w:space="0" w:color="000000"/>
            </w:tcBorders>
            <w:shd w:val="clear" w:color="auto" w:fill="auto"/>
            <w:vAlign w:val="bottom"/>
          </w:tcPr>
          <w:p w14:paraId="5E7B9F2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86%</w:t>
            </w:r>
          </w:p>
        </w:tc>
        <w:tc>
          <w:tcPr>
            <w:tcW w:w="1985" w:type="dxa"/>
            <w:tcBorders>
              <w:top w:val="nil"/>
              <w:left w:val="nil"/>
              <w:bottom w:val="single" w:sz="4" w:space="0" w:color="000000"/>
              <w:right w:val="single" w:sz="4" w:space="0" w:color="000000"/>
            </w:tcBorders>
            <w:shd w:val="clear" w:color="auto" w:fill="auto"/>
            <w:vAlign w:val="bottom"/>
          </w:tcPr>
          <w:p w14:paraId="4795420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55</w:t>
            </w:r>
          </w:p>
        </w:tc>
        <w:tc>
          <w:tcPr>
            <w:tcW w:w="1977" w:type="dxa"/>
            <w:tcBorders>
              <w:top w:val="nil"/>
              <w:left w:val="nil"/>
              <w:bottom w:val="single" w:sz="4" w:space="0" w:color="000000"/>
              <w:right w:val="single" w:sz="4" w:space="0" w:color="000000"/>
            </w:tcBorders>
            <w:shd w:val="clear" w:color="auto" w:fill="auto"/>
            <w:vAlign w:val="bottom"/>
          </w:tcPr>
          <w:p w14:paraId="4413F75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9AB10DC"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5730AC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Garden and patio furniture</w:t>
            </w:r>
          </w:p>
        </w:tc>
        <w:tc>
          <w:tcPr>
            <w:tcW w:w="1417" w:type="dxa"/>
            <w:tcBorders>
              <w:top w:val="nil"/>
              <w:left w:val="nil"/>
              <w:bottom w:val="single" w:sz="4" w:space="0" w:color="000000"/>
              <w:right w:val="single" w:sz="4" w:space="0" w:color="000000"/>
            </w:tcBorders>
            <w:shd w:val="clear" w:color="auto" w:fill="auto"/>
            <w:vAlign w:val="bottom"/>
          </w:tcPr>
          <w:p w14:paraId="6970906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79%</w:t>
            </w:r>
          </w:p>
        </w:tc>
        <w:tc>
          <w:tcPr>
            <w:tcW w:w="1985" w:type="dxa"/>
            <w:tcBorders>
              <w:top w:val="nil"/>
              <w:left w:val="nil"/>
              <w:bottom w:val="single" w:sz="4" w:space="0" w:color="000000"/>
              <w:right w:val="single" w:sz="4" w:space="0" w:color="000000"/>
            </w:tcBorders>
            <w:shd w:val="clear" w:color="auto" w:fill="auto"/>
            <w:vAlign w:val="bottom"/>
          </w:tcPr>
          <w:p w14:paraId="1E61077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15</w:t>
            </w:r>
          </w:p>
        </w:tc>
        <w:tc>
          <w:tcPr>
            <w:tcW w:w="1977" w:type="dxa"/>
            <w:tcBorders>
              <w:top w:val="nil"/>
              <w:left w:val="nil"/>
              <w:bottom w:val="single" w:sz="4" w:space="0" w:color="000000"/>
              <w:right w:val="single" w:sz="4" w:space="0" w:color="000000"/>
            </w:tcBorders>
            <w:shd w:val="clear" w:color="auto" w:fill="auto"/>
            <w:vAlign w:val="bottom"/>
          </w:tcPr>
          <w:p w14:paraId="0B68AC6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293ABFB5"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2B2A429"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Vacuum cleaners; polishers and carpet cleaning machines</w:t>
            </w:r>
          </w:p>
        </w:tc>
        <w:tc>
          <w:tcPr>
            <w:tcW w:w="1417" w:type="dxa"/>
            <w:tcBorders>
              <w:top w:val="nil"/>
              <w:left w:val="nil"/>
              <w:bottom w:val="single" w:sz="4" w:space="0" w:color="000000"/>
              <w:right w:val="single" w:sz="4" w:space="0" w:color="000000"/>
            </w:tcBorders>
            <w:shd w:val="clear" w:color="auto" w:fill="auto"/>
            <w:vAlign w:val="bottom"/>
          </w:tcPr>
          <w:p w14:paraId="5A50835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72%</w:t>
            </w:r>
          </w:p>
        </w:tc>
        <w:tc>
          <w:tcPr>
            <w:tcW w:w="1985" w:type="dxa"/>
            <w:tcBorders>
              <w:top w:val="nil"/>
              <w:left w:val="nil"/>
              <w:bottom w:val="single" w:sz="4" w:space="0" w:color="000000"/>
              <w:right w:val="single" w:sz="4" w:space="0" w:color="000000"/>
            </w:tcBorders>
            <w:shd w:val="clear" w:color="auto" w:fill="auto"/>
            <w:vAlign w:val="bottom"/>
          </w:tcPr>
          <w:p w14:paraId="5DCCC27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18</w:t>
            </w:r>
          </w:p>
        </w:tc>
        <w:tc>
          <w:tcPr>
            <w:tcW w:w="1977" w:type="dxa"/>
            <w:tcBorders>
              <w:top w:val="nil"/>
              <w:left w:val="nil"/>
              <w:bottom w:val="single" w:sz="4" w:space="0" w:color="000000"/>
              <w:right w:val="single" w:sz="4" w:space="0" w:color="000000"/>
            </w:tcBorders>
            <w:shd w:val="clear" w:color="auto" w:fill="auto"/>
            <w:vAlign w:val="bottom"/>
          </w:tcPr>
          <w:p w14:paraId="134DC2E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B7DA82D"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DD9478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xml:space="preserve">Power driven garden tool </w:t>
            </w:r>
            <w:proofErr w:type="gramStart"/>
            <w:r w:rsidRPr="00F93D19">
              <w:rPr>
                <w:rFonts w:eastAsia="Cambria"/>
                <w:color w:val="000000"/>
                <w:sz w:val="20"/>
                <w:szCs w:val="20"/>
                <w:lang w:val="en-GB"/>
              </w:rPr>
              <w:t>( e.g.</w:t>
            </w:r>
            <w:proofErr w:type="gramEnd"/>
            <w:r w:rsidRPr="00F93D19">
              <w:rPr>
                <w:rFonts w:eastAsia="Cambria"/>
                <w:color w:val="000000"/>
                <w:sz w:val="20"/>
                <w:szCs w:val="20"/>
                <w:lang w:val="en-GB"/>
              </w:rPr>
              <w:t xml:space="preserve"> lawnmowers; etc.)</w:t>
            </w:r>
          </w:p>
        </w:tc>
        <w:tc>
          <w:tcPr>
            <w:tcW w:w="1417" w:type="dxa"/>
            <w:tcBorders>
              <w:top w:val="nil"/>
              <w:left w:val="nil"/>
              <w:bottom w:val="single" w:sz="4" w:space="0" w:color="000000"/>
              <w:right w:val="single" w:sz="4" w:space="0" w:color="000000"/>
            </w:tcBorders>
            <w:shd w:val="clear" w:color="auto" w:fill="auto"/>
            <w:vAlign w:val="bottom"/>
          </w:tcPr>
          <w:p w14:paraId="239A493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82%</w:t>
            </w:r>
          </w:p>
        </w:tc>
        <w:tc>
          <w:tcPr>
            <w:tcW w:w="1985" w:type="dxa"/>
            <w:tcBorders>
              <w:top w:val="nil"/>
              <w:left w:val="nil"/>
              <w:bottom w:val="single" w:sz="4" w:space="0" w:color="000000"/>
              <w:right w:val="single" w:sz="4" w:space="0" w:color="000000"/>
            </w:tcBorders>
            <w:shd w:val="clear" w:color="auto" w:fill="auto"/>
            <w:vAlign w:val="bottom"/>
          </w:tcPr>
          <w:p w14:paraId="70F83CF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30</w:t>
            </w:r>
          </w:p>
        </w:tc>
        <w:tc>
          <w:tcPr>
            <w:tcW w:w="1977" w:type="dxa"/>
            <w:tcBorders>
              <w:top w:val="nil"/>
              <w:left w:val="nil"/>
              <w:bottom w:val="single" w:sz="4" w:space="0" w:color="000000"/>
              <w:right w:val="single" w:sz="4" w:space="0" w:color="000000"/>
            </w:tcBorders>
            <w:shd w:val="clear" w:color="auto" w:fill="auto"/>
            <w:vAlign w:val="bottom"/>
          </w:tcPr>
          <w:p w14:paraId="7E46C19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AD88386"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EA9BCF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xml:space="preserve">Garden water sprinkler </w:t>
            </w:r>
            <w:proofErr w:type="gramStart"/>
            <w:r w:rsidRPr="00F93D19">
              <w:rPr>
                <w:rFonts w:eastAsia="Cambria"/>
                <w:color w:val="000000"/>
                <w:sz w:val="20"/>
                <w:szCs w:val="20"/>
                <w:lang w:val="en-GB"/>
              </w:rPr>
              <w:t>( e.g.</w:t>
            </w:r>
            <w:proofErr w:type="gramEnd"/>
            <w:r w:rsidRPr="00F93D19">
              <w:rPr>
                <w:rFonts w:eastAsia="Cambria"/>
                <w:color w:val="000000"/>
                <w:sz w:val="20"/>
                <w:szCs w:val="20"/>
                <w:lang w:val="en-GB"/>
              </w:rPr>
              <w:t xml:space="preserve"> sprays; irrigation systems; etc.)</w:t>
            </w:r>
          </w:p>
        </w:tc>
        <w:tc>
          <w:tcPr>
            <w:tcW w:w="1417" w:type="dxa"/>
            <w:tcBorders>
              <w:top w:val="nil"/>
              <w:left w:val="nil"/>
              <w:bottom w:val="single" w:sz="4" w:space="0" w:color="000000"/>
              <w:right w:val="single" w:sz="4" w:space="0" w:color="000000"/>
            </w:tcBorders>
            <w:shd w:val="clear" w:color="auto" w:fill="auto"/>
            <w:vAlign w:val="bottom"/>
          </w:tcPr>
          <w:p w14:paraId="70C2F18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90%</w:t>
            </w:r>
          </w:p>
        </w:tc>
        <w:tc>
          <w:tcPr>
            <w:tcW w:w="1985" w:type="dxa"/>
            <w:tcBorders>
              <w:top w:val="nil"/>
              <w:left w:val="nil"/>
              <w:bottom w:val="single" w:sz="4" w:space="0" w:color="000000"/>
              <w:right w:val="single" w:sz="4" w:space="0" w:color="000000"/>
            </w:tcBorders>
            <w:shd w:val="clear" w:color="auto" w:fill="auto"/>
            <w:vAlign w:val="bottom"/>
          </w:tcPr>
          <w:p w14:paraId="01B8787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34</w:t>
            </w:r>
          </w:p>
        </w:tc>
        <w:tc>
          <w:tcPr>
            <w:tcW w:w="1977" w:type="dxa"/>
            <w:tcBorders>
              <w:top w:val="nil"/>
              <w:left w:val="nil"/>
              <w:bottom w:val="single" w:sz="4" w:space="0" w:color="000000"/>
              <w:right w:val="single" w:sz="4" w:space="0" w:color="000000"/>
            </w:tcBorders>
            <w:shd w:val="clear" w:color="auto" w:fill="auto"/>
            <w:vAlign w:val="bottom"/>
          </w:tcPr>
          <w:p w14:paraId="1CF1947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5F396F0F"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F3A9FA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Other garden equipment</w:t>
            </w:r>
          </w:p>
        </w:tc>
        <w:tc>
          <w:tcPr>
            <w:tcW w:w="1417" w:type="dxa"/>
            <w:tcBorders>
              <w:top w:val="nil"/>
              <w:left w:val="nil"/>
              <w:bottom w:val="single" w:sz="4" w:space="0" w:color="000000"/>
              <w:right w:val="single" w:sz="4" w:space="0" w:color="000000"/>
            </w:tcBorders>
            <w:shd w:val="clear" w:color="auto" w:fill="auto"/>
            <w:vAlign w:val="bottom"/>
          </w:tcPr>
          <w:p w14:paraId="670C43D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82%</w:t>
            </w:r>
          </w:p>
        </w:tc>
        <w:tc>
          <w:tcPr>
            <w:tcW w:w="1985" w:type="dxa"/>
            <w:tcBorders>
              <w:top w:val="nil"/>
              <w:left w:val="nil"/>
              <w:bottom w:val="single" w:sz="4" w:space="0" w:color="000000"/>
              <w:right w:val="single" w:sz="4" w:space="0" w:color="000000"/>
            </w:tcBorders>
            <w:shd w:val="clear" w:color="auto" w:fill="auto"/>
            <w:vAlign w:val="bottom"/>
          </w:tcPr>
          <w:p w14:paraId="5C93EF2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w:t>
            </w:r>
          </w:p>
        </w:tc>
        <w:tc>
          <w:tcPr>
            <w:tcW w:w="1977" w:type="dxa"/>
            <w:tcBorders>
              <w:top w:val="nil"/>
              <w:left w:val="nil"/>
              <w:bottom w:val="single" w:sz="4" w:space="0" w:color="000000"/>
              <w:right w:val="single" w:sz="4" w:space="0" w:color="000000"/>
            </w:tcBorders>
            <w:shd w:val="clear" w:color="auto" w:fill="auto"/>
            <w:vAlign w:val="bottom"/>
          </w:tcPr>
          <w:p w14:paraId="324A15F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D154089"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966737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Aircraft educational trips</w:t>
            </w:r>
          </w:p>
        </w:tc>
        <w:tc>
          <w:tcPr>
            <w:tcW w:w="1417" w:type="dxa"/>
            <w:tcBorders>
              <w:top w:val="nil"/>
              <w:left w:val="nil"/>
              <w:bottom w:val="single" w:sz="4" w:space="0" w:color="000000"/>
              <w:right w:val="single" w:sz="4" w:space="0" w:color="000000"/>
            </w:tcBorders>
            <w:shd w:val="clear" w:color="auto" w:fill="auto"/>
            <w:vAlign w:val="bottom"/>
          </w:tcPr>
          <w:p w14:paraId="2A69182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100%</w:t>
            </w:r>
          </w:p>
        </w:tc>
        <w:tc>
          <w:tcPr>
            <w:tcW w:w="1985" w:type="dxa"/>
            <w:tcBorders>
              <w:top w:val="nil"/>
              <w:left w:val="nil"/>
              <w:bottom w:val="single" w:sz="4" w:space="0" w:color="000000"/>
              <w:right w:val="single" w:sz="4" w:space="0" w:color="000000"/>
            </w:tcBorders>
            <w:shd w:val="clear" w:color="auto" w:fill="auto"/>
            <w:vAlign w:val="bottom"/>
          </w:tcPr>
          <w:p w14:paraId="1CCFEA7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w:t>
            </w:r>
          </w:p>
        </w:tc>
        <w:tc>
          <w:tcPr>
            <w:tcW w:w="1977" w:type="dxa"/>
            <w:tcBorders>
              <w:top w:val="nil"/>
              <w:left w:val="nil"/>
              <w:bottom w:val="single" w:sz="4" w:space="0" w:color="000000"/>
              <w:right w:val="single" w:sz="4" w:space="0" w:color="000000"/>
            </w:tcBorders>
            <w:shd w:val="clear" w:color="auto" w:fill="auto"/>
            <w:vAlign w:val="bottom"/>
          </w:tcPr>
          <w:p w14:paraId="6F633C8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5728A9D1"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359A49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Aircraft other than educational</w:t>
            </w:r>
          </w:p>
        </w:tc>
        <w:tc>
          <w:tcPr>
            <w:tcW w:w="1417" w:type="dxa"/>
            <w:tcBorders>
              <w:top w:val="nil"/>
              <w:left w:val="nil"/>
              <w:bottom w:val="single" w:sz="4" w:space="0" w:color="000000"/>
              <w:right w:val="single" w:sz="4" w:space="0" w:color="000000"/>
            </w:tcBorders>
            <w:shd w:val="clear" w:color="auto" w:fill="auto"/>
            <w:vAlign w:val="bottom"/>
          </w:tcPr>
          <w:p w14:paraId="610CAA2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97%</w:t>
            </w:r>
          </w:p>
        </w:tc>
        <w:tc>
          <w:tcPr>
            <w:tcW w:w="1985" w:type="dxa"/>
            <w:tcBorders>
              <w:top w:val="nil"/>
              <w:left w:val="nil"/>
              <w:bottom w:val="single" w:sz="4" w:space="0" w:color="000000"/>
              <w:right w:val="single" w:sz="4" w:space="0" w:color="000000"/>
            </w:tcBorders>
            <w:shd w:val="clear" w:color="auto" w:fill="auto"/>
            <w:vAlign w:val="bottom"/>
          </w:tcPr>
          <w:p w14:paraId="3DE927F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157</w:t>
            </w:r>
          </w:p>
        </w:tc>
        <w:tc>
          <w:tcPr>
            <w:tcW w:w="1977" w:type="dxa"/>
            <w:tcBorders>
              <w:top w:val="nil"/>
              <w:left w:val="nil"/>
              <w:bottom w:val="single" w:sz="4" w:space="0" w:color="000000"/>
              <w:right w:val="single" w:sz="4" w:space="0" w:color="000000"/>
            </w:tcBorders>
            <w:shd w:val="clear" w:color="auto" w:fill="auto"/>
            <w:vAlign w:val="bottom"/>
          </w:tcPr>
          <w:p w14:paraId="34AFCBC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5E2D0DD"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E0796A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Aircraft for when away from home</w:t>
            </w:r>
          </w:p>
        </w:tc>
        <w:tc>
          <w:tcPr>
            <w:tcW w:w="1417" w:type="dxa"/>
            <w:tcBorders>
              <w:top w:val="nil"/>
              <w:left w:val="nil"/>
              <w:bottom w:val="single" w:sz="4" w:space="0" w:color="000000"/>
              <w:right w:val="single" w:sz="4" w:space="0" w:color="000000"/>
            </w:tcBorders>
            <w:shd w:val="clear" w:color="auto" w:fill="auto"/>
            <w:vAlign w:val="bottom"/>
          </w:tcPr>
          <w:p w14:paraId="142C96A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91%</w:t>
            </w:r>
          </w:p>
        </w:tc>
        <w:tc>
          <w:tcPr>
            <w:tcW w:w="1985" w:type="dxa"/>
            <w:tcBorders>
              <w:top w:val="nil"/>
              <w:left w:val="nil"/>
              <w:bottom w:val="single" w:sz="4" w:space="0" w:color="000000"/>
              <w:right w:val="single" w:sz="4" w:space="0" w:color="000000"/>
            </w:tcBorders>
            <w:shd w:val="clear" w:color="auto" w:fill="auto"/>
            <w:vAlign w:val="bottom"/>
          </w:tcPr>
          <w:p w14:paraId="0D9C982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408</w:t>
            </w:r>
          </w:p>
        </w:tc>
        <w:tc>
          <w:tcPr>
            <w:tcW w:w="1977" w:type="dxa"/>
            <w:tcBorders>
              <w:top w:val="nil"/>
              <w:left w:val="nil"/>
              <w:bottom w:val="single" w:sz="4" w:space="0" w:color="000000"/>
              <w:right w:val="single" w:sz="4" w:space="0" w:color="000000"/>
            </w:tcBorders>
            <w:shd w:val="clear" w:color="auto" w:fill="auto"/>
            <w:vAlign w:val="bottom"/>
          </w:tcPr>
          <w:p w14:paraId="4B84EF7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6047DF0"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973901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Boat/ship for when away from home</w:t>
            </w:r>
          </w:p>
        </w:tc>
        <w:tc>
          <w:tcPr>
            <w:tcW w:w="1417" w:type="dxa"/>
            <w:tcBorders>
              <w:top w:val="nil"/>
              <w:left w:val="nil"/>
              <w:bottom w:val="single" w:sz="4" w:space="0" w:color="000000"/>
              <w:right w:val="single" w:sz="4" w:space="0" w:color="000000"/>
            </w:tcBorders>
            <w:shd w:val="clear" w:color="auto" w:fill="auto"/>
            <w:vAlign w:val="bottom"/>
          </w:tcPr>
          <w:p w14:paraId="516AB79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78%</w:t>
            </w:r>
          </w:p>
        </w:tc>
        <w:tc>
          <w:tcPr>
            <w:tcW w:w="1985" w:type="dxa"/>
            <w:tcBorders>
              <w:top w:val="nil"/>
              <w:left w:val="nil"/>
              <w:bottom w:val="single" w:sz="4" w:space="0" w:color="000000"/>
              <w:right w:val="single" w:sz="4" w:space="0" w:color="000000"/>
            </w:tcBorders>
            <w:shd w:val="clear" w:color="auto" w:fill="auto"/>
            <w:vAlign w:val="bottom"/>
          </w:tcPr>
          <w:p w14:paraId="0611E66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w:t>
            </w:r>
          </w:p>
        </w:tc>
        <w:tc>
          <w:tcPr>
            <w:tcW w:w="1977" w:type="dxa"/>
            <w:tcBorders>
              <w:top w:val="nil"/>
              <w:left w:val="nil"/>
              <w:bottom w:val="single" w:sz="4" w:space="0" w:color="000000"/>
              <w:right w:val="single" w:sz="4" w:space="0" w:color="000000"/>
            </w:tcBorders>
            <w:shd w:val="clear" w:color="auto" w:fill="auto"/>
            <w:vAlign w:val="bottom"/>
          </w:tcPr>
          <w:p w14:paraId="77C119B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55E4E0F"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5602EC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Fax machines and telephone answering machines for household purposes</w:t>
            </w:r>
          </w:p>
        </w:tc>
        <w:tc>
          <w:tcPr>
            <w:tcW w:w="1417" w:type="dxa"/>
            <w:tcBorders>
              <w:top w:val="nil"/>
              <w:left w:val="nil"/>
              <w:bottom w:val="single" w:sz="4" w:space="0" w:color="000000"/>
              <w:right w:val="single" w:sz="4" w:space="0" w:color="000000"/>
            </w:tcBorders>
            <w:shd w:val="clear" w:color="auto" w:fill="auto"/>
            <w:vAlign w:val="bottom"/>
          </w:tcPr>
          <w:p w14:paraId="45EFC39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80%</w:t>
            </w:r>
          </w:p>
        </w:tc>
        <w:tc>
          <w:tcPr>
            <w:tcW w:w="1985" w:type="dxa"/>
            <w:tcBorders>
              <w:top w:val="nil"/>
              <w:left w:val="nil"/>
              <w:bottom w:val="single" w:sz="4" w:space="0" w:color="000000"/>
              <w:right w:val="single" w:sz="4" w:space="0" w:color="000000"/>
            </w:tcBorders>
            <w:shd w:val="clear" w:color="auto" w:fill="auto"/>
            <w:vAlign w:val="bottom"/>
          </w:tcPr>
          <w:p w14:paraId="1A303BC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w:t>
            </w:r>
          </w:p>
        </w:tc>
        <w:tc>
          <w:tcPr>
            <w:tcW w:w="1977" w:type="dxa"/>
            <w:tcBorders>
              <w:top w:val="nil"/>
              <w:left w:val="nil"/>
              <w:bottom w:val="single" w:sz="4" w:space="0" w:color="000000"/>
              <w:right w:val="single" w:sz="4" w:space="0" w:color="000000"/>
            </w:tcBorders>
            <w:shd w:val="clear" w:color="auto" w:fill="auto"/>
            <w:vAlign w:val="bottom"/>
          </w:tcPr>
          <w:p w14:paraId="4771D75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05202C8"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DE59D8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Boats (including outboard motors) aircrafts; go-carts</w:t>
            </w:r>
          </w:p>
        </w:tc>
        <w:tc>
          <w:tcPr>
            <w:tcW w:w="1417" w:type="dxa"/>
            <w:tcBorders>
              <w:top w:val="nil"/>
              <w:left w:val="nil"/>
              <w:bottom w:val="single" w:sz="4" w:space="0" w:color="000000"/>
              <w:right w:val="single" w:sz="4" w:space="0" w:color="000000"/>
            </w:tcBorders>
            <w:shd w:val="clear" w:color="auto" w:fill="auto"/>
            <w:vAlign w:val="bottom"/>
          </w:tcPr>
          <w:p w14:paraId="2CD8CBC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100%</w:t>
            </w:r>
          </w:p>
        </w:tc>
        <w:tc>
          <w:tcPr>
            <w:tcW w:w="1985" w:type="dxa"/>
            <w:tcBorders>
              <w:top w:val="nil"/>
              <w:left w:val="nil"/>
              <w:bottom w:val="single" w:sz="4" w:space="0" w:color="000000"/>
              <w:right w:val="single" w:sz="4" w:space="0" w:color="000000"/>
            </w:tcBorders>
            <w:shd w:val="clear" w:color="auto" w:fill="auto"/>
            <w:vAlign w:val="bottom"/>
          </w:tcPr>
          <w:p w14:paraId="140DC68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59</w:t>
            </w:r>
          </w:p>
        </w:tc>
        <w:tc>
          <w:tcPr>
            <w:tcW w:w="1977" w:type="dxa"/>
            <w:tcBorders>
              <w:top w:val="nil"/>
              <w:left w:val="nil"/>
              <w:bottom w:val="single" w:sz="4" w:space="0" w:color="000000"/>
              <w:right w:val="single" w:sz="4" w:space="0" w:color="000000"/>
            </w:tcBorders>
            <w:shd w:val="clear" w:color="auto" w:fill="auto"/>
            <w:vAlign w:val="bottom"/>
          </w:tcPr>
          <w:p w14:paraId="6F85852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AF3BD57"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54195C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lastRenderedPageBreak/>
              <w:t>New caravans and trailers including motorised caravans</w:t>
            </w:r>
          </w:p>
        </w:tc>
        <w:tc>
          <w:tcPr>
            <w:tcW w:w="1417" w:type="dxa"/>
            <w:tcBorders>
              <w:top w:val="nil"/>
              <w:left w:val="nil"/>
              <w:bottom w:val="single" w:sz="4" w:space="0" w:color="000000"/>
              <w:right w:val="single" w:sz="4" w:space="0" w:color="000000"/>
            </w:tcBorders>
            <w:shd w:val="clear" w:color="auto" w:fill="auto"/>
            <w:vAlign w:val="bottom"/>
          </w:tcPr>
          <w:p w14:paraId="101C25D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100%</w:t>
            </w:r>
          </w:p>
        </w:tc>
        <w:tc>
          <w:tcPr>
            <w:tcW w:w="1985" w:type="dxa"/>
            <w:tcBorders>
              <w:top w:val="nil"/>
              <w:left w:val="nil"/>
              <w:bottom w:val="single" w:sz="4" w:space="0" w:color="000000"/>
              <w:right w:val="single" w:sz="4" w:space="0" w:color="000000"/>
            </w:tcBorders>
            <w:shd w:val="clear" w:color="auto" w:fill="auto"/>
            <w:vAlign w:val="bottom"/>
          </w:tcPr>
          <w:p w14:paraId="22E4C9E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w:t>
            </w:r>
          </w:p>
        </w:tc>
        <w:tc>
          <w:tcPr>
            <w:tcW w:w="1977" w:type="dxa"/>
            <w:tcBorders>
              <w:top w:val="nil"/>
              <w:left w:val="nil"/>
              <w:bottom w:val="single" w:sz="4" w:space="0" w:color="000000"/>
              <w:right w:val="single" w:sz="4" w:space="0" w:color="000000"/>
            </w:tcBorders>
            <w:shd w:val="clear" w:color="auto" w:fill="auto"/>
            <w:vAlign w:val="bottom"/>
          </w:tcPr>
          <w:p w14:paraId="3E22751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21144770"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03B38A5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Quad bikes</w:t>
            </w:r>
          </w:p>
        </w:tc>
        <w:tc>
          <w:tcPr>
            <w:tcW w:w="1417" w:type="dxa"/>
            <w:tcBorders>
              <w:top w:val="nil"/>
              <w:left w:val="nil"/>
              <w:bottom w:val="single" w:sz="4" w:space="0" w:color="000000"/>
              <w:right w:val="single" w:sz="4" w:space="0" w:color="000000"/>
            </w:tcBorders>
            <w:shd w:val="clear" w:color="auto" w:fill="auto"/>
            <w:vAlign w:val="bottom"/>
          </w:tcPr>
          <w:p w14:paraId="19CF46B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84%</w:t>
            </w:r>
          </w:p>
        </w:tc>
        <w:tc>
          <w:tcPr>
            <w:tcW w:w="1985" w:type="dxa"/>
            <w:tcBorders>
              <w:top w:val="nil"/>
              <w:left w:val="nil"/>
              <w:bottom w:val="single" w:sz="4" w:space="0" w:color="000000"/>
              <w:right w:val="single" w:sz="4" w:space="0" w:color="000000"/>
            </w:tcBorders>
            <w:shd w:val="clear" w:color="auto" w:fill="auto"/>
            <w:vAlign w:val="bottom"/>
          </w:tcPr>
          <w:p w14:paraId="3FD86772"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w:t>
            </w:r>
          </w:p>
        </w:tc>
        <w:tc>
          <w:tcPr>
            <w:tcW w:w="1977" w:type="dxa"/>
            <w:tcBorders>
              <w:top w:val="nil"/>
              <w:left w:val="nil"/>
              <w:bottom w:val="single" w:sz="4" w:space="0" w:color="000000"/>
              <w:right w:val="single" w:sz="4" w:space="0" w:color="000000"/>
            </w:tcBorders>
            <w:shd w:val="clear" w:color="auto" w:fill="auto"/>
            <w:vAlign w:val="bottom"/>
          </w:tcPr>
          <w:p w14:paraId="6C05442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32A1265"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205613E"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Repairs and maintenance services to recreation; entertainment and sports equipment</w:t>
            </w:r>
          </w:p>
        </w:tc>
        <w:tc>
          <w:tcPr>
            <w:tcW w:w="1417" w:type="dxa"/>
            <w:tcBorders>
              <w:top w:val="nil"/>
              <w:left w:val="nil"/>
              <w:bottom w:val="single" w:sz="4" w:space="0" w:color="000000"/>
              <w:right w:val="single" w:sz="4" w:space="0" w:color="000000"/>
            </w:tcBorders>
            <w:shd w:val="clear" w:color="auto" w:fill="auto"/>
            <w:vAlign w:val="bottom"/>
          </w:tcPr>
          <w:p w14:paraId="43703AE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92%</w:t>
            </w:r>
          </w:p>
        </w:tc>
        <w:tc>
          <w:tcPr>
            <w:tcW w:w="1985" w:type="dxa"/>
            <w:tcBorders>
              <w:top w:val="nil"/>
              <w:left w:val="nil"/>
              <w:bottom w:val="single" w:sz="4" w:space="0" w:color="000000"/>
              <w:right w:val="single" w:sz="4" w:space="0" w:color="000000"/>
            </w:tcBorders>
            <w:shd w:val="clear" w:color="auto" w:fill="auto"/>
            <w:vAlign w:val="bottom"/>
          </w:tcPr>
          <w:p w14:paraId="439160C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w:t>
            </w:r>
          </w:p>
        </w:tc>
        <w:tc>
          <w:tcPr>
            <w:tcW w:w="1977" w:type="dxa"/>
            <w:tcBorders>
              <w:top w:val="nil"/>
              <w:left w:val="nil"/>
              <w:bottom w:val="single" w:sz="4" w:space="0" w:color="000000"/>
              <w:right w:val="single" w:sz="4" w:space="0" w:color="000000"/>
            </w:tcBorders>
            <w:shd w:val="clear" w:color="auto" w:fill="auto"/>
            <w:vAlign w:val="bottom"/>
          </w:tcPr>
          <w:p w14:paraId="3B3B75F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AA39A07"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010A25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Holiday tour package</w:t>
            </w:r>
          </w:p>
        </w:tc>
        <w:tc>
          <w:tcPr>
            <w:tcW w:w="1417" w:type="dxa"/>
            <w:tcBorders>
              <w:top w:val="nil"/>
              <w:left w:val="nil"/>
              <w:bottom w:val="single" w:sz="4" w:space="0" w:color="000000"/>
              <w:right w:val="single" w:sz="4" w:space="0" w:color="000000"/>
            </w:tcBorders>
            <w:shd w:val="clear" w:color="auto" w:fill="auto"/>
            <w:vAlign w:val="bottom"/>
          </w:tcPr>
          <w:p w14:paraId="0930514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75%</w:t>
            </w:r>
          </w:p>
        </w:tc>
        <w:tc>
          <w:tcPr>
            <w:tcW w:w="1985" w:type="dxa"/>
            <w:tcBorders>
              <w:top w:val="nil"/>
              <w:left w:val="nil"/>
              <w:bottom w:val="single" w:sz="4" w:space="0" w:color="000000"/>
              <w:right w:val="single" w:sz="4" w:space="0" w:color="000000"/>
            </w:tcBorders>
            <w:shd w:val="clear" w:color="auto" w:fill="auto"/>
            <w:vAlign w:val="bottom"/>
          </w:tcPr>
          <w:p w14:paraId="1DA9CAD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298</w:t>
            </w:r>
          </w:p>
        </w:tc>
        <w:tc>
          <w:tcPr>
            <w:tcW w:w="1977" w:type="dxa"/>
            <w:tcBorders>
              <w:top w:val="nil"/>
              <w:left w:val="nil"/>
              <w:bottom w:val="single" w:sz="4" w:space="0" w:color="000000"/>
              <w:right w:val="single" w:sz="4" w:space="0" w:color="000000"/>
            </w:tcBorders>
            <w:shd w:val="clear" w:color="auto" w:fill="auto"/>
            <w:vAlign w:val="bottom"/>
          </w:tcPr>
          <w:p w14:paraId="15D72B4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05C17F06"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15905F0"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Hotel</w:t>
            </w:r>
          </w:p>
        </w:tc>
        <w:tc>
          <w:tcPr>
            <w:tcW w:w="1417" w:type="dxa"/>
            <w:tcBorders>
              <w:top w:val="nil"/>
              <w:left w:val="nil"/>
              <w:bottom w:val="single" w:sz="4" w:space="0" w:color="000000"/>
              <w:right w:val="single" w:sz="4" w:space="0" w:color="000000"/>
            </w:tcBorders>
            <w:shd w:val="clear" w:color="auto" w:fill="auto"/>
            <w:vAlign w:val="bottom"/>
          </w:tcPr>
          <w:p w14:paraId="7F45AAB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81%</w:t>
            </w:r>
          </w:p>
        </w:tc>
        <w:tc>
          <w:tcPr>
            <w:tcW w:w="1985" w:type="dxa"/>
            <w:tcBorders>
              <w:top w:val="nil"/>
              <w:left w:val="nil"/>
              <w:bottom w:val="single" w:sz="4" w:space="0" w:color="000000"/>
              <w:right w:val="single" w:sz="4" w:space="0" w:color="000000"/>
            </w:tcBorders>
            <w:shd w:val="clear" w:color="auto" w:fill="auto"/>
            <w:vAlign w:val="bottom"/>
          </w:tcPr>
          <w:p w14:paraId="2EB3294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397</w:t>
            </w:r>
          </w:p>
        </w:tc>
        <w:tc>
          <w:tcPr>
            <w:tcW w:w="1977" w:type="dxa"/>
            <w:tcBorders>
              <w:top w:val="nil"/>
              <w:left w:val="nil"/>
              <w:bottom w:val="single" w:sz="4" w:space="0" w:color="000000"/>
              <w:right w:val="single" w:sz="4" w:space="0" w:color="000000"/>
            </w:tcBorders>
            <w:shd w:val="clear" w:color="auto" w:fill="auto"/>
            <w:vAlign w:val="bottom"/>
          </w:tcPr>
          <w:p w14:paraId="2A43CAA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37372074"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6B32B84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Bed and breakfast</w:t>
            </w:r>
          </w:p>
        </w:tc>
        <w:tc>
          <w:tcPr>
            <w:tcW w:w="1417" w:type="dxa"/>
            <w:tcBorders>
              <w:top w:val="nil"/>
              <w:left w:val="nil"/>
              <w:bottom w:val="single" w:sz="4" w:space="0" w:color="000000"/>
              <w:right w:val="single" w:sz="4" w:space="0" w:color="000000"/>
            </w:tcBorders>
            <w:shd w:val="clear" w:color="auto" w:fill="auto"/>
            <w:vAlign w:val="bottom"/>
          </w:tcPr>
          <w:p w14:paraId="13D5923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81%</w:t>
            </w:r>
          </w:p>
        </w:tc>
        <w:tc>
          <w:tcPr>
            <w:tcW w:w="1985" w:type="dxa"/>
            <w:tcBorders>
              <w:top w:val="nil"/>
              <w:left w:val="nil"/>
              <w:bottom w:val="single" w:sz="4" w:space="0" w:color="000000"/>
              <w:right w:val="single" w:sz="4" w:space="0" w:color="000000"/>
            </w:tcBorders>
            <w:shd w:val="clear" w:color="auto" w:fill="auto"/>
            <w:vAlign w:val="bottom"/>
          </w:tcPr>
          <w:p w14:paraId="0356B72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81</w:t>
            </w:r>
          </w:p>
        </w:tc>
        <w:tc>
          <w:tcPr>
            <w:tcW w:w="1977" w:type="dxa"/>
            <w:tcBorders>
              <w:top w:val="nil"/>
              <w:left w:val="nil"/>
              <w:bottom w:val="single" w:sz="4" w:space="0" w:color="000000"/>
              <w:right w:val="single" w:sz="4" w:space="0" w:color="000000"/>
            </w:tcBorders>
            <w:shd w:val="clear" w:color="auto" w:fill="auto"/>
            <w:vAlign w:val="bottom"/>
          </w:tcPr>
          <w:p w14:paraId="30BBFF1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0753DF23"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8E4D3F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Guesthouses</w:t>
            </w:r>
          </w:p>
        </w:tc>
        <w:tc>
          <w:tcPr>
            <w:tcW w:w="1417" w:type="dxa"/>
            <w:tcBorders>
              <w:top w:val="nil"/>
              <w:left w:val="nil"/>
              <w:bottom w:val="single" w:sz="4" w:space="0" w:color="000000"/>
              <w:right w:val="single" w:sz="4" w:space="0" w:color="000000"/>
            </w:tcBorders>
            <w:shd w:val="clear" w:color="auto" w:fill="auto"/>
            <w:vAlign w:val="bottom"/>
          </w:tcPr>
          <w:p w14:paraId="5DA46BB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73%</w:t>
            </w:r>
          </w:p>
        </w:tc>
        <w:tc>
          <w:tcPr>
            <w:tcW w:w="1985" w:type="dxa"/>
            <w:tcBorders>
              <w:top w:val="nil"/>
              <w:left w:val="nil"/>
              <w:bottom w:val="single" w:sz="4" w:space="0" w:color="000000"/>
              <w:right w:val="single" w:sz="4" w:space="0" w:color="000000"/>
            </w:tcBorders>
            <w:shd w:val="clear" w:color="auto" w:fill="auto"/>
            <w:vAlign w:val="bottom"/>
          </w:tcPr>
          <w:p w14:paraId="07C451A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85</w:t>
            </w:r>
          </w:p>
        </w:tc>
        <w:tc>
          <w:tcPr>
            <w:tcW w:w="1977" w:type="dxa"/>
            <w:tcBorders>
              <w:top w:val="nil"/>
              <w:left w:val="nil"/>
              <w:bottom w:val="single" w:sz="4" w:space="0" w:color="000000"/>
              <w:right w:val="single" w:sz="4" w:space="0" w:color="000000"/>
            </w:tcBorders>
            <w:shd w:val="clear" w:color="auto" w:fill="auto"/>
            <w:vAlign w:val="bottom"/>
          </w:tcPr>
          <w:p w14:paraId="117D19C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4EA54F5D"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7A3F96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Lodges</w:t>
            </w:r>
          </w:p>
        </w:tc>
        <w:tc>
          <w:tcPr>
            <w:tcW w:w="1417" w:type="dxa"/>
            <w:tcBorders>
              <w:top w:val="nil"/>
              <w:left w:val="nil"/>
              <w:bottom w:val="single" w:sz="4" w:space="0" w:color="000000"/>
              <w:right w:val="single" w:sz="4" w:space="0" w:color="000000"/>
            </w:tcBorders>
            <w:shd w:val="clear" w:color="auto" w:fill="auto"/>
            <w:vAlign w:val="bottom"/>
          </w:tcPr>
          <w:p w14:paraId="28A3233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70%</w:t>
            </w:r>
          </w:p>
        </w:tc>
        <w:tc>
          <w:tcPr>
            <w:tcW w:w="1985" w:type="dxa"/>
            <w:tcBorders>
              <w:top w:val="nil"/>
              <w:left w:val="nil"/>
              <w:bottom w:val="single" w:sz="4" w:space="0" w:color="000000"/>
              <w:right w:val="single" w:sz="4" w:space="0" w:color="000000"/>
            </w:tcBorders>
            <w:shd w:val="clear" w:color="auto" w:fill="auto"/>
            <w:vAlign w:val="bottom"/>
          </w:tcPr>
          <w:p w14:paraId="158B673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70</w:t>
            </w:r>
          </w:p>
        </w:tc>
        <w:tc>
          <w:tcPr>
            <w:tcW w:w="1977" w:type="dxa"/>
            <w:tcBorders>
              <w:top w:val="nil"/>
              <w:left w:val="nil"/>
              <w:bottom w:val="single" w:sz="4" w:space="0" w:color="000000"/>
              <w:right w:val="single" w:sz="4" w:space="0" w:color="000000"/>
            </w:tcBorders>
            <w:shd w:val="clear" w:color="auto" w:fill="auto"/>
            <w:vAlign w:val="bottom"/>
          </w:tcPr>
          <w:p w14:paraId="2003D8E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61B1E039"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6E2922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Schools boarding fees in private institutions – Loans</w:t>
            </w:r>
          </w:p>
        </w:tc>
        <w:tc>
          <w:tcPr>
            <w:tcW w:w="1417" w:type="dxa"/>
            <w:tcBorders>
              <w:top w:val="nil"/>
              <w:left w:val="nil"/>
              <w:bottom w:val="single" w:sz="4" w:space="0" w:color="000000"/>
              <w:right w:val="single" w:sz="4" w:space="0" w:color="000000"/>
            </w:tcBorders>
            <w:shd w:val="clear" w:color="auto" w:fill="auto"/>
            <w:vAlign w:val="bottom"/>
          </w:tcPr>
          <w:p w14:paraId="2D0CD2A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77%</w:t>
            </w:r>
          </w:p>
        </w:tc>
        <w:tc>
          <w:tcPr>
            <w:tcW w:w="1985" w:type="dxa"/>
            <w:tcBorders>
              <w:top w:val="nil"/>
              <w:left w:val="nil"/>
              <w:bottom w:val="single" w:sz="4" w:space="0" w:color="000000"/>
              <w:right w:val="single" w:sz="4" w:space="0" w:color="000000"/>
            </w:tcBorders>
            <w:shd w:val="clear" w:color="auto" w:fill="auto"/>
            <w:vAlign w:val="bottom"/>
          </w:tcPr>
          <w:p w14:paraId="5FFB3D1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20</w:t>
            </w:r>
          </w:p>
        </w:tc>
        <w:tc>
          <w:tcPr>
            <w:tcW w:w="1977" w:type="dxa"/>
            <w:tcBorders>
              <w:top w:val="nil"/>
              <w:left w:val="nil"/>
              <w:bottom w:val="single" w:sz="4" w:space="0" w:color="000000"/>
              <w:right w:val="single" w:sz="4" w:space="0" w:color="000000"/>
            </w:tcBorders>
            <w:shd w:val="clear" w:color="auto" w:fill="auto"/>
            <w:vAlign w:val="bottom"/>
          </w:tcPr>
          <w:p w14:paraId="446494E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1AFE6B3F"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FF3D74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Expenses occurred as owner of a holiday home i.e. after deduction of income received from letting</w:t>
            </w:r>
          </w:p>
        </w:tc>
        <w:tc>
          <w:tcPr>
            <w:tcW w:w="1417" w:type="dxa"/>
            <w:tcBorders>
              <w:top w:val="nil"/>
              <w:left w:val="nil"/>
              <w:bottom w:val="single" w:sz="4" w:space="0" w:color="000000"/>
              <w:right w:val="single" w:sz="4" w:space="0" w:color="000000"/>
            </w:tcBorders>
            <w:shd w:val="clear" w:color="auto" w:fill="auto"/>
            <w:vAlign w:val="bottom"/>
          </w:tcPr>
          <w:p w14:paraId="4896A03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83%</w:t>
            </w:r>
          </w:p>
        </w:tc>
        <w:tc>
          <w:tcPr>
            <w:tcW w:w="1985" w:type="dxa"/>
            <w:tcBorders>
              <w:top w:val="nil"/>
              <w:left w:val="nil"/>
              <w:bottom w:val="single" w:sz="4" w:space="0" w:color="000000"/>
              <w:right w:val="single" w:sz="4" w:space="0" w:color="000000"/>
            </w:tcBorders>
            <w:shd w:val="clear" w:color="auto" w:fill="auto"/>
            <w:vAlign w:val="bottom"/>
          </w:tcPr>
          <w:p w14:paraId="558CA37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32</w:t>
            </w:r>
          </w:p>
        </w:tc>
        <w:tc>
          <w:tcPr>
            <w:tcW w:w="1977" w:type="dxa"/>
            <w:tcBorders>
              <w:top w:val="nil"/>
              <w:left w:val="nil"/>
              <w:bottom w:val="single" w:sz="4" w:space="0" w:color="000000"/>
              <w:right w:val="single" w:sz="4" w:space="0" w:color="000000"/>
            </w:tcBorders>
            <w:shd w:val="clear" w:color="auto" w:fill="auto"/>
            <w:vAlign w:val="bottom"/>
          </w:tcPr>
          <w:p w14:paraId="0F67C50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r>
      <w:tr w:rsidR="009E1C0A" w:rsidRPr="00DB065A" w14:paraId="70821BE3"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D65113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Motor cars</w:t>
            </w:r>
          </w:p>
        </w:tc>
        <w:tc>
          <w:tcPr>
            <w:tcW w:w="1417" w:type="dxa"/>
            <w:tcBorders>
              <w:top w:val="nil"/>
              <w:left w:val="nil"/>
              <w:bottom w:val="single" w:sz="4" w:space="0" w:color="000000"/>
              <w:right w:val="single" w:sz="4" w:space="0" w:color="000000"/>
            </w:tcBorders>
            <w:shd w:val="clear" w:color="auto" w:fill="auto"/>
            <w:vAlign w:val="bottom"/>
          </w:tcPr>
          <w:p w14:paraId="1952A08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85%</w:t>
            </w:r>
          </w:p>
        </w:tc>
        <w:tc>
          <w:tcPr>
            <w:tcW w:w="1985" w:type="dxa"/>
            <w:tcBorders>
              <w:top w:val="nil"/>
              <w:left w:val="nil"/>
              <w:bottom w:val="single" w:sz="4" w:space="0" w:color="000000"/>
              <w:right w:val="single" w:sz="4" w:space="0" w:color="000000"/>
            </w:tcBorders>
            <w:shd w:val="clear" w:color="auto" w:fill="auto"/>
            <w:vAlign w:val="bottom"/>
          </w:tcPr>
          <w:p w14:paraId="11E55FA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5 201</w:t>
            </w:r>
          </w:p>
        </w:tc>
        <w:tc>
          <w:tcPr>
            <w:tcW w:w="1977" w:type="dxa"/>
            <w:tcBorders>
              <w:top w:val="nil"/>
              <w:left w:val="nil"/>
              <w:bottom w:val="single" w:sz="4" w:space="0" w:color="000000"/>
              <w:right w:val="single" w:sz="4" w:space="0" w:color="000000"/>
            </w:tcBorders>
            <w:shd w:val="clear" w:color="auto" w:fill="auto"/>
            <w:vAlign w:val="bottom"/>
          </w:tcPr>
          <w:p w14:paraId="2793E9E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4405</w:t>
            </w:r>
          </w:p>
        </w:tc>
      </w:tr>
      <w:tr w:rsidR="009E1C0A" w:rsidRPr="00DB065A" w14:paraId="1F5804FC"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A74B7C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Station wagons</w:t>
            </w:r>
          </w:p>
        </w:tc>
        <w:tc>
          <w:tcPr>
            <w:tcW w:w="1417" w:type="dxa"/>
            <w:tcBorders>
              <w:top w:val="nil"/>
              <w:left w:val="nil"/>
              <w:bottom w:val="single" w:sz="4" w:space="0" w:color="000000"/>
              <w:right w:val="single" w:sz="4" w:space="0" w:color="000000"/>
            </w:tcBorders>
            <w:shd w:val="clear" w:color="auto" w:fill="auto"/>
            <w:vAlign w:val="bottom"/>
          </w:tcPr>
          <w:p w14:paraId="7ABBC8F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81%</w:t>
            </w:r>
          </w:p>
        </w:tc>
        <w:tc>
          <w:tcPr>
            <w:tcW w:w="1985" w:type="dxa"/>
            <w:tcBorders>
              <w:top w:val="nil"/>
              <w:left w:val="nil"/>
              <w:bottom w:val="single" w:sz="4" w:space="0" w:color="000000"/>
              <w:right w:val="single" w:sz="4" w:space="0" w:color="000000"/>
            </w:tcBorders>
            <w:shd w:val="clear" w:color="auto" w:fill="auto"/>
            <w:vAlign w:val="bottom"/>
          </w:tcPr>
          <w:p w14:paraId="1119FDA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325</w:t>
            </w:r>
          </w:p>
        </w:tc>
        <w:tc>
          <w:tcPr>
            <w:tcW w:w="1977" w:type="dxa"/>
            <w:tcBorders>
              <w:top w:val="nil"/>
              <w:left w:val="nil"/>
              <w:bottom w:val="single" w:sz="4" w:space="0" w:color="000000"/>
              <w:right w:val="single" w:sz="4" w:space="0" w:color="000000"/>
            </w:tcBorders>
            <w:shd w:val="clear" w:color="auto" w:fill="auto"/>
            <w:vAlign w:val="bottom"/>
          </w:tcPr>
          <w:p w14:paraId="2D25D48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264</w:t>
            </w:r>
          </w:p>
        </w:tc>
      </w:tr>
      <w:tr w:rsidR="009E1C0A" w:rsidRPr="00DB065A" w14:paraId="45917C6D"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0EC3F04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Mini buses</w:t>
            </w:r>
          </w:p>
        </w:tc>
        <w:tc>
          <w:tcPr>
            <w:tcW w:w="1417" w:type="dxa"/>
            <w:tcBorders>
              <w:top w:val="nil"/>
              <w:left w:val="nil"/>
              <w:bottom w:val="single" w:sz="4" w:space="0" w:color="000000"/>
              <w:right w:val="single" w:sz="4" w:space="0" w:color="000000"/>
            </w:tcBorders>
            <w:shd w:val="clear" w:color="auto" w:fill="auto"/>
            <w:vAlign w:val="bottom"/>
          </w:tcPr>
          <w:p w14:paraId="0DE54DC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100%</w:t>
            </w:r>
          </w:p>
        </w:tc>
        <w:tc>
          <w:tcPr>
            <w:tcW w:w="1985" w:type="dxa"/>
            <w:tcBorders>
              <w:top w:val="nil"/>
              <w:left w:val="nil"/>
              <w:bottom w:val="single" w:sz="4" w:space="0" w:color="000000"/>
              <w:right w:val="single" w:sz="4" w:space="0" w:color="000000"/>
            </w:tcBorders>
            <w:shd w:val="clear" w:color="auto" w:fill="auto"/>
            <w:vAlign w:val="bottom"/>
          </w:tcPr>
          <w:p w14:paraId="30E676E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27</w:t>
            </w:r>
          </w:p>
        </w:tc>
        <w:tc>
          <w:tcPr>
            <w:tcW w:w="1977" w:type="dxa"/>
            <w:tcBorders>
              <w:top w:val="nil"/>
              <w:left w:val="nil"/>
              <w:bottom w:val="single" w:sz="4" w:space="0" w:color="000000"/>
              <w:right w:val="single" w:sz="4" w:space="0" w:color="000000"/>
            </w:tcBorders>
            <w:shd w:val="clear" w:color="auto" w:fill="auto"/>
            <w:vAlign w:val="bottom"/>
          </w:tcPr>
          <w:p w14:paraId="146D70E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27</w:t>
            </w:r>
          </w:p>
        </w:tc>
      </w:tr>
      <w:tr w:rsidR="009E1C0A" w:rsidRPr="00DB065A" w14:paraId="2775F9C7"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95F3D0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New bakkies</w:t>
            </w:r>
          </w:p>
        </w:tc>
        <w:tc>
          <w:tcPr>
            <w:tcW w:w="1417" w:type="dxa"/>
            <w:tcBorders>
              <w:top w:val="nil"/>
              <w:left w:val="nil"/>
              <w:bottom w:val="single" w:sz="4" w:space="0" w:color="000000"/>
              <w:right w:val="single" w:sz="4" w:space="0" w:color="000000"/>
            </w:tcBorders>
            <w:shd w:val="clear" w:color="auto" w:fill="auto"/>
            <w:vAlign w:val="bottom"/>
          </w:tcPr>
          <w:p w14:paraId="55B466A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84%</w:t>
            </w:r>
          </w:p>
        </w:tc>
        <w:tc>
          <w:tcPr>
            <w:tcW w:w="1985" w:type="dxa"/>
            <w:tcBorders>
              <w:top w:val="nil"/>
              <w:left w:val="nil"/>
              <w:bottom w:val="single" w:sz="4" w:space="0" w:color="000000"/>
              <w:right w:val="single" w:sz="4" w:space="0" w:color="000000"/>
            </w:tcBorders>
            <w:shd w:val="clear" w:color="auto" w:fill="auto"/>
            <w:vAlign w:val="bottom"/>
          </w:tcPr>
          <w:p w14:paraId="04D29798"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638</w:t>
            </w:r>
          </w:p>
        </w:tc>
        <w:tc>
          <w:tcPr>
            <w:tcW w:w="1977" w:type="dxa"/>
            <w:tcBorders>
              <w:top w:val="nil"/>
              <w:left w:val="nil"/>
              <w:bottom w:val="single" w:sz="4" w:space="0" w:color="000000"/>
              <w:right w:val="single" w:sz="4" w:space="0" w:color="000000"/>
            </w:tcBorders>
            <w:shd w:val="clear" w:color="auto" w:fill="auto"/>
            <w:vAlign w:val="bottom"/>
          </w:tcPr>
          <w:p w14:paraId="1E0E58E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532</w:t>
            </w:r>
          </w:p>
        </w:tc>
      </w:tr>
      <w:tr w:rsidR="009E1C0A" w:rsidRPr="00DB065A" w14:paraId="3916B729"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3FC08E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New four wheel drive vehicles</w:t>
            </w:r>
          </w:p>
        </w:tc>
        <w:tc>
          <w:tcPr>
            <w:tcW w:w="1417" w:type="dxa"/>
            <w:tcBorders>
              <w:top w:val="nil"/>
              <w:left w:val="nil"/>
              <w:bottom w:val="single" w:sz="4" w:space="0" w:color="000000"/>
              <w:right w:val="single" w:sz="4" w:space="0" w:color="000000"/>
            </w:tcBorders>
            <w:shd w:val="clear" w:color="auto" w:fill="auto"/>
            <w:vAlign w:val="bottom"/>
          </w:tcPr>
          <w:p w14:paraId="26EF70C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89%</w:t>
            </w:r>
          </w:p>
        </w:tc>
        <w:tc>
          <w:tcPr>
            <w:tcW w:w="1985" w:type="dxa"/>
            <w:tcBorders>
              <w:top w:val="nil"/>
              <w:left w:val="nil"/>
              <w:bottom w:val="single" w:sz="4" w:space="0" w:color="000000"/>
              <w:right w:val="single" w:sz="4" w:space="0" w:color="000000"/>
            </w:tcBorders>
            <w:shd w:val="clear" w:color="auto" w:fill="auto"/>
            <w:vAlign w:val="bottom"/>
          </w:tcPr>
          <w:p w14:paraId="4AC70FF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897</w:t>
            </w:r>
          </w:p>
        </w:tc>
        <w:tc>
          <w:tcPr>
            <w:tcW w:w="1977" w:type="dxa"/>
            <w:tcBorders>
              <w:top w:val="nil"/>
              <w:left w:val="nil"/>
              <w:bottom w:val="single" w:sz="4" w:space="0" w:color="000000"/>
              <w:right w:val="single" w:sz="4" w:space="0" w:color="000000"/>
            </w:tcBorders>
            <w:shd w:val="clear" w:color="auto" w:fill="auto"/>
            <w:vAlign w:val="bottom"/>
          </w:tcPr>
          <w:p w14:paraId="51BC1FA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798</w:t>
            </w:r>
          </w:p>
        </w:tc>
      </w:tr>
      <w:tr w:rsidR="009E1C0A" w:rsidRPr="00DB065A" w14:paraId="689961A4"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77D7EE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Used four-wheel drive vehicles</w:t>
            </w:r>
          </w:p>
        </w:tc>
        <w:tc>
          <w:tcPr>
            <w:tcW w:w="1417" w:type="dxa"/>
            <w:tcBorders>
              <w:top w:val="nil"/>
              <w:left w:val="nil"/>
              <w:bottom w:val="single" w:sz="4" w:space="0" w:color="000000"/>
              <w:right w:val="single" w:sz="4" w:space="0" w:color="000000"/>
            </w:tcBorders>
            <w:shd w:val="clear" w:color="auto" w:fill="auto"/>
            <w:vAlign w:val="bottom"/>
          </w:tcPr>
          <w:p w14:paraId="647A4A0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95%</w:t>
            </w:r>
          </w:p>
        </w:tc>
        <w:tc>
          <w:tcPr>
            <w:tcW w:w="1985" w:type="dxa"/>
            <w:tcBorders>
              <w:top w:val="nil"/>
              <w:left w:val="nil"/>
              <w:bottom w:val="single" w:sz="4" w:space="0" w:color="000000"/>
              <w:right w:val="single" w:sz="4" w:space="0" w:color="000000"/>
            </w:tcBorders>
            <w:shd w:val="clear" w:color="auto" w:fill="auto"/>
            <w:vAlign w:val="bottom"/>
          </w:tcPr>
          <w:p w14:paraId="427777F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363</w:t>
            </w:r>
          </w:p>
        </w:tc>
        <w:tc>
          <w:tcPr>
            <w:tcW w:w="1977" w:type="dxa"/>
            <w:tcBorders>
              <w:top w:val="nil"/>
              <w:left w:val="nil"/>
              <w:bottom w:val="single" w:sz="4" w:space="0" w:color="000000"/>
              <w:right w:val="single" w:sz="4" w:space="0" w:color="000000"/>
            </w:tcBorders>
            <w:shd w:val="clear" w:color="auto" w:fill="auto"/>
            <w:vAlign w:val="bottom"/>
          </w:tcPr>
          <w:p w14:paraId="7C411A42"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298</w:t>
            </w:r>
          </w:p>
        </w:tc>
      </w:tr>
      <w:tr w:rsidR="009E1C0A" w:rsidRPr="00DB065A" w14:paraId="54FC8246"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F43C09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Cameras; video cameras; projectors and flashes</w:t>
            </w:r>
          </w:p>
        </w:tc>
        <w:tc>
          <w:tcPr>
            <w:tcW w:w="1417" w:type="dxa"/>
            <w:tcBorders>
              <w:top w:val="nil"/>
              <w:left w:val="nil"/>
              <w:bottom w:val="single" w:sz="4" w:space="0" w:color="000000"/>
              <w:right w:val="single" w:sz="4" w:space="0" w:color="000000"/>
            </w:tcBorders>
            <w:shd w:val="clear" w:color="auto" w:fill="auto"/>
            <w:vAlign w:val="bottom"/>
          </w:tcPr>
          <w:p w14:paraId="4540764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73%</w:t>
            </w:r>
          </w:p>
        </w:tc>
        <w:tc>
          <w:tcPr>
            <w:tcW w:w="1985" w:type="dxa"/>
            <w:tcBorders>
              <w:top w:val="nil"/>
              <w:left w:val="nil"/>
              <w:bottom w:val="single" w:sz="4" w:space="0" w:color="000000"/>
              <w:right w:val="single" w:sz="4" w:space="0" w:color="000000"/>
            </w:tcBorders>
            <w:shd w:val="clear" w:color="auto" w:fill="auto"/>
            <w:vAlign w:val="bottom"/>
          </w:tcPr>
          <w:p w14:paraId="5505C98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60</w:t>
            </w:r>
          </w:p>
        </w:tc>
        <w:tc>
          <w:tcPr>
            <w:tcW w:w="1977" w:type="dxa"/>
            <w:tcBorders>
              <w:top w:val="nil"/>
              <w:left w:val="nil"/>
              <w:bottom w:val="single" w:sz="4" w:space="0" w:color="000000"/>
              <w:right w:val="single" w:sz="4" w:space="0" w:color="000000"/>
            </w:tcBorders>
            <w:shd w:val="clear" w:color="auto" w:fill="auto"/>
            <w:vAlign w:val="bottom"/>
          </w:tcPr>
          <w:p w14:paraId="5A10E3B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43</w:t>
            </w:r>
          </w:p>
        </w:tc>
      </w:tr>
      <w:tr w:rsidR="009E1C0A" w:rsidRPr="00DB065A" w14:paraId="399BE989"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61EAA5E" w14:textId="77777777" w:rsidR="009E1C0A" w:rsidRPr="00F93D19" w:rsidRDefault="00702B4F">
            <w:pPr>
              <w:rPr>
                <w:rFonts w:eastAsia="Cambria"/>
                <w:color w:val="000000"/>
                <w:sz w:val="20"/>
                <w:szCs w:val="20"/>
                <w:lang w:val="en-GB"/>
              </w:rPr>
            </w:pPr>
            <w:proofErr w:type="spellStart"/>
            <w:r w:rsidRPr="00F93D19">
              <w:rPr>
                <w:rFonts w:eastAsia="Cambria"/>
                <w:color w:val="000000"/>
                <w:sz w:val="20"/>
                <w:szCs w:val="20"/>
                <w:lang w:val="en-GB"/>
              </w:rPr>
              <w:t>eReader</w:t>
            </w:r>
            <w:proofErr w:type="spellEnd"/>
          </w:p>
        </w:tc>
        <w:tc>
          <w:tcPr>
            <w:tcW w:w="1417" w:type="dxa"/>
            <w:tcBorders>
              <w:top w:val="nil"/>
              <w:left w:val="nil"/>
              <w:bottom w:val="single" w:sz="4" w:space="0" w:color="000000"/>
              <w:right w:val="single" w:sz="4" w:space="0" w:color="000000"/>
            </w:tcBorders>
            <w:shd w:val="clear" w:color="auto" w:fill="auto"/>
            <w:vAlign w:val="bottom"/>
          </w:tcPr>
          <w:p w14:paraId="117ACA6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74%</w:t>
            </w:r>
          </w:p>
        </w:tc>
        <w:tc>
          <w:tcPr>
            <w:tcW w:w="1985" w:type="dxa"/>
            <w:tcBorders>
              <w:top w:val="nil"/>
              <w:left w:val="nil"/>
              <w:bottom w:val="single" w:sz="4" w:space="0" w:color="000000"/>
              <w:right w:val="single" w:sz="4" w:space="0" w:color="000000"/>
            </w:tcBorders>
            <w:shd w:val="clear" w:color="auto" w:fill="auto"/>
            <w:vAlign w:val="bottom"/>
          </w:tcPr>
          <w:p w14:paraId="2EB41E8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w:t>
            </w:r>
          </w:p>
        </w:tc>
        <w:tc>
          <w:tcPr>
            <w:tcW w:w="1977" w:type="dxa"/>
            <w:tcBorders>
              <w:top w:val="nil"/>
              <w:left w:val="nil"/>
              <w:bottom w:val="single" w:sz="4" w:space="0" w:color="000000"/>
              <w:right w:val="single" w:sz="4" w:space="0" w:color="000000"/>
            </w:tcBorders>
            <w:shd w:val="clear" w:color="auto" w:fill="auto"/>
            <w:vAlign w:val="bottom"/>
          </w:tcPr>
          <w:p w14:paraId="4F02CDB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w:t>
            </w:r>
          </w:p>
        </w:tc>
      </w:tr>
      <w:tr w:rsidR="009E1C0A" w:rsidRPr="00DB065A" w14:paraId="47B37B8D"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D5AFBB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Other consumables (e.g. toners; ink cartridges)</w:t>
            </w:r>
          </w:p>
        </w:tc>
        <w:tc>
          <w:tcPr>
            <w:tcW w:w="1417" w:type="dxa"/>
            <w:tcBorders>
              <w:top w:val="nil"/>
              <w:left w:val="nil"/>
              <w:bottom w:val="single" w:sz="4" w:space="0" w:color="000000"/>
              <w:right w:val="single" w:sz="4" w:space="0" w:color="000000"/>
            </w:tcBorders>
            <w:shd w:val="clear" w:color="auto" w:fill="auto"/>
            <w:vAlign w:val="bottom"/>
          </w:tcPr>
          <w:p w14:paraId="1678931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81%</w:t>
            </w:r>
          </w:p>
        </w:tc>
        <w:tc>
          <w:tcPr>
            <w:tcW w:w="1985" w:type="dxa"/>
            <w:tcBorders>
              <w:top w:val="nil"/>
              <w:left w:val="nil"/>
              <w:bottom w:val="single" w:sz="4" w:space="0" w:color="000000"/>
              <w:right w:val="single" w:sz="4" w:space="0" w:color="000000"/>
            </w:tcBorders>
            <w:shd w:val="clear" w:color="auto" w:fill="auto"/>
            <w:vAlign w:val="bottom"/>
          </w:tcPr>
          <w:p w14:paraId="2AAFEF3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w:t>
            </w:r>
          </w:p>
        </w:tc>
        <w:tc>
          <w:tcPr>
            <w:tcW w:w="1977" w:type="dxa"/>
            <w:tcBorders>
              <w:top w:val="nil"/>
              <w:left w:val="nil"/>
              <w:bottom w:val="single" w:sz="4" w:space="0" w:color="000000"/>
              <w:right w:val="single" w:sz="4" w:space="0" w:color="000000"/>
            </w:tcBorders>
            <w:shd w:val="clear" w:color="auto" w:fill="auto"/>
            <w:vAlign w:val="bottom"/>
          </w:tcPr>
          <w:p w14:paraId="3A78CF3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w:t>
            </w:r>
          </w:p>
        </w:tc>
      </w:tr>
      <w:tr w:rsidR="009E1C0A" w:rsidRPr="00DB065A" w14:paraId="09B25E11"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B97BDFE"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Firearms and ammunition</w:t>
            </w:r>
          </w:p>
        </w:tc>
        <w:tc>
          <w:tcPr>
            <w:tcW w:w="1417" w:type="dxa"/>
            <w:tcBorders>
              <w:top w:val="nil"/>
              <w:left w:val="nil"/>
              <w:bottom w:val="single" w:sz="4" w:space="0" w:color="000000"/>
              <w:right w:val="single" w:sz="4" w:space="0" w:color="000000"/>
            </w:tcBorders>
            <w:shd w:val="clear" w:color="auto" w:fill="auto"/>
            <w:vAlign w:val="bottom"/>
          </w:tcPr>
          <w:p w14:paraId="1760971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85%</w:t>
            </w:r>
          </w:p>
        </w:tc>
        <w:tc>
          <w:tcPr>
            <w:tcW w:w="1985" w:type="dxa"/>
            <w:tcBorders>
              <w:top w:val="nil"/>
              <w:left w:val="nil"/>
              <w:bottom w:val="single" w:sz="4" w:space="0" w:color="000000"/>
              <w:right w:val="single" w:sz="4" w:space="0" w:color="000000"/>
            </w:tcBorders>
            <w:shd w:val="clear" w:color="auto" w:fill="auto"/>
            <w:vAlign w:val="bottom"/>
          </w:tcPr>
          <w:p w14:paraId="6F90EA5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8</w:t>
            </w:r>
          </w:p>
        </w:tc>
        <w:tc>
          <w:tcPr>
            <w:tcW w:w="1977" w:type="dxa"/>
            <w:tcBorders>
              <w:top w:val="nil"/>
              <w:left w:val="nil"/>
              <w:bottom w:val="single" w:sz="4" w:space="0" w:color="000000"/>
              <w:right w:val="single" w:sz="4" w:space="0" w:color="000000"/>
            </w:tcBorders>
            <w:shd w:val="clear" w:color="auto" w:fill="auto"/>
            <w:vAlign w:val="bottom"/>
          </w:tcPr>
          <w:p w14:paraId="257B63D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w:t>
            </w:r>
          </w:p>
        </w:tc>
      </w:tr>
      <w:tr w:rsidR="009E1C0A" w:rsidRPr="00DB065A" w14:paraId="6204DAD5"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ACF6AA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Special sports clothes and shoes</w:t>
            </w:r>
          </w:p>
        </w:tc>
        <w:tc>
          <w:tcPr>
            <w:tcW w:w="1417" w:type="dxa"/>
            <w:tcBorders>
              <w:top w:val="nil"/>
              <w:left w:val="nil"/>
              <w:bottom w:val="single" w:sz="4" w:space="0" w:color="000000"/>
              <w:right w:val="single" w:sz="4" w:space="0" w:color="000000"/>
            </w:tcBorders>
            <w:shd w:val="clear" w:color="auto" w:fill="auto"/>
            <w:vAlign w:val="bottom"/>
          </w:tcPr>
          <w:p w14:paraId="223C20A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70%</w:t>
            </w:r>
          </w:p>
        </w:tc>
        <w:tc>
          <w:tcPr>
            <w:tcW w:w="1985" w:type="dxa"/>
            <w:tcBorders>
              <w:top w:val="nil"/>
              <w:left w:val="nil"/>
              <w:bottom w:val="single" w:sz="4" w:space="0" w:color="000000"/>
              <w:right w:val="single" w:sz="4" w:space="0" w:color="000000"/>
            </w:tcBorders>
            <w:shd w:val="clear" w:color="auto" w:fill="auto"/>
            <w:vAlign w:val="bottom"/>
          </w:tcPr>
          <w:p w14:paraId="77BE5EA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49</w:t>
            </w:r>
          </w:p>
        </w:tc>
        <w:tc>
          <w:tcPr>
            <w:tcW w:w="1977" w:type="dxa"/>
            <w:tcBorders>
              <w:top w:val="nil"/>
              <w:left w:val="nil"/>
              <w:bottom w:val="single" w:sz="4" w:space="0" w:color="000000"/>
              <w:right w:val="single" w:sz="4" w:space="0" w:color="000000"/>
            </w:tcBorders>
            <w:shd w:val="clear" w:color="auto" w:fill="auto"/>
            <w:vAlign w:val="bottom"/>
          </w:tcPr>
          <w:p w14:paraId="5D42AD72"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35</w:t>
            </w:r>
          </w:p>
        </w:tc>
      </w:tr>
      <w:tr w:rsidR="009E1C0A" w:rsidRPr="00DB065A" w14:paraId="4D5E4FDE"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6F4C173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Swimming pool equipment and repairs of equipment</w:t>
            </w:r>
          </w:p>
        </w:tc>
        <w:tc>
          <w:tcPr>
            <w:tcW w:w="1417" w:type="dxa"/>
            <w:tcBorders>
              <w:top w:val="nil"/>
              <w:left w:val="nil"/>
              <w:bottom w:val="single" w:sz="4" w:space="0" w:color="000000"/>
              <w:right w:val="single" w:sz="4" w:space="0" w:color="000000"/>
            </w:tcBorders>
            <w:shd w:val="clear" w:color="auto" w:fill="auto"/>
            <w:vAlign w:val="bottom"/>
          </w:tcPr>
          <w:p w14:paraId="552359C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75%</w:t>
            </w:r>
          </w:p>
        </w:tc>
        <w:tc>
          <w:tcPr>
            <w:tcW w:w="1985" w:type="dxa"/>
            <w:tcBorders>
              <w:top w:val="nil"/>
              <w:left w:val="nil"/>
              <w:bottom w:val="single" w:sz="4" w:space="0" w:color="000000"/>
              <w:right w:val="single" w:sz="4" w:space="0" w:color="000000"/>
            </w:tcBorders>
            <w:shd w:val="clear" w:color="auto" w:fill="auto"/>
            <w:vAlign w:val="bottom"/>
          </w:tcPr>
          <w:p w14:paraId="48389F3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74</w:t>
            </w:r>
          </w:p>
        </w:tc>
        <w:tc>
          <w:tcPr>
            <w:tcW w:w="1977" w:type="dxa"/>
            <w:tcBorders>
              <w:top w:val="nil"/>
              <w:left w:val="nil"/>
              <w:bottom w:val="single" w:sz="4" w:space="0" w:color="000000"/>
              <w:right w:val="single" w:sz="4" w:space="0" w:color="000000"/>
            </w:tcBorders>
            <w:shd w:val="clear" w:color="auto" w:fill="auto"/>
            <w:vAlign w:val="bottom"/>
          </w:tcPr>
          <w:p w14:paraId="3F41762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55</w:t>
            </w:r>
          </w:p>
        </w:tc>
      </w:tr>
      <w:tr w:rsidR="009E1C0A" w:rsidRPr="00DB065A" w14:paraId="3D150705"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62ADD1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Loose carpets and rugs</w:t>
            </w:r>
          </w:p>
        </w:tc>
        <w:tc>
          <w:tcPr>
            <w:tcW w:w="1417" w:type="dxa"/>
            <w:tcBorders>
              <w:top w:val="nil"/>
              <w:left w:val="nil"/>
              <w:bottom w:val="single" w:sz="4" w:space="0" w:color="000000"/>
              <w:right w:val="single" w:sz="4" w:space="0" w:color="000000"/>
            </w:tcBorders>
            <w:shd w:val="clear" w:color="auto" w:fill="auto"/>
            <w:vAlign w:val="bottom"/>
          </w:tcPr>
          <w:p w14:paraId="2571060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52%</w:t>
            </w:r>
          </w:p>
        </w:tc>
        <w:tc>
          <w:tcPr>
            <w:tcW w:w="1985" w:type="dxa"/>
            <w:tcBorders>
              <w:top w:val="nil"/>
              <w:left w:val="nil"/>
              <w:bottom w:val="single" w:sz="4" w:space="0" w:color="000000"/>
              <w:right w:val="single" w:sz="4" w:space="0" w:color="000000"/>
            </w:tcBorders>
            <w:shd w:val="clear" w:color="auto" w:fill="auto"/>
            <w:vAlign w:val="bottom"/>
          </w:tcPr>
          <w:p w14:paraId="7C016E1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5DE88A78"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19</w:t>
            </w:r>
          </w:p>
        </w:tc>
      </w:tr>
      <w:tr w:rsidR="009E1C0A" w:rsidRPr="00DB065A" w14:paraId="7F02E74D"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6ABB141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Refrigerators; deep freezers and refrigerator/deep-freeze combinations</w:t>
            </w:r>
          </w:p>
        </w:tc>
        <w:tc>
          <w:tcPr>
            <w:tcW w:w="1417" w:type="dxa"/>
            <w:tcBorders>
              <w:top w:val="nil"/>
              <w:left w:val="nil"/>
              <w:bottom w:val="single" w:sz="4" w:space="0" w:color="000000"/>
              <w:right w:val="single" w:sz="4" w:space="0" w:color="000000"/>
            </w:tcBorders>
            <w:shd w:val="clear" w:color="auto" w:fill="auto"/>
            <w:vAlign w:val="bottom"/>
          </w:tcPr>
          <w:p w14:paraId="25FECF4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19%</w:t>
            </w:r>
          </w:p>
        </w:tc>
        <w:tc>
          <w:tcPr>
            <w:tcW w:w="1985" w:type="dxa"/>
            <w:tcBorders>
              <w:top w:val="nil"/>
              <w:left w:val="nil"/>
              <w:bottom w:val="single" w:sz="4" w:space="0" w:color="000000"/>
              <w:right w:val="single" w:sz="4" w:space="0" w:color="000000"/>
            </w:tcBorders>
            <w:shd w:val="clear" w:color="auto" w:fill="auto"/>
            <w:vAlign w:val="bottom"/>
          </w:tcPr>
          <w:p w14:paraId="3B62F2F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5E0EF612"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77</w:t>
            </w:r>
          </w:p>
        </w:tc>
      </w:tr>
      <w:tr w:rsidR="009E1C0A" w:rsidRPr="00DB065A" w14:paraId="7107C5D7"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D70823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Refrigerators</w:t>
            </w:r>
          </w:p>
        </w:tc>
        <w:tc>
          <w:tcPr>
            <w:tcW w:w="1417" w:type="dxa"/>
            <w:tcBorders>
              <w:top w:val="nil"/>
              <w:left w:val="nil"/>
              <w:bottom w:val="single" w:sz="4" w:space="0" w:color="000000"/>
              <w:right w:val="single" w:sz="4" w:space="0" w:color="000000"/>
            </w:tcBorders>
            <w:shd w:val="clear" w:color="auto" w:fill="auto"/>
            <w:vAlign w:val="bottom"/>
          </w:tcPr>
          <w:p w14:paraId="50403A9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24%</w:t>
            </w:r>
          </w:p>
        </w:tc>
        <w:tc>
          <w:tcPr>
            <w:tcW w:w="1985" w:type="dxa"/>
            <w:tcBorders>
              <w:top w:val="nil"/>
              <w:left w:val="nil"/>
              <w:bottom w:val="single" w:sz="4" w:space="0" w:color="000000"/>
              <w:right w:val="single" w:sz="4" w:space="0" w:color="000000"/>
            </w:tcBorders>
            <w:shd w:val="clear" w:color="auto" w:fill="auto"/>
            <w:vAlign w:val="bottom"/>
          </w:tcPr>
          <w:p w14:paraId="4B149F0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71269AA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w:t>
            </w:r>
          </w:p>
        </w:tc>
      </w:tr>
      <w:tr w:rsidR="009E1C0A" w:rsidRPr="00DB065A" w14:paraId="1B992330"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23DCCE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Washing machines; dishwashers and tumble dryers</w:t>
            </w:r>
          </w:p>
        </w:tc>
        <w:tc>
          <w:tcPr>
            <w:tcW w:w="1417" w:type="dxa"/>
            <w:tcBorders>
              <w:top w:val="nil"/>
              <w:left w:val="nil"/>
              <w:bottom w:val="single" w:sz="4" w:space="0" w:color="000000"/>
              <w:right w:val="single" w:sz="4" w:space="0" w:color="000000"/>
            </w:tcBorders>
            <w:shd w:val="clear" w:color="auto" w:fill="auto"/>
            <w:vAlign w:val="bottom"/>
          </w:tcPr>
          <w:p w14:paraId="27EAA73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26%</w:t>
            </w:r>
          </w:p>
        </w:tc>
        <w:tc>
          <w:tcPr>
            <w:tcW w:w="1985" w:type="dxa"/>
            <w:tcBorders>
              <w:top w:val="nil"/>
              <w:left w:val="nil"/>
              <w:bottom w:val="single" w:sz="4" w:space="0" w:color="000000"/>
              <w:right w:val="single" w:sz="4" w:space="0" w:color="000000"/>
            </w:tcBorders>
            <w:shd w:val="clear" w:color="auto" w:fill="auto"/>
            <w:vAlign w:val="bottom"/>
          </w:tcPr>
          <w:p w14:paraId="701EA98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35A55C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42</w:t>
            </w:r>
          </w:p>
        </w:tc>
      </w:tr>
      <w:tr w:rsidR="009E1C0A" w:rsidRPr="00DB065A" w14:paraId="586F07C6"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CE799E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Stoves and ovens; including microwave ovens</w:t>
            </w:r>
          </w:p>
        </w:tc>
        <w:tc>
          <w:tcPr>
            <w:tcW w:w="1417" w:type="dxa"/>
            <w:tcBorders>
              <w:top w:val="nil"/>
              <w:left w:val="nil"/>
              <w:bottom w:val="single" w:sz="4" w:space="0" w:color="000000"/>
              <w:right w:val="single" w:sz="4" w:space="0" w:color="000000"/>
            </w:tcBorders>
            <w:shd w:val="clear" w:color="auto" w:fill="auto"/>
            <w:vAlign w:val="bottom"/>
          </w:tcPr>
          <w:p w14:paraId="3C07952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20%</w:t>
            </w:r>
          </w:p>
        </w:tc>
        <w:tc>
          <w:tcPr>
            <w:tcW w:w="1985" w:type="dxa"/>
            <w:tcBorders>
              <w:top w:val="nil"/>
              <w:left w:val="nil"/>
              <w:bottom w:val="single" w:sz="4" w:space="0" w:color="000000"/>
              <w:right w:val="single" w:sz="4" w:space="0" w:color="000000"/>
            </w:tcBorders>
            <w:shd w:val="clear" w:color="auto" w:fill="auto"/>
            <w:vAlign w:val="bottom"/>
          </w:tcPr>
          <w:p w14:paraId="09F28E8E"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3953A1B2"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42</w:t>
            </w:r>
          </w:p>
        </w:tc>
      </w:tr>
      <w:tr w:rsidR="009E1C0A" w:rsidRPr="00DB065A" w14:paraId="0427D51A"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68A162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Heaters; air conditioners/fans</w:t>
            </w:r>
          </w:p>
        </w:tc>
        <w:tc>
          <w:tcPr>
            <w:tcW w:w="1417" w:type="dxa"/>
            <w:tcBorders>
              <w:top w:val="nil"/>
              <w:left w:val="nil"/>
              <w:bottom w:val="single" w:sz="4" w:space="0" w:color="000000"/>
              <w:right w:val="single" w:sz="4" w:space="0" w:color="000000"/>
            </w:tcBorders>
            <w:shd w:val="clear" w:color="auto" w:fill="auto"/>
            <w:vAlign w:val="bottom"/>
          </w:tcPr>
          <w:p w14:paraId="6A811DE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60%</w:t>
            </w:r>
          </w:p>
        </w:tc>
        <w:tc>
          <w:tcPr>
            <w:tcW w:w="1985" w:type="dxa"/>
            <w:tcBorders>
              <w:top w:val="nil"/>
              <w:left w:val="nil"/>
              <w:bottom w:val="single" w:sz="4" w:space="0" w:color="000000"/>
              <w:right w:val="single" w:sz="4" w:space="0" w:color="000000"/>
            </w:tcBorders>
            <w:shd w:val="clear" w:color="auto" w:fill="auto"/>
            <w:vAlign w:val="bottom"/>
          </w:tcPr>
          <w:p w14:paraId="7665F0A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3FCF060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16</w:t>
            </w:r>
          </w:p>
        </w:tc>
      </w:tr>
      <w:tr w:rsidR="009E1C0A" w:rsidRPr="00DB065A" w14:paraId="0885FF2D"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0726F8A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Heaters (gas and paraffin)</w:t>
            </w:r>
          </w:p>
        </w:tc>
        <w:tc>
          <w:tcPr>
            <w:tcW w:w="1417" w:type="dxa"/>
            <w:tcBorders>
              <w:top w:val="nil"/>
              <w:left w:val="nil"/>
              <w:bottom w:val="single" w:sz="4" w:space="0" w:color="000000"/>
              <w:right w:val="single" w:sz="4" w:space="0" w:color="000000"/>
            </w:tcBorders>
            <w:shd w:val="clear" w:color="auto" w:fill="auto"/>
            <w:vAlign w:val="bottom"/>
          </w:tcPr>
          <w:p w14:paraId="7D1DC69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31%</w:t>
            </w:r>
          </w:p>
        </w:tc>
        <w:tc>
          <w:tcPr>
            <w:tcW w:w="1985" w:type="dxa"/>
            <w:tcBorders>
              <w:top w:val="nil"/>
              <w:left w:val="nil"/>
              <w:bottom w:val="single" w:sz="4" w:space="0" w:color="000000"/>
              <w:right w:val="single" w:sz="4" w:space="0" w:color="000000"/>
            </w:tcBorders>
            <w:shd w:val="clear" w:color="auto" w:fill="auto"/>
            <w:vAlign w:val="bottom"/>
          </w:tcPr>
          <w:p w14:paraId="7A58FB0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42A329C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w:t>
            </w:r>
          </w:p>
        </w:tc>
      </w:tr>
      <w:tr w:rsidR="009E1C0A" w:rsidRPr="00DB065A" w14:paraId="717C2BBB"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79B12F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Kettles and percolators; coffee makers</w:t>
            </w:r>
          </w:p>
        </w:tc>
        <w:tc>
          <w:tcPr>
            <w:tcW w:w="1417" w:type="dxa"/>
            <w:tcBorders>
              <w:top w:val="nil"/>
              <w:left w:val="nil"/>
              <w:bottom w:val="single" w:sz="4" w:space="0" w:color="000000"/>
              <w:right w:val="single" w:sz="4" w:space="0" w:color="000000"/>
            </w:tcBorders>
            <w:shd w:val="clear" w:color="auto" w:fill="auto"/>
            <w:vAlign w:val="bottom"/>
          </w:tcPr>
          <w:p w14:paraId="3332D78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26%</w:t>
            </w:r>
          </w:p>
        </w:tc>
        <w:tc>
          <w:tcPr>
            <w:tcW w:w="1985" w:type="dxa"/>
            <w:tcBorders>
              <w:top w:val="nil"/>
              <w:left w:val="nil"/>
              <w:bottom w:val="single" w:sz="4" w:space="0" w:color="000000"/>
              <w:right w:val="single" w:sz="4" w:space="0" w:color="000000"/>
            </w:tcBorders>
            <w:shd w:val="clear" w:color="auto" w:fill="auto"/>
            <w:vAlign w:val="bottom"/>
          </w:tcPr>
          <w:p w14:paraId="4084564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2FEEA6A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13</w:t>
            </w:r>
          </w:p>
        </w:tc>
      </w:tr>
      <w:tr w:rsidR="009E1C0A" w:rsidRPr="00DB065A" w14:paraId="4A5B2005"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3A6A7A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Cellular phones (pre-paid hand set)</w:t>
            </w:r>
          </w:p>
        </w:tc>
        <w:tc>
          <w:tcPr>
            <w:tcW w:w="1417" w:type="dxa"/>
            <w:tcBorders>
              <w:top w:val="nil"/>
              <w:left w:val="nil"/>
              <w:bottom w:val="single" w:sz="4" w:space="0" w:color="000000"/>
              <w:right w:val="single" w:sz="4" w:space="0" w:color="000000"/>
            </w:tcBorders>
            <w:shd w:val="clear" w:color="auto" w:fill="auto"/>
            <w:vAlign w:val="bottom"/>
          </w:tcPr>
          <w:p w14:paraId="6B7BBD1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24%</w:t>
            </w:r>
          </w:p>
        </w:tc>
        <w:tc>
          <w:tcPr>
            <w:tcW w:w="1985" w:type="dxa"/>
            <w:tcBorders>
              <w:top w:val="nil"/>
              <w:left w:val="nil"/>
              <w:bottom w:val="single" w:sz="4" w:space="0" w:color="000000"/>
              <w:right w:val="single" w:sz="4" w:space="0" w:color="000000"/>
            </w:tcBorders>
            <w:shd w:val="clear" w:color="auto" w:fill="auto"/>
            <w:vAlign w:val="bottom"/>
          </w:tcPr>
          <w:p w14:paraId="0510FC8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77B3DE1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137</w:t>
            </w:r>
          </w:p>
        </w:tc>
      </w:tr>
      <w:tr w:rsidR="009E1C0A" w:rsidRPr="00DB065A" w14:paraId="4F1D5B56"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4E844B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xml:space="preserve">Cellular phones accessories e.g. chargers; pouches; earphones; prepaid </w:t>
            </w:r>
            <w:r w:rsidRPr="00F93D19">
              <w:rPr>
                <w:rFonts w:eastAsia="Cambria"/>
                <w:color w:val="000000"/>
                <w:sz w:val="20"/>
                <w:szCs w:val="20"/>
                <w:lang w:val="en-GB"/>
              </w:rPr>
              <w:lastRenderedPageBreak/>
              <w:t>sim-cards)</w:t>
            </w:r>
          </w:p>
        </w:tc>
        <w:tc>
          <w:tcPr>
            <w:tcW w:w="1417" w:type="dxa"/>
            <w:tcBorders>
              <w:top w:val="nil"/>
              <w:left w:val="nil"/>
              <w:bottom w:val="single" w:sz="4" w:space="0" w:color="000000"/>
              <w:right w:val="single" w:sz="4" w:space="0" w:color="000000"/>
            </w:tcBorders>
            <w:shd w:val="clear" w:color="auto" w:fill="auto"/>
            <w:vAlign w:val="bottom"/>
          </w:tcPr>
          <w:p w14:paraId="7DA2208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lastRenderedPageBreak/>
              <w:t>30%</w:t>
            </w:r>
          </w:p>
        </w:tc>
        <w:tc>
          <w:tcPr>
            <w:tcW w:w="1985" w:type="dxa"/>
            <w:tcBorders>
              <w:top w:val="nil"/>
              <w:left w:val="nil"/>
              <w:bottom w:val="single" w:sz="4" w:space="0" w:color="000000"/>
              <w:right w:val="single" w:sz="4" w:space="0" w:color="000000"/>
            </w:tcBorders>
            <w:shd w:val="clear" w:color="auto" w:fill="auto"/>
            <w:vAlign w:val="bottom"/>
          </w:tcPr>
          <w:p w14:paraId="4FC81199"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4957F9F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w:t>
            </w:r>
          </w:p>
        </w:tc>
      </w:tr>
      <w:tr w:rsidR="009E1C0A" w:rsidRPr="00DB065A" w14:paraId="6C201217"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445CD9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Mobile device; Modems (e.g.3G; Wi-Fi)</w:t>
            </w:r>
          </w:p>
        </w:tc>
        <w:tc>
          <w:tcPr>
            <w:tcW w:w="1417" w:type="dxa"/>
            <w:tcBorders>
              <w:top w:val="nil"/>
              <w:left w:val="nil"/>
              <w:bottom w:val="single" w:sz="4" w:space="0" w:color="000000"/>
              <w:right w:val="single" w:sz="4" w:space="0" w:color="000000"/>
            </w:tcBorders>
            <w:shd w:val="clear" w:color="auto" w:fill="auto"/>
            <w:vAlign w:val="bottom"/>
          </w:tcPr>
          <w:p w14:paraId="74EC90B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44%</w:t>
            </w:r>
          </w:p>
        </w:tc>
        <w:tc>
          <w:tcPr>
            <w:tcW w:w="1985" w:type="dxa"/>
            <w:tcBorders>
              <w:top w:val="nil"/>
              <w:left w:val="nil"/>
              <w:bottom w:val="single" w:sz="4" w:space="0" w:color="000000"/>
              <w:right w:val="single" w:sz="4" w:space="0" w:color="000000"/>
            </w:tcBorders>
            <w:shd w:val="clear" w:color="auto" w:fill="auto"/>
            <w:vAlign w:val="bottom"/>
          </w:tcPr>
          <w:p w14:paraId="3278902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563FE42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151</w:t>
            </w:r>
          </w:p>
        </w:tc>
      </w:tr>
      <w:tr w:rsidR="009E1C0A" w:rsidRPr="00DB065A" w14:paraId="72937CDE" w14:textId="77777777" w:rsidTr="00F93D19">
        <w:trPr>
          <w:trHeight w:val="112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562F478"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xml:space="preserve">Radios (including motor car radios) tape recorders; compact disk players; sound system; MP3 players; iPods and </w:t>
            </w:r>
            <w:proofErr w:type="spellStart"/>
            <w:r w:rsidRPr="00F93D19">
              <w:rPr>
                <w:rFonts w:eastAsia="Cambria"/>
                <w:color w:val="000000"/>
                <w:sz w:val="20"/>
                <w:szCs w:val="20"/>
                <w:lang w:val="en-GB"/>
              </w:rPr>
              <w:t>and</w:t>
            </w:r>
            <w:proofErr w:type="spellEnd"/>
            <w:r w:rsidRPr="00F93D19">
              <w:rPr>
                <w:rFonts w:eastAsia="Cambria"/>
                <w:color w:val="000000"/>
                <w:sz w:val="20"/>
                <w:szCs w:val="20"/>
                <w:lang w:val="en-GB"/>
              </w:rPr>
              <w:t xml:space="preserve"> similar equipment (including for cars)</w:t>
            </w:r>
          </w:p>
        </w:tc>
        <w:tc>
          <w:tcPr>
            <w:tcW w:w="1417" w:type="dxa"/>
            <w:tcBorders>
              <w:top w:val="nil"/>
              <w:left w:val="nil"/>
              <w:bottom w:val="single" w:sz="4" w:space="0" w:color="000000"/>
              <w:right w:val="single" w:sz="4" w:space="0" w:color="000000"/>
            </w:tcBorders>
            <w:shd w:val="clear" w:color="auto" w:fill="auto"/>
            <w:vAlign w:val="bottom"/>
          </w:tcPr>
          <w:p w14:paraId="604959A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26%</w:t>
            </w:r>
          </w:p>
        </w:tc>
        <w:tc>
          <w:tcPr>
            <w:tcW w:w="1985" w:type="dxa"/>
            <w:tcBorders>
              <w:top w:val="nil"/>
              <w:left w:val="nil"/>
              <w:bottom w:val="single" w:sz="4" w:space="0" w:color="000000"/>
              <w:right w:val="single" w:sz="4" w:space="0" w:color="000000"/>
            </w:tcBorders>
            <w:shd w:val="clear" w:color="auto" w:fill="auto"/>
            <w:vAlign w:val="bottom"/>
          </w:tcPr>
          <w:p w14:paraId="79019FD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4E5D7662"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13</w:t>
            </w:r>
          </w:p>
        </w:tc>
      </w:tr>
      <w:tr w:rsidR="009E1C0A" w:rsidRPr="00DB065A" w14:paraId="11D673F0" w14:textId="77777777" w:rsidTr="00F93D19">
        <w:trPr>
          <w:trHeight w:val="84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F2A46B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Television sets; decoders (e.g. M-net; PVR; Explorer; etc.); video recorders; Blu-ray and DVD player</w:t>
            </w:r>
          </w:p>
        </w:tc>
        <w:tc>
          <w:tcPr>
            <w:tcW w:w="1417" w:type="dxa"/>
            <w:tcBorders>
              <w:top w:val="nil"/>
              <w:left w:val="nil"/>
              <w:bottom w:val="single" w:sz="4" w:space="0" w:color="000000"/>
              <w:right w:val="single" w:sz="4" w:space="0" w:color="000000"/>
            </w:tcBorders>
            <w:shd w:val="clear" w:color="auto" w:fill="auto"/>
            <w:vAlign w:val="bottom"/>
          </w:tcPr>
          <w:p w14:paraId="33E87E5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27%</w:t>
            </w:r>
          </w:p>
        </w:tc>
        <w:tc>
          <w:tcPr>
            <w:tcW w:w="1985" w:type="dxa"/>
            <w:tcBorders>
              <w:top w:val="nil"/>
              <w:left w:val="nil"/>
              <w:bottom w:val="single" w:sz="4" w:space="0" w:color="000000"/>
              <w:right w:val="single" w:sz="4" w:space="0" w:color="000000"/>
            </w:tcBorders>
            <w:shd w:val="clear" w:color="auto" w:fill="auto"/>
            <w:vAlign w:val="bottom"/>
          </w:tcPr>
          <w:p w14:paraId="794322C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1F9AD47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105</w:t>
            </w:r>
          </w:p>
        </w:tc>
      </w:tr>
      <w:tr w:rsidR="009E1C0A" w:rsidRPr="00DB065A" w14:paraId="7A6B17BC"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6B2A7E5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Aerials and satellite dishes</w:t>
            </w:r>
          </w:p>
        </w:tc>
        <w:tc>
          <w:tcPr>
            <w:tcW w:w="1417" w:type="dxa"/>
            <w:tcBorders>
              <w:top w:val="nil"/>
              <w:left w:val="nil"/>
              <w:bottom w:val="single" w:sz="4" w:space="0" w:color="000000"/>
              <w:right w:val="single" w:sz="4" w:space="0" w:color="000000"/>
            </w:tcBorders>
            <w:shd w:val="clear" w:color="auto" w:fill="auto"/>
            <w:vAlign w:val="bottom"/>
          </w:tcPr>
          <w:p w14:paraId="583D229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28%</w:t>
            </w:r>
          </w:p>
        </w:tc>
        <w:tc>
          <w:tcPr>
            <w:tcW w:w="1985" w:type="dxa"/>
            <w:tcBorders>
              <w:top w:val="nil"/>
              <w:left w:val="nil"/>
              <w:bottom w:val="single" w:sz="4" w:space="0" w:color="000000"/>
              <w:right w:val="single" w:sz="4" w:space="0" w:color="000000"/>
            </w:tcBorders>
            <w:shd w:val="clear" w:color="auto" w:fill="auto"/>
            <w:vAlign w:val="bottom"/>
          </w:tcPr>
          <w:p w14:paraId="3C6434F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B50160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12</w:t>
            </w:r>
          </w:p>
        </w:tc>
      </w:tr>
      <w:tr w:rsidR="009E1C0A" w:rsidRPr="00DB065A" w14:paraId="2082DF49"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97A82D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Personal desktop computers (excluding laptops)</w:t>
            </w:r>
          </w:p>
        </w:tc>
        <w:tc>
          <w:tcPr>
            <w:tcW w:w="1417" w:type="dxa"/>
            <w:tcBorders>
              <w:top w:val="nil"/>
              <w:left w:val="nil"/>
              <w:bottom w:val="single" w:sz="4" w:space="0" w:color="000000"/>
              <w:right w:val="single" w:sz="4" w:space="0" w:color="000000"/>
            </w:tcBorders>
            <w:shd w:val="clear" w:color="auto" w:fill="auto"/>
            <w:vAlign w:val="bottom"/>
          </w:tcPr>
          <w:p w14:paraId="6BFAD34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55%</w:t>
            </w:r>
          </w:p>
        </w:tc>
        <w:tc>
          <w:tcPr>
            <w:tcW w:w="1985" w:type="dxa"/>
            <w:tcBorders>
              <w:top w:val="nil"/>
              <w:left w:val="nil"/>
              <w:bottom w:val="single" w:sz="4" w:space="0" w:color="000000"/>
              <w:right w:val="single" w:sz="4" w:space="0" w:color="000000"/>
            </w:tcBorders>
            <w:shd w:val="clear" w:color="auto" w:fill="auto"/>
            <w:vAlign w:val="bottom"/>
          </w:tcPr>
          <w:p w14:paraId="1087AB1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3FBBBE5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39</w:t>
            </w:r>
          </w:p>
        </w:tc>
      </w:tr>
      <w:tr w:rsidR="009E1C0A" w:rsidRPr="00DB065A" w14:paraId="612F2B85"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7BCC3C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Laptops/notebooks</w:t>
            </w:r>
          </w:p>
        </w:tc>
        <w:tc>
          <w:tcPr>
            <w:tcW w:w="1417" w:type="dxa"/>
            <w:tcBorders>
              <w:top w:val="nil"/>
              <w:left w:val="nil"/>
              <w:bottom w:val="single" w:sz="4" w:space="0" w:color="000000"/>
              <w:right w:val="single" w:sz="4" w:space="0" w:color="000000"/>
            </w:tcBorders>
            <w:shd w:val="clear" w:color="auto" w:fill="auto"/>
            <w:vAlign w:val="bottom"/>
          </w:tcPr>
          <w:p w14:paraId="7FAF24A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40%</w:t>
            </w:r>
          </w:p>
        </w:tc>
        <w:tc>
          <w:tcPr>
            <w:tcW w:w="1985" w:type="dxa"/>
            <w:tcBorders>
              <w:top w:val="nil"/>
              <w:left w:val="nil"/>
              <w:bottom w:val="single" w:sz="4" w:space="0" w:color="000000"/>
              <w:right w:val="single" w:sz="4" w:space="0" w:color="000000"/>
            </w:tcBorders>
            <w:shd w:val="clear" w:color="auto" w:fill="auto"/>
            <w:vAlign w:val="bottom"/>
          </w:tcPr>
          <w:p w14:paraId="7D1DC41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79F9048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135</w:t>
            </w:r>
          </w:p>
        </w:tc>
      </w:tr>
      <w:tr w:rsidR="009E1C0A" w:rsidRPr="00DB065A" w14:paraId="4F66D82D"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69A578F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Tablets/mini tablets (e.g. iPad; galaxy tabs; etc.)</w:t>
            </w:r>
          </w:p>
        </w:tc>
        <w:tc>
          <w:tcPr>
            <w:tcW w:w="1417" w:type="dxa"/>
            <w:tcBorders>
              <w:top w:val="nil"/>
              <w:left w:val="nil"/>
              <w:bottom w:val="single" w:sz="4" w:space="0" w:color="000000"/>
              <w:right w:val="single" w:sz="4" w:space="0" w:color="000000"/>
            </w:tcBorders>
            <w:shd w:val="clear" w:color="auto" w:fill="auto"/>
            <w:vAlign w:val="bottom"/>
          </w:tcPr>
          <w:p w14:paraId="0C1F5C6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52%</w:t>
            </w:r>
          </w:p>
        </w:tc>
        <w:tc>
          <w:tcPr>
            <w:tcW w:w="1985" w:type="dxa"/>
            <w:tcBorders>
              <w:top w:val="nil"/>
              <w:left w:val="nil"/>
              <w:bottom w:val="single" w:sz="4" w:space="0" w:color="000000"/>
              <w:right w:val="single" w:sz="4" w:space="0" w:color="000000"/>
            </w:tcBorders>
            <w:shd w:val="clear" w:color="auto" w:fill="auto"/>
            <w:vAlign w:val="bottom"/>
          </w:tcPr>
          <w:p w14:paraId="2A29854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15EA0FA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98</w:t>
            </w:r>
          </w:p>
        </w:tc>
      </w:tr>
      <w:tr w:rsidR="009E1C0A" w:rsidRPr="00DB065A" w14:paraId="04318C5C"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78008C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Laptops; MP3 players; tablets for educational purposes in public institutions - Loans</w:t>
            </w:r>
          </w:p>
        </w:tc>
        <w:tc>
          <w:tcPr>
            <w:tcW w:w="1417" w:type="dxa"/>
            <w:tcBorders>
              <w:top w:val="nil"/>
              <w:left w:val="nil"/>
              <w:bottom w:val="single" w:sz="4" w:space="0" w:color="000000"/>
              <w:right w:val="single" w:sz="4" w:space="0" w:color="000000"/>
            </w:tcBorders>
            <w:shd w:val="clear" w:color="auto" w:fill="auto"/>
            <w:vAlign w:val="bottom"/>
          </w:tcPr>
          <w:p w14:paraId="45DD3FE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33%</w:t>
            </w:r>
          </w:p>
        </w:tc>
        <w:tc>
          <w:tcPr>
            <w:tcW w:w="1985" w:type="dxa"/>
            <w:tcBorders>
              <w:top w:val="nil"/>
              <w:left w:val="nil"/>
              <w:bottom w:val="single" w:sz="4" w:space="0" w:color="000000"/>
              <w:right w:val="single" w:sz="4" w:space="0" w:color="000000"/>
            </w:tcBorders>
            <w:shd w:val="clear" w:color="auto" w:fill="auto"/>
            <w:vAlign w:val="bottom"/>
          </w:tcPr>
          <w:p w14:paraId="53E9BF6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4960087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w:t>
            </w:r>
          </w:p>
        </w:tc>
      </w:tr>
      <w:tr w:rsidR="009E1C0A" w:rsidRPr="00DB065A" w14:paraId="55DF7CD4"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BE251B3"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Laptops; MP3 players; tablets for educational purposes in private institutions - Loans</w:t>
            </w:r>
          </w:p>
        </w:tc>
        <w:tc>
          <w:tcPr>
            <w:tcW w:w="1417" w:type="dxa"/>
            <w:tcBorders>
              <w:top w:val="nil"/>
              <w:left w:val="nil"/>
              <w:bottom w:val="single" w:sz="4" w:space="0" w:color="000000"/>
              <w:right w:val="single" w:sz="4" w:space="0" w:color="000000"/>
            </w:tcBorders>
            <w:shd w:val="clear" w:color="auto" w:fill="auto"/>
            <w:vAlign w:val="bottom"/>
          </w:tcPr>
          <w:p w14:paraId="34654DA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61%</w:t>
            </w:r>
          </w:p>
        </w:tc>
        <w:tc>
          <w:tcPr>
            <w:tcW w:w="1985" w:type="dxa"/>
            <w:tcBorders>
              <w:top w:val="nil"/>
              <w:left w:val="nil"/>
              <w:bottom w:val="single" w:sz="4" w:space="0" w:color="000000"/>
              <w:right w:val="single" w:sz="4" w:space="0" w:color="000000"/>
            </w:tcBorders>
            <w:shd w:val="clear" w:color="auto" w:fill="auto"/>
            <w:vAlign w:val="bottom"/>
          </w:tcPr>
          <w:p w14:paraId="2D60721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806545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w:t>
            </w:r>
          </w:p>
        </w:tc>
      </w:tr>
      <w:tr w:rsidR="009E1C0A" w:rsidRPr="00DB065A" w14:paraId="56C76314"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9C4B35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Printers/scanners/copiers</w:t>
            </w:r>
          </w:p>
        </w:tc>
        <w:tc>
          <w:tcPr>
            <w:tcW w:w="1417" w:type="dxa"/>
            <w:tcBorders>
              <w:top w:val="nil"/>
              <w:left w:val="nil"/>
              <w:bottom w:val="single" w:sz="4" w:space="0" w:color="000000"/>
              <w:right w:val="single" w:sz="4" w:space="0" w:color="000000"/>
            </w:tcBorders>
            <w:shd w:val="clear" w:color="auto" w:fill="auto"/>
            <w:vAlign w:val="bottom"/>
          </w:tcPr>
          <w:p w14:paraId="0A20369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52%</w:t>
            </w:r>
          </w:p>
        </w:tc>
        <w:tc>
          <w:tcPr>
            <w:tcW w:w="1985" w:type="dxa"/>
            <w:tcBorders>
              <w:top w:val="nil"/>
              <w:left w:val="nil"/>
              <w:bottom w:val="single" w:sz="4" w:space="0" w:color="000000"/>
              <w:right w:val="single" w:sz="4" w:space="0" w:color="000000"/>
            </w:tcBorders>
            <w:shd w:val="clear" w:color="auto" w:fill="auto"/>
            <w:vAlign w:val="bottom"/>
          </w:tcPr>
          <w:p w14:paraId="10DC1F8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7B2F0A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7</w:t>
            </w:r>
          </w:p>
        </w:tc>
      </w:tr>
      <w:tr w:rsidR="009E1C0A" w:rsidRPr="00DB065A" w14:paraId="465B7812"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A30CE62"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Modems</w:t>
            </w:r>
          </w:p>
        </w:tc>
        <w:tc>
          <w:tcPr>
            <w:tcW w:w="1417" w:type="dxa"/>
            <w:tcBorders>
              <w:top w:val="nil"/>
              <w:left w:val="nil"/>
              <w:bottom w:val="single" w:sz="4" w:space="0" w:color="000000"/>
              <w:right w:val="single" w:sz="4" w:space="0" w:color="000000"/>
            </w:tcBorders>
            <w:shd w:val="clear" w:color="auto" w:fill="auto"/>
            <w:vAlign w:val="bottom"/>
          </w:tcPr>
          <w:p w14:paraId="7D6A507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50%</w:t>
            </w:r>
          </w:p>
        </w:tc>
        <w:tc>
          <w:tcPr>
            <w:tcW w:w="1985" w:type="dxa"/>
            <w:tcBorders>
              <w:top w:val="nil"/>
              <w:left w:val="nil"/>
              <w:bottom w:val="single" w:sz="4" w:space="0" w:color="000000"/>
              <w:right w:val="single" w:sz="4" w:space="0" w:color="000000"/>
            </w:tcBorders>
            <w:shd w:val="clear" w:color="auto" w:fill="auto"/>
            <w:vAlign w:val="bottom"/>
          </w:tcPr>
          <w:p w14:paraId="729D5D9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1A1C2F9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9</w:t>
            </w:r>
          </w:p>
        </w:tc>
      </w:tr>
      <w:tr w:rsidR="009E1C0A" w:rsidRPr="00DB065A" w14:paraId="21BD5E24"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E1A22CE"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Computer parts (e.g. motherboard; CPU; memory/RAM; graphics card; hard drives)</w:t>
            </w:r>
          </w:p>
        </w:tc>
        <w:tc>
          <w:tcPr>
            <w:tcW w:w="1417" w:type="dxa"/>
            <w:tcBorders>
              <w:top w:val="nil"/>
              <w:left w:val="nil"/>
              <w:bottom w:val="single" w:sz="4" w:space="0" w:color="000000"/>
              <w:right w:val="single" w:sz="4" w:space="0" w:color="000000"/>
            </w:tcBorders>
            <w:shd w:val="clear" w:color="auto" w:fill="auto"/>
            <w:vAlign w:val="bottom"/>
          </w:tcPr>
          <w:p w14:paraId="0BB611A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40%</w:t>
            </w:r>
          </w:p>
        </w:tc>
        <w:tc>
          <w:tcPr>
            <w:tcW w:w="1985" w:type="dxa"/>
            <w:tcBorders>
              <w:top w:val="nil"/>
              <w:left w:val="nil"/>
              <w:bottom w:val="single" w:sz="4" w:space="0" w:color="000000"/>
              <w:right w:val="single" w:sz="4" w:space="0" w:color="000000"/>
            </w:tcBorders>
            <w:shd w:val="clear" w:color="auto" w:fill="auto"/>
            <w:vAlign w:val="bottom"/>
          </w:tcPr>
          <w:p w14:paraId="62CF0A5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3BCC253D"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4</w:t>
            </w:r>
          </w:p>
        </w:tc>
      </w:tr>
      <w:tr w:rsidR="009E1C0A" w:rsidRPr="00DB065A" w14:paraId="075EEA0F"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78D161C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Flash disks; SD cards and portable external hard drives</w:t>
            </w:r>
          </w:p>
        </w:tc>
        <w:tc>
          <w:tcPr>
            <w:tcW w:w="1417" w:type="dxa"/>
            <w:tcBorders>
              <w:top w:val="nil"/>
              <w:left w:val="nil"/>
              <w:bottom w:val="single" w:sz="4" w:space="0" w:color="000000"/>
              <w:right w:val="single" w:sz="4" w:space="0" w:color="000000"/>
            </w:tcBorders>
            <w:shd w:val="clear" w:color="auto" w:fill="auto"/>
            <w:vAlign w:val="bottom"/>
          </w:tcPr>
          <w:p w14:paraId="13A0A27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66%</w:t>
            </w:r>
          </w:p>
        </w:tc>
        <w:tc>
          <w:tcPr>
            <w:tcW w:w="1985" w:type="dxa"/>
            <w:tcBorders>
              <w:top w:val="nil"/>
              <w:left w:val="nil"/>
              <w:bottom w:val="single" w:sz="4" w:space="0" w:color="000000"/>
              <w:right w:val="single" w:sz="4" w:space="0" w:color="000000"/>
            </w:tcBorders>
            <w:shd w:val="clear" w:color="auto" w:fill="auto"/>
            <w:vAlign w:val="bottom"/>
          </w:tcPr>
          <w:p w14:paraId="1485E8F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7047A3A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w:t>
            </w:r>
          </w:p>
        </w:tc>
      </w:tr>
      <w:tr w:rsidR="009E1C0A" w:rsidRPr="00DB065A" w14:paraId="7E326ED2"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5F45FC9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Other musical instruments; sound equipment and accessories</w:t>
            </w:r>
          </w:p>
        </w:tc>
        <w:tc>
          <w:tcPr>
            <w:tcW w:w="1417" w:type="dxa"/>
            <w:tcBorders>
              <w:top w:val="nil"/>
              <w:left w:val="nil"/>
              <w:bottom w:val="single" w:sz="4" w:space="0" w:color="000000"/>
              <w:right w:val="single" w:sz="4" w:space="0" w:color="000000"/>
            </w:tcBorders>
            <w:shd w:val="clear" w:color="auto" w:fill="auto"/>
            <w:vAlign w:val="bottom"/>
          </w:tcPr>
          <w:p w14:paraId="1AF72C95"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29%</w:t>
            </w:r>
          </w:p>
        </w:tc>
        <w:tc>
          <w:tcPr>
            <w:tcW w:w="1985" w:type="dxa"/>
            <w:tcBorders>
              <w:top w:val="nil"/>
              <w:left w:val="nil"/>
              <w:bottom w:val="single" w:sz="4" w:space="0" w:color="000000"/>
              <w:right w:val="single" w:sz="4" w:space="0" w:color="000000"/>
            </w:tcBorders>
            <w:shd w:val="clear" w:color="auto" w:fill="auto"/>
            <w:vAlign w:val="bottom"/>
          </w:tcPr>
          <w:p w14:paraId="177604CE"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25A320E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w:t>
            </w:r>
          </w:p>
        </w:tc>
      </w:tr>
      <w:tr w:rsidR="009E1C0A" w:rsidRPr="00DB065A" w14:paraId="717F66A6"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6FD268D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Musical instruments: Pianos; organs and other musical instruments</w:t>
            </w:r>
          </w:p>
        </w:tc>
        <w:tc>
          <w:tcPr>
            <w:tcW w:w="1417" w:type="dxa"/>
            <w:tcBorders>
              <w:top w:val="nil"/>
              <w:left w:val="nil"/>
              <w:bottom w:val="single" w:sz="4" w:space="0" w:color="000000"/>
              <w:right w:val="single" w:sz="4" w:space="0" w:color="000000"/>
            </w:tcBorders>
            <w:shd w:val="clear" w:color="auto" w:fill="auto"/>
            <w:vAlign w:val="bottom"/>
          </w:tcPr>
          <w:p w14:paraId="760E132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38%</w:t>
            </w:r>
          </w:p>
        </w:tc>
        <w:tc>
          <w:tcPr>
            <w:tcW w:w="1985" w:type="dxa"/>
            <w:tcBorders>
              <w:top w:val="nil"/>
              <w:left w:val="nil"/>
              <w:bottom w:val="single" w:sz="4" w:space="0" w:color="000000"/>
              <w:right w:val="single" w:sz="4" w:space="0" w:color="000000"/>
            </w:tcBorders>
            <w:shd w:val="clear" w:color="auto" w:fill="auto"/>
            <w:vAlign w:val="bottom"/>
          </w:tcPr>
          <w:p w14:paraId="15014E1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E1D34CC"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11</w:t>
            </w:r>
          </w:p>
        </w:tc>
      </w:tr>
      <w:tr w:rsidR="009E1C0A" w:rsidRPr="00DB065A" w14:paraId="3AB09C90"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F91E7EA"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Purchase of hunting dogs</w:t>
            </w:r>
          </w:p>
        </w:tc>
        <w:tc>
          <w:tcPr>
            <w:tcW w:w="1417" w:type="dxa"/>
            <w:tcBorders>
              <w:top w:val="nil"/>
              <w:left w:val="nil"/>
              <w:bottom w:val="single" w:sz="4" w:space="0" w:color="000000"/>
              <w:right w:val="single" w:sz="4" w:space="0" w:color="000000"/>
            </w:tcBorders>
            <w:shd w:val="clear" w:color="auto" w:fill="auto"/>
            <w:vAlign w:val="bottom"/>
          </w:tcPr>
          <w:p w14:paraId="5B7ACE5A"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63%</w:t>
            </w:r>
          </w:p>
        </w:tc>
        <w:tc>
          <w:tcPr>
            <w:tcW w:w="1985" w:type="dxa"/>
            <w:tcBorders>
              <w:top w:val="nil"/>
              <w:left w:val="nil"/>
              <w:bottom w:val="single" w:sz="4" w:space="0" w:color="000000"/>
              <w:right w:val="single" w:sz="4" w:space="0" w:color="000000"/>
            </w:tcBorders>
            <w:shd w:val="clear" w:color="auto" w:fill="auto"/>
            <w:vAlign w:val="bottom"/>
          </w:tcPr>
          <w:p w14:paraId="114B447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0F8D4C3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w:t>
            </w:r>
          </w:p>
        </w:tc>
      </w:tr>
      <w:tr w:rsidR="009E1C0A" w:rsidRPr="00DB065A" w14:paraId="35E475FC" w14:textId="77777777" w:rsidTr="00F93D19">
        <w:trPr>
          <w:trHeight w:val="840"/>
        </w:trPr>
        <w:tc>
          <w:tcPr>
            <w:tcW w:w="3850" w:type="dxa"/>
            <w:tcBorders>
              <w:top w:val="nil"/>
              <w:left w:val="single" w:sz="4" w:space="0" w:color="000000"/>
              <w:bottom w:val="single" w:sz="4" w:space="0" w:color="000000"/>
              <w:right w:val="single" w:sz="4" w:space="0" w:color="000000"/>
            </w:tcBorders>
            <w:shd w:val="clear" w:color="auto" w:fill="auto"/>
            <w:vAlign w:val="bottom"/>
          </w:tcPr>
          <w:p w14:paraId="247312F6"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Video games CDs/DVDs/Blu-ray/downloaded apps (include downloaded games: X-box; Play-Station; Wii games)</w:t>
            </w:r>
          </w:p>
        </w:tc>
        <w:tc>
          <w:tcPr>
            <w:tcW w:w="1417" w:type="dxa"/>
            <w:tcBorders>
              <w:top w:val="nil"/>
              <w:left w:val="nil"/>
              <w:bottom w:val="single" w:sz="4" w:space="0" w:color="000000"/>
              <w:right w:val="single" w:sz="4" w:space="0" w:color="000000"/>
            </w:tcBorders>
            <w:shd w:val="clear" w:color="auto" w:fill="auto"/>
            <w:vAlign w:val="bottom"/>
          </w:tcPr>
          <w:p w14:paraId="6DAB2841"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62%</w:t>
            </w:r>
          </w:p>
        </w:tc>
        <w:tc>
          <w:tcPr>
            <w:tcW w:w="1985" w:type="dxa"/>
            <w:tcBorders>
              <w:top w:val="nil"/>
              <w:left w:val="nil"/>
              <w:bottom w:val="single" w:sz="4" w:space="0" w:color="000000"/>
              <w:right w:val="single" w:sz="4" w:space="0" w:color="000000"/>
            </w:tcBorders>
            <w:shd w:val="clear" w:color="auto" w:fill="auto"/>
            <w:vAlign w:val="bottom"/>
          </w:tcPr>
          <w:p w14:paraId="5A342AFD"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1E6222F9"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22</w:t>
            </w:r>
          </w:p>
        </w:tc>
      </w:tr>
      <w:tr w:rsidR="009E1C0A" w:rsidRPr="00DB065A" w14:paraId="466E543C"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88F21F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Fire works</w:t>
            </w:r>
          </w:p>
        </w:tc>
        <w:tc>
          <w:tcPr>
            <w:tcW w:w="1417" w:type="dxa"/>
            <w:tcBorders>
              <w:top w:val="nil"/>
              <w:left w:val="nil"/>
              <w:bottom w:val="single" w:sz="4" w:space="0" w:color="000000"/>
              <w:right w:val="single" w:sz="4" w:space="0" w:color="000000"/>
            </w:tcBorders>
            <w:shd w:val="clear" w:color="auto" w:fill="auto"/>
            <w:vAlign w:val="bottom"/>
          </w:tcPr>
          <w:p w14:paraId="4617876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10%</w:t>
            </w:r>
          </w:p>
        </w:tc>
        <w:tc>
          <w:tcPr>
            <w:tcW w:w="1985" w:type="dxa"/>
            <w:tcBorders>
              <w:top w:val="nil"/>
              <w:left w:val="nil"/>
              <w:bottom w:val="single" w:sz="4" w:space="0" w:color="000000"/>
              <w:right w:val="single" w:sz="4" w:space="0" w:color="000000"/>
            </w:tcBorders>
            <w:shd w:val="clear" w:color="auto" w:fill="auto"/>
            <w:vAlign w:val="bottom"/>
          </w:tcPr>
          <w:p w14:paraId="0FB35A5C"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E9E3544"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w:t>
            </w:r>
          </w:p>
        </w:tc>
      </w:tr>
      <w:tr w:rsidR="009E1C0A" w:rsidRPr="00DB065A" w14:paraId="09632135"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1A2563F"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Firearms and ammunition (for security services)</w:t>
            </w:r>
          </w:p>
        </w:tc>
        <w:tc>
          <w:tcPr>
            <w:tcW w:w="1417" w:type="dxa"/>
            <w:tcBorders>
              <w:top w:val="nil"/>
              <w:left w:val="nil"/>
              <w:bottom w:val="single" w:sz="4" w:space="0" w:color="000000"/>
              <w:right w:val="single" w:sz="4" w:space="0" w:color="000000"/>
            </w:tcBorders>
            <w:shd w:val="clear" w:color="auto" w:fill="auto"/>
            <w:vAlign w:val="bottom"/>
          </w:tcPr>
          <w:p w14:paraId="1BD35733"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29%</w:t>
            </w:r>
          </w:p>
        </w:tc>
        <w:tc>
          <w:tcPr>
            <w:tcW w:w="1985" w:type="dxa"/>
            <w:tcBorders>
              <w:top w:val="nil"/>
              <w:left w:val="nil"/>
              <w:bottom w:val="single" w:sz="4" w:space="0" w:color="000000"/>
              <w:right w:val="single" w:sz="4" w:space="0" w:color="000000"/>
            </w:tcBorders>
            <w:shd w:val="clear" w:color="auto" w:fill="auto"/>
            <w:vAlign w:val="bottom"/>
          </w:tcPr>
          <w:p w14:paraId="15C50EBB"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43D2CF2F"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2</w:t>
            </w:r>
          </w:p>
        </w:tc>
      </w:tr>
      <w:tr w:rsidR="009E1C0A" w:rsidRPr="00DB065A" w14:paraId="103D590A" w14:textId="77777777" w:rsidTr="00F93D19">
        <w:trPr>
          <w:trHeight w:val="560"/>
        </w:trPr>
        <w:tc>
          <w:tcPr>
            <w:tcW w:w="3850" w:type="dxa"/>
            <w:tcBorders>
              <w:top w:val="nil"/>
              <w:left w:val="single" w:sz="4" w:space="0" w:color="000000"/>
              <w:bottom w:val="single" w:sz="4" w:space="0" w:color="000000"/>
              <w:right w:val="single" w:sz="4" w:space="0" w:color="000000"/>
            </w:tcBorders>
            <w:shd w:val="clear" w:color="auto" w:fill="auto"/>
            <w:vAlign w:val="bottom"/>
          </w:tcPr>
          <w:p w14:paraId="3AFDADA5"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Tennis rackets and balls; fishing rods; soccer ball; bats; etc.</w:t>
            </w:r>
          </w:p>
        </w:tc>
        <w:tc>
          <w:tcPr>
            <w:tcW w:w="1417" w:type="dxa"/>
            <w:tcBorders>
              <w:top w:val="nil"/>
              <w:left w:val="nil"/>
              <w:bottom w:val="single" w:sz="4" w:space="0" w:color="000000"/>
              <w:right w:val="single" w:sz="4" w:space="0" w:color="000000"/>
            </w:tcBorders>
            <w:shd w:val="clear" w:color="auto" w:fill="auto"/>
            <w:vAlign w:val="bottom"/>
          </w:tcPr>
          <w:p w14:paraId="30FB600B"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65%</w:t>
            </w:r>
          </w:p>
        </w:tc>
        <w:tc>
          <w:tcPr>
            <w:tcW w:w="1985" w:type="dxa"/>
            <w:tcBorders>
              <w:top w:val="nil"/>
              <w:left w:val="nil"/>
              <w:bottom w:val="single" w:sz="4" w:space="0" w:color="000000"/>
              <w:right w:val="single" w:sz="4" w:space="0" w:color="000000"/>
            </w:tcBorders>
            <w:shd w:val="clear" w:color="auto" w:fill="auto"/>
            <w:vAlign w:val="bottom"/>
          </w:tcPr>
          <w:p w14:paraId="36A05C50"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41024C7E"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13</w:t>
            </w:r>
          </w:p>
        </w:tc>
      </w:tr>
      <w:tr w:rsidR="009E1C0A" w:rsidRPr="00DB065A" w14:paraId="3BCD3472"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1C8D914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Camping equipment (tents; sleeping bags etc.)</w:t>
            </w:r>
          </w:p>
        </w:tc>
        <w:tc>
          <w:tcPr>
            <w:tcW w:w="1417" w:type="dxa"/>
            <w:tcBorders>
              <w:top w:val="nil"/>
              <w:left w:val="nil"/>
              <w:bottom w:val="single" w:sz="4" w:space="0" w:color="000000"/>
              <w:right w:val="single" w:sz="4" w:space="0" w:color="000000"/>
            </w:tcBorders>
            <w:shd w:val="clear" w:color="auto" w:fill="auto"/>
            <w:vAlign w:val="bottom"/>
          </w:tcPr>
          <w:p w14:paraId="7E0A1C10"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66%</w:t>
            </w:r>
          </w:p>
        </w:tc>
        <w:tc>
          <w:tcPr>
            <w:tcW w:w="1985" w:type="dxa"/>
            <w:tcBorders>
              <w:top w:val="nil"/>
              <w:left w:val="nil"/>
              <w:bottom w:val="single" w:sz="4" w:space="0" w:color="000000"/>
              <w:right w:val="single" w:sz="4" w:space="0" w:color="000000"/>
            </w:tcBorders>
            <w:shd w:val="clear" w:color="auto" w:fill="auto"/>
            <w:vAlign w:val="bottom"/>
          </w:tcPr>
          <w:p w14:paraId="64E38D84"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08B8FCF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16</w:t>
            </w:r>
          </w:p>
        </w:tc>
      </w:tr>
      <w:tr w:rsidR="009E1C0A" w:rsidRPr="00DB065A" w14:paraId="64129C80" w14:textId="77777777" w:rsidTr="00F93D19">
        <w:trPr>
          <w:trHeight w:val="280"/>
        </w:trPr>
        <w:tc>
          <w:tcPr>
            <w:tcW w:w="3850" w:type="dxa"/>
            <w:tcBorders>
              <w:top w:val="nil"/>
              <w:left w:val="single" w:sz="4" w:space="0" w:color="000000"/>
              <w:bottom w:val="single" w:sz="4" w:space="0" w:color="000000"/>
              <w:right w:val="single" w:sz="4" w:space="0" w:color="000000"/>
            </w:tcBorders>
            <w:shd w:val="clear" w:color="auto" w:fill="auto"/>
            <w:vAlign w:val="bottom"/>
          </w:tcPr>
          <w:p w14:paraId="4A61D367"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Watches and personal jewellery</w:t>
            </w:r>
          </w:p>
        </w:tc>
        <w:tc>
          <w:tcPr>
            <w:tcW w:w="1417" w:type="dxa"/>
            <w:tcBorders>
              <w:top w:val="nil"/>
              <w:left w:val="nil"/>
              <w:bottom w:val="single" w:sz="4" w:space="0" w:color="000000"/>
              <w:right w:val="single" w:sz="4" w:space="0" w:color="000000"/>
            </w:tcBorders>
            <w:shd w:val="clear" w:color="auto" w:fill="auto"/>
            <w:vAlign w:val="bottom"/>
          </w:tcPr>
          <w:p w14:paraId="25F7F607"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57%</w:t>
            </w:r>
          </w:p>
        </w:tc>
        <w:tc>
          <w:tcPr>
            <w:tcW w:w="1985" w:type="dxa"/>
            <w:tcBorders>
              <w:top w:val="nil"/>
              <w:left w:val="nil"/>
              <w:bottom w:val="single" w:sz="4" w:space="0" w:color="000000"/>
              <w:right w:val="single" w:sz="4" w:space="0" w:color="000000"/>
            </w:tcBorders>
            <w:shd w:val="clear" w:color="auto" w:fill="auto"/>
            <w:vAlign w:val="bottom"/>
          </w:tcPr>
          <w:p w14:paraId="34A63BB1" w14:textId="77777777" w:rsidR="009E1C0A" w:rsidRPr="00F93D19" w:rsidRDefault="00702B4F">
            <w:pPr>
              <w:rPr>
                <w:rFonts w:eastAsia="Cambria"/>
                <w:color w:val="000000"/>
                <w:sz w:val="20"/>
                <w:szCs w:val="20"/>
                <w:lang w:val="en-GB"/>
              </w:rPr>
            </w:pPr>
            <w:r w:rsidRPr="00F93D19">
              <w:rPr>
                <w:rFonts w:eastAsia="Cambria"/>
                <w:color w:val="000000"/>
                <w:sz w:val="20"/>
                <w:szCs w:val="20"/>
                <w:lang w:val="en-GB"/>
              </w:rPr>
              <w:t> </w:t>
            </w:r>
          </w:p>
        </w:tc>
        <w:tc>
          <w:tcPr>
            <w:tcW w:w="1977" w:type="dxa"/>
            <w:tcBorders>
              <w:top w:val="nil"/>
              <w:left w:val="nil"/>
              <w:bottom w:val="single" w:sz="4" w:space="0" w:color="000000"/>
              <w:right w:val="single" w:sz="4" w:space="0" w:color="000000"/>
            </w:tcBorders>
            <w:shd w:val="clear" w:color="auto" w:fill="auto"/>
            <w:vAlign w:val="bottom"/>
          </w:tcPr>
          <w:p w14:paraId="684CC446" w14:textId="77777777" w:rsidR="009E1C0A" w:rsidRPr="00F93D19" w:rsidRDefault="00702B4F">
            <w:pPr>
              <w:jc w:val="right"/>
              <w:rPr>
                <w:rFonts w:eastAsia="Cambria"/>
                <w:color w:val="000000"/>
                <w:sz w:val="20"/>
                <w:szCs w:val="20"/>
                <w:lang w:val="en-GB"/>
              </w:rPr>
            </w:pPr>
            <w:r w:rsidRPr="00F93D19">
              <w:rPr>
                <w:rFonts w:eastAsia="Cambria"/>
                <w:color w:val="000000"/>
                <w:sz w:val="20"/>
                <w:szCs w:val="20"/>
                <w:lang w:val="en-GB"/>
              </w:rPr>
              <w:t>126</w:t>
            </w:r>
          </w:p>
        </w:tc>
      </w:tr>
    </w:tbl>
    <w:p w14:paraId="43C6EA96" w14:textId="746299AD" w:rsidR="009E1C0A" w:rsidRPr="00DB065A" w:rsidRDefault="00055A95">
      <w:pPr>
        <w:spacing w:line="288" w:lineRule="auto"/>
        <w:jc w:val="both"/>
        <w:rPr>
          <w:b/>
          <w:color w:val="000000"/>
          <w:sz w:val="24"/>
          <w:szCs w:val="24"/>
          <w:lang w:val="en-GB"/>
        </w:rPr>
      </w:pPr>
      <w:r>
        <w:rPr>
          <w:b/>
          <w:color w:val="000000"/>
          <w:sz w:val="24"/>
          <w:szCs w:val="24"/>
          <w:lang w:val="en-GB"/>
        </w:rPr>
        <w:lastRenderedPageBreak/>
        <w:t>4</w:t>
      </w:r>
      <w:r w:rsidR="00702B4F" w:rsidRPr="00DB065A">
        <w:rPr>
          <w:b/>
          <w:color w:val="000000"/>
          <w:sz w:val="24"/>
          <w:szCs w:val="24"/>
          <w:lang w:val="en-GB"/>
        </w:rPr>
        <w:t>.</w:t>
      </w:r>
      <w:r w:rsidR="00702B4F" w:rsidRPr="00DB065A">
        <w:rPr>
          <w:b/>
          <w:sz w:val="24"/>
          <w:szCs w:val="24"/>
          <w:lang w:val="en-GB"/>
        </w:rPr>
        <w:t>3</w:t>
      </w:r>
      <w:r w:rsidR="00702B4F" w:rsidRPr="00DB065A">
        <w:rPr>
          <w:b/>
          <w:color w:val="000000"/>
          <w:sz w:val="24"/>
          <w:szCs w:val="24"/>
          <w:lang w:val="en-GB"/>
        </w:rPr>
        <w:t xml:space="preserve">. Recommendations </w:t>
      </w:r>
      <w:r w:rsidR="00702B4F" w:rsidRPr="00DB065A">
        <w:rPr>
          <w:b/>
          <w:sz w:val="24"/>
          <w:szCs w:val="24"/>
          <w:lang w:val="en-GB"/>
        </w:rPr>
        <w:t>for</w:t>
      </w:r>
      <w:r w:rsidR="00702B4F" w:rsidRPr="00DB065A">
        <w:rPr>
          <w:b/>
          <w:color w:val="000000"/>
          <w:sz w:val="24"/>
          <w:szCs w:val="24"/>
          <w:lang w:val="en-GB"/>
        </w:rPr>
        <w:t xml:space="preserve"> further investments in social programmes</w:t>
      </w:r>
    </w:p>
    <w:p w14:paraId="4122440D" w14:textId="77777777" w:rsidR="009E1C0A" w:rsidRPr="00DB065A" w:rsidRDefault="009E1C0A">
      <w:pPr>
        <w:jc w:val="both"/>
        <w:rPr>
          <w:sz w:val="24"/>
          <w:szCs w:val="24"/>
          <w:lang w:val="en-GB"/>
        </w:rPr>
      </w:pPr>
    </w:p>
    <w:p w14:paraId="5A996C1B" w14:textId="77777777" w:rsidR="009E1C0A" w:rsidRPr="00DB065A" w:rsidRDefault="00702B4F">
      <w:pPr>
        <w:jc w:val="both"/>
        <w:rPr>
          <w:b/>
          <w:sz w:val="24"/>
          <w:szCs w:val="24"/>
          <w:lang w:val="en-GB"/>
        </w:rPr>
      </w:pPr>
      <w:r w:rsidRPr="00DB065A">
        <w:rPr>
          <w:b/>
          <w:sz w:val="24"/>
          <w:szCs w:val="24"/>
          <w:lang w:val="en-GB"/>
        </w:rPr>
        <w:t>Social grants</w:t>
      </w:r>
    </w:p>
    <w:p w14:paraId="4AD5294A" w14:textId="77777777" w:rsidR="009E1C0A" w:rsidRPr="00DB065A" w:rsidRDefault="009E1C0A">
      <w:pPr>
        <w:spacing w:line="288" w:lineRule="auto"/>
        <w:jc w:val="both"/>
        <w:rPr>
          <w:sz w:val="24"/>
          <w:szCs w:val="24"/>
          <w:lang w:val="en-GB"/>
        </w:rPr>
      </w:pPr>
    </w:p>
    <w:p w14:paraId="6E9DE1C8" w14:textId="0393A54E" w:rsidR="009E1C0A" w:rsidRPr="00DB065A" w:rsidRDefault="00702B4F">
      <w:pPr>
        <w:jc w:val="both"/>
        <w:rPr>
          <w:sz w:val="24"/>
          <w:szCs w:val="24"/>
          <w:lang w:val="en-GB"/>
        </w:rPr>
      </w:pPr>
      <w:bookmarkStart w:id="3" w:name="_3znysh7" w:colFirst="0" w:colLast="0"/>
      <w:bookmarkEnd w:id="3"/>
      <w:r w:rsidRPr="00DB065A">
        <w:rPr>
          <w:sz w:val="24"/>
          <w:szCs w:val="24"/>
          <w:lang w:val="en-GB"/>
        </w:rPr>
        <w:t>We support the Panel’s recommendations with regards to increasing social grants, in particular with regards to the Child Support Grant (CSG). The Panel proposes an additional R20/month be add</w:t>
      </w:r>
      <w:r w:rsidR="00055A95">
        <w:rPr>
          <w:sz w:val="24"/>
          <w:szCs w:val="24"/>
          <w:lang w:val="en-GB"/>
        </w:rPr>
        <w:t>ed</w:t>
      </w:r>
      <w:r w:rsidRPr="00DB065A">
        <w:rPr>
          <w:sz w:val="24"/>
          <w:szCs w:val="24"/>
          <w:lang w:val="en-GB"/>
        </w:rPr>
        <w:t xml:space="preserve"> to the CSG, taking it from R400 to R420.</w:t>
      </w:r>
      <w:r w:rsidR="00055A95" w:rsidRPr="00055A95">
        <w:rPr>
          <w:sz w:val="24"/>
          <w:szCs w:val="24"/>
          <w:lang w:val="en-GB"/>
        </w:rPr>
        <w:t xml:space="preserve"> </w:t>
      </w:r>
      <w:r w:rsidR="00055A95" w:rsidRPr="00DB065A">
        <w:rPr>
          <w:sz w:val="24"/>
          <w:szCs w:val="24"/>
          <w:lang w:val="en-GB"/>
        </w:rPr>
        <w:t>This would cost the fiscus approximately R3 billion and provide an additional R456 per year to households in decile 1</w:t>
      </w:r>
      <w:r w:rsidR="00240F49">
        <w:rPr>
          <w:sz w:val="24"/>
          <w:szCs w:val="24"/>
          <w:lang w:val="en-GB"/>
        </w:rPr>
        <w:t xml:space="preserve"> – the poorest decile</w:t>
      </w:r>
      <w:r w:rsidR="00055A95" w:rsidRPr="00DB065A">
        <w:rPr>
          <w:sz w:val="24"/>
          <w:szCs w:val="24"/>
          <w:lang w:val="en-GB"/>
        </w:rPr>
        <w:t>.</w:t>
      </w:r>
      <w:r w:rsidR="00055A95">
        <w:rPr>
          <w:sz w:val="24"/>
          <w:szCs w:val="24"/>
          <w:lang w:val="en-GB"/>
        </w:rPr>
        <w:t xml:space="preserve"> </w:t>
      </w:r>
      <w:r w:rsidRPr="00DB065A">
        <w:rPr>
          <w:sz w:val="24"/>
          <w:szCs w:val="24"/>
          <w:lang w:val="en-GB"/>
        </w:rPr>
        <w:t>If this addition is made in October 2018</w:t>
      </w:r>
      <w:r w:rsidR="00055A95">
        <w:rPr>
          <w:sz w:val="24"/>
          <w:szCs w:val="24"/>
          <w:lang w:val="en-GB"/>
        </w:rPr>
        <w:t xml:space="preserve">, </w:t>
      </w:r>
      <w:r w:rsidRPr="00DB065A">
        <w:rPr>
          <w:sz w:val="24"/>
          <w:szCs w:val="24"/>
          <w:lang w:val="en-GB"/>
        </w:rPr>
        <w:t xml:space="preserve">after the already </w:t>
      </w:r>
      <w:r w:rsidR="00055A95">
        <w:rPr>
          <w:sz w:val="24"/>
          <w:szCs w:val="24"/>
          <w:lang w:val="en-GB"/>
        </w:rPr>
        <w:t>promised R10 inflation increase</w:t>
      </w:r>
      <w:r w:rsidRPr="00DB065A">
        <w:rPr>
          <w:sz w:val="24"/>
          <w:szCs w:val="24"/>
          <w:lang w:val="en-GB"/>
        </w:rPr>
        <w:t xml:space="preserve">, the CSG would total R430. </w:t>
      </w:r>
    </w:p>
    <w:p w14:paraId="39EBB70F" w14:textId="77777777" w:rsidR="009E1C0A" w:rsidRPr="00DB065A" w:rsidRDefault="009E1C0A">
      <w:pPr>
        <w:jc w:val="both"/>
        <w:rPr>
          <w:sz w:val="24"/>
          <w:szCs w:val="24"/>
          <w:lang w:val="en-GB"/>
        </w:rPr>
      </w:pPr>
      <w:bookmarkStart w:id="4" w:name="_gpf8zajo8sya" w:colFirst="0" w:colLast="0"/>
      <w:bookmarkEnd w:id="4"/>
    </w:p>
    <w:p w14:paraId="22DA889A" w14:textId="77777777" w:rsidR="009E1C0A" w:rsidRPr="00DB065A" w:rsidRDefault="00702B4F">
      <w:pPr>
        <w:jc w:val="both"/>
        <w:rPr>
          <w:sz w:val="24"/>
          <w:szCs w:val="24"/>
          <w:lang w:val="en-GB"/>
        </w:rPr>
      </w:pPr>
      <w:bookmarkStart w:id="5" w:name="_hdgo02ec3kco" w:colFirst="0" w:colLast="0"/>
      <w:bookmarkEnd w:id="5"/>
      <w:r w:rsidRPr="00DB065A">
        <w:rPr>
          <w:sz w:val="24"/>
          <w:szCs w:val="24"/>
          <w:lang w:val="en-GB"/>
        </w:rPr>
        <w:t>Our reasons for supporting this proposal are based on the following considerations:</w:t>
      </w:r>
    </w:p>
    <w:p w14:paraId="34B740BB" w14:textId="77777777" w:rsidR="009E1C0A" w:rsidRPr="00DB065A" w:rsidRDefault="00702B4F">
      <w:pPr>
        <w:numPr>
          <w:ilvl w:val="0"/>
          <w:numId w:val="1"/>
        </w:numPr>
        <w:contextualSpacing/>
        <w:jc w:val="both"/>
        <w:rPr>
          <w:sz w:val="24"/>
          <w:szCs w:val="24"/>
          <w:lang w:val="en-GB"/>
        </w:rPr>
      </w:pPr>
      <w:bookmarkStart w:id="6" w:name="_s644lvwc1ave" w:colFirst="0" w:colLast="0"/>
      <w:bookmarkEnd w:id="6"/>
      <w:r w:rsidRPr="00DB065A">
        <w:rPr>
          <w:sz w:val="24"/>
          <w:szCs w:val="24"/>
          <w:lang w:val="en-GB"/>
        </w:rPr>
        <w:t>The CSG is South Africa’s biggest and most successful poverty alleviation programme for children. Investing further in this programme is a ‘sure-bet’ due to the wealth of credible evidence on the programme’s positive impact on reducing child poverty rates and improving nutrition, health and education outcomes.</w:t>
      </w:r>
    </w:p>
    <w:p w14:paraId="753B1607" w14:textId="77777777" w:rsidR="009E1C0A" w:rsidRPr="00DB065A" w:rsidRDefault="00702B4F">
      <w:pPr>
        <w:numPr>
          <w:ilvl w:val="0"/>
          <w:numId w:val="1"/>
        </w:numPr>
        <w:spacing w:before="120"/>
        <w:contextualSpacing/>
        <w:jc w:val="both"/>
        <w:rPr>
          <w:sz w:val="24"/>
          <w:szCs w:val="24"/>
          <w:lang w:val="en-GB"/>
        </w:rPr>
      </w:pPr>
      <w:r w:rsidRPr="00DB065A">
        <w:rPr>
          <w:sz w:val="24"/>
          <w:szCs w:val="24"/>
          <w:lang w:val="en-GB"/>
        </w:rPr>
        <w:t>South Africa still has very high child poverty rates. Indicating that further investment in the CSG is much needed. Of the total population of 19.6 million children, 12.7 million (65%) lived below the Statistics South Africa upper bound poverty line of R1138 per capita in 2017.</w:t>
      </w:r>
      <w:r w:rsidRPr="00DB065A">
        <w:rPr>
          <w:sz w:val="24"/>
          <w:szCs w:val="24"/>
          <w:vertAlign w:val="superscript"/>
          <w:lang w:val="en-GB"/>
        </w:rPr>
        <w:footnoteReference w:id="9"/>
      </w:r>
      <w:r w:rsidRPr="00DB065A">
        <w:rPr>
          <w:sz w:val="24"/>
          <w:szCs w:val="24"/>
          <w:lang w:val="en-GB"/>
        </w:rPr>
        <w:t xml:space="preserve"> The national average masks striking provincial and rural-urban variations in child poverty. For example, in KwaZulu-Natal, Eastern Cape and Limpopo, over 75% of children live in poverty while in Gauteng and Western Cape the rate is under 45%. Child poverty is the highest in the rural areas of the former homelands at 86% compared to 50% in urban areas.</w:t>
      </w:r>
    </w:p>
    <w:p w14:paraId="76C91169" w14:textId="77777777" w:rsidR="009E1C0A" w:rsidRPr="00DB065A" w:rsidRDefault="00702B4F">
      <w:pPr>
        <w:numPr>
          <w:ilvl w:val="0"/>
          <w:numId w:val="1"/>
        </w:numPr>
        <w:contextualSpacing/>
        <w:jc w:val="both"/>
        <w:rPr>
          <w:sz w:val="24"/>
          <w:szCs w:val="24"/>
          <w:lang w:val="en-GB"/>
        </w:rPr>
      </w:pPr>
      <w:bookmarkStart w:id="7" w:name="_xa10jz42s2fo" w:colFirst="0" w:colLast="0"/>
      <w:bookmarkEnd w:id="7"/>
      <w:r w:rsidRPr="00DB065A">
        <w:rPr>
          <w:sz w:val="24"/>
          <w:szCs w:val="24"/>
          <w:lang w:val="en-GB"/>
        </w:rPr>
        <w:t>We agree with the Panel that further investment in the CSG has the potential to reduce urban/rural inequality due to its high uptake in rural provinces. The increased financial flows into rural areas will also stimulate the growth of rural economies.</w:t>
      </w:r>
    </w:p>
    <w:p w14:paraId="1AADE78D" w14:textId="52395842" w:rsidR="009E1C0A" w:rsidRPr="00DB065A" w:rsidRDefault="00702B4F">
      <w:pPr>
        <w:numPr>
          <w:ilvl w:val="0"/>
          <w:numId w:val="1"/>
        </w:numPr>
        <w:contextualSpacing/>
        <w:jc w:val="both"/>
        <w:rPr>
          <w:sz w:val="24"/>
          <w:szCs w:val="24"/>
          <w:lang w:val="en-GB"/>
        </w:rPr>
      </w:pPr>
      <w:bookmarkStart w:id="8" w:name="_nyo9z6jrma9e" w:colFirst="0" w:colLast="0"/>
      <w:bookmarkEnd w:id="8"/>
      <w:r w:rsidRPr="00DB065A">
        <w:rPr>
          <w:sz w:val="24"/>
          <w:szCs w:val="24"/>
          <w:lang w:val="en-GB"/>
        </w:rPr>
        <w:t>The CSG is particularly pro-poor. The Panel presents an analysis of all the social grants and illustrates that 74% of all households in decile 1 (the poorest decile) receive a CSG, compared to the next biggest contender, the Old Age Pension at 26%</w:t>
      </w:r>
      <w:r w:rsidRPr="00DB065A">
        <w:rPr>
          <w:sz w:val="24"/>
          <w:szCs w:val="24"/>
          <w:vertAlign w:val="superscript"/>
          <w:lang w:val="en-GB"/>
        </w:rPr>
        <w:footnoteReference w:id="10"/>
      </w:r>
      <w:r w:rsidRPr="00DB065A">
        <w:rPr>
          <w:sz w:val="24"/>
          <w:szCs w:val="24"/>
          <w:lang w:val="en-GB"/>
        </w:rPr>
        <w:t xml:space="preserve">. This means that further investment in the CSG will </w:t>
      </w:r>
      <w:r w:rsidR="00240F49">
        <w:rPr>
          <w:sz w:val="24"/>
          <w:szCs w:val="24"/>
          <w:lang w:val="en-GB"/>
        </w:rPr>
        <w:t xml:space="preserve">definitely </w:t>
      </w:r>
      <w:r w:rsidRPr="00DB065A">
        <w:rPr>
          <w:sz w:val="24"/>
          <w:szCs w:val="24"/>
          <w:lang w:val="en-GB"/>
        </w:rPr>
        <w:t>reach the poorest of the poor.</w:t>
      </w:r>
    </w:p>
    <w:p w14:paraId="1C98D02F" w14:textId="77777777" w:rsidR="009E1C0A" w:rsidRPr="00DB065A" w:rsidRDefault="00702B4F">
      <w:pPr>
        <w:numPr>
          <w:ilvl w:val="0"/>
          <w:numId w:val="1"/>
        </w:numPr>
        <w:contextualSpacing/>
        <w:jc w:val="both"/>
        <w:rPr>
          <w:sz w:val="24"/>
          <w:szCs w:val="24"/>
          <w:lang w:val="en-GB"/>
        </w:rPr>
      </w:pPr>
      <w:bookmarkStart w:id="9" w:name="_x39ipf5uoiho" w:colFirst="0" w:colLast="0"/>
      <w:bookmarkEnd w:id="9"/>
      <w:r w:rsidRPr="00DB065A">
        <w:rPr>
          <w:sz w:val="24"/>
          <w:szCs w:val="24"/>
          <w:lang w:val="en-GB"/>
        </w:rPr>
        <w:t xml:space="preserve">The CSG amount of R400 (April 2018) is significantly below the Stats SA food poverty line of R547/month in 2018 Rands. Approximately 7 million children </w:t>
      </w:r>
      <w:r w:rsidRPr="00DB065A">
        <w:rPr>
          <w:sz w:val="24"/>
          <w:szCs w:val="24"/>
          <w:lang w:val="en-GB"/>
        </w:rPr>
        <w:lastRenderedPageBreak/>
        <w:t>(36%) live below this food poverty line,</w:t>
      </w:r>
      <w:r w:rsidRPr="00DB065A">
        <w:rPr>
          <w:sz w:val="24"/>
          <w:szCs w:val="24"/>
          <w:vertAlign w:val="superscript"/>
          <w:lang w:val="en-GB"/>
        </w:rPr>
        <w:footnoteReference w:id="11"/>
      </w:r>
      <w:r w:rsidRPr="00DB065A">
        <w:rPr>
          <w:sz w:val="24"/>
          <w:szCs w:val="24"/>
          <w:lang w:val="en-GB"/>
        </w:rPr>
        <w:t xml:space="preserve"> meaning that they are not receiving sufficient food to meet their basic nutritional needs. Children living below the food poverty line are likely to end up stunted (low height for age) as is evidenced by the stunting rate of 27% of all children under 5 years of age. Stunting has long term negative consequences for the affected child and the country’s economy due to its negative and often irreversible impact on the child’s ability to develop, learn and enter the labour market. Based on numerous research studies on the positive impact of the CSG</w:t>
      </w:r>
      <w:r w:rsidRPr="00DB065A">
        <w:rPr>
          <w:sz w:val="24"/>
          <w:szCs w:val="24"/>
          <w:vertAlign w:val="superscript"/>
          <w:lang w:val="en-GB"/>
        </w:rPr>
        <w:footnoteReference w:id="12"/>
      </w:r>
      <w:r w:rsidRPr="00DB065A">
        <w:rPr>
          <w:sz w:val="24"/>
          <w:szCs w:val="24"/>
          <w:lang w:val="en-GB"/>
        </w:rPr>
        <w:t>, increasing the CSG amount is highly likely to reduce the number of children living below the poverty line and therefore also reduce the stunting rates.</w:t>
      </w:r>
    </w:p>
    <w:p w14:paraId="2D776B40" w14:textId="77777777" w:rsidR="009E1C0A" w:rsidRPr="00DB065A" w:rsidRDefault="00702B4F">
      <w:pPr>
        <w:numPr>
          <w:ilvl w:val="0"/>
          <w:numId w:val="1"/>
        </w:numPr>
        <w:contextualSpacing/>
        <w:jc w:val="both"/>
        <w:rPr>
          <w:sz w:val="24"/>
          <w:szCs w:val="24"/>
          <w:lang w:val="en-GB"/>
        </w:rPr>
      </w:pPr>
      <w:bookmarkStart w:id="10" w:name="_3tfkyhdw9q7" w:colFirst="0" w:colLast="0"/>
      <w:bookmarkEnd w:id="10"/>
      <w:r w:rsidRPr="00DB065A">
        <w:rPr>
          <w:sz w:val="24"/>
          <w:szCs w:val="24"/>
          <w:lang w:val="en-GB"/>
        </w:rPr>
        <w:t>Analysis of trends in child nutrition show that while child hunger has been gradually declining over the past 15 years, the rates of stunting have not changed significantly over this period and are  now starting to increase (see figure 1 below), indicating that people are less able to afford food of high nutritional value, especially protein. One of the reasons cited for this pattern is the low value of the CSG compared to rising food prices.</w:t>
      </w:r>
      <w:r w:rsidRPr="00DB065A">
        <w:rPr>
          <w:sz w:val="24"/>
          <w:szCs w:val="24"/>
          <w:vertAlign w:val="superscript"/>
          <w:lang w:val="en-GB"/>
        </w:rPr>
        <w:footnoteReference w:id="13"/>
      </w:r>
      <w:r w:rsidRPr="00DB065A">
        <w:rPr>
          <w:sz w:val="24"/>
          <w:szCs w:val="24"/>
          <w:lang w:val="en-GB"/>
        </w:rPr>
        <w:t xml:space="preserve"> </w:t>
      </w:r>
    </w:p>
    <w:p w14:paraId="40F23A78" w14:textId="77777777" w:rsidR="00F93D19" w:rsidRDefault="00F93D19">
      <w:pPr>
        <w:jc w:val="center"/>
        <w:rPr>
          <w:lang w:val="en-GB"/>
        </w:rPr>
      </w:pPr>
      <w:bookmarkStart w:id="11" w:name="_4baa8ztf2lzv" w:colFirst="0" w:colLast="0"/>
      <w:bookmarkEnd w:id="11"/>
    </w:p>
    <w:p w14:paraId="5F02F1E9" w14:textId="77777777" w:rsidR="009E1C0A" w:rsidRPr="00DB065A" w:rsidRDefault="00702B4F">
      <w:pPr>
        <w:jc w:val="center"/>
        <w:rPr>
          <w:b/>
          <w:lang w:val="en-GB"/>
        </w:rPr>
      </w:pPr>
      <w:r w:rsidRPr="00DB065A">
        <w:rPr>
          <w:lang w:val="en-GB"/>
        </w:rPr>
        <w:t>Figure 1.</w:t>
      </w:r>
      <w:r w:rsidRPr="00DB065A">
        <w:rPr>
          <w:b/>
          <w:lang w:val="en-GB"/>
        </w:rPr>
        <w:t xml:space="preserve"> Trends in stunting for children under 5</w:t>
      </w:r>
    </w:p>
    <w:p w14:paraId="0F076FFC" w14:textId="77777777" w:rsidR="009E1C0A" w:rsidRPr="00DB065A" w:rsidRDefault="00702B4F">
      <w:pPr>
        <w:jc w:val="center"/>
        <w:rPr>
          <w:lang w:val="en-GB"/>
        </w:rPr>
      </w:pPr>
      <w:r w:rsidRPr="00DB065A">
        <w:rPr>
          <w:noProof/>
          <w:lang w:val="en-ZA"/>
        </w:rPr>
        <w:drawing>
          <wp:inline distT="0" distB="0" distL="0" distR="0" wp14:anchorId="6007598A" wp14:editId="1502DEC6">
            <wp:extent cx="4467225" cy="2362200"/>
            <wp:effectExtent l="0" t="0" r="0" b="0"/>
            <wp:docPr id="10" name="image20.gif" descr="cid:image001.png@01D3F8E7.8B765C00"/>
            <wp:cNvGraphicFramePr/>
            <a:graphic xmlns:a="http://schemas.openxmlformats.org/drawingml/2006/main">
              <a:graphicData uri="http://schemas.openxmlformats.org/drawingml/2006/picture">
                <pic:pic xmlns:pic="http://schemas.openxmlformats.org/drawingml/2006/picture">
                  <pic:nvPicPr>
                    <pic:cNvPr id="0" name="image20.gif" descr="cid:image001.png@01D3F8E7.8B765C00"/>
                    <pic:cNvPicPr preferRelativeResize="0"/>
                  </pic:nvPicPr>
                  <pic:blipFill>
                    <a:blip r:embed="rId19"/>
                    <a:srcRect/>
                    <a:stretch>
                      <a:fillRect/>
                    </a:stretch>
                  </pic:blipFill>
                  <pic:spPr>
                    <a:xfrm>
                      <a:off x="0" y="0"/>
                      <a:ext cx="4467225" cy="2362200"/>
                    </a:xfrm>
                    <a:prstGeom prst="rect">
                      <a:avLst/>
                    </a:prstGeom>
                    <a:ln/>
                  </pic:spPr>
                </pic:pic>
              </a:graphicData>
            </a:graphic>
          </wp:inline>
        </w:drawing>
      </w:r>
    </w:p>
    <w:p w14:paraId="2B5FBF16" w14:textId="77777777" w:rsidR="009E1C0A" w:rsidRPr="00DB065A" w:rsidRDefault="00702B4F">
      <w:pPr>
        <w:rPr>
          <w:sz w:val="18"/>
          <w:szCs w:val="18"/>
          <w:lang w:val="en-GB"/>
        </w:rPr>
      </w:pPr>
      <w:r w:rsidRPr="00DB065A">
        <w:rPr>
          <w:b/>
          <w:sz w:val="18"/>
          <w:szCs w:val="18"/>
          <w:lang w:val="en-GB"/>
        </w:rPr>
        <w:t>Source:</w:t>
      </w:r>
      <w:r w:rsidRPr="00DB065A">
        <w:rPr>
          <w:sz w:val="18"/>
          <w:szCs w:val="18"/>
          <w:lang w:val="en-GB"/>
        </w:rPr>
        <w:t xml:space="preserve"> Analysis by Sambu W, Children’s Institute, UCT based on Project for Statistics on Living Standards and Development (PSLSD) of 1993; NIDS (2008); South African Health and Nutrition Examination Survey (2012); NIDS 2014/15; and South African Demographic and Health Survey (2016) </w:t>
      </w:r>
    </w:p>
    <w:p w14:paraId="13326CBC" w14:textId="77777777" w:rsidR="009E1C0A" w:rsidRPr="00DB065A" w:rsidRDefault="009E1C0A">
      <w:pPr>
        <w:jc w:val="both"/>
        <w:rPr>
          <w:sz w:val="24"/>
          <w:szCs w:val="24"/>
          <w:lang w:val="en-GB"/>
        </w:rPr>
      </w:pPr>
    </w:p>
    <w:p w14:paraId="6E4D201C" w14:textId="3247B527" w:rsidR="009E1C0A" w:rsidRPr="00DB065A" w:rsidRDefault="00702B4F">
      <w:pPr>
        <w:jc w:val="both"/>
        <w:rPr>
          <w:sz w:val="24"/>
          <w:szCs w:val="24"/>
          <w:lang w:val="en-GB"/>
        </w:rPr>
      </w:pPr>
      <w:r w:rsidRPr="00DB065A">
        <w:rPr>
          <w:sz w:val="24"/>
          <w:szCs w:val="24"/>
          <w:lang w:val="en-GB"/>
        </w:rPr>
        <w:lastRenderedPageBreak/>
        <w:t xml:space="preserve">However, the Panel’s proposal of an additional R20/ month is too </w:t>
      </w:r>
      <w:r w:rsidR="0024480C">
        <w:rPr>
          <w:sz w:val="24"/>
          <w:szCs w:val="24"/>
          <w:lang w:val="en-GB"/>
        </w:rPr>
        <w:t>little</w:t>
      </w:r>
      <w:r w:rsidR="0024480C" w:rsidRPr="00DB065A">
        <w:rPr>
          <w:sz w:val="24"/>
          <w:szCs w:val="24"/>
          <w:lang w:val="en-GB"/>
        </w:rPr>
        <w:t xml:space="preserve"> </w:t>
      </w:r>
      <w:r w:rsidRPr="00DB065A">
        <w:rPr>
          <w:sz w:val="24"/>
          <w:szCs w:val="24"/>
          <w:lang w:val="en-GB"/>
        </w:rPr>
        <w:t>given the high levels of poverty and inequality. The proposal still leaves the value of the CSG at least R100 below the food poverty line.</w:t>
      </w:r>
      <w:r w:rsidRPr="00DB065A">
        <w:rPr>
          <w:sz w:val="24"/>
          <w:szCs w:val="24"/>
          <w:vertAlign w:val="superscript"/>
          <w:lang w:val="en-GB"/>
        </w:rPr>
        <w:footnoteReference w:id="14"/>
      </w:r>
    </w:p>
    <w:p w14:paraId="1FD5D3BA" w14:textId="77777777" w:rsidR="009E1C0A" w:rsidRPr="00DB065A" w:rsidRDefault="009E1C0A">
      <w:pPr>
        <w:jc w:val="both"/>
        <w:rPr>
          <w:sz w:val="24"/>
          <w:szCs w:val="24"/>
          <w:lang w:val="en-GB"/>
        </w:rPr>
      </w:pPr>
    </w:p>
    <w:p w14:paraId="7A1AF0F9" w14:textId="23A13E02" w:rsidR="00764E6A" w:rsidRDefault="00702B4F">
      <w:pPr>
        <w:jc w:val="both"/>
        <w:rPr>
          <w:sz w:val="24"/>
          <w:szCs w:val="24"/>
          <w:lang w:val="en-GB"/>
        </w:rPr>
      </w:pPr>
      <w:r w:rsidRPr="00DB065A">
        <w:rPr>
          <w:sz w:val="24"/>
          <w:szCs w:val="24"/>
          <w:lang w:val="en-GB"/>
        </w:rPr>
        <w:t xml:space="preserve">We therefore recommend that the CSG amount be increased to at least the level of the food poverty line. </w:t>
      </w:r>
      <w:r w:rsidR="00764E6A">
        <w:rPr>
          <w:sz w:val="24"/>
          <w:szCs w:val="24"/>
          <w:lang w:val="en-GB"/>
        </w:rPr>
        <w:t xml:space="preserve">An immediate increase in </w:t>
      </w:r>
      <w:r w:rsidRPr="00DB065A">
        <w:rPr>
          <w:sz w:val="24"/>
          <w:szCs w:val="24"/>
          <w:lang w:val="en-GB"/>
        </w:rPr>
        <w:t xml:space="preserve">2018 would mean increasing it </w:t>
      </w:r>
      <w:r w:rsidR="00A24531">
        <w:rPr>
          <w:sz w:val="24"/>
          <w:szCs w:val="24"/>
          <w:lang w:val="en-GB"/>
        </w:rPr>
        <w:t xml:space="preserve">by R150 </w:t>
      </w:r>
      <w:r w:rsidRPr="00DB065A">
        <w:rPr>
          <w:sz w:val="24"/>
          <w:szCs w:val="24"/>
          <w:lang w:val="en-GB"/>
        </w:rPr>
        <w:t>from R400 to R547.</w:t>
      </w:r>
      <w:r w:rsidR="001F0784">
        <w:rPr>
          <w:sz w:val="24"/>
          <w:szCs w:val="24"/>
          <w:lang w:val="en-GB"/>
        </w:rPr>
        <w:t xml:space="preserve"> </w:t>
      </w:r>
      <w:r w:rsidR="00764E6A">
        <w:rPr>
          <w:sz w:val="24"/>
          <w:szCs w:val="24"/>
          <w:lang w:val="en-GB"/>
        </w:rPr>
        <w:t>In the alternative, an incremental approach could be adopted by phasing in the increase over a three year period with the aim of ensuring that the grant amount m</w:t>
      </w:r>
      <w:r w:rsidR="00A24531">
        <w:rPr>
          <w:sz w:val="24"/>
          <w:szCs w:val="24"/>
          <w:lang w:val="en-GB"/>
        </w:rPr>
        <w:t>atches</w:t>
      </w:r>
      <w:r w:rsidR="0053014C">
        <w:rPr>
          <w:sz w:val="24"/>
          <w:szCs w:val="24"/>
          <w:lang w:val="en-GB"/>
        </w:rPr>
        <w:t xml:space="preserve"> the food poverty line by 2020</w:t>
      </w:r>
      <w:r w:rsidR="00764E6A">
        <w:rPr>
          <w:sz w:val="24"/>
          <w:szCs w:val="24"/>
          <w:lang w:val="en-GB"/>
        </w:rPr>
        <w:t xml:space="preserve">. </w:t>
      </w:r>
      <w:r w:rsidR="00A24531">
        <w:rPr>
          <w:sz w:val="24"/>
          <w:szCs w:val="24"/>
          <w:lang w:val="en-GB"/>
        </w:rPr>
        <w:t>The table below illustrates how this could happen.</w:t>
      </w:r>
    </w:p>
    <w:p w14:paraId="7E715E90" w14:textId="77777777" w:rsidR="00764E6A" w:rsidRDefault="00764E6A">
      <w:pPr>
        <w:jc w:val="both"/>
        <w:rPr>
          <w:sz w:val="24"/>
          <w:szCs w:val="24"/>
          <w:lang w:val="en-GB"/>
        </w:rPr>
      </w:pPr>
    </w:p>
    <w:tbl>
      <w:tblPr>
        <w:tblStyle w:val="TableGrid"/>
        <w:tblW w:w="0" w:type="auto"/>
        <w:tblLayout w:type="fixed"/>
        <w:tblLook w:val="04A0" w:firstRow="1" w:lastRow="0" w:firstColumn="1" w:lastColumn="0" w:noHBand="0" w:noVBand="1"/>
      </w:tblPr>
      <w:tblGrid>
        <w:gridCol w:w="2943"/>
        <w:gridCol w:w="993"/>
        <w:gridCol w:w="992"/>
        <w:gridCol w:w="1134"/>
        <w:gridCol w:w="992"/>
        <w:gridCol w:w="1276"/>
        <w:gridCol w:w="1134"/>
      </w:tblGrid>
      <w:tr w:rsidR="0053014C" w14:paraId="2807E578" w14:textId="06F7F8FB" w:rsidTr="00A24531">
        <w:tc>
          <w:tcPr>
            <w:tcW w:w="2943" w:type="dxa"/>
          </w:tcPr>
          <w:p w14:paraId="0F946BE0" w14:textId="77777777" w:rsidR="0053014C" w:rsidRDefault="0053014C">
            <w:pPr>
              <w:jc w:val="both"/>
              <w:rPr>
                <w:sz w:val="24"/>
                <w:szCs w:val="24"/>
                <w:lang w:val="en-GB"/>
              </w:rPr>
            </w:pPr>
          </w:p>
        </w:tc>
        <w:tc>
          <w:tcPr>
            <w:tcW w:w="993" w:type="dxa"/>
          </w:tcPr>
          <w:p w14:paraId="439D04E3" w14:textId="33D1B834" w:rsidR="0053014C" w:rsidRPr="0053014C" w:rsidRDefault="0053014C">
            <w:pPr>
              <w:jc w:val="both"/>
              <w:rPr>
                <w:b/>
                <w:sz w:val="24"/>
                <w:szCs w:val="24"/>
                <w:lang w:val="en-GB"/>
              </w:rPr>
            </w:pPr>
            <w:r w:rsidRPr="0053014C">
              <w:rPr>
                <w:b/>
                <w:sz w:val="24"/>
                <w:szCs w:val="24"/>
                <w:lang w:val="en-GB"/>
              </w:rPr>
              <w:t>April 2018</w:t>
            </w:r>
          </w:p>
        </w:tc>
        <w:tc>
          <w:tcPr>
            <w:tcW w:w="992" w:type="dxa"/>
          </w:tcPr>
          <w:p w14:paraId="79D1579F" w14:textId="05AB5B19" w:rsidR="0053014C" w:rsidRPr="0053014C" w:rsidRDefault="0053014C">
            <w:pPr>
              <w:jc w:val="both"/>
              <w:rPr>
                <w:b/>
                <w:sz w:val="24"/>
                <w:szCs w:val="24"/>
                <w:lang w:val="en-GB"/>
              </w:rPr>
            </w:pPr>
            <w:r w:rsidRPr="0053014C">
              <w:rPr>
                <w:b/>
                <w:sz w:val="24"/>
                <w:szCs w:val="24"/>
                <w:lang w:val="en-GB"/>
              </w:rPr>
              <w:t>Oct 2018</w:t>
            </w:r>
          </w:p>
        </w:tc>
        <w:tc>
          <w:tcPr>
            <w:tcW w:w="1134" w:type="dxa"/>
          </w:tcPr>
          <w:p w14:paraId="6F1B62D3" w14:textId="19D27499" w:rsidR="0053014C" w:rsidRPr="0053014C" w:rsidRDefault="0053014C">
            <w:pPr>
              <w:jc w:val="both"/>
              <w:rPr>
                <w:b/>
                <w:sz w:val="24"/>
                <w:szCs w:val="24"/>
                <w:lang w:val="en-GB"/>
              </w:rPr>
            </w:pPr>
            <w:r w:rsidRPr="0053014C">
              <w:rPr>
                <w:b/>
                <w:sz w:val="24"/>
                <w:szCs w:val="24"/>
                <w:lang w:val="en-GB"/>
              </w:rPr>
              <w:t>April 2019</w:t>
            </w:r>
          </w:p>
        </w:tc>
        <w:tc>
          <w:tcPr>
            <w:tcW w:w="992" w:type="dxa"/>
          </w:tcPr>
          <w:p w14:paraId="08AB206F" w14:textId="39CFD2FF" w:rsidR="0053014C" w:rsidRPr="0053014C" w:rsidRDefault="0053014C">
            <w:pPr>
              <w:jc w:val="both"/>
              <w:rPr>
                <w:b/>
                <w:sz w:val="24"/>
                <w:szCs w:val="24"/>
                <w:lang w:val="en-GB"/>
              </w:rPr>
            </w:pPr>
            <w:r w:rsidRPr="0053014C">
              <w:rPr>
                <w:b/>
                <w:sz w:val="24"/>
                <w:szCs w:val="24"/>
                <w:lang w:val="en-GB"/>
              </w:rPr>
              <w:t>Oct 2019</w:t>
            </w:r>
          </w:p>
        </w:tc>
        <w:tc>
          <w:tcPr>
            <w:tcW w:w="1276" w:type="dxa"/>
          </w:tcPr>
          <w:p w14:paraId="666463A4" w14:textId="723BE705" w:rsidR="0053014C" w:rsidRPr="0053014C" w:rsidRDefault="0053014C">
            <w:pPr>
              <w:jc w:val="both"/>
              <w:rPr>
                <w:b/>
                <w:sz w:val="24"/>
                <w:szCs w:val="24"/>
                <w:lang w:val="en-GB"/>
              </w:rPr>
            </w:pPr>
            <w:r w:rsidRPr="0053014C">
              <w:rPr>
                <w:b/>
                <w:sz w:val="24"/>
                <w:szCs w:val="24"/>
                <w:lang w:val="en-GB"/>
              </w:rPr>
              <w:t>April 2020</w:t>
            </w:r>
          </w:p>
        </w:tc>
        <w:tc>
          <w:tcPr>
            <w:tcW w:w="1134" w:type="dxa"/>
          </w:tcPr>
          <w:p w14:paraId="006C9809" w14:textId="7F1AA013" w:rsidR="0053014C" w:rsidRPr="0053014C" w:rsidRDefault="0053014C">
            <w:pPr>
              <w:jc w:val="both"/>
              <w:rPr>
                <w:b/>
                <w:sz w:val="24"/>
                <w:szCs w:val="24"/>
                <w:lang w:val="en-GB"/>
              </w:rPr>
            </w:pPr>
            <w:r w:rsidRPr="0053014C">
              <w:rPr>
                <w:b/>
                <w:sz w:val="24"/>
                <w:szCs w:val="24"/>
                <w:lang w:val="en-GB"/>
              </w:rPr>
              <w:t>Oct 2020</w:t>
            </w:r>
          </w:p>
        </w:tc>
      </w:tr>
      <w:tr w:rsidR="0053014C" w14:paraId="3C7E1630" w14:textId="0678D42F" w:rsidTr="00A24531">
        <w:tc>
          <w:tcPr>
            <w:tcW w:w="2943" w:type="dxa"/>
          </w:tcPr>
          <w:p w14:paraId="7C22794C" w14:textId="4EA17253" w:rsidR="0053014C" w:rsidRPr="0053014C" w:rsidRDefault="0053014C">
            <w:pPr>
              <w:jc w:val="both"/>
              <w:rPr>
                <w:b/>
                <w:sz w:val="24"/>
                <w:szCs w:val="24"/>
                <w:lang w:val="en-GB"/>
              </w:rPr>
            </w:pPr>
            <w:r w:rsidRPr="0053014C">
              <w:rPr>
                <w:b/>
                <w:sz w:val="24"/>
                <w:szCs w:val="24"/>
                <w:lang w:val="en-GB"/>
              </w:rPr>
              <w:t>CSG</w:t>
            </w:r>
          </w:p>
        </w:tc>
        <w:tc>
          <w:tcPr>
            <w:tcW w:w="993" w:type="dxa"/>
          </w:tcPr>
          <w:p w14:paraId="51FAE756" w14:textId="4BFB20B4" w:rsidR="0053014C" w:rsidRDefault="0053014C">
            <w:pPr>
              <w:jc w:val="both"/>
              <w:rPr>
                <w:sz w:val="24"/>
                <w:szCs w:val="24"/>
                <w:lang w:val="en-GB"/>
              </w:rPr>
            </w:pPr>
            <w:r>
              <w:rPr>
                <w:sz w:val="24"/>
                <w:szCs w:val="24"/>
                <w:lang w:val="en-GB"/>
              </w:rPr>
              <w:t>R400</w:t>
            </w:r>
          </w:p>
        </w:tc>
        <w:tc>
          <w:tcPr>
            <w:tcW w:w="992" w:type="dxa"/>
          </w:tcPr>
          <w:p w14:paraId="2189B7AB" w14:textId="5BC1EB33" w:rsidR="0053014C" w:rsidRDefault="00A24531">
            <w:pPr>
              <w:jc w:val="both"/>
              <w:rPr>
                <w:sz w:val="24"/>
                <w:szCs w:val="24"/>
                <w:lang w:val="en-GB"/>
              </w:rPr>
            </w:pPr>
            <w:r>
              <w:rPr>
                <w:sz w:val="24"/>
                <w:szCs w:val="24"/>
                <w:lang w:val="en-GB"/>
              </w:rPr>
              <w:t>R450</w:t>
            </w:r>
          </w:p>
        </w:tc>
        <w:tc>
          <w:tcPr>
            <w:tcW w:w="1134" w:type="dxa"/>
          </w:tcPr>
          <w:p w14:paraId="3B57E467" w14:textId="28A4042C" w:rsidR="0053014C" w:rsidRDefault="00A24531">
            <w:pPr>
              <w:jc w:val="both"/>
              <w:rPr>
                <w:sz w:val="24"/>
                <w:szCs w:val="24"/>
                <w:lang w:val="en-GB"/>
              </w:rPr>
            </w:pPr>
            <w:r>
              <w:rPr>
                <w:sz w:val="24"/>
                <w:szCs w:val="24"/>
                <w:lang w:val="en-GB"/>
              </w:rPr>
              <w:t>R500</w:t>
            </w:r>
          </w:p>
        </w:tc>
        <w:tc>
          <w:tcPr>
            <w:tcW w:w="992" w:type="dxa"/>
          </w:tcPr>
          <w:p w14:paraId="35E20F9F" w14:textId="58392877" w:rsidR="0053014C" w:rsidRDefault="0053014C">
            <w:pPr>
              <w:jc w:val="both"/>
              <w:rPr>
                <w:sz w:val="24"/>
                <w:szCs w:val="24"/>
                <w:lang w:val="en-GB"/>
              </w:rPr>
            </w:pPr>
            <w:r>
              <w:rPr>
                <w:sz w:val="24"/>
                <w:szCs w:val="24"/>
                <w:lang w:val="en-GB"/>
              </w:rPr>
              <w:t>R</w:t>
            </w:r>
            <w:r w:rsidR="00A24531">
              <w:rPr>
                <w:sz w:val="24"/>
                <w:szCs w:val="24"/>
                <w:lang w:val="en-GB"/>
              </w:rPr>
              <w:t>550</w:t>
            </w:r>
          </w:p>
        </w:tc>
        <w:tc>
          <w:tcPr>
            <w:tcW w:w="1276" w:type="dxa"/>
          </w:tcPr>
          <w:p w14:paraId="67169429" w14:textId="32AA91B1" w:rsidR="0053014C" w:rsidRDefault="0053014C">
            <w:pPr>
              <w:jc w:val="both"/>
              <w:rPr>
                <w:sz w:val="24"/>
                <w:szCs w:val="24"/>
                <w:lang w:val="en-GB"/>
              </w:rPr>
            </w:pPr>
            <w:r>
              <w:rPr>
                <w:sz w:val="24"/>
                <w:szCs w:val="24"/>
                <w:lang w:val="en-GB"/>
              </w:rPr>
              <w:t>R6</w:t>
            </w:r>
            <w:r w:rsidR="00A24531">
              <w:rPr>
                <w:sz w:val="24"/>
                <w:szCs w:val="24"/>
                <w:lang w:val="en-GB"/>
              </w:rPr>
              <w:t>00</w:t>
            </w:r>
          </w:p>
        </w:tc>
        <w:tc>
          <w:tcPr>
            <w:tcW w:w="1134" w:type="dxa"/>
          </w:tcPr>
          <w:p w14:paraId="6E986448" w14:textId="32E09189" w:rsidR="0053014C" w:rsidRDefault="0053014C">
            <w:pPr>
              <w:jc w:val="both"/>
              <w:rPr>
                <w:sz w:val="24"/>
                <w:szCs w:val="24"/>
                <w:lang w:val="en-GB"/>
              </w:rPr>
            </w:pPr>
            <w:r>
              <w:rPr>
                <w:sz w:val="24"/>
                <w:szCs w:val="24"/>
                <w:lang w:val="en-GB"/>
              </w:rPr>
              <w:t>R6</w:t>
            </w:r>
            <w:r w:rsidR="00A24531">
              <w:rPr>
                <w:sz w:val="24"/>
                <w:szCs w:val="24"/>
                <w:lang w:val="en-GB"/>
              </w:rPr>
              <w:t>50</w:t>
            </w:r>
          </w:p>
        </w:tc>
      </w:tr>
      <w:tr w:rsidR="0053014C" w14:paraId="7136E794" w14:textId="544EF39E" w:rsidTr="00A24531">
        <w:tc>
          <w:tcPr>
            <w:tcW w:w="2943" w:type="dxa"/>
          </w:tcPr>
          <w:p w14:paraId="4040166B" w14:textId="22ABBCC3" w:rsidR="0053014C" w:rsidRPr="0053014C" w:rsidRDefault="0053014C">
            <w:pPr>
              <w:jc w:val="both"/>
              <w:rPr>
                <w:b/>
                <w:sz w:val="24"/>
                <w:szCs w:val="24"/>
                <w:lang w:val="en-GB"/>
              </w:rPr>
            </w:pPr>
            <w:r w:rsidRPr="0053014C">
              <w:rPr>
                <w:b/>
                <w:sz w:val="24"/>
                <w:szCs w:val="24"/>
                <w:lang w:val="en-GB"/>
              </w:rPr>
              <w:t>Food Poverty Line</w:t>
            </w:r>
          </w:p>
        </w:tc>
        <w:tc>
          <w:tcPr>
            <w:tcW w:w="993" w:type="dxa"/>
          </w:tcPr>
          <w:p w14:paraId="4C25F798" w14:textId="519445A1" w:rsidR="0053014C" w:rsidRDefault="0053014C">
            <w:pPr>
              <w:jc w:val="both"/>
              <w:rPr>
                <w:sz w:val="24"/>
                <w:szCs w:val="24"/>
                <w:lang w:val="en-GB"/>
              </w:rPr>
            </w:pPr>
            <w:r>
              <w:rPr>
                <w:sz w:val="24"/>
                <w:szCs w:val="24"/>
                <w:lang w:val="en-GB"/>
              </w:rPr>
              <w:t>R547</w:t>
            </w:r>
          </w:p>
        </w:tc>
        <w:tc>
          <w:tcPr>
            <w:tcW w:w="992" w:type="dxa"/>
          </w:tcPr>
          <w:p w14:paraId="679858FC" w14:textId="2902D8C3" w:rsidR="0053014C" w:rsidRPr="0088127F" w:rsidRDefault="0053014C">
            <w:pPr>
              <w:jc w:val="both"/>
              <w:rPr>
                <w:i/>
                <w:sz w:val="24"/>
                <w:szCs w:val="24"/>
                <w:lang w:val="en-GB"/>
              </w:rPr>
            </w:pPr>
          </w:p>
        </w:tc>
        <w:tc>
          <w:tcPr>
            <w:tcW w:w="1134" w:type="dxa"/>
          </w:tcPr>
          <w:p w14:paraId="5A9AA26C" w14:textId="6C3C00F8" w:rsidR="0053014C" w:rsidRPr="0088127F" w:rsidRDefault="00A24531">
            <w:pPr>
              <w:jc w:val="both"/>
              <w:rPr>
                <w:i/>
                <w:sz w:val="24"/>
                <w:szCs w:val="24"/>
                <w:lang w:val="en-GB"/>
              </w:rPr>
            </w:pPr>
            <w:r>
              <w:rPr>
                <w:i/>
                <w:sz w:val="24"/>
                <w:szCs w:val="24"/>
                <w:lang w:val="en-GB"/>
              </w:rPr>
              <w:t>*</w:t>
            </w:r>
            <w:r w:rsidR="0088127F">
              <w:rPr>
                <w:i/>
                <w:sz w:val="24"/>
                <w:szCs w:val="24"/>
                <w:lang w:val="en-GB"/>
              </w:rPr>
              <w:t>R590</w:t>
            </w:r>
          </w:p>
        </w:tc>
        <w:tc>
          <w:tcPr>
            <w:tcW w:w="992" w:type="dxa"/>
          </w:tcPr>
          <w:p w14:paraId="7955F221" w14:textId="7875BD66" w:rsidR="0053014C" w:rsidRPr="0088127F" w:rsidRDefault="0053014C">
            <w:pPr>
              <w:jc w:val="both"/>
              <w:rPr>
                <w:i/>
                <w:sz w:val="24"/>
                <w:szCs w:val="24"/>
                <w:lang w:val="en-GB"/>
              </w:rPr>
            </w:pPr>
          </w:p>
        </w:tc>
        <w:tc>
          <w:tcPr>
            <w:tcW w:w="1276" w:type="dxa"/>
          </w:tcPr>
          <w:p w14:paraId="4B2EB30E" w14:textId="54FE1FE1" w:rsidR="0053014C" w:rsidRPr="0088127F" w:rsidRDefault="00A24531">
            <w:pPr>
              <w:jc w:val="both"/>
              <w:rPr>
                <w:i/>
                <w:sz w:val="24"/>
                <w:szCs w:val="24"/>
                <w:lang w:val="en-GB"/>
              </w:rPr>
            </w:pPr>
            <w:r>
              <w:rPr>
                <w:i/>
                <w:sz w:val="24"/>
                <w:szCs w:val="24"/>
                <w:lang w:val="en-GB"/>
              </w:rPr>
              <w:t>*R640</w:t>
            </w:r>
          </w:p>
        </w:tc>
        <w:tc>
          <w:tcPr>
            <w:tcW w:w="1134" w:type="dxa"/>
          </w:tcPr>
          <w:p w14:paraId="6C2778C2" w14:textId="36DB6442" w:rsidR="0053014C" w:rsidRDefault="0053014C">
            <w:pPr>
              <w:jc w:val="both"/>
              <w:rPr>
                <w:sz w:val="24"/>
                <w:szCs w:val="24"/>
                <w:lang w:val="en-GB"/>
              </w:rPr>
            </w:pPr>
          </w:p>
        </w:tc>
      </w:tr>
    </w:tbl>
    <w:p w14:paraId="36BE1FF9" w14:textId="2D00ED6E" w:rsidR="00764E6A" w:rsidRPr="00A24531" w:rsidRDefault="00A24531" w:rsidP="00A24531">
      <w:pPr>
        <w:jc w:val="both"/>
        <w:rPr>
          <w:sz w:val="18"/>
          <w:szCs w:val="18"/>
          <w:lang w:val="en-GB"/>
        </w:rPr>
      </w:pPr>
      <w:r w:rsidRPr="00A24531">
        <w:rPr>
          <w:sz w:val="18"/>
          <w:szCs w:val="18"/>
          <w:lang w:val="en-GB"/>
        </w:rPr>
        <w:t xml:space="preserve">*The food poverty line is not determined beyond the current year (2018). These amounts are speculative based on the trend over </w:t>
      </w:r>
      <w:r w:rsidR="00712D19">
        <w:rPr>
          <w:sz w:val="18"/>
          <w:szCs w:val="18"/>
          <w:lang w:val="en-GB"/>
        </w:rPr>
        <w:t xml:space="preserve">the </w:t>
      </w:r>
      <w:r w:rsidRPr="00A24531">
        <w:rPr>
          <w:sz w:val="18"/>
          <w:szCs w:val="18"/>
          <w:lang w:val="en-GB"/>
        </w:rPr>
        <w:t xml:space="preserve">past few years. </w:t>
      </w:r>
    </w:p>
    <w:p w14:paraId="676C11A4" w14:textId="77777777" w:rsidR="00764E6A" w:rsidRDefault="00764E6A">
      <w:pPr>
        <w:jc w:val="both"/>
        <w:rPr>
          <w:sz w:val="24"/>
          <w:szCs w:val="24"/>
          <w:lang w:val="en-GB"/>
        </w:rPr>
      </w:pPr>
    </w:p>
    <w:p w14:paraId="677C38F0" w14:textId="7BD49F00" w:rsidR="00A24531" w:rsidRDefault="00A24531" w:rsidP="00A24531">
      <w:pPr>
        <w:jc w:val="both"/>
        <w:rPr>
          <w:sz w:val="24"/>
          <w:szCs w:val="24"/>
          <w:lang w:val="en-GB"/>
        </w:rPr>
      </w:pPr>
      <w:r>
        <w:rPr>
          <w:sz w:val="24"/>
          <w:szCs w:val="24"/>
          <w:lang w:val="en-GB"/>
        </w:rPr>
        <w:t xml:space="preserve">Annual increases beyond October 2020 would be based on keeping pace with the food poverty line or food price inflation, whichever is the highest. </w:t>
      </w:r>
    </w:p>
    <w:p w14:paraId="69283C4B" w14:textId="36DD6B59" w:rsidR="009E1C0A" w:rsidRPr="00DB065A" w:rsidRDefault="009E1C0A">
      <w:pPr>
        <w:jc w:val="both"/>
        <w:rPr>
          <w:sz w:val="24"/>
          <w:szCs w:val="24"/>
          <w:lang w:val="en-GB"/>
        </w:rPr>
      </w:pPr>
    </w:p>
    <w:p w14:paraId="10796505" w14:textId="03FD64C6" w:rsidR="009E1C0A" w:rsidRPr="00DB065A" w:rsidRDefault="00702B4F">
      <w:pPr>
        <w:jc w:val="both"/>
        <w:rPr>
          <w:sz w:val="24"/>
          <w:szCs w:val="24"/>
          <w:lang w:val="en-GB"/>
        </w:rPr>
      </w:pPr>
      <w:r w:rsidRPr="00DB065A">
        <w:rPr>
          <w:sz w:val="24"/>
          <w:szCs w:val="24"/>
          <w:lang w:val="en-GB"/>
        </w:rPr>
        <w:t>We also recommend that the comprehensive review of social security be finalised as a priority. In particular the non</w:t>
      </w:r>
      <w:r w:rsidR="0024480C">
        <w:rPr>
          <w:sz w:val="24"/>
          <w:szCs w:val="24"/>
          <w:lang w:val="en-GB"/>
        </w:rPr>
        <w:t>-</w:t>
      </w:r>
      <w:r w:rsidRPr="00DB065A">
        <w:rPr>
          <w:sz w:val="24"/>
          <w:szCs w:val="24"/>
          <w:lang w:val="en-GB"/>
        </w:rPr>
        <w:t xml:space="preserve">existence of basic income support for the majority of poor people aged 18 to 60 needs to be addressed. In the absence of this, whole households will continue to have to collectively rely on the social grants received by the elderly, disabled and children. </w:t>
      </w:r>
    </w:p>
    <w:p w14:paraId="1C2523EC" w14:textId="77777777" w:rsidR="009E1C0A" w:rsidRPr="00DB065A" w:rsidRDefault="009E1C0A">
      <w:pPr>
        <w:jc w:val="both"/>
        <w:rPr>
          <w:sz w:val="24"/>
          <w:szCs w:val="24"/>
          <w:lang w:val="en-GB"/>
        </w:rPr>
      </w:pPr>
    </w:p>
    <w:p w14:paraId="57DFC390" w14:textId="77777777" w:rsidR="009E1C0A" w:rsidRPr="00DB065A" w:rsidRDefault="00702B4F">
      <w:pPr>
        <w:jc w:val="both"/>
        <w:rPr>
          <w:b/>
          <w:sz w:val="24"/>
          <w:szCs w:val="24"/>
          <w:lang w:val="en-GB"/>
        </w:rPr>
      </w:pPr>
      <w:r w:rsidRPr="00DB065A">
        <w:rPr>
          <w:b/>
          <w:sz w:val="24"/>
          <w:szCs w:val="24"/>
          <w:lang w:val="en-GB"/>
        </w:rPr>
        <w:t xml:space="preserve">Sanitary products </w:t>
      </w:r>
    </w:p>
    <w:p w14:paraId="3E5E594F" w14:textId="77777777" w:rsidR="009E1C0A" w:rsidRPr="00DB065A" w:rsidRDefault="009E1C0A">
      <w:pPr>
        <w:jc w:val="both"/>
        <w:rPr>
          <w:b/>
          <w:sz w:val="24"/>
          <w:szCs w:val="24"/>
          <w:lang w:val="en-GB"/>
        </w:rPr>
      </w:pPr>
    </w:p>
    <w:p w14:paraId="4494F80D" w14:textId="77777777" w:rsidR="009E1C0A" w:rsidRPr="00DB065A" w:rsidRDefault="00702B4F">
      <w:pPr>
        <w:jc w:val="both"/>
        <w:rPr>
          <w:sz w:val="24"/>
          <w:szCs w:val="24"/>
          <w:lang w:val="en-GB"/>
        </w:rPr>
      </w:pPr>
      <w:r w:rsidRPr="00DB065A">
        <w:rPr>
          <w:sz w:val="24"/>
          <w:szCs w:val="24"/>
          <w:lang w:val="en-GB"/>
        </w:rPr>
        <w:t>We agree with the Panel’s proposal for greater investment in providing sanitary products directly to poor women and girls. However, we note the Panel’s concerns with regards to the state’s capacity to effectively distribute these products so as to ensure they reach the intended beneficiaries. We therefore recommend further details be provided by the responsible departments as to how they would use the increased investment in the programme and that there should be public engagement on these detailed proposals. This participation process should include direct engagement with women and girls and with civil society organisations representing these groups. We offer our assistance in promoting such a participatory exercise.</w:t>
      </w:r>
    </w:p>
    <w:p w14:paraId="21FCE816" w14:textId="77777777" w:rsidR="009E1C0A" w:rsidRPr="00DB065A" w:rsidRDefault="009E1C0A">
      <w:pPr>
        <w:jc w:val="both"/>
        <w:rPr>
          <w:sz w:val="24"/>
          <w:szCs w:val="24"/>
          <w:lang w:val="en-GB"/>
        </w:rPr>
      </w:pPr>
    </w:p>
    <w:p w14:paraId="7E6053E7" w14:textId="77777777" w:rsidR="009E1C0A" w:rsidRPr="00DB065A" w:rsidRDefault="00702B4F">
      <w:pPr>
        <w:jc w:val="both"/>
        <w:rPr>
          <w:b/>
          <w:sz w:val="24"/>
          <w:szCs w:val="24"/>
          <w:lang w:val="en-GB"/>
        </w:rPr>
      </w:pPr>
      <w:r w:rsidRPr="00DB065A">
        <w:rPr>
          <w:b/>
          <w:sz w:val="24"/>
          <w:szCs w:val="24"/>
          <w:lang w:val="en-GB"/>
        </w:rPr>
        <w:lastRenderedPageBreak/>
        <w:t>School Nutrition Programme</w:t>
      </w:r>
    </w:p>
    <w:p w14:paraId="507FC2CC" w14:textId="77777777" w:rsidR="009E1C0A" w:rsidRPr="00DB065A" w:rsidRDefault="009E1C0A">
      <w:pPr>
        <w:jc w:val="both"/>
        <w:rPr>
          <w:sz w:val="24"/>
          <w:szCs w:val="24"/>
          <w:lang w:val="en-GB"/>
        </w:rPr>
      </w:pPr>
    </w:p>
    <w:p w14:paraId="5060EBF1" w14:textId="77777777" w:rsidR="009E1C0A" w:rsidRPr="00DB065A" w:rsidRDefault="00702B4F">
      <w:pPr>
        <w:jc w:val="both"/>
        <w:rPr>
          <w:sz w:val="24"/>
          <w:szCs w:val="24"/>
          <w:lang w:val="en-GB"/>
        </w:rPr>
      </w:pPr>
      <w:r w:rsidRPr="00DB065A">
        <w:rPr>
          <w:sz w:val="24"/>
          <w:szCs w:val="24"/>
          <w:lang w:val="en-GB"/>
        </w:rPr>
        <w:t>The Panel’s proposals on increasing the school nutrition programme are not clear, besides recommending that all schools have a food garden. We recommend further details on this proposal be provided before we can engage meaningfully.</w:t>
      </w:r>
    </w:p>
    <w:p w14:paraId="3148629B" w14:textId="77777777" w:rsidR="009E1C0A" w:rsidRPr="00DB065A" w:rsidRDefault="009E1C0A">
      <w:pPr>
        <w:jc w:val="both"/>
        <w:rPr>
          <w:sz w:val="24"/>
          <w:szCs w:val="24"/>
          <w:lang w:val="en-GB"/>
        </w:rPr>
      </w:pPr>
    </w:p>
    <w:p w14:paraId="40FB96EC" w14:textId="5F444DCF" w:rsidR="009E1C0A" w:rsidRPr="00DB065A" w:rsidRDefault="00702B4F">
      <w:pPr>
        <w:jc w:val="both"/>
        <w:rPr>
          <w:sz w:val="24"/>
          <w:szCs w:val="24"/>
          <w:lang w:val="en-GB"/>
        </w:rPr>
      </w:pPr>
      <w:r w:rsidRPr="00DB065A">
        <w:rPr>
          <w:sz w:val="24"/>
          <w:szCs w:val="24"/>
          <w:lang w:val="en-GB"/>
        </w:rPr>
        <w:t>While the panel provides figures on how much such an investment would gi</w:t>
      </w:r>
      <w:r w:rsidR="00C91C50">
        <w:rPr>
          <w:sz w:val="24"/>
          <w:szCs w:val="24"/>
          <w:lang w:val="en-GB"/>
        </w:rPr>
        <w:t xml:space="preserve">ve </w:t>
      </w:r>
      <w:r w:rsidRPr="00DB065A">
        <w:rPr>
          <w:sz w:val="24"/>
          <w:szCs w:val="24"/>
          <w:lang w:val="en-GB"/>
        </w:rPr>
        <w:t>back to po</w:t>
      </w:r>
      <w:r w:rsidR="00C91C50">
        <w:rPr>
          <w:sz w:val="24"/>
          <w:szCs w:val="24"/>
          <w:lang w:val="en-GB"/>
        </w:rPr>
        <w:t>o</w:t>
      </w:r>
      <w:r w:rsidRPr="00DB065A">
        <w:rPr>
          <w:sz w:val="24"/>
          <w:szCs w:val="24"/>
          <w:lang w:val="en-GB"/>
        </w:rPr>
        <w:t xml:space="preserve">r and low income earners, it fails to mention that only a portion of this increased investment would actually reach poor households because much would be diluted by the supply chain process due to the multi-layered nature of the programme. </w:t>
      </w:r>
    </w:p>
    <w:p w14:paraId="0ED9A192" w14:textId="77777777" w:rsidR="009E1C0A" w:rsidRPr="00DB065A" w:rsidRDefault="009E1C0A">
      <w:pPr>
        <w:jc w:val="both"/>
        <w:rPr>
          <w:sz w:val="24"/>
          <w:szCs w:val="24"/>
          <w:lang w:val="en-GB"/>
        </w:rPr>
      </w:pPr>
    </w:p>
    <w:p w14:paraId="4E181C9B" w14:textId="77777777" w:rsidR="009E1C0A" w:rsidRPr="00DB065A" w:rsidRDefault="00702B4F">
      <w:pPr>
        <w:jc w:val="both"/>
        <w:rPr>
          <w:sz w:val="24"/>
          <w:szCs w:val="24"/>
          <w:lang w:val="en-GB"/>
        </w:rPr>
      </w:pPr>
      <w:r w:rsidRPr="00DB065A">
        <w:rPr>
          <w:sz w:val="24"/>
          <w:szCs w:val="24"/>
          <w:lang w:val="en-GB"/>
        </w:rPr>
        <w:t>Another way of investing further in the school nutrition programme could be by zero-rating the food items that are most used in the programme. This would reduce the cost of the programme for the Department of Education, enabling it to reach more children with its current budget. Peanut butter for example would be a good candidate for zero-rating for this reason. It would also assist all households to increase their protein intake.</w:t>
      </w:r>
    </w:p>
    <w:p w14:paraId="0E0E337D" w14:textId="77777777" w:rsidR="009E1C0A" w:rsidRPr="00DB065A" w:rsidRDefault="009E1C0A">
      <w:pPr>
        <w:jc w:val="both"/>
        <w:rPr>
          <w:sz w:val="24"/>
          <w:szCs w:val="24"/>
          <w:lang w:val="en-GB"/>
        </w:rPr>
      </w:pPr>
    </w:p>
    <w:p w14:paraId="51D9F955" w14:textId="7BA84618" w:rsidR="009E1C0A" w:rsidRPr="00DB065A" w:rsidRDefault="00702B4F">
      <w:pPr>
        <w:jc w:val="both"/>
        <w:rPr>
          <w:sz w:val="24"/>
          <w:szCs w:val="24"/>
          <w:lang w:val="en-GB"/>
        </w:rPr>
      </w:pPr>
      <w:r w:rsidRPr="00DB065A">
        <w:rPr>
          <w:sz w:val="24"/>
          <w:szCs w:val="24"/>
          <w:lang w:val="en-GB"/>
        </w:rPr>
        <w:t>The school nutrition programme does not reach children below the age of 5 years. To reach these children with improved nutrition, there needs to be greater investment in both the Child Support Grant and the Early Childhood Development Subsidy.</w:t>
      </w:r>
      <w:r w:rsidR="00055A95">
        <w:rPr>
          <w:sz w:val="24"/>
          <w:szCs w:val="24"/>
          <w:lang w:val="en-GB"/>
        </w:rPr>
        <w:t xml:space="preserve"> </w:t>
      </w:r>
      <w:r w:rsidRPr="00DB065A">
        <w:rPr>
          <w:sz w:val="24"/>
          <w:szCs w:val="24"/>
          <w:lang w:val="en-GB"/>
        </w:rPr>
        <w:t>See above for our comments on the Child Support Grant. With regards to the ECD subsidy, the per capita amount is currently too low to cover the basic nutritional needs of a child.</w:t>
      </w:r>
      <w:r w:rsidRPr="00DB065A">
        <w:rPr>
          <w:sz w:val="24"/>
          <w:szCs w:val="24"/>
          <w:vertAlign w:val="superscript"/>
          <w:lang w:val="en-GB"/>
        </w:rPr>
        <w:footnoteReference w:id="15"/>
      </w:r>
      <w:r w:rsidR="00055A95">
        <w:rPr>
          <w:sz w:val="24"/>
          <w:szCs w:val="24"/>
          <w:lang w:val="en-GB"/>
        </w:rPr>
        <w:t xml:space="preserve"> </w:t>
      </w:r>
      <w:r w:rsidRPr="00DB065A">
        <w:rPr>
          <w:sz w:val="24"/>
          <w:szCs w:val="24"/>
          <w:lang w:val="en-GB"/>
        </w:rPr>
        <w:t>It is required by the ECD programmes to cover rent, management and teacher salaries, equipment and food.  Increasing the subsidy amount would improve not only children’s nutrition but also the salaries of the ECD practitioners. ECD practitioners tend to be women who are receiving wages below the minimum wage level and who are likely to be a category exempted from the minimum wage. Investing in the subsidy therefore also has a positive gender impact.</w:t>
      </w:r>
    </w:p>
    <w:p w14:paraId="38833A13" w14:textId="77777777" w:rsidR="009E1C0A" w:rsidRPr="00DB065A" w:rsidRDefault="009E1C0A">
      <w:pPr>
        <w:rPr>
          <w:sz w:val="24"/>
          <w:szCs w:val="24"/>
          <w:lang w:val="en-GB"/>
        </w:rPr>
      </w:pPr>
    </w:p>
    <w:p w14:paraId="1D57CA5D" w14:textId="77777777" w:rsidR="009E1C0A" w:rsidRPr="00DB065A" w:rsidRDefault="00702B4F">
      <w:pPr>
        <w:jc w:val="both"/>
        <w:rPr>
          <w:b/>
          <w:sz w:val="24"/>
          <w:szCs w:val="24"/>
          <w:lang w:val="en-GB"/>
        </w:rPr>
      </w:pPr>
      <w:r w:rsidRPr="00DB065A">
        <w:rPr>
          <w:b/>
          <w:sz w:val="24"/>
          <w:szCs w:val="24"/>
          <w:lang w:val="en-GB"/>
        </w:rPr>
        <w:t>Public and scholar transport</w:t>
      </w:r>
    </w:p>
    <w:p w14:paraId="4BFB14FF" w14:textId="77777777" w:rsidR="009E1C0A" w:rsidRPr="00DB065A" w:rsidRDefault="009E1C0A">
      <w:pPr>
        <w:jc w:val="both"/>
        <w:rPr>
          <w:b/>
          <w:sz w:val="24"/>
          <w:szCs w:val="24"/>
          <w:lang w:val="en-GB"/>
        </w:rPr>
      </w:pPr>
    </w:p>
    <w:p w14:paraId="7A6151DA" w14:textId="15F7BC39" w:rsidR="009E1C0A" w:rsidRPr="00DB065A" w:rsidRDefault="00702B4F">
      <w:pPr>
        <w:jc w:val="both"/>
        <w:rPr>
          <w:sz w:val="24"/>
          <w:szCs w:val="24"/>
          <w:lang w:val="en-GB"/>
        </w:rPr>
      </w:pPr>
      <w:r w:rsidRPr="00DB065A">
        <w:rPr>
          <w:sz w:val="24"/>
          <w:szCs w:val="24"/>
          <w:lang w:val="en-GB"/>
        </w:rPr>
        <w:t>Poor and low</w:t>
      </w:r>
      <w:r w:rsidR="0024480C">
        <w:rPr>
          <w:sz w:val="24"/>
          <w:szCs w:val="24"/>
          <w:lang w:val="en-GB"/>
        </w:rPr>
        <w:t>-</w:t>
      </w:r>
      <w:r w:rsidRPr="00DB065A">
        <w:rPr>
          <w:sz w:val="24"/>
          <w:szCs w:val="24"/>
          <w:lang w:val="en-GB"/>
        </w:rPr>
        <w:t xml:space="preserve">income households spend a disproportionately high amount of their income on transport due to the legacy of </w:t>
      </w:r>
      <w:proofErr w:type="spellStart"/>
      <w:r w:rsidRPr="00DB065A">
        <w:rPr>
          <w:sz w:val="24"/>
          <w:szCs w:val="24"/>
          <w:lang w:val="en-GB"/>
        </w:rPr>
        <w:t>spacial</w:t>
      </w:r>
      <w:proofErr w:type="spellEnd"/>
      <w:r w:rsidRPr="00DB065A">
        <w:rPr>
          <w:sz w:val="24"/>
          <w:szCs w:val="24"/>
          <w:lang w:val="en-GB"/>
        </w:rPr>
        <w:t xml:space="preserve"> inequalities. Public transport costs have increased substantially in 2018 due to the fuel price increases and the wage increases (which in turn were higher due to the need to compensate employees for the VAT increase). We therefore recommend that state programmes aimed at subsidising public transport be considered for further investment. </w:t>
      </w:r>
    </w:p>
    <w:p w14:paraId="028E0286" w14:textId="77777777" w:rsidR="009E1C0A" w:rsidRPr="00DB065A" w:rsidRDefault="009E1C0A">
      <w:pPr>
        <w:jc w:val="both"/>
        <w:rPr>
          <w:sz w:val="24"/>
          <w:szCs w:val="24"/>
          <w:lang w:val="en-GB"/>
        </w:rPr>
      </w:pPr>
    </w:p>
    <w:p w14:paraId="41E1D4AD" w14:textId="371650EB" w:rsidR="008631AB" w:rsidRPr="008631AB" w:rsidRDefault="008631AB">
      <w:pPr>
        <w:jc w:val="both"/>
        <w:rPr>
          <w:sz w:val="24"/>
          <w:szCs w:val="24"/>
          <w:lang w:val="en-GB"/>
        </w:rPr>
      </w:pPr>
      <w:bookmarkStart w:id="12" w:name="_2et92p0" w:colFirst="0" w:colLast="0"/>
      <w:bookmarkEnd w:id="12"/>
      <w:r w:rsidRPr="008631AB">
        <w:rPr>
          <w:color w:val="000000"/>
          <w:sz w:val="24"/>
          <w:szCs w:val="24"/>
        </w:rPr>
        <w:lastRenderedPageBreak/>
        <w:t xml:space="preserve">With regards to scholar transport we recommend that Equal Education’s call for a conditional grant for scholar transport be supported and implemented by April 2019. This will ensure that funding allocated by national treasury for scholar transport reaches scholars in need, and is not allocated by the provinces to other education costs as is currently happening. We also recommend that the allocation to this conditional grant be adequate to fund the number of learners who need </w:t>
      </w:r>
      <w:proofErr w:type="spellStart"/>
      <w:r w:rsidRPr="008631AB">
        <w:rPr>
          <w:color w:val="000000"/>
          <w:sz w:val="24"/>
          <w:szCs w:val="24"/>
        </w:rPr>
        <w:t>subsidised</w:t>
      </w:r>
      <w:proofErr w:type="spellEnd"/>
      <w:r w:rsidRPr="008631AB">
        <w:rPr>
          <w:color w:val="000000"/>
          <w:sz w:val="24"/>
          <w:szCs w:val="24"/>
        </w:rPr>
        <w:t xml:space="preserve"> scholar transport.</w:t>
      </w:r>
    </w:p>
    <w:p w14:paraId="29351AC3" w14:textId="0165293A" w:rsidR="009E1C0A" w:rsidRPr="00DB065A" w:rsidRDefault="00055A95">
      <w:pPr>
        <w:pStyle w:val="Heading1"/>
        <w:keepNext w:val="0"/>
        <w:keepLines w:val="0"/>
        <w:spacing w:before="480"/>
        <w:rPr>
          <w:b/>
          <w:sz w:val="24"/>
          <w:szCs w:val="24"/>
          <w:lang w:val="en-GB"/>
        </w:rPr>
      </w:pPr>
      <w:bookmarkStart w:id="13" w:name="_tyjcwt" w:colFirst="0" w:colLast="0"/>
      <w:bookmarkEnd w:id="13"/>
      <w:r>
        <w:rPr>
          <w:b/>
          <w:sz w:val="24"/>
          <w:szCs w:val="24"/>
          <w:lang w:val="en-GB"/>
        </w:rPr>
        <w:t>5</w:t>
      </w:r>
      <w:r w:rsidR="00702B4F" w:rsidRPr="00DB065A">
        <w:rPr>
          <w:b/>
          <w:sz w:val="24"/>
          <w:szCs w:val="24"/>
          <w:lang w:val="en-GB"/>
        </w:rPr>
        <w:t>. Summary of recommendations on mitigating measures</w:t>
      </w:r>
    </w:p>
    <w:p w14:paraId="75506B46" w14:textId="77777777" w:rsidR="009E1C0A" w:rsidRPr="00DB065A" w:rsidRDefault="009E1C0A">
      <w:pPr>
        <w:rPr>
          <w:sz w:val="24"/>
          <w:szCs w:val="24"/>
          <w:lang w:val="en-GB"/>
        </w:rPr>
      </w:pPr>
    </w:p>
    <w:p w14:paraId="293064BA" w14:textId="77777777" w:rsidR="009E1C0A" w:rsidRPr="00DB065A" w:rsidRDefault="00702B4F">
      <w:pPr>
        <w:rPr>
          <w:b/>
          <w:sz w:val="24"/>
          <w:szCs w:val="24"/>
          <w:lang w:val="en-GB"/>
        </w:rPr>
      </w:pPr>
      <w:r w:rsidRPr="00DB065A">
        <w:rPr>
          <w:b/>
          <w:sz w:val="24"/>
          <w:szCs w:val="24"/>
          <w:lang w:val="en-GB"/>
        </w:rPr>
        <w:t>Zero rating</w:t>
      </w:r>
    </w:p>
    <w:p w14:paraId="4094F6A2" w14:textId="31EB0E68" w:rsidR="009E1C0A" w:rsidRPr="00DB065A" w:rsidRDefault="00702B4F">
      <w:pPr>
        <w:numPr>
          <w:ilvl w:val="0"/>
          <w:numId w:val="4"/>
        </w:numPr>
        <w:contextualSpacing/>
        <w:rPr>
          <w:sz w:val="24"/>
          <w:szCs w:val="24"/>
          <w:lang w:val="en-GB"/>
        </w:rPr>
      </w:pPr>
      <w:r w:rsidRPr="00DB065A">
        <w:rPr>
          <w:sz w:val="24"/>
          <w:szCs w:val="24"/>
          <w:lang w:val="en-GB"/>
        </w:rPr>
        <w:t>Retain the existing 19 items that are zero-rated</w:t>
      </w:r>
      <w:r w:rsidR="00D05E62">
        <w:rPr>
          <w:sz w:val="24"/>
          <w:szCs w:val="24"/>
          <w:lang w:val="en-GB"/>
        </w:rPr>
        <w:t>.</w:t>
      </w:r>
    </w:p>
    <w:p w14:paraId="2DC66E22" w14:textId="3C144665" w:rsidR="009E1C0A" w:rsidRDefault="00702B4F">
      <w:pPr>
        <w:numPr>
          <w:ilvl w:val="0"/>
          <w:numId w:val="4"/>
        </w:numPr>
        <w:contextualSpacing/>
        <w:rPr>
          <w:sz w:val="24"/>
          <w:szCs w:val="24"/>
          <w:lang w:val="en-GB"/>
        </w:rPr>
      </w:pPr>
      <w:r w:rsidRPr="00DB065A">
        <w:rPr>
          <w:sz w:val="24"/>
          <w:szCs w:val="24"/>
          <w:lang w:val="en-GB"/>
        </w:rPr>
        <w:t xml:space="preserve">Zero-rate the </w:t>
      </w:r>
      <w:r w:rsidR="00D05E62">
        <w:rPr>
          <w:sz w:val="24"/>
          <w:szCs w:val="24"/>
          <w:lang w:val="en-GB"/>
        </w:rPr>
        <w:t>six</w:t>
      </w:r>
      <w:r w:rsidRPr="00DB065A">
        <w:rPr>
          <w:sz w:val="24"/>
          <w:szCs w:val="24"/>
          <w:lang w:val="en-GB"/>
        </w:rPr>
        <w:t xml:space="preserve"> items identified by the Panel</w:t>
      </w:r>
      <w:r w:rsidR="00D05E62">
        <w:rPr>
          <w:sz w:val="24"/>
          <w:szCs w:val="24"/>
          <w:lang w:val="en-GB"/>
        </w:rPr>
        <w:t>.</w:t>
      </w:r>
    </w:p>
    <w:p w14:paraId="21630889" w14:textId="3079A25F" w:rsidR="0024480C" w:rsidRPr="00DB065A" w:rsidRDefault="0024480C">
      <w:pPr>
        <w:numPr>
          <w:ilvl w:val="0"/>
          <w:numId w:val="4"/>
        </w:numPr>
        <w:contextualSpacing/>
        <w:rPr>
          <w:sz w:val="24"/>
          <w:szCs w:val="24"/>
          <w:lang w:val="en-GB"/>
        </w:rPr>
      </w:pPr>
      <w:r>
        <w:rPr>
          <w:sz w:val="24"/>
          <w:szCs w:val="24"/>
          <w:lang w:val="en-GB"/>
        </w:rPr>
        <w:t>Include chicken in the basket of zero-rated items</w:t>
      </w:r>
      <w:r w:rsidR="00D05E62">
        <w:rPr>
          <w:sz w:val="24"/>
          <w:szCs w:val="24"/>
          <w:lang w:val="en-GB"/>
        </w:rPr>
        <w:t>.</w:t>
      </w:r>
    </w:p>
    <w:p w14:paraId="307BDA8E" w14:textId="771F1D36" w:rsidR="009E1C0A" w:rsidRPr="00DB065A" w:rsidRDefault="00702B4F">
      <w:pPr>
        <w:numPr>
          <w:ilvl w:val="0"/>
          <w:numId w:val="4"/>
        </w:numPr>
        <w:contextualSpacing/>
        <w:rPr>
          <w:sz w:val="24"/>
          <w:szCs w:val="24"/>
          <w:lang w:val="en-GB"/>
        </w:rPr>
      </w:pPr>
      <w:r w:rsidRPr="00DB065A">
        <w:rPr>
          <w:sz w:val="24"/>
          <w:szCs w:val="24"/>
          <w:lang w:val="en-GB"/>
        </w:rPr>
        <w:t>Consider zero-rating the items that scored highly in the IEJ report and the Panel’s analysis (information not yet available)</w:t>
      </w:r>
      <w:r w:rsidR="0024480C">
        <w:rPr>
          <w:sz w:val="24"/>
          <w:szCs w:val="24"/>
          <w:lang w:val="en-GB"/>
        </w:rPr>
        <w:t>, with priority given to</w:t>
      </w:r>
      <w:r w:rsidR="00D05E62">
        <w:rPr>
          <w:sz w:val="24"/>
          <w:szCs w:val="24"/>
          <w:lang w:val="en-GB"/>
        </w:rPr>
        <w:t>:</w:t>
      </w:r>
      <w:r w:rsidR="0024480C" w:rsidRPr="0024480C">
        <w:rPr>
          <w:sz w:val="24"/>
          <w:szCs w:val="24"/>
          <w:lang w:val="en-GB"/>
        </w:rPr>
        <w:t xml:space="preserve"> sorghum meal/powder and </w:t>
      </w:r>
      <w:proofErr w:type="spellStart"/>
      <w:r w:rsidR="0024480C" w:rsidRPr="0024480C">
        <w:rPr>
          <w:sz w:val="24"/>
          <w:szCs w:val="24"/>
          <w:lang w:val="en-GB"/>
        </w:rPr>
        <w:t>mabella</w:t>
      </w:r>
      <w:proofErr w:type="spellEnd"/>
      <w:r w:rsidR="0024480C" w:rsidRPr="0024480C">
        <w:rPr>
          <w:sz w:val="24"/>
          <w:szCs w:val="24"/>
          <w:lang w:val="en-GB"/>
        </w:rPr>
        <w:t xml:space="preserve">; other canned fish; powder soup; instant yeast; soya product (excluding soy milk); tea; candles and matches; </w:t>
      </w:r>
      <w:r w:rsidR="0024480C">
        <w:rPr>
          <w:sz w:val="24"/>
          <w:szCs w:val="24"/>
          <w:lang w:val="en-GB"/>
        </w:rPr>
        <w:t xml:space="preserve">and </w:t>
      </w:r>
      <w:r w:rsidR="0024480C" w:rsidRPr="0024480C">
        <w:rPr>
          <w:sz w:val="24"/>
          <w:szCs w:val="24"/>
          <w:lang w:val="en-GB"/>
        </w:rPr>
        <w:t>coal (including anthracite)</w:t>
      </w:r>
      <w:r w:rsidR="00D05E62">
        <w:rPr>
          <w:sz w:val="24"/>
          <w:szCs w:val="24"/>
          <w:lang w:val="en-GB"/>
        </w:rPr>
        <w:t>.</w:t>
      </w:r>
    </w:p>
    <w:p w14:paraId="1A7C4903" w14:textId="18446B0A" w:rsidR="009E1C0A" w:rsidRPr="00DB065A" w:rsidRDefault="00702B4F">
      <w:pPr>
        <w:numPr>
          <w:ilvl w:val="0"/>
          <w:numId w:val="4"/>
        </w:numPr>
        <w:contextualSpacing/>
        <w:rPr>
          <w:sz w:val="24"/>
          <w:szCs w:val="24"/>
          <w:lang w:val="en-GB"/>
        </w:rPr>
      </w:pPr>
      <w:r w:rsidRPr="00DB065A">
        <w:rPr>
          <w:sz w:val="24"/>
          <w:szCs w:val="24"/>
          <w:lang w:val="en-GB"/>
        </w:rPr>
        <w:t>Investigate peanut butter for zero-rating given the role it plays in the school feeding scheme and E</w:t>
      </w:r>
      <w:r w:rsidR="0081615F">
        <w:rPr>
          <w:sz w:val="24"/>
          <w:szCs w:val="24"/>
          <w:lang w:val="en-GB"/>
        </w:rPr>
        <w:t>CD centres,</w:t>
      </w:r>
      <w:r w:rsidRPr="00DB065A">
        <w:rPr>
          <w:sz w:val="24"/>
          <w:szCs w:val="24"/>
          <w:lang w:val="en-GB"/>
        </w:rPr>
        <w:t xml:space="preserve"> and generally as a source of protein for children</w:t>
      </w:r>
      <w:r w:rsidR="00D05E62">
        <w:rPr>
          <w:sz w:val="24"/>
          <w:szCs w:val="24"/>
          <w:lang w:val="en-GB"/>
        </w:rPr>
        <w:t>.</w:t>
      </w:r>
    </w:p>
    <w:p w14:paraId="2D09C03F" w14:textId="77777777" w:rsidR="009E1C0A" w:rsidRPr="00DB065A" w:rsidRDefault="009E1C0A">
      <w:pPr>
        <w:rPr>
          <w:b/>
          <w:sz w:val="24"/>
          <w:szCs w:val="24"/>
          <w:lang w:val="en-GB"/>
        </w:rPr>
      </w:pPr>
    </w:p>
    <w:p w14:paraId="6A2107A7" w14:textId="77777777" w:rsidR="009E1C0A" w:rsidRPr="00DB065A" w:rsidRDefault="00702B4F">
      <w:pPr>
        <w:rPr>
          <w:b/>
          <w:sz w:val="24"/>
          <w:szCs w:val="24"/>
          <w:lang w:val="en-GB"/>
        </w:rPr>
      </w:pPr>
      <w:r w:rsidRPr="00DB065A">
        <w:rPr>
          <w:b/>
          <w:sz w:val="24"/>
          <w:szCs w:val="24"/>
          <w:lang w:val="en-GB"/>
        </w:rPr>
        <w:t>Luxury rating</w:t>
      </w:r>
    </w:p>
    <w:p w14:paraId="102F788C" w14:textId="77777777" w:rsidR="009E1C0A" w:rsidRPr="00DB065A" w:rsidRDefault="00702B4F">
      <w:pPr>
        <w:numPr>
          <w:ilvl w:val="0"/>
          <w:numId w:val="4"/>
        </w:numPr>
        <w:contextualSpacing/>
        <w:rPr>
          <w:sz w:val="24"/>
          <w:szCs w:val="24"/>
          <w:lang w:val="en-GB"/>
        </w:rPr>
      </w:pPr>
      <w:r w:rsidRPr="00DB065A">
        <w:rPr>
          <w:sz w:val="24"/>
          <w:szCs w:val="24"/>
          <w:lang w:val="en-GB"/>
        </w:rPr>
        <w:t>Implement a higher VAT rate of 25% on luxury items.</w:t>
      </w:r>
    </w:p>
    <w:p w14:paraId="08305566" w14:textId="77777777" w:rsidR="009E1C0A" w:rsidRPr="00DB065A" w:rsidRDefault="009E1C0A">
      <w:pPr>
        <w:rPr>
          <w:sz w:val="24"/>
          <w:szCs w:val="24"/>
          <w:lang w:val="en-GB"/>
        </w:rPr>
      </w:pPr>
    </w:p>
    <w:p w14:paraId="4148E8EB" w14:textId="77777777" w:rsidR="009E1C0A" w:rsidRPr="00DB065A" w:rsidRDefault="00702B4F">
      <w:pPr>
        <w:rPr>
          <w:b/>
          <w:sz w:val="24"/>
          <w:szCs w:val="24"/>
          <w:lang w:val="en-GB"/>
        </w:rPr>
      </w:pPr>
      <w:r w:rsidRPr="00DB065A">
        <w:rPr>
          <w:b/>
          <w:sz w:val="24"/>
          <w:szCs w:val="24"/>
          <w:lang w:val="en-GB"/>
        </w:rPr>
        <w:t>Social programmes</w:t>
      </w:r>
    </w:p>
    <w:p w14:paraId="4DDEC409" w14:textId="77777777" w:rsidR="009E1C0A" w:rsidRPr="00DB065A" w:rsidRDefault="00702B4F">
      <w:pPr>
        <w:numPr>
          <w:ilvl w:val="0"/>
          <w:numId w:val="2"/>
        </w:numPr>
        <w:contextualSpacing/>
        <w:rPr>
          <w:sz w:val="24"/>
          <w:szCs w:val="24"/>
          <w:lang w:val="en-GB"/>
        </w:rPr>
      </w:pPr>
      <w:r w:rsidRPr="00DB065A">
        <w:rPr>
          <w:sz w:val="24"/>
          <w:szCs w:val="24"/>
          <w:lang w:val="en-GB"/>
        </w:rPr>
        <w:t>Increase the amount of the Child Support Grant to the level of the food poverty line (R400 to R547).</w:t>
      </w:r>
    </w:p>
    <w:p w14:paraId="76136E13" w14:textId="5C19E3B4" w:rsidR="009E1C0A" w:rsidRPr="00DB065A" w:rsidRDefault="00702B4F">
      <w:pPr>
        <w:numPr>
          <w:ilvl w:val="0"/>
          <w:numId w:val="2"/>
        </w:numPr>
        <w:contextualSpacing/>
        <w:rPr>
          <w:sz w:val="24"/>
          <w:szCs w:val="24"/>
          <w:lang w:val="en-GB"/>
        </w:rPr>
      </w:pPr>
      <w:proofErr w:type="spellStart"/>
      <w:r w:rsidRPr="00DB065A">
        <w:rPr>
          <w:sz w:val="24"/>
          <w:szCs w:val="24"/>
          <w:lang w:val="en-GB"/>
        </w:rPr>
        <w:t>Pioritise</w:t>
      </w:r>
      <w:proofErr w:type="spellEnd"/>
      <w:r w:rsidRPr="00DB065A">
        <w:rPr>
          <w:sz w:val="24"/>
          <w:szCs w:val="24"/>
          <w:lang w:val="en-GB"/>
        </w:rPr>
        <w:t xml:space="preserve"> the finalisation of the policy on comprehensive social security and commit to timeframes for implementation (including providing income support for 18 to 60 year olds)</w:t>
      </w:r>
      <w:r w:rsidR="00D05E62">
        <w:rPr>
          <w:sz w:val="24"/>
          <w:szCs w:val="24"/>
          <w:lang w:val="en-GB"/>
        </w:rPr>
        <w:t>.</w:t>
      </w:r>
    </w:p>
    <w:p w14:paraId="6272C2D1" w14:textId="13CB236C" w:rsidR="009E1C0A" w:rsidRPr="00DB065A" w:rsidRDefault="00702B4F">
      <w:pPr>
        <w:numPr>
          <w:ilvl w:val="0"/>
          <w:numId w:val="2"/>
        </w:numPr>
        <w:contextualSpacing/>
        <w:rPr>
          <w:sz w:val="24"/>
          <w:szCs w:val="24"/>
          <w:lang w:val="en-GB"/>
        </w:rPr>
      </w:pPr>
      <w:r w:rsidRPr="00DB065A">
        <w:rPr>
          <w:sz w:val="24"/>
          <w:szCs w:val="24"/>
          <w:lang w:val="en-GB"/>
        </w:rPr>
        <w:t>Commit to direct provision of sanitary products to women and girls in poor and low</w:t>
      </w:r>
      <w:r w:rsidR="00D05E62">
        <w:rPr>
          <w:sz w:val="24"/>
          <w:szCs w:val="24"/>
          <w:lang w:val="en-GB"/>
        </w:rPr>
        <w:t>-</w:t>
      </w:r>
      <w:r w:rsidRPr="00DB065A">
        <w:rPr>
          <w:sz w:val="24"/>
          <w:szCs w:val="24"/>
          <w:lang w:val="en-GB"/>
        </w:rPr>
        <w:t>income households and initiate a meaningful participatory process to identify the most effective distribution mechanisms.</w:t>
      </w:r>
      <w:bookmarkStart w:id="14" w:name="_GoBack"/>
      <w:bookmarkEnd w:id="14"/>
    </w:p>
    <w:p w14:paraId="67A8A5C3" w14:textId="262E4F1C" w:rsidR="009E1C0A" w:rsidRPr="00DB065A" w:rsidRDefault="00702B4F">
      <w:pPr>
        <w:numPr>
          <w:ilvl w:val="0"/>
          <w:numId w:val="2"/>
        </w:numPr>
        <w:contextualSpacing/>
        <w:rPr>
          <w:sz w:val="24"/>
          <w:szCs w:val="24"/>
          <w:lang w:val="en-GB"/>
        </w:rPr>
      </w:pPr>
      <w:r w:rsidRPr="00DB065A">
        <w:rPr>
          <w:sz w:val="24"/>
          <w:szCs w:val="24"/>
          <w:lang w:val="en-GB"/>
        </w:rPr>
        <w:t xml:space="preserve">Commit to implement a conditional grant for scholar transport by April 2019, with a budget adequate to ensure </w:t>
      </w:r>
      <w:r w:rsidR="008631AB">
        <w:rPr>
          <w:sz w:val="24"/>
          <w:szCs w:val="24"/>
          <w:lang w:val="en-GB"/>
        </w:rPr>
        <w:t xml:space="preserve">subsidised </w:t>
      </w:r>
      <w:r w:rsidRPr="00DB065A">
        <w:rPr>
          <w:sz w:val="24"/>
          <w:szCs w:val="24"/>
          <w:lang w:val="en-GB"/>
        </w:rPr>
        <w:t>transport for all scholars in need.</w:t>
      </w:r>
    </w:p>
    <w:p w14:paraId="4BEC21E0" w14:textId="68415518" w:rsidR="009E1C0A" w:rsidRPr="00DB065A" w:rsidRDefault="00702B4F">
      <w:pPr>
        <w:numPr>
          <w:ilvl w:val="0"/>
          <w:numId w:val="2"/>
        </w:numPr>
        <w:contextualSpacing/>
        <w:rPr>
          <w:sz w:val="24"/>
          <w:szCs w:val="24"/>
          <w:lang w:val="en-GB"/>
        </w:rPr>
      </w:pPr>
      <w:r w:rsidRPr="00DB065A">
        <w:rPr>
          <w:sz w:val="24"/>
          <w:szCs w:val="24"/>
          <w:lang w:val="en-GB"/>
        </w:rPr>
        <w:t>Investigate increased subsidisation of public transport</w:t>
      </w:r>
      <w:r w:rsidR="00D05E62">
        <w:rPr>
          <w:sz w:val="24"/>
          <w:szCs w:val="24"/>
          <w:lang w:val="en-GB"/>
        </w:rPr>
        <w:t>.</w:t>
      </w:r>
    </w:p>
    <w:p w14:paraId="3CDC67C4" w14:textId="2D6A585B" w:rsidR="009E1C0A" w:rsidRPr="00DB065A" w:rsidRDefault="00702B4F">
      <w:pPr>
        <w:numPr>
          <w:ilvl w:val="0"/>
          <w:numId w:val="2"/>
        </w:numPr>
        <w:contextualSpacing/>
        <w:rPr>
          <w:sz w:val="24"/>
          <w:szCs w:val="24"/>
          <w:lang w:val="en-GB"/>
        </w:rPr>
      </w:pPr>
      <w:r w:rsidRPr="00DB065A">
        <w:rPr>
          <w:sz w:val="24"/>
          <w:szCs w:val="24"/>
          <w:lang w:val="en-GB"/>
        </w:rPr>
        <w:t xml:space="preserve">Clarify the details of how the school nutrition </w:t>
      </w:r>
      <w:proofErr w:type="spellStart"/>
      <w:r w:rsidRPr="00DB065A">
        <w:rPr>
          <w:sz w:val="24"/>
          <w:szCs w:val="24"/>
          <w:lang w:val="en-GB"/>
        </w:rPr>
        <w:t>progamme</w:t>
      </w:r>
      <w:proofErr w:type="spellEnd"/>
      <w:r w:rsidRPr="00DB065A">
        <w:rPr>
          <w:sz w:val="24"/>
          <w:szCs w:val="24"/>
          <w:lang w:val="en-GB"/>
        </w:rPr>
        <w:t xml:space="preserve"> could be expanded to improve its reach and impact to enable meaningful engagement on the proposals</w:t>
      </w:r>
      <w:r w:rsidR="00D05E62">
        <w:rPr>
          <w:sz w:val="24"/>
          <w:szCs w:val="24"/>
          <w:lang w:val="en-GB"/>
        </w:rPr>
        <w:t>.</w:t>
      </w:r>
    </w:p>
    <w:p w14:paraId="20D15842" w14:textId="1B06BED3" w:rsidR="009E1C0A" w:rsidRPr="00F93D19" w:rsidRDefault="00702B4F" w:rsidP="00F93D19">
      <w:pPr>
        <w:numPr>
          <w:ilvl w:val="0"/>
          <w:numId w:val="2"/>
        </w:numPr>
        <w:contextualSpacing/>
        <w:rPr>
          <w:sz w:val="24"/>
          <w:szCs w:val="24"/>
          <w:lang w:val="en-GB"/>
        </w:rPr>
      </w:pPr>
      <w:r w:rsidRPr="00DB065A">
        <w:rPr>
          <w:sz w:val="24"/>
          <w:szCs w:val="24"/>
          <w:lang w:val="en-GB"/>
        </w:rPr>
        <w:t xml:space="preserve">Investigate increasing the per capita ECD subsidy to improve nutrition for children under 5 and salaries for ECD practitioners </w:t>
      </w:r>
      <w:r w:rsidR="00240F49">
        <w:rPr>
          <w:sz w:val="24"/>
          <w:szCs w:val="24"/>
          <w:lang w:val="en-GB"/>
        </w:rPr>
        <w:t xml:space="preserve">who are </w:t>
      </w:r>
      <w:r w:rsidRPr="00DB065A">
        <w:rPr>
          <w:sz w:val="24"/>
          <w:szCs w:val="24"/>
          <w:lang w:val="en-GB"/>
        </w:rPr>
        <w:t>currently working below the national minimum wage.</w:t>
      </w:r>
    </w:p>
    <w:sectPr w:rsidR="009E1C0A" w:rsidRPr="00F93D19" w:rsidSect="00653951">
      <w:footerReference w:type="default" r:id="rId2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0AB4E" w14:textId="77777777" w:rsidR="00857251" w:rsidRDefault="00857251">
      <w:pPr>
        <w:spacing w:line="240" w:lineRule="auto"/>
      </w:pPr>
      <w:r>
        <w:separator/>
      </w:r>
    </w:p>
  </w:endnote>
  <w:endnote w:type="continuationSeparator" w:id="0">
    <w:p w14:paraId="69C31A43" w14:textId="77777777" w:rsidR="00857251" w:rsidRDefault="00857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244137"/>
      <w:docPartObj>
        <w:docPartGallery w:val="Page Numbers (Bottom of Page)"/>
        <w:docPartUnique/>
      </w:docPartObj>
    </w:sdtPr>
    <w:sdtEndPr>
      <w:rPr>
        <w:noProof/>
      </w:rPr>
    </w:sdtEndPr>
    <w:sdtContent>
      <w:p w14:paraId="0B4E3956" w14:textId="68CFD126" w:rsidR="00C717F1" w:rsidRDefault="00C717F1">
        <w:pPr>
          <w:pStyle w:val="Footer"/>
          <w:jc w:val="right"/>
        </w:pPr>
        <w:r>
          <w:fldChar w:fldCharType="begin"/>
        </w:r>
        <w:r>
          <w:instrText xml:space="preserve"> PAGE   \* MERGEFORMAT </w:instrText>
        </w:r>
        <w:r>
          <w:fldChar w:fldCharType="separate"/>
        </w:r>
        <w:r w:rsidR="00F93D19">
          <w:rPr>
            <w:noProof/>
          </w:rPr>
          <w:t>2</w:t>
        </w:r>
        <w:r>
          <w:rPr>
            <w:noProof/>
          </w:rPr>
          <w:fldChar w:fldCharType="end"/>
        </w:r>
      </w:p>
    </w:sdtContent>
  </w:sdt>
  <w:p w14:paraId="31C9034F" w14:textId="77777777" w:rsidR="00C717F1" w:rsidRDefault="00C717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99D5" w14:textId="77777777" w:rsidR="00857251" w:rsidRDefault="00857251">
      <w:pPr>
        <w:spacing w:line="240" w:lineRule="auto"/>
      </w:pPr>
      <w:r>
        <w:separator/>
      </w:r>
    </w:p>
  </w:footnote>
  <w:footnote w:type="continuationSeparator" w:id="0">
    <w:p w14:paraId="5E1B4B90" w14:textId="77777777" w:rsidR="00857251" w:rsidRDefault="00857251">
      <w:pPr>
        <w:spacing w:line="240" w:lineRule="auto"/>
      </w:pPr>
      <w:r>
        <w:continuationSeparator/>
      </w:r>
    </w:p>
  </w:footnote>
  <w:footnote w:id="1">
    <w:p w14:paraId="0D893E22" w14:textId="77777777" w:rsidR="00C717F1" w:rsidRDefault="00C717F1" w:rsidP="0070769F">
      <w:pPr>
        <w:spacing w:line="240" w:lineRule="auto"/>
        <w:rPr>
          <w:rFonts w:ascii="Calibri" w:eastAsia="Calibri" w:hAnsi="Calibri" w:cs="Calibri"/>
          <w:i/>
          <w:sz w:val="18"/>
          <w:szCs w:val="18"/>
        </w:rPr>
      </w:pPr>
      <w:r>
        <w:rPr>
          <w:vertAlign w:val="superscript"/>
        </w:rPr>
        <w:footnoteRef/>
      </w:r>
      <w:r>
        <w:rPr>
          <w:rFonts w:ascii="Calibri" w:eastAsia="Calibri" w:hAnsi="Calibri" w:cs="Calibri"/>
          <w:sz w:val="18"/>
          <w:szCs w:val="18"/>
        </w:rPr>
        <w:t xml:space="preserve">Available at </w:t>
      </w:r>
      <w:hyperlink r:id="rId1">
        <w:r>
          <w:rPr>
            <w:rFonts w:ascii="Calibri" w:eastAsia="Calibri" w:hAnsi="Calibri" w:cs="Calibri"/>
            <w:i/>
            <w:color w:val="0000FF"/>
            <w:sz w:val="18"/>
            <w:szCs w:val="18"/>
            <w:u w:val="single"/>
          </w:rPr>
          <w:t>http://www.taxcom.org.za/docs/20150817%20Clarification%20of%20points%20in%20DTC%20VAT%20First%20Interim%20Report.pdf</w:t>
        </w:r>
      </w:hyperlink>
    </w:p>
    <w:p w14:paraId="65214BD5" w14:textId="77777777" w:rsidR="00C717F1" w:rsidRDefault="00C717F1" w:rsidP="0070769F">
      <w:pPr>
        <w:spacing w:line="240" w:lineRule="auto"/>
        <w:rPr>
          <w:sz w:val="20"/>
          <w:szCs w:val="20"/>
        </w:rPr>
      </w:pPr>
    </w:p>
  </w:footnote>
  <w:footnote w:id="2">
    <w:p w14:paraId="53F3F750" w14:textId="77777777" w:rsidR="00C717F1" w:rsidRPr="0017271A" w:rsidRDefault="00C717F1">
      <w:pPr>
        <w:spacing w:line="240" w:lineRule="auto"/>
        <w:rPr>
          <w:sz w:val="18"/>
          <w:szCs w:val="18"/>
        </w:rPr>
      </w:pPr>
      <w:r w:rsidRPr="0017271A">
        <w:rPr>
          <w:sz w:val="18"/>
          <w:szCs w:val="18"/>
          <w:vertAlign w:val="superscript"/>
        </w:rPr>
        <w:footnoteRef/>
      </w:r>
      <w:r w:rsidRPr="0017271A">
        <w:rPr>
          <w:sz w:val="18"/>
          <w:szCs w:val="18"/>
        </w:rPr>
        <w:t xml:space="preserve"> Standing Committee on Finance, National Assembly.Report on Fiscal Framework. Pg 32 </w:t>
      </w:r>
    </w:p>
  </w:footnote>
  <w:footnote w:id="3">
    <w:p w14:paraId="51638A55" w14:textId="569459C5" w:rsidR="00C717F1" w:rsidRDefault="00C717F1">
      <w:pPr>
        <w:pBdr>
          <w:top w:val="nil"/>
          <w:left w:val="nil"/>
          <w:bottom w:val="nil"/>
          <w:right w:val="nil"/>
          <w:between w:val="nil"/>
        </w:pBdr>
        <w:spacing w:line="240" w:lineRule="auto"/>
        <w:rPr>
          <w:color w:val="000000"/>
          <w:sz w:val="20"/>
          <w:szCs w:val="20"/>
        </w:rPr>
      </w:pPr>
      <w:r w:rsidRPr="0017271A">
        <w:rPr>
          <w:sz w:val="18"/>
          <w:szCs w:val="18"/>
          <w:vertAlign w:val="superscript"/>
        </w:rPr>
        <w:footnoteRef/>
      </w:r>
      <w:r w:rsidRPr="0017271A">
        <w:rPr>
          <w:color w:val="000000"/>
          <w:sz w:val="18"/>
          <w:szCs w:val="18"/>
        </w:rPr>
        <w:t xml:space="preserve"> </w:t>
      </w:r>
      <w:r>
        <w:rPr>
          <w:color w:val="000000"/>
          <w:sz w:val="18"/>
          <w:szCs w:val="18"/>
        </w:rPr>
        <w:t xml:space="preserve">Above </w:t>
      </w:r>
      <w:proofErr w:type="spellStart"/>
      <w:r w:rsidRPr="0017271A">
        <w:rPr>
          <w:rFonts w:eastAsia="Times New Roman"/>
          <w:color w:val="000000"/>
          <w:sz w:val="18"/>
          <w:szCs w:val="18"/>
        </w:rPr>
        <w:t>Pg</w:t>
      </w:r>
      <w:proofErr w:type="spellEnd"/>
      <w:r w:rsidRPr="0017271A">
        <w:rPr>
          <w:rFonts w:eastAsia="Times New Roman"/>
          <w:color w:val="000000"/>
          <w:sz w:val="18"/>
          <w:szCs w:val="18"/>
        </w:rPr>
        <w:t xml:space="preserve"> 33</w:t>
      </w:r>
    </w:p>
  </w:footnote>
  <w:footnote w:id="4">
    <w:p w14:paraId="47ABA954" w14:textId="77777777" w:rsidR="006A5D9E" w:rsidRPr="00227DB0" w:rsidRDefault="006A5D9E" w:rsidP="006A5D9E">
      <w:pPr>
        <w:pStyle w:val="FootnoteText"/>
        <w:rPr>
          <w:sz w:val="18"/>
          <w:szCs w:val="18"/>
          <w:lang w:val="en-US"/>
        </w:rPr>
      </w:pPr>
      <w:r w:rsidRPr="00227DB0">
        <w:rPr>
          <w:rStyle w:val="FootnoteReference"/>
          <w:sz w:val="18"/>
          <w:szCs w:val="18"/>
        </w:rPr>
        <w:footnoteRef/>
      </w:r>
      <w:r w:rsidRPr="00227DB0">
        <w:rPr>
          <w:sz w:val="18"/>
          <w:szCs w:val="18"/>
        </w:rPr>
        <w:t xml:space="preserve"> </w:t>
      </w:r>
      <w:r w:rsidRPr="00227DB0">
        <w:rPr>
          <w:rFonts w:eastAsia="Times New Roman" w:cs="Times New Roman"/>
          <w:sz w:val="18"/>
          <w:szCs w:val="18"/>
        </w:rPr>
        <w:t xml:space="preserve">Gabriela </w:t>
      </w:r>
      <w:proofErr w:type="spellStart"/>
      <w:r w:rsidRPr="00227DB0">
        <w:rPr>
          <w:rFonts w:eastAsia="Times New Roman" w:cs="Times New Roman"/>
          <w:sz w:val="18"/>
          <w:szCs w:val="18"/>
        </w:rPr>
        <w:t>Inchauste</w:t>
      </w:r>
      <w:proofErr w:type="spellEnd"/>
      <w:r w:rsidRPr="00227DB0">
        <w:rPr>
          <w:rFonts w:eastAsia="Times New Roman" w:cs="Times New Roman"/>
          <w:sz w:val="18"/>
          <w:szCs w:val="18"/>
        </w:rPr>
        <w:t xml:space="preserve"> et al. (2015), ‘The Distributional Impact of Fiscal Policy in South Africa’. The World Bank.</w:t>
      </w:r>
    </w:p>
  </w:footnote>
  <w:footnote w:id="5">
    <w:p w14:paraId="6C825046" w14:textId="2F578AF7" w:rsidR="00C717F1" w:rsidRPr="00653951" w:rsidRDefault="00C717F1">
      <w:pPr>
        <w:pStyle w:val="FootnoteText"/>
        <w:rPr>
          <w:sz w:val="18"/>
          <w:szCs w:val="18"/>
          <w:lang w:val="en-US"/>
        </w:rPr>
      </w:pPr>
      <w:r w:rsidRPr="00653951">
        <w:rPr>
          <w:rStyle w:val="FootnoteReference"/>
          <w:sz w:val="18"/>
          <w:szCs w:val="18"/>
        </w:rPr>
        <w:footnoteRef/>
      </w:r>
      <w:r w:rsidRPr="00653951">
        <w:rPr>
          <w:sz w:val="18"/>
          <w:szCs w:val="18"/>
        </w:rPr>
        <w:t xml:space="preserve"> IEJ. (2018), </w:t>
      </w:r>
      <w:r w:rsidRPr="00653951">
        <w:rPr>
          <w:i/>
          <w:sz w:val="18"/>
          <w:szCs w:val="18"/>
          <w:lang w:val="en-GB"/>
        </w:rPr>
        <w:t>Mitigating the impact of the VAT increase: can zero-rating help?</w:t>
      </w:r>
    </w:p>
  </w:footnote>
  <w:footnote w:id="6">
    <w:p w14:paraId="30753C49" w14:textId="5B45A6CF" w:rsidR="00C717F1" w:rsidRPr="003D077F" w:rsidRDefault="00C717F1" w:rsidP="00653951">
      <w:pPr>
        <w:pStyle w:val="FootnoteText"/>
        <w:jc w:val="both"/>
        <w:rPr>
          <w:sz w:val="18"/>
          <w:szCs w:val="18"/>
          <w:lang w:val="en-US"/>
        </w:rPr>
      </w:pPr>
      <w:r w:rsidRPr="003D077F">
        <w:rPr>
          <w:rStyle w:val="FootnoteReference"/>
          <w:sz w:val="18"/>
          <w:szCs w:val="18"/>
        </w:rPr>
        <w:footnoteRef/>
      </w:r>
      <w:r w:rsidRPr="003D077F">
        <w:rPr>
          <w:sz w:val="18"/>
          <w:szCs w:val="18"/>
        </w:rPr>
        <w:t xml:space="preserve"> Many of these match with items listed elsewhere, for example, PACSA notes that when prices increase: “Households prioritise the securing of foods which they cannot live without (maize meal, rice, flour, sugar, sugar beans, samp, cooking oil, salt, potatoes, onions, frozen chicken portions, curry, stock cubes, soup, teabags and yeast) and reduce or forgo or buy much cheaper, poorer quality nutrient-rich foods such as meats, vegetables and dairy products.” In PACSA. (2017), </w:t>
      </w:r>
      <w:r w:rsidRPr="003D077F">
        <w:rPr>
          <w:i/>
          <w:sz w:val="18"/>
          <w:szCs w:val="18"/>
        </w:rPr>
        <w:t>2017 PACSA Food Price Barometer, Annual Report, October 2017</w:t>
      </w:r>
    </w:p>
  </w:footnote>
  <w:footnote w:id="7">
    <w:p w14:paraId="5F0A439C" w14:textId="07D2F323" w:rsidR="00C717F1" w:rsidRPr="003D077F" w:rsidRDefault="00C717F1" w:rsidP="00653951">
      <w:pPr>
        <w:pStyle w:val="FootnoteText"/>
        <w:jc w:val="both"/>
        <w:rPr>
          <w:lang w:val="en-US"/>
        </w:rPr>
      </w:pPr>
      <w:r w:rsidRPr="003D077F">
        <w:rPr>
          <w:rStyle w:val="FootnoteReference"/>
          <w:sz w:val="18"/>
          <w:szCs w:val="18"/>
        </w:rPr>
        <w:footnoteRef/>
      </w:r>
      <w:r w:rsidRPr="003D077F">
        <w:rPr>
          <w:sz w:val="18"/>
          <w:szCs w:val="18"/>
        </w:rPr>
        <w:t xml:space="preserve"> </w:t>
      </w:r>
      <w:r w:rsidRPr="003D077F">
        <w:rPr>
          <w:sz w:val="18"/>
          <w:szCs w:val="18"/>
          <w:lang w:val="en-US"/>
        </w:rPr>
        <w:t>The “primary tests” refers to whether zero-rating the item would disproportionately benefit deciles 1-7.</w:t>
      </w:r>
      <w:r>
        <w:rPr>
          <w:lang w:val="en-US"/>
        </w:rPr>
        <w:t xml:space="preserve"> </w:t>
      </w:r>
    </w:p>
  </w:footnote>
  <w:footnote w:id="8">
    <w:p w14:paraId="47F1217E" w14:textId="48032921" w:rsidR="00C717F1" w:rsidRPr="0081615F" w:rsidRDefault="00C717F1">
      <w:pPr>
        <w:pStyle w:val="FootnoteText"/>
        <w:rPr>
          <w:sz w:val="18"/>
          <w:szCs w:val="18"/>
          <w:lang w:val="en-US"/>
        </w:rPr>
      </w:pPr>
      <w:r w:rsidRPr="003D077F">
        <w:rPr>
          <w:rStyle w:val="FootnoteReference"/>
          <w:sz w:val="18"/>
          <w:szCs w:val="18"/>
        </w:rPr>
        <w:footnoteRef/>
      </w:r>
      <w:r w:rsidRPr="003D077F">
        <w:rPr>
          <w:sz w:val="18"/>
          <w:szCs w:val="18"/>
        </w:rPr>
        <w:t xml:space="preserve"> PACSA. (2017), </w:t>
      </w:r>
      <w:r w:rsidRPr="003D077F">
        <w:rPr>
          <w:i/>
          <w:sz w:val="18"/>
          <w:szCs w:val="18"/>
        </w:rPr>
        <w:t>2017 PACSA Food Price Barometer, Annual Report, October 2017</w:t>
      </w:r>
    </w:p>
  </w:footnote>
  <w:footnote w:id="9">
    <w:p w14:paraId="7F64E8A1" w14:textId="77777777" w:rsidR="00C717F1" w:rsidRPr="00055A95" w:rsidRDefault="00C717F1">
      <w:pPr>
        <w:rPr>
          <w:sz w:val="18"/>
          <w:szCs w:val="18"/>
        </w:rPr>
      </w:pPr>
      <w:r w:rsidRPr="00055A95">
        <w:rPr>
          <w:sz w:val="18"/>
          <w:szCs w:val="18"/>
          <w:vertAlign w:val="superscript"/>
        </w:rPr>
        <w:footnoteRef/>
      </w:r>
      <w:r w:rsidRPr="00055A95">
        <w:rPr>
          <w:sz w:val="18"/>
          <w:szCs w:val="18"/>
        </w:rPr>
        <w:t xml:space="preserve"> Unless otherwise referenced, the data used in this section is sourced from Hall &amp; Sambu ‘Income poverty, unemployment and social grants’ in Hall et al (eds) </w:t>
      </w:r>
      <w:r w:rsidRPr="00055A95">
        <w:rPr>
          <w:i/>
          <w:sz w:val="18"/>
          <w:szCs w:val="18"/>
        </w:rPr>
        <w:t>South African Child Gauge</w:t>
      </w:r>
      <w:r w:rsidRPr="00055A95">
        <w:rPr>
          <w:sz w:val="18"/>
          <w:szCs w:val="18"/>
        </w:rPr>
        <w:t xml:space="preserve"> </w:t>
      </w:r>
      <w:r w:rsidRPr="00055A95">
        <w:rPr>
          <w:i/>
          <w:sz w:val="18"/>
          <w:szCs w:val="18"/>
        </w:rPr>
        <w:t xml:space="preserve">2018 </w:t>
      </w:r>
      <w:r w:rsidRPr="00055A95">
        <w:rPr>
          <w:sz w:val="18"/>
          <w:szCs w:val="18"/>
        </w:rPr>
        <w:t>Children’s Institute, University of Cape Town</w:t>
      </w:r>
      <w:r w:rsidRPr="00055A95">
        <w:rPr>
          <w:i/>
          <w:sz w:val="18"/>
          <w:szCs w:val="18"/>
        </w:rPr>
        <w:t xml:space="preserve"> (forthcoming). The data is based on analysis of data from the General Household Survey 2017 (Statistics South Africa,</w:t>
      </w:r>
      <w:r w:rsidRPr="00055A95">
        <w:rPr>
          <w:sz w:val="18"/>
          <w:szCs w:val="18"/>
        </w:rPr>
        <w:t xml:space="preserve"> 2018)</w:t>
      </w:r>
    </w:p>
  </w:footnote>
  <w:footnote w:id="10">
    <w:p w14:paraId="5D3D6505" w14:textId="77777777" w:rsidR="00C717F1" w:rsidRDefault="00C717F1">
      <w:pPr>
        <w:spacing w:line="240" w:lineRule="auto"/>
        <w:rPr>
          <w:sz w:val="20"/>
          <w:szCs w:val="20"/>
        </w:rPr>
      </w:pPr>
      <w:r w:rsidRPr="00055A95">
        <w:rPr>
          <w:sz w:val="18"/>
          <w:szCs w:val="18"/>
          <w:vertAlign w:val="superscript"/>
        </w:rPr>
        <w:footnoteRef/>
      </w:r>
      <w:r w:rsidRPr="00055A95">
        <w:rPr>
          <w:sz w:val="18"/>
          <w:szCs w:val="18"/>
        </w:rPr>
        <w:t xml:space="preserve"> Pg 71 of the Panel’s Report</w:t>
      </w:r>
    </w:p>
  </w:footnote>
  <w:footnote w:id="11">
    <w:p w14:paraId="17594676" w14:textId="77777777" w:rsidR="00C717F1" w:rsidRDefault="00C717F1" w:rsidP="00712D19">
      <w:pPr>
        <w:spacing w:line="240" w:lineRule="auto"/>
        <w:jc w:val="both"/>
        <w:rPr>
          <w:sz w:val="20"/>
          <w:szCs w:val="20"/>
        </w:rPr>
      </w:pPr>
      <w:r>
        <w:rPr>
          <w:vertAlign w:val="superscript"/>
        </w:rPr>
        <w:footnoteRef/>
      </w:r>
      <w:r>
        <w:rPr>
          <w:sz w:val="20"/>
          <w:szCs w:val="20"/>
        </w:rPr>
        <w:t xml:space="preserve"> </w:t>
      </w:r>
      <w:r>
        <w:rPr>
          <w:sz w:val="18"/>
          <w:szCs w:val="18"/>
        </w:rPr>
        <w:t xml:space="preserve">Hall &amp; Sambu ‘Income poverty, unemployment and social grants’ in Hall et al (eds) </w:t>
      </w:r>
      <w:r>
        <w:rPr>
          <w:i/>
          <w:sz w:val="18"/>
          <w:szCs w:val="18"/>
        </w:rPr>
        <w:t>South African Child Gauge</w:t>
      </w:r>
      <w:r>
        <w:rPr>
          <w:sz w:val="18"/>
          <w:szCs w:val="18"/>
        </w:rPr>
        <w:t xml:space="preserve"> </w:t>
      </w:r>
      <w:r>
        <w:rPr>
          <w:i/>
          <w:sz w:val="18"/>
          <w:szCs w:val="18"/>
        </w:rPr>
        <w:t xml:space="preserve">2018 </w:t>
      </w:r>
      <w:r>
        <w:rPr>
          <w:sz w:val="18"/>
          <w:szCs w:val="18"/>
        </w:rPr>
        <w:t>Children’s Institute, University of Cape Town</w:t>
      </w:r>
      <w:r>
        <w:rPr>
          <w:i/>
          <w:sz w:val="18"/>
          <w:szCs w:val="18"/>
        </w:rPr>
        <w:t xml:space="preserve"> (forthcoming). </w:t>
      </w:r>
      <w:r>
        <w:rPr>
          <w:sz w:val="18"/>
          <w:szCs w:val="18"/>
        </w:rPr>
        <w:t>The data in the Child Gauge is based on analysis of data from the General Household Survey 2017 (Statistics South Africa, 2018</w:t>
      </w:r>
    </w:p>
  </w:footnote>
  <w:footnote w:id="12">
    <w:p w14:paraId="56F0E7F2" w14:textId="77777777" w:rsidR="00C717F1" w:rsidRDefault="00C717F1" w:rsidP="00712D19">
      <w:pPr>
        <w:spacing w:line="240" w:lineRule="auto"/>
        <w:jc w:val="both"/>
        <w:rPr>
          <w:sz w:val="20"/>
          <w:szCs w:val="20"/>
        </w:rPr>
      </w:pPr>
      <w:r>
        <w:rPr>
          <w:vertAlign w:val="superscript"/>
        </w:rPr>
        <w:footnoteRef/>
      </w:r>
      <w:r>
        <w:rPr>
          <w:sz w:val="20"/>
          <w:szCs w:val="20"/>
        </w:rPr>
        <w:t xml:space="preserve"> </w:t>
      </w:r>
      <w:r>
        <w:rPr>
          <w:sz w:val="18"/>
          <w:szCs w:val="18"/>
        </w:rPr>
        <w:t xml:space="preserve">Grinspun ‘No small change: The multiple impacts of the Child Support Grant on child and adolescent well-being’ in Delany et al (eds) </w:t>
      </w:r>
      <w:r>
        <w:rPr>
          <w:i/>
          <w:sz w:val="18"/>
          <w:szCs w:val="18"/>
        </w:rPr>
        <w:t>South African Child Gauge</w:t>
      </w:r>
      <w:r>
        <w:rPr>
          <w:sz w:val="18"/>
          <w:szCs w:val="18"/>
        </w:rPr>
        <w:t xml:space="preserve"> </w:t>
      </w:r>
      <w:r>
        <w:rPr>
          <w:i/>
          <w:sz w:val="18"/>
          <w:szCs w:val="18"/>
        </w:rPr>
        <w:t xml:space="preserve">2016 </w:t>
      </w:r>
      <w:r>
        <w:rPr>
          <w:sz w:val="18"/>
          <w:szCs w:val="18"/>
        </w:rPr>
        <w:t>Children’s Institute, University of Cape Town</w:t>
      </w:r>
      <w:r>
        <w:rPr>
          <w:i/>
          <w:sz w:val="18"/>
          <w:szCs w:val="18"/>
        </w:rPr>
        <w:t xml:space="preserve"> </w:t>
      </w:r>
      <w:r>
        <w:rPr>
          <w:sz w:val="18"/>
          <w:szCs w:val="18"/>
        </w:rPr>
        <w:t>at 44</w:t>
      </w:r>
    </w:p>
  </w:footnote>
  <w:footnote w:id="13">
    <w:p w14:paraId="72FF08E6" w14:textId="77777777" w:rsidR="00C717F1" w:rsidRDefault="00C717F1" w:rsidP="00712D19">
      <w:pPr>
        <w:spacing w:line="240" w:lineRule="auto"/>
        <w:jc w:val="both"/>
        <w:rPr>
          <w:rFonts w:ascii="Cambria" w:eastAsia="Cambria" w:hAnsi="Cambria" w:cs="Cambria"/>
          <w:sz w:val="20"/>
          <w:szCs w:val="20"/>
        </w:rPr>
      </w:pPr>
      <w:r>
        <w:rPr>
          <w:vertAlign w:val="superscript"/>
        </w:rPr>
        <w:footnoteRef/>
      </w:r>
      <w:r>
        <w:rPr>
          <w:sz w:val="18"/>
          <w:szCs w:val="18"/>
        </w:rPr>
        <w:t xml:space="preserve"> Devereux &amp; Waidler (2017)‘ Why does malnutrition persist in South Africa despite social grants? ‘ </w:t>
      </w:r>
      <w:r>
        <w:rPr>
          <w:i/>
          <w:sz w:val="18"/>
          <w:szCs w:val="18"/>
        </w:rPr>
        <w:t>Food Security SA Working Paper Series No.001</w:t>
      </w:r>
      <w:r>
        <w:rPr>
          <w:sz w:val="18"/>
          <w:szCs w:val="18"/>
        </w:rPr>
        <w:t>. DST-NRF Centre of Exellence in Food Security, South Africa at 16 – 17. Other reasons cited include deductions from social grants, inadequate nutritional knowledge leading to poor feeding practices and eating habits, and barriers to accessing quality health care services.</w:t>
      </w:r>
    </w:p>
  </w:footnote>
  <w:footnote w:id="14">
    <w:p w14:paraId="3D056587" w14:textId="77777777" w:rsidR="00C717F1" w:rsidRDefault="00C717F1">
      <w:pPr>
        <w:spacing w:line="240" w:lineRule="auto"/>
        <w:rPr>
          <w:sz w:val="18"/>
          <w:szCs w:val="18"/>
        </w:rPr>
      </w:pPr>
      <w:r>
        <w:rPr>
          <w:vertAlign w:val="superscript"/>
        </w:rPr>
        <w:footnoteRef/>
      </w:r>
      <w:r>
        <w:rPr>
          <w:sz w:val="18"/>
          <w:szCs w:val="18"/>
        </w:rPr>
        <w:t xml:space="preserve"> The food poverty line was reported by stats SA to be R547 on 1 April 2018. The CSG is currently R400 and will increase to R410 in October 2018. An additional R20 increase in October would take it to R430. </w:t>
      </w:r>
    </w:p>
  </w:footnote>
  <w:footnote w:id="15">
    <w:p w14:paraId="1314BD32" w14:textId="193FB520" w:rsidR="00C717F1" w:rsidRPr="0081615F" w:rsidRDefault="00C717F1">
      <w:pPr>
        <w:spacing w:line="240" w:lineRule="auto"/>
        <w:rPr>
          <w:sz w:val="18"/>
          <w:szCs w:val="18"/>
        </w:rPr>
      </w:pPr>
      <w:r w:rsidRPr="0081615F">
        <w:rPr>
          <w:sz w:val="18"/>
          <w:szCs w:val="18"/>
          <w:vertAlign w:val="superscript"/>
        </w:rPr>
        <w:footnoteRef/>
      </w:r>
      <w:r w:rsidRPr="0081615F">
        <w:rPr>
          <w:sz w:val="18"/>
          <w:szCs w:val="18"/>
        </w:rPr>
        <w:t xml:space="preserve"> Berry L &amp; Proudlock P (2014) </w:t>
      </w:r>
      <w:r w:rsidRPr="0081615F">
        <w:rPr>
          <w:i/>
          <w:sz w:val="18"/>
          <w:szCs w:val="18"/>
        </w:rPr>
        <w:t xml:space="preserve">Children’s rights to basic nutrition: A review of South Africa’s subsidy for ECD </w:t>
      </w:r>
      <w:proofErr w:type="spellStart"/>
      <w:r w:rsidRPr="0081615F">
        <w:rPr>
          <w:i/>
          <w:sz w:val="18"/>
          <w:szCs w:val="18"/>
        </w:rPr>
        <w:t>programmes</w:t>
      </w:r>
      <w:proofErr w:type="spellEnd"/>
      <w:r>
        <w:rPr>
          <w:i/>
          <w:sz w:val="18"/>
          <w:szCs w:val="18"/>
        </w:rPr>
        <w:t>.</w:t>
      </w:r>
      <w:r w:rsidRPr="0081615F">
        <w:rPr>
          <w:i/>
          <w:sz w:val="18"/>
          <w:szCs w:val="18"/>
        </w:rPr>
        <w:t xml:space="preserve"> </w:t>
      </w:r>
      <w:r w:rsidRPr="0081615F">
        <w:rPr>
          <w:sz w:val="18"/>
          <w:szCs w:val="18"/>
        </w:rPr>
        <w:t xml:space="preserve">In Proudlock P (Ed) South Africa’s progress in </w:t>
      </w:r>
      <w:proofErr w:type="spellStart"/>
      <w:r w:rsidRPr="0081615F">
        <w:rPr>
          <w:sz w:val="18"/>
          <w:szCs w:val="18"/>
        </w:rPr>
        <w:t>realising</w:t>
      </w:r>
      <w:proofErr w:type="spellEnd"/>
      <w:r w:rsidRPr="0081615F">
        <w:rPr>
          <w:sz w:val="18"/>
          <w:szCs w:val="18"/>
        </w:rPr>
        <w:t xml:space="preserve"> children’s rights: A law review. </w:t>
      </w:r>
      <w:proofErr w:type="spellStart"/>
      <w:r w:rsidRPr="0081615F">
        <w:rPr>
          <w:sz w:val="18"/>
          <w:szCs w:val="18"/>
        </w:rPr>
        <w:t>Pg</w:t>
      </w:r>
      <w:proofErr w:type="spellEnd"/>
      <w:r w:rsidRPr="0081615F">
        <w:rPr>
          <w:sz w:val="18"/>
          <w:szCs w:val="18"/>
        </w:rPr>
        <w:t xml:space="preserve"> 50 -51 and 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F7F"/>
    <w:multiLevelType w:val="multilevel"/>
    <w:tmpl w:val="91806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814B48"/>
    <w:multiLevelType w:val="hybridMultilevel"/>
    <w:tmpl w:val="BF022DDA"/>
    <w:lvl w:ilvl="0" w:tplc="C694BF0C">
      <w:start w:val="4"/>
      <w:numFmt w:val="bullet"/>
      <w:lvlText w:val=""/>
      <w:lvlJc w:val="left"/>
      <w:pPr>
        <w:ind w:left="720" w:hanging="360"/>
      </w:pPr>
      <w:rPr>
        <w:rFonts w:ascii="Symbol" w:eastAsia="Aria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8CF3CAA"/>
    <w:multiLevelType w:val="multilevel"/>
    <w:tmpl w:val="F45E4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24671F"/>
    <w:multiLevelType w:val="hybridMultilevel"/>
    <w:tmpl w:val="C47E9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83DE4"/>
    <w:multiLevelType w:val="hybridMultilevel"/>
    <w:tmpl w:val="7CF6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2E3D4F"/>
    <w:multiLevelType w:val="multilevel"/>
    <w:tmpl w:val="7A40866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4F1A4D89"/>
    <w:multiLevelType w:val="multilevel"/>
    <w:tmpl w:val="7F287F7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E1C0A"/>
    <w:rsid w:val="00035CBD"/>
    <w:rsid w:val="00050E8F"/>
    <w:rsid w:val="00055A95"/>
    <w:rsid w:val="000A586D"/>
    <w:rsid w:val="000B4E92"/>
    <w:rsid w:val="000D6552"/>
    <w:rsid w:val="0016401E"/>
    <w:rsid w:val="0017271A"/>
    <w:rsid w:val="001F0784"/>
    <w:rsid w:val="00227DB0"/>
    <w:rsid w:val="00240F49"/>
    <w:rsid w:val="0024480C"/>
    <w:rsid w:val="00286ED3"/>
    <w:rsid w:val="00291DC5"/>
    <w:rsid w:val="002C3E9F"/>
    <w:rsid w:val="00306605"/>
    <w:rsid w:val="003B49A2"/>
    <w:rsid w:val="003D077F"/>
    <w:rsid w:val="003F11F9"/>
    <w:rsid w:val="0042233F"/>
    <w:rsid w:val="004F794F"/>
    <w:rsid w:val="0053014C"/>
    <w:rsid w:val="00594256"/>
    <w:rsid w:val="005F58D4"/>
    <w:rsid w:val="00653951"/>
    <w:rsid w:val="00696BAF"/>
    <w:rsid w:val="006A5D9E"/>
    <w:rsid w:val="00702B4F"/>
    <w:rsid w:val="0070769F"/>
    <w:rsid w:val="00712D19"/>
    <w:rsid w:val="00764E6A"/>
    <w:rsid w:val="007A5EE4"/>
    <w:rsid w:val="0081615F"/>
    <w:rsid w:val="00857251"/>
    <w:rsid w:val="008631AB"/>
    <w:rsid w:val="0088127F"/>
    <w:rsid w:val="008D7058"/>
    <w:rsid w:val="0094746F"/>
    <w:rsid w:val="009853D0"/>
    <w:rsid w:val="009A77B4"/>
    <w:rsid w:val="009E1C0A"/>
    <w:rsid w:val="009F7117"/>
    <w:rsid w:val="00A24531"/>
    <w:rsid w:val="00A75FAE"/>
    <w:rsid w:val="00AA0FEA"/>
    <w:rsid w:val="00AB0864"/>
    <w:rsid w:val="00B3709D"/>
    <w:rsid w:val="00C717F1"/>
    <w:rsid w:val="00C91C50"/>
    <w:rsid w:val="00CB359E"/>
    <w:rsid w:val="00CE1332"/>
    <w:rsid w:val="00CF3CF1"/>
    <w:rsid w:val="00D05E62"/>
    <w:rsid w:val="00D5236D"/>
    <w:rsid w:val="00DB065A"/>
    <w:rsid w:val="00F239AB"/>
    <w:rsid w:val="00F93D1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F517F"/>
  <w15:docId w15:val="{22768724-AC52-4E60-8142-4023B725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02B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B4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53D0"/>
    <w:rPr>
      <w:b/>
      <w:bCs/>
    </w:rPr>
  </w:style>
  <w:style w:type="character" w:customStyle="1" w:styleId="CommentSubjectChar">
    <w:name w:val="Comment Subject Char"/>
    <w:basedOn w:val="CommentTextChar"/>
    <w:link w:val="CommentSubject"/>
    <w:uiPriority w:val="99"/>
    <w:semiHidden/>
    <w:rsid w:val="009853D0"/>
    <w:rPr>
      <w:b/>
      <w:bCs/>
      <w:sz w:val="20"/>
      <w:szCs w:val="20"/>
    </w:rPr>
  </w:style>
  <w:style w:type="paragraph" w:styleId="FootnoteText">
    <w:name w:val="footnote text"/>
    <w:basedOn w:val="Normal"/>
    <w:link w:val="FootnoteTextChar"/>
    <w:uiPriority w:val="99"/>
    <w:unhideWhenUsed/>
    <w:rsid w:val="0094746F"/>
    <w:pPr>
      <w:spacing w:line="240" w:lineRule="auto"/>
    </w:pPr>
    <w:rPr>
      <w:sz w:val="24"/>
      <w:szCs w:val="24"/>
    </w:rPr>
  </w:style>
  <w:style w:type="character" w:customStyle="1" w:styleId="FootnoteTextChar">
    <w:name w:val="Footnote Text Char"/>
    <w:basedOn w:val="DefaultParagraphFont"/>
    <w:link w:val="FootnoteText"/>
    <w:uiPriority w:val="99"/>
    <w:rsid w:val="0094746F"/>
    <w:rPr>
      <w:sz w:val="24"/>
      <w:szCs w:val="24"/>
    </w:rPr>
  </w:style>
  <w:style w:type="character" w:styleId="FootnoteReference">
    <w:name w:val="footnote reference"/>
    <w:basedOn w:val="DefaultParagraphFont"/>
    <w:uiPriority w:val="99"/>
    <w:unhideWhenUsed/>
    <w:rsid w:val="0094746F"/>
    <w:rPr>
      <w:vertAlign w:val="superscript"/>
    </w:rPr>
  </w:style>
  <w:style w:type="character" w:styleId="Hyperlink">
    <w:name w:val="Hyperlink"/>
    <w:basedOn w:val="DefaultParagraphFont"/>
    <w:uiPriority w:val="99"/>
    <w:unhideWhenUsed/>
    <w:rsid w:val="0094746F"/>
    <w:rPr>
      <w:color w:val="0000FF"/>
      <w:u w:val="single"/>
    </w:rPr>
  </w:style>
  <w:style w:type="paragraph" w:styleId="ListParagraph">
    <w:name w:val="List Paragraph"/>
    <w:basedOn w:val="Normal"/>
    <w:uiPriority w:val="34"/>
    <w:qFormat/>
    <w:rsid w:val="00050E8F"/>
    <w:pPr>
      <w:ind w:left="720"/>
      <w:contextualSpacing/>
    </w:pPr>
  </w:style>
  <w:style w:type="table" w:styleId="TableGrid">
    <w:name w:val="Table Grid"/>
    <w:basedOn w:val="TableNormal"/>
    <w:uiPriority w:val="59"/>
    <w:rsid w:val="00764E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951"/>
    <w:pPr>
      <w:tabs>
        <w:tab w:val="center" w:pos="4513"/>
        <w:tab w:val="right" w:pos="9026"/>
      </w:tabs>
      <w:spacing w:line="240" w:lineRule="auto"/>
    </w:pPr>
  </w:style>
  <w:style w:type="character" w:customStyle="1" w:styleId="HeaderChar">
    <w:name w:val="Header Char"/>
    <w:basedOn w:val="DefaultParagraphFont"/>
    <w:link w:val="Header"/>
    <w:uiPriority w:val="99"/>
    <w:rsid w:val="00653951"/>
  </w:style>
  <w:style w:type="paragraph" w:styleId="Footer">
    <w:name w:val="footer"/>
    <w:basedOn w:val="Normal"/>
    <w:link w:val="FooterChar"/>
    <w:uiPriority w:val="99"/>
    <w:unhideWhenUsed/>
    <w:rsid w:val="00653951"/>
    <w:pPr>
      <w:tabs>
        <w:tab w:val="center" w:pos="4513"/>
        <w:tab w:val="right" w:pos="9026"/>
      </w:tabs>
      <w:spacing w:line="240" w:lineRule="auto"/>
    </w:pPr>
  </w:style>
  <w:style w:type="character" w:customStyle="1" w:styleId="FooterChar">
    <w:name w:val="Footer Char"/>
    <w:basedOn w:val="DefaultParagraphFont"/>
    <w:link w:val="Footer"/>
    <w:uiPriority w:val="99"/>
    <w:rsid w:val="0065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8997">
      <w:bodyDiv w:val="1"/>
      <w:marLeft w:val="0"/>
      <w:marRight w:val="0"/>
      <w:marTop w:val="0"/>
      <w:marBottom w:val="0"/>
      <w:divBdr>
        <w:top w:val="none" w:sz="0" w:space="0" w:color="auto"/>
        <w:left w:val="none" w:sz="0" w:space="0" w:color="auto"/>
        <w:bottom w:val="none" w:sz="0" w:space="0" w:color="auto"/>
        <w:right w:val="none" w:sz="0" w:space="0" w:color="auto"/>
      </w:divBdr>
      <w:divsChild>
        <w:div w:id="480005866">
          <w:marLeft w:val="0"/>
          <w:marRight w:val="0"/>
          <w:marTop w:val="0"/>
          <w:marBottom w:val="0"/>
          <w:divBdr>
            <w:top w:val="none" w:sz="0" w:space="0" w:color="auto"/>
            <w:left w:val="none" w:sz="0" w:space="0" w:color="auto"/>
            <w:bottom w:val="none" w:sz="0" w:space="0" w:color="auto"/>
            <w:right w:val="none" w:sz="0" w:space="0" w:color="auto"/>
          </w:divBdr>
        </w:div>
        <w:div w:id="19720071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dropbox.com/s/zv982bfp202ozwb/Standing%20Committee%20on%20Finance%20-%202018%20-%20Report%20on%20Standing%20Committee%20on%20Finance%20on%20the%20201.pdf?dl=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axcom.org.za/docs/20150817%20Clarification%20of%20points%20in%20DTC%20VAT%20First%20Interim%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7C36-F6D6-4D30-9623-30268B54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6168</Words>
  <Characters>35161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Neil Coleman</cp:lastModifiedBy>
  <cp:revision>2</cp:revision>
  <cp:lastPrinted>2018-09-11T11:47:00Z</cp:lastPrinted>
  <dcterms:created xsi:type="dcterms:W3CDTF">2018-09-11T12:53:00Z</dcterms:created>
  <dcterms:modified xsi:type="dcterms:W3CDTF">2018-09-11T12:53:00Z</dcterms:modified>
</cp:coreProperties>
</file>