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19" w:rsidRPr="004E3019" w:rsidRDefault="004E3019" w:rsidP="004E3019">
      <w:pPr>
        <w:spacing w:after="200" w:line="276" w:lineRule="auto"/>
        <w:rPr>
          <w:rFonts w:ascii="Arial" w:eastAsia="Calibri" w:hAnsi="Arial" w:cs="Arial"/>
          <w:b/>
          <w:szCs w:val="24"/>
          <w:lang w:val="en-ZA"/>
        </w:rPr>
      </w:pPr>
      <w:bookmarkStart w:id="0" w:name="_GoBack"/>
      <w:bookmarkEnd w:id="0"/>
      <w:r w:rsidRPr="004E3019">
        <w:rPr>
          <w:rFonts w:ascii="Arial" w:eastAsia="Calibri" w:hAnsi="Arial" w:cs="Arial"/>
          <w:b/>
          <w:szCs w:val="24"/>
          <w:lang w:val="en-ZA"/>
        </w:rPr>
        <w:t xml:space="preserve">CALL FOR COMMENTS ON THE </w:t>
      </w:r>
      <w:r w:rsidR="00D42089" w:rsidRPr="00D42089">
        <w:rPr>
          <w:rFonts w:ascii="Arial" w:eastAsia="Calibri" w:hAnsi="Arial" w:cs="Arial"/>
          <w:b/>
          <w:szCs w:val="24"/>
          <w:lang w:val="en-ZA"/>
        </w:rPr>
        <w:t>NATIONALQUALIFICATIONS FRAMEWORK</w:t>
      </w:r>
      <w:r w:rsidR="005925DE">
        <w:rPr>
          <w:rFonts w:ascii="Arial" w:eastAsia="Calibri" w:hAnsi="Arial" w:cs="Arial"/>
          <w:b/>
          <w:szCs w:val="24"/>
          <w:lang w:val="en-ZA"/>
        </w:rPr>
        <w:t xml:space="preserve"> </w:t>
      </w:r>
      <w:r w:rsidR="00D42089" w:rsidRPr="00D42089">
        <w:rPr>
          <w:rFonts w:ascii="Arial" w:eastAsia="Calibri" w:hAnsi="Arial" w:cs="Arial"/>
          <w:b/>
          <w:szCs w:val="24"/>
          <w:lang w:val="en-ZA"/>
        </w:rPr>
        <w:t>AMENDMENT BILL</w:t>
      </w:r>
    </w:p>
    <w:p w:rsidR="004E3019" w:rsidRPr="004E3019" w:rsidRDefault="004E3019" w:rsidP="004E3019">
      <w:pPr>
        <w:spacing w:after="0" w:line="480" w:lineRule="auto"/>
        <w:rPr>
          <w:rFonts w:ascii="Arial" w:eastAsia="Calibri" w:hAnsi="Arial" w:cs="Arial"/>
          <w:b/>
          <w:szCs w:val="24"/>
          <w:lang w:val="en-ZA"/>
        </w:rPr>
      </w:pPr>
      <w:r w:rsidRPr="004E3019">
        <w:rPr>
          <w:rFonts w:ascii="Arial" w:eastAsia="Calibri" w:hAnsi="Arial" w:cs="Arial"/>
          <w:b/>
          <w:szCs w:val="24"/>
          <w:lang w:val="en-ZA"/>
        </w:rPr>
        <w:t>COMMENTATORS: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gridCol w:w="6588"/>
      </w:tblGrid>
      <w:tr w:rsidR="004E3019" w:rsidRPr="004E3019" w:rsidTr="00F97A66">
        <w:tc>
          <w:tcPr>
            <w:tcW w:w="2500" w:type="pct"/>
            <w:shd w:val="clear" w:color="auto" w:fill="auto"/>
          </w:tcPr>
          <w:p w:rsidR="004E3019" w:rsidRPr="004E3019" w:rsidRDefault="004E3019" w:rsidP="004E3019">
            <w:pPr>
              <w:spacing w:after="0" w:line="240" w:lineRule="auto"/>
              <w:rPr>
                <w:rFonts w:ascii="Arial" w:eastAsia="Calibri" w:hAnsi="Arial" w:cs="Arial"/>
                <w:b/>
                <w:szCs w:val="24"/>
                <w:lang w:val="en-ZA"/>
              </w:rPr>
            </w:pPr>
            <w:r w:rsidRPr="004E3019">
              <w:rPr>
                <w:rFonts w:ascii="Arial" w:eastAsia="Calibri" w:hAnsi="Arial" w:cs="Arial"/>
                <w:b/>
                <w:szCs w:val="24"/>
                <w:lang w:val="en-ZA"/>
              </w:rPr>
              <w:t>NAME</w:t>
            </w:r>
          </w:p>
        </w:tc>
        <w:tc>
          <w:tcPr>
            <w:tcW w:w="2500" w:type="pct"/>
            <w:shd w:val="clear" w:color="auto" w:fill="auto"/>
          </w:tcPr>
          <w:p w:rsidR="004E3019" w:rsidRPr="004E3019" w:rsidRDefault="004E3019" w:rsidP="004E3019">
            <w:pPr>
              <w:spacing w:after="0" w:line="240" w:lineRule="auto"/>
              <w:rPr>
                <w:rFonts w:ascii="Arial" w:eastAsia="Calibri" w:hAnsi="Arial" w:cs="Arial"/>
                <w:b/>
                <w:szCs w:val="24"/>
                <w:lang w:val="en-ZA"/>
              </w:rPr>
            </w:pPr>
            <w:r w:rsidRPr="004E3019">
              <w:rPr>
                <w:rFonts w:ascii="Arial" w:eastAsia="Calibri" w:hAnsi="Arial" w:cs="Arial"/>
                <w:b/>
                <w:szCs w:val="24"/>
                <w:lang w:val="en-ZA"/>
              </w:rPr>
              <w:t>ORGANISATION</w:t>
            </w:r>
          </w:p>
        </w:tc>
      </w:tr>
      <w:tr w:rsidR="004E3019" w:rsidRPr="004E3019" w:rsidTr="00F97A66">
        <w:tc>
          <w:tcPr>
            <w:tcW w:w="2500" w:type="pct"/>
            <w:shd w:val="clear" w:color="auto" w:fill="auto"/>
          </w:tcPr>
          <w:p w:rsidR="004E3019" w:rsidRPr="004E3019" w:rsidRDefault="004E3019" w:rsidP="004E3019">
            <w:pPr>
              <w:spacing w:after="0" w:line="240" w:lineRule="auto"/>
              <w:rPr>
                <w:rFonts w:ascii="Arial" w:eastAsia="Calibri" w:hAnsi="Arial" w:cs="Arial"/>
                <w:szCs w:val="24"/>
                <w:lang w:val="en-ZA"/>
              </w:rPr>
            </w:pPr>
          </w:p>
        </w:tc>
        <w:tc>
          <w:tcPr>
            <w:tcW w:w="2500" w:type="pct"/>
            <w:shd w:val="clear" w:color="auto" w:fill="auto"/>
          </w:tcPr>
          <w:p w:rsidR="004E3019" w:rsidRPr="004E3019" w:rsidRDefault="004E3019" w:rsidP="004E3019">
            <w:pPr>
              <w:spacing w:after="0" w:line="240" w:lineRule="auto"/>
              <w:rPr>
                <w:rFonts w:ascii="Arial" w:eastAsia="Calibri" w:hAnsi="Arial" w:cs="Arial"/>
                <w:szCs w:val="24"/>
                <w:lang w:val="en-ZA"/>
              </w:rPr>
            </w:pPr>
            <w:proofErr w:type="spellStart"/>
            <w:r w:rsidRPr="004E3019">
              <w:rPr>
                <w:rFonts w:ascii="Arial" w:eastAsia="Calibri" w:hAnsi="Arial" w:cs="Arial"/>
                <w:szCs w:val="24"/>
                <w:lang w:val="en-ZA"/>
              </w:rPr>
              <w:t>Umalusi</w:t>
            </w:r>
            <w:proofErr w:type="spellEnd"/>
          </w:p>
        </w:tc>
      </w:tr>
    </w:tbl>
    <w:p w:rsidR="004E3019" w:rsidRPr="004E3019" w:rsidRDefault="004E3019" w:rsidP="004E3019">
      <w:pPr>
        <w:spacing w:after="0" w:line="240" w:lineRule="auto"/>
        <w:rPr>
          <w:rFonts w:ascii="Arial" w:eastAsia="Calibri" w:hAnsi="Arial" w:cs="Arial"/>
          <w:szCs w:val="24"/>
          <w:lang w:val="en-ZA"/>
        </w:rPr>
      </w:pPr>
    </w:p>
    <w:p w:rsidR="004E3019" w:rsidRPr="004E3019" w:rsidRDefault="004E3019" w:rsidP="004E3019">
      <w:pPr>
        <w:spacing w:after="200" w:line="276" w:lineRule="auto"/>
        <w:rPr>
          <w:rFonts w:ascii="Arial" w:eastAsia="Calibri" w:hAnsi="Arial" w:cs="Arial"/>
          <w:sz w:val="32"/>
          <w:szCs w:val="32"/>
          <w:lang w:val="en-ZA"/>
        </w:rPr>
      </w:pPr>
      <w:r w:rsidRPr="004E3019">
        <w:rPr>
          <w:rFonts w:ascii="Arial" w:eastAsia="Calibri" w:hAnsi="Arial" w:cs="Arial"/>
          <w:b/>
          <w:szCs w:val="24"/>
          <w:lang w:val="en-ZA"/>
        </w:rPr>
        <w:t xml:space="preserve">CALL FOR COMMENTS ON THE </w:t>
      </w:r>
      <w:r w:rsidR="00D42089" w:rsidRPr="00D42089">
        <w:rPr>
          <w:rFonts w:ascii="Arial" w:eastAsia="Calibri" w:hAnsi="Arial" w:cs="Arial"/>
          <w:b/>
          <w:szCs w:val="24"/>
          <w:lang w:val="en-ZA"/>
        </w:rPr>
        <w:t>NATIONALQUALIFICATIONS FRAMEWORK</w:t>
      </w:r>
      <w:r w:rsidR="005925DE">
        <w:rPr>
          <w:rFonts w:ascii="Arial" w:eastAsia="Calibri" w:hAnsi="Arial" w:cs="Arial"/>
          <w:b/>
          <w:szCs w:val="24"/>
          <w:lang w:val="en-ZA"/>
        </w:rPr>
        <w:t xml:space="preserve"> </w:t>
      </w:r>
      <w:r w:rsidR="00D42089" w:rsidRPr="00D42089">
        <w:rPr>
          <w:rFonts w:ascii="Arial" w:eastAsia="Calibri" w:hAnsi="Arial" w:cs="Arial"/>
          <w:b/>
          <w:szCs w:val="24"/>
          <w:lang w:val="en-ZA"/>
        </w:rPr>
        <w:t>AMENDMENT BILL</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2250"/>
        <w:gridCol w:w="5040"/>
        <w:gridCol w:w="5130"/>
      </w:tblGrid>
      <w:tr w:rsidR="004E3019" w:rsidRPr="00604908" w:rsidTr="00271944">
        <w:trPr>
          <w:tblHeader/>
        </w:trPr>
        <w:tc>
          <w:tcPr>
            <w:tcW w:w="1188" w:type="dxa"/>
            <w:tcBorders>
              <w:bottom w:val="single" w:sz="4" w:space="0" w:color="auto"/>
            </w:tcBorders>
            <w:shd w:val="clear" w:color="auto" w:fill="D9D9D9"/>
          </w:tcPr>
          <w:p w:rsidR="004E3019" w:rsidRPr="00604908" w:rsidRDefault="004E3019" w:rsidP="004E3019">
            <w:pPr>
              <w:spacing w:after="0" w:line="480" w:lineRule="auto"/>
              <w:rPr>
                <w:rFonts w:ascii="Arial" w:eastAsia="Times New Roman" w:hAnsi="Arial" w:cs="Arial"/>
                <w:b/>
                <w:sz w:val="22"/>
                <w:lang w:val="en-ZA"/>
              </w:rPr>
            </w:pPr>
            <w:r w:rsidRPr="00604908">
              <w:rPr>
                <w:rFonts w:ascii="Arial" w:eastAsia="Times New Roman" w:hAnsi="Arial" w:cs="Arial"/>
                <w:b/>
                <w:sz w:val="22"/>
                <w:lang w:val="en-ZA"/>
              </w:rPr>
              <w:t>Page</w:t>
            </w:r>
          </w:p>
        </w:tc>
        <w:tc>
          <w:tcPr>
            <w:tcW w:w="2250" w:type="dxa"/>
            <w:tcBorders>
              <w:bottom w:val="single" w:sz="4" w:space="0" w:color="auto"/>
            </w:tcBorders>
            <w:shd w:val="clear" w:color="auto" w:fill="D9D9D9"/>
          </w:tcPr>
          <w:p w:rsidR="004E3019" w:rsidRPr="00604908" w:rsidRDefault="004E3019" w:rsidP="004E3019">
            <w:pPr>
              <w:spacing w:after="0" w:line="480" w:lineRule="auto"/>
              <w:rPr>
                <w:rFonts w:ascii="Arial" w:eastAsia="Times New Roman" w:hAnsi="Arial" w:cs="Arial"/>
                <w:b/>
                <w:sz w:val="22"/>
                <w:lang w:val="en-ZA"/>
              </w:rPr>
            </w:pPr>
            <w:r w:rsidRPr="00604908">
              <w:rPr>
                <w:rFonts w:ascii="Arial" w:eastAsia="Times New Roman" w:hAnsi="Arial" w:cs="Arial"/>
                <w:b/>
                <w:sz w:val="22"/>
                <w:lang w:val="en-ZA"/>
              </w:rPr>
              <w:t>Section</w:t>
            </w:r>
          </w:p>
        </w:tc>
        <w:tc>
          <w:tcPr>
            <w:tcW w:w="5040" w:type="dxa"/>
            <w:tcBorders>
              <w:bottom w:val="single" w:sz="4" w:space="0" w:color="auto"/>
            </w:tcBorders>
            <w:shd w:val="clear" w:color="auto" w:fill="D9D9D9"/>
          </w:tcPr>
          <w:p w:rsidR="004E3019" w:rsidRPr="00604908" w:rsidRDefault="004E3019" w:rsidP="004E3019">
            <w:pPr>
              <w:spacing w:after="0" w:line="480" w:lineRule="auto"/>
              <w:rPr>
                <w:rFonts w:ascii="Arial" w:eastAsia="Calibri" w:hAnsi="Arial" w:cs="Arial"/>
                <w:b/>
                <w:sz w:val="22"/>
                <w:lang w:val="en-ZA"/>
              </w:rPr>
            </w:pPr>
            <w:r w:rsidRPr="00604908">
              <w:rPr>
                <w:rFonts w:ascii="Arial" w:eastAsia="Calibri" w:hAnsi="Arial" w:cs="Arial"/>
                <w:b/>
                <w:sz w:val="22"/>
                <w:lang w:val="en-ZA"/>
              </w:rPr>
              <w:t>Comment</w:t>
            </w:r>
          </w:p>
        </w:tc>
        <w:tc>
          <w:tcPr>
            <w:tcW w:w="5130" w:type="dxa"/>
            <w:tcBorders>
              <w:bottom w:val="single" w:sz="4" w:space="0" w:color="auto"/>
            </w:tcBorders>
            <w:shd w:val="clear" w:color="auto" w:fill="D9D9D9"/>
          </w:tcPr>
          <w:p w:rsidR="004E3019" w:rsidRPr="00604908" w:rsidRDefault="004E3019" w:rsidP="004E3019">
            <w:pPr>
              <w:spacing w:after="0" w:line="480" w:lineRule="auto"/>
              <w:rPr>
                <w:rFonts w:ascii="Arial" w:eastAsia="Calibri" w:hAnsi="Arial" w:cs="Arial"/>
                <w:b/>
                <w:sz w:val="22"/>
                <w:lang w:val="en-ZA"/>
              </w:rPr>
            </w:pPr>
            <w:r w:rsidRPr="00604908">
              <w:rPr>
                <w:rFonts w:ascii="Arial" w:eastAsia="Calibri" w:hAnsi="Arial" w:cs="Arial"/>
                <w:b/>
                <w:sz w:val="22"/>
                <w:lang w:val="en-ZA"/>
              </w:rPr>
              <w:t>Proposal for Revision</w:t>
            </w:r>
          </w:p>
        </w:tc>
      </w:tr>
      <w:tr w:rsidR="00646E04" w:rsidRPr="00604908" w:rsidTr="00271944">
        <w:tc>
          <w:tcPr>
            <w:tcW w:w="1188" w:type="dxa"/>
            <w:shd w:val="clear" w:color="auto" w:fill="FFFFFF" w:themeFill="background1"/>
          </w:tcPr>
          <w:p w:rsidR="00646E04" w:rsidRPr="00604908" w:rsidRDefault="00646E04" w:rsidP="004E3019">
            <w:pPr>
              <w:spacing w:after="0" w:line="480" w:lineRule="auto"/>
              <w:rPr>
                <w:rFonts w:ascii="Arial" w:eastAsia="Times New Roman" w:hAnsi="Arial" w:cs="Arial"/>
                <w:sz w:val="22"/>
                <w:lang w:val="en-ZA"/>
              </w:rPr>
            </w:pPr>
            <w:r w:rsidRPr="00604908">
              <w:rPr>
                <w:rFonts w:ascii="Arial" w:eastAsia="Times New Roman" w:hAnsi="Arial" w:cs="Arial"/>
                <w:sz w:val="22"/>
                <w:lang w:val="en-ZA"/>
              </w:rPr>
              <w:t>2</w:t>
            </w:r>
          </w:p>
        </w:tc>
        <w:tc>
          <w:tcPr>
            <w:tcW w:w="2250" w:type="dxa"/>
            <w:shd w:val="clear" w:color="auto" w:fill="FFFFFF" w:themeFill="background1"/>
          </w:tcPr>
          <w:p w:rsidR="00646E04" w:rsidRPr="00604908" w:rsidRDefault="00646E04" w:rsidP="004E3019">
            <w:pPr>
              <w:spacing w:after="0" w:line="480" w:lineRule="auto"/>
              <w:rPr>
                <w:rFonts w:ascii="Arial" w:eastAsia="Times New Roman" w:hAnsi="Arial" w:cs="Arial"/>
                <w:sz w:val="22"/>
                <w:lang w:val="en-ZA"/>
              </w:rPr>
            </w:pPr>
            <w:r w:rsidRPr="00604908">
              <w:rPr>
                <w:rFonts w:ascii="Arial" w:eastAsia="Times New Roman" w:hAnsi="Arial" w:cs="Arial"/>
                <w:sz w:val="22"/>
                <w:lang w:val="en-ZA"/>
              </w:rPr>
              <w:t>Purpose of the amendment Bill</w:t>
            </w:r>
          </w:p>
        </w:tc>
        <w:tc>
          <w:tcPr>
            <w:tcW w:w="5040" w:type="dxa"/>
            <w:shd w:val="clear" w:color="auto" w:fill="FFFFFF" w:themeFill="background1"/>
          </w:tcPr>
          <w:p w:rsidR="00646E04" w:rsidRPr="00604908" w:rsidRDefault="00646E04" w:rsidP="00646E04">
            <w:pPr>
              <w:spacing w:after="0" w:line="276" w:lineRule="auto"/>
              <w:rPr>
                <w:rFonts w:ascii="Arial" w:eastAsia="Calibri" w:hAnsi="Arial" w:cs="Arial"/>
                <w:sz w:val="22"/>
                <w:lang w:val="en-ZA"/>
              </w:rPr>
            </w:pPr>
            <w:r w:rsidRPr="00604908">
              <w:rPr>
                <w:rFonts w:ascii="Arial" w:eastAsia="Calibri" w:hAnsi="Arial" w:cs="Arial"/>
                <w:sz w:val="22"/>
                <w:lang w:val="en-ZA"/>
              </w:rPr>
              <w:t>QCs</w:t>
            </w:r>
            <w:r w:rsidR="008270B7" w:rsidRPr="00604908">
              <w:rPr>
                <w:rFonts w:ascii="Arial" w:eastAsia="Calibri" w:hAnsi="Arial" w:cs="Arial"/>
                <w:sz w:val="22"/>
                <w:lang w:val="en-ZA"/>
              </w:rPr>
              <w:t>,</w:t>
            </w:r>
            <w:r w:rsidRPr="00604908">
              <w:rPr>
                <w:rFonts w:ascii="Arial" w:eastAsia="Calibri" w:hAnsi="Arial" w:cs="Arial"/>
                <w:sz w:val="22"/>
                <w:lang w:val="en-ZA"/>
              </w:rPr>
              <w:t xml:space="preserve"> as the custodians of the</w:t>
            </w:r>
            <w:r w:rsidR="008270B7" w:rsidRPr="00604908">
              <w:rPr>
                <w:rFonts w:ascii="Arial" w:eastAsia="Calibri" w:hAnsi="Arial" w:cs="Arial"/>
                <w:sz w:val="22"/>
                <w:lang w:val="en-ZA"/>
              </w:rPr>
              <w:t xml:space="preserve"> attained </w:t>
            </w:r>
            <w:r w:rsidRPr="00604908">
              <w:rPr>
                <w:rFonts w:ascii="Arial" w:eastAsia="Calibri" w:hAnsi="Arial" w:cs="Arial"/>
                <w:sz w:val="22"/>
                <w:lang w:val="en-ZA"/>
              </w:rPr>
              <w:t>qualifications on the respective sub-frameworks</w:t>
            </w:r>
            <w:r w:rsidR="008270B7" w:rsidRPr="00604908">
              <w:rPr>
                <w:rFonts w:ascii="Arial" w:eastAsia="Calibri" w:hAnsi="Arial" w:cs="Arial"/>
                <w:sz w:val="22"/>
                <w:lang w:val="en-ZA"/>
              </w:rPr>
              <w:t>,</w:t>
            </w:r>
            <w:r w:rsidRPr="00604908">
              <w:rPr>
                <w:rFonts w:ascii="Arial" w:eastAsia="Calibri" w:hAnsi="Arial" w:cs="Arial"/>
                <w:sz w:val="22"/>
                <w:lang w:val="en-ZA"/>
              </w:rPr>
              <w:t xml:space="preserve"> must be included to verify attained qualifications.</w:t>
            </w:r>
          </w:p>
          <w:p w:rsidR="00646E04" w:rsidRPr="00604908" w:rsidRDefault="00646E04" w:rsidP="00646E04">
            <w:pPr>
              <w:spacing w:after="0" w:line="480" w:lineRule="auto"/>
              <w:rPr>
                <w:rFonts w:ascii="Arial" w:eastAsia="Calibri" w:hAnsi="Arial" w:cs="Arial"/>
                <w:b/>
                <w:sz w:val="22"/>
                <w:lang w:val="en-ZA"/>
              </w:rPr>
            </w:pPr>
          </w:p>
        </w:tc>
        <w:tc>
          <w:tcPr>
            <w:tcW w:w="5130" w:type="dxa"/>
            <w:shd w:val="clear" w:color="auto" w:fill="FFFFFF" w:themeFill="background1"/>
          </w:tcPr>
          <w:p w:rsidR="00646E04" w:rsidRPr="00604908" w:rsidRDefault="00646E04" w:rsidP="00646E04">
            <w:pPr>
              <w:spacing w:after="0" w:line="276" w:lineRule="auto"/>
              <w:rPr>
                <w:rFonts w:ascii="Arial" w:eastAsia="Calibri" w:hAnsi="Arial" w:cs="Arial"/>
                <w:b/>
                <w:sz w:val="22"/>
                <w:lang w:val="en-ZA"/>
              </w:rPr>
            </w:pPr>
            <w:r w:rsidRPr="00604908">
              <w:rPr>
                <w:rFonts w:ascii="Arial" w:eastAsia="Calibri" w:hAnsi="Arial" w:cs="Arial"/>
                <w:b/>
                <w:sz w:val="22"/>
                <w:lang w:val="en-ZA"/>
              </w:rPr>
              <w:t>To amend the National Qualifications Framework Act, 2008, so as to amend and</w:t>
            </w:r>
          </w:p>
          <w:p w:rsidR="00646E04" w:rsidRPr="00604908" w:rsidRDefault="00646E04" w:rsidP="00646E04">
            <w:pPr>
              <w:spacing w:after="0" w:line="276" w:lineRule="auto"/>
              <w:rPr>
                <w:rFonts w:ascii="Arial" w:eastAsia="Calibri" w:hAnsi="Arial" w:cs="Arial"/>
                <w:b/>
                <w:sz w:val="22"/>
                <w:lang w:val="en-ZA"/>
              </w:rPr>
            </w:pPr>
            <w:r w:rsidRPr="00604908">
              <w:rPr>
                <w:rFonts w:ascii="Arial" w:eastAsia="Calibri" w:hAnsi="Arial" w:cs="Arial"/>
                <w:b/>
                <w:sz w:val="22"/>
                <w:lang w:val="en-ZA"/>
              </w:rPr>
              <w:t>insert certain definitions; to provide for the verification of all</w:t>
            </w:r>
            <w:r w:rsidR="008270B7" w:rsidRPr="00604908">
              <w:rPr>
                <w:rFonts w:ascii="Arial" w:eastAsia="Calibri" w:hAnsi="Arial" w:cs="Arial"/>
                <w:b/>
                <w:sz w:val="22"/>
                <w:lang w:val="en-ZA"/>
              </w:rPr>
              <w:t xml:space="preserve"> </w:t>
            </w:r>
            <w:r w:rsidR="008270B7" w:rsidRPr="00604908">
              <w:rPr>
                <w:rFonts w:ascii="Arial" w:eastAsia="Calibri" w:hAnsi="Arial" w:cs="Arial"/>
                <w:b/>
                <w:color w:val="0070C0"/>
                <w:sz w:val="22"/>
                <w:lang w:val="en-ZA"/>
              </w:rPr>
              <w:t>attained</w:t>
            </w:r>
            <w:r w:rsidRPr="00604908">
              <w:rPr>
                <w:rFonts w:ascii="Arial" w:eastAsia="Calibri" w:hAnsi="Arial" w:cs="Arial"/>
                <w:b/>
                <w:sz w:val="22"/>
                <w:lang w:val="en-ZA"/>
              </w:rPr>
              <w:t xml:space="preserve"> qualifications or</w:t>
            </w:r>
          </w:p>
          <w:p w:rsidR="00646E04" w:rsidRPr="00604908" w:rsidRDefault="00646E04" w:rsidP="00646E04">
            <w:pPr>
              <w:spacing w:after="0" w:line="276" w:lineRule="auto"/>
              <w:rPr>
                <w:rFonts w:ascii="Arial" w:eastAsia="Calibri" w:hAnsi="Arial" w:cs="Arial"/>
                <w:b/>
                <w:sz w:val="22"/>
                <w:lang w:val="en-ZA"/>
              </w:rPr>
            </w:pPr>
            <w:r w:rsidRPr="00604908">
              <w:rPr>
                <w:rFonts w:ascii="Arial" w:eastAsia="Calibri" w:hAnsi="Arial" w:cs="Arial"/>
                <w:b/>
                <w:sz w:val="22"/>
                <w:lang w:val="en-ZA"/>
              </w:rPr>
              <w:t xml:space="preserve">part-qualifications by the SAQA </w:t>
            </w:r>
            <w:r w:rsidRPr="00604908">
              <w:rPr>
                <w:rFonts w:ascii="Arial" w:eastAsia="Calibri" w:hAnsi="Arial" w:cs="Arial"/>
                <w:b/>
                <w:color w:val="0070C0"/>
                <w:sz w:val="22"/>
                <w:lang w:val="en-ZA"/>
              </w:rPr>
              <w:t>and the QCs</w:t>
            </w:r>
            <w:r w:rsidRPr="00604908">
              <w:rPr>
                <w:rFonts w:ascii="Arial" w:eastAsia="Calibri" w:hAnsi="Arial" w:cs="Arial"/>
                <w:b/>
                <w:sz w:val="22"/>
                <w:lang w:val="en-ZA"/>
              </w:rPr>
              <w:t>;</w:t>
            </w:r>
          </w:p>
        </w:tc>
      </w:tr>
      <w:tr w:rsidR="008270B7" w:rsidRPr="00604908" w:rsidTr="00271944">
        <w:tc>
          <w:tcPr>
            <w:tcW w:w="1188" w:type="dxa"/>
            <w:shd w:val="clear" w:color="auto" w:fill="FFFFFF" w:themeFill="background1"/>
          </w:tcPr>
          <w:p w:rsidR="008270B7" w:rsidRPr="00604908" w:rsidRDefault="008270B7" w:rsidP="004E3019">
            <w:pPr>
              <w:spacing w:after="0" w:line="480" w:lineRule="auto"/>
              <w:rPr>
                <w:rFonts w:ascii="Arial" w:eastAsia="Times New Roman" w:hAnsi="Arial" w:cs="Arial"/>
                <w:sz w:val="22"/>
                <w:lang w:val="en-ZA"/>
              </w:rPr>
            </w:pPr>
            <w:r w:rsidRPr="00604908">
              <w:rPr>
                <w:rFonts w:ascii="Arial" w:eastAsia="Times New Roman" w:hAnsi="Arial" w:cs="Arial"/>
                <w:sz w:val="22"/>
                <w:lang w:val="en-ZA"/>
              </w:rPr>
              <w:t>2</w:t>
            </w:r>
          </w:p>
        </w:tc>
        <w:tc>
          <w:tcPr>
            <w:tcW w:w="2250" w:type="dxa"/>
            <w:shd w:val="clear" w:color="auto" w:fill="FFFFFF" w:themeFill="background1"/>
          </w:tcPr>
          <w:p w:rsidR="008270B7" w:rsidRPr="00604908" w:rsidRDefault="008270B7" w:rsidP="004E3019">
            <w:pPr>
              <w:spacing w:after="0" w:line="480" w:lineRule="auto"/>
              <w:rPr>
                <w:rFonts w:ascii="Arial" w:eastAsia="Times New Roman" w:hAnsi="Arial" w:cs="Arial"/>
                <w:sz w:val="22"/>
                <w:lang w:val="en-ZA"/>
              </w:rPr>
            </w:pPr>
            <w:r w:rsidRPr="00604908">
              <w:rPr>
                <w:rFonts w:ascii="Arial" w:eastAsia="Times New Roman" w:hAnsi="Arial" w:cs="Arial"/>
                <w:sz w:val="22"/>
                <w:lang w:val="en-ZA"/>
              </w:rPr>
              <w:t>Section 1 – line 8</w:t>
            </w:r>
          </w:p>
        </w:tc>
        <w:tc>
          <w:tcPr>
            <w:tcW w:w="5040" w:type="dxa"/>
            <w:shd w:val="clear" w:color="auto" w:fill="FFFFFF" w:themeFill="background1"/>
          </w:tcPr>
          <w:p w:rsidR="008270B7" w:rsidRPr="00604908" w:rsidRDefault="008270B7" w:rsidP="008270B7">
            <w:pPr>
              <w:spacing w:after="0" w:line="276" w:lineRule="auto"/>
              <w:rPr>
                <w:rFonts w:ascii="Arial" w:eastAsia="Calibri" w:hAnsi="Arial" w:cs="Arial"/>
                <w:sz w:val="22"/>
                <w:lang w:val="en-ZA"/>
              </w:rPr>
            </w:pPr>
            <w:r w:rsidRPr="00604908">
              <w:rPr>
                <w:rFonts w:ascii="Arial" w:eastAsia="Calibri" w:hAnsi="Arial" w:cs="Arial"/>
                <w:sz w:val="22"/>
                <w:lang w:val="en-ZA"/>
              </w:rPr>
              <w:t xml:space="preserve">Only attained qualifications can be verified in terms of authenticity. </w:t>
            </w:r>
          </w:p>
        </w:tc>
        <w:tc>
          <w:tcPr>
            <w:tcW w:w="5130" w:type="dxa"/>
            <w:shd w:val="clear" w:color="auto" w:fill="FFFFFF" w:themeFill="background1"/>
          </w:tcPr>
          <w:p w:rsidR="008270B7" w:rsidRPr="00604908" w:rsidRDefault="008270B7" w:rsidP="008270B7">
            <w:pPr>
              <w:spacing w:after="0" w:line="276" w:lineRule="auto"/>
              <w:rPr>
                <w:rFonts w:ascii="Arial" w:eastAsia="Calibri" w:hAnsi="Arial" w:cs="Arial"/>
                <w:strike/>
                <w:color w:val="0070C0"/>
                <w:sz w:val="22"/>
                <w:lang w:val="en-ZA"/>
              </w:rPr>
            </w:pPr>
            <w:r w:rsidRPr="00604908">
              <w:rPr>
                <w:rFonts w:ascii="Arial" w:eastAsia="Calibri" w:hAnsi="Arial" w:cs="Arial"/>
                <w:sz w:val="22"/>
                <w:lang w:val="en-ZA"/>
              </w:rPr>
              <w:t xml:space="preserve">in relation to a qualification or part-qualification, includes </w:t>
            </w:r>
            <w:r w:rsidRPr="00604908">
              <w:rPr>
                <w:rFonts w:ascii="Arial" w:eastAsia="Calibri" w:hAnsi="Arial" w:cs="Arial"/>
                <w:strike/>
                <w:sz w:val="22"/>
                <w:lang w:val="en-ZA"/>
              </w:rPr>
              <w:t xml:space="preserve">a </w:t>
            </w:r>
            <w:r w:rsidRPr="00604908">
              <w:rPr>
                <w:rFonts w:ascii="Arial" w:eastAsia="Calibri" w:hAnsi="Arial" w:cs="Arial"/>
                <w:color w:val="0070C0"/>
                <w:sz w:val="22"/>
                <w:lang w:val="en-ZA"/>
              </w:rPr>
              <w:t>an attained</w:t>
            </w:r>
          </w:p>
          <w:p w:rsidR="008270B7" w:rsidRPr="00604908" w:rsidRDefault="008270B7" w:rsidP="008270B7">
            <w:pPr>
              <w:spacing w:after="0" w:line="276" w:lineRule="auto"/>
              <w:rPr>
                <w:rFonts w:ascii="Arial" w:eastAsia="Calibri" w:hAnsi="Arial" w:cs="Arial"/>
                <w:sz w:val="22"/>
                <w:lang w:val="en-ZA"/>
              </w:rPr>
            </w:pPr>
            <w:r w:rsidRPr="00604908">
              <w:rPr>
                <w:rFonts w:ascii="Arial" w:eastAsia="Calibri" w:hAnsi="Arial" w:cs="Arial"/>
                <w:sz w:val="22"/>
                <w:lang w:val="en-ZA"/>
              </w:rPr>
              <w:t>qualification or part-qualification that is—</w:t>
            </w:r>
          </w:p>
        </w:tc>
      </w:tr>
      <w:tr w:rsidR="00CB6A78" w:rsidRPr="00604908" w:rsidTr="001277E0">
        <w:tc>
          <w:tcPr>
            <w:tcW w:w="1188" w:type="dxa"/>
          </w:tcPr>
          <w:p w:rsidR="00CB6A78" w:rsidRPr="004E3019" w:rsidRDefault="00CB6A78" w:rsidP="00CB6A78">
            <w:pPr>
              <w:spacing w:after="0" w:line="276" w:lineRule="auto"/>
              <w:rPr>
                <w:rFonts w:ascii="Arial" w:eastAsia="Times New Roman" w:hAnsi="Arial" w:cs="Arial"/>
                <w:sz w:val="22"/>
                <w:lang w:val="en-ZA"/>
              </w:rPr>
            </w:pPr>
            <w:r>
              <w:rPr>
                <w:rFonts w:ascii="Arial" w:eastAsia="Times New Roman" w:hAnsi="Arial" w:cs="Arial"/>
                <w:sz w:val="22"/>
                <w:lang w:val="en-ZA"/>
              </w:rPr>
              <w:t>3</w:t>
            </w:r>
          </w:p>
        </w:tc>
        <w:tc>
          <w:tcPr>
            <w:tcW w:w="2250" w:type="dxa"/>
          </w:tcPr>
          <w:p w:rsidR="00CB6A78" w:rsidRPr="004E3019" w:rsidRDefault="00CB6A78" w:rsidP="00CB6A78">
            <w:pPr>
              <w:spacing w:after="0" w:line="276" w:lineRule="auto"/>
              <w:rPr>
                <w:rFonts w:ascii="Arial" w:eastAsia="Times New Roman" w:hAnsi="Arial" w:cs="Arial"/>
                <w:sz w:val="22"/>
                <w:lang w:val="en-ZA"/>
              </w:rPr>
            </w:pPr>
            <w:r>
              <w:rPr>
                <w:rFonts w:ascii="Arial" w:eastAsia="Times New Roman" w:hAnsi="Arial" w:cs="Arial"/>
                <w:sz w:val="22"/>
                <w:lang w:val="en-ZA"/>
              </w:rPr>
              <w:t>Section 2 - 2</w:t>
            </w:r>
          </w:p>
        </w:tc>
        <w:tc>
          <w:tcPr>
            <w:tcW w:w="5040" w:type="dxa"/>
          </w:tcPr>
          <w:p w:rsidR="00CB6A78" w:rsidRDefault="00CB6A78" w:rsidP="00CB6A78">
            <w:pPr>
              <w:spacing w:after="0" w:line="276" w:lineRule="auto"/>
              <w:rPr>
                <w:rFonts w:ascii="Arial" w:eastAsia="Calibri" w:hAnsi="Arial" w:cs="Arial"/>
                <w:sz w:val="22"/>
                <w:lang w:val="en-ZA"/>
              </w:rPr>
            </w:pPr>
            <w:r>
              <w:rPr>
                <w:rFonts w:ascii="Arial" w:eastAsia="Calibri" w:hAnsi="Arial" w:cs="Arial"/>
                <w:sz w:val="22"/>
                <w:lang w:val="en-ZA"/>
              </w:rPr>
              <w:t>…. and related matters</w:t>
            </w:r>
          </w:p>
          <w:p w:rsidR="00CB6A78" w:rsidRPr="004E3019" w:rsidRDefault="00CB6A78" w:rsidP="00CB6A78">
            <w:pPr>
              <w:spacing w:after="0" w:line="276" w:lineRule="auto"/>
              <w:rPr>
                <w:rFonts w:ascii="Arial" w:eastAsia="Calibri" w:hAnsi="Arial" w:cs="Arial"/>
                <w:sz w:val="22"/>
                <w:lang w:val="en-ZA"/>
              </w:rPr>
            </w:pPr>
            <w:r>
              <w:rPr>
                <w:rFonts w:ascii="Arial" w:eastAsia="Calibri" w:hAnsi="Arial" w:cs="Arial"/>
                <w:sz w:val="22"/>
                <w:lang w:val="en-ZA"/>
              </w:rPr>
              <w:t>Is this not very broad and open for different interpretations and the consequences thereof?</w:t>
            </w:r>
          </w:p>
        </w:tc>
        <w:tc>
          <w:tcPr>
            <w:tcW w:w="5130" w:type="dxa"/>
            <w:shd w:val="clear" w:color="auto" w:fill="FFFFFF" w:themeFill="background1"/>
          </w:tcPr>
          <w:p w:rsidR="00CB6A78" w:rsidRPr="00604908" w:rsidRDefault="00CB6A78" w:rsidP="00CB6A78">
            <w:pPr>
              <w:spacing w:after="0" w:line="276" w:lineRule="auto"/>
              <w:rPr>
                <w:rFonts w:ascii="Arial" w:eastAsia="Calibri" w:hAnsi="Arial" w:cs="Arial"/>
                <w:sz w:val="22"/>
                <w:lang w:val="en-ZA"/>
              </w:rPr>
            </w:pPr>
            <w:r>
              <w:rPr>
                <w:rFonts w:ascii="Arial" w:eastAsia="Calibri" w:hAnsi="Arial" w:cs="Arial"/>
                <w:sz w:val="22"/>
                <w:lang w:val="en-ZA"/>
              </w:rPr>
              <w:t>Remove</w:t>
            </w:r>
            <w:r w:rsidRPr="00CB6A78">
              <w:rPr>
                <w:rFonts w:ascii="Arial" w:eastAsia="Calibri" w:hAnsi="Arial" w:cs="Arial"/>
                <w:b/>
                <w:sz w:val="22"/>
                <w:lang w:val="en-ZA"/>
              </w:rPr>
              <w:t>…. and related matters</w:t>
            </w:r>
          </w:p>
        </w:tc>
      </w:tr>
      <w:tr w:rsidR="00CB6A78" w:rsidRPr="00604908" w:rsidTr="00271944">
        <w:tc>
          <w:tcPr>
            <w:tcW w:w="1188" w:type="dxa"/>
          </w:tcPr>
          <w:p w:rsidR="00CB6A78" w:rsidRPr="00604908" w:rsidRDefault="00CB6A78" w:rsidP="00CB6A78">
            <w:pPr>
              <w:spacing w:after="0" w:line="276" w:lineRule="auto"/>
              <w:rPr>
                <w:rFonts w:ascii="Arial" w:eastAsia="Times New Roman" w:hAnsi="Arial" w:cs="Arial"/>
                <w:sz w:val="22"/>
                <w:lang w:val="en-ZA"/>
              </w:rPr>
            </w:pPr>
            <w:r w:rsidRPr="00604908">
              <w:rPr>
                <w:rFonts w:ascii="Arial" w:eastAsia="Times New Roman" w:hAnsi="Arial" w:cs="Arial"/>
                <w:sz w:val="22"/>
                <w:lang w:val="en-ZA"/>
              </w:rPr>
              <w:t>3</w:t>
            </w:r>
          </w:p>
        </w:tc>
        <w:tc>
          <w:tcPr>
            <w:tcW w:w="2250" w:type="dxa"/>
          </w:tcPr>
          <w:p w:rsidR="00CB6A78" w:rsidRPr="00604908" w:rsidRDefault="00CB6A78" w:rsidP="00CB6A78">
            <w:pPr>
              <w:spacing w:after="0" w:line="276" w:lineRule="auto"/>
              <w:rPr>
                <w:rFonts w:ascii="Arial" w:eastAsia="Times New Roman" w:hAnsi="Arial" w:cs="Arial"/>
                <w:sz w:val="22"/>
                <w:lang w:val="en-ZA"/>
              </w:rPr>
            </w:pPr>
            <w:r w:rsidRPr="00604908">
              <w:rPr>
                <w:rFonts w:ascii="Arial" w:eastAsia="Times New Roman" w:hAnsi="Arial" w:cs="Arial"/>
                <w:sz w:val="22"/>
                <w:lang w:val="en-ZA"/>
              </w:rPr>
              <w:t>Section 1 of the National Qualifications Framework Act, 2008 (Act No. 67 of 2008) – (g) – line 39</w:t>
            </w:r>
          </w:p>
        </w:tc>
        <w:tc>
          <w:tcPr>
            <w:tcW w:w="5040" w:type="dxa"/>
          </w:tcPr>
          <w:p w:rsidR="00CB6A78" w:rsidRPr="00604908" w:rsidRDefault="00CB6A78" w:rsidP="00CB6A78">
            <w:pPr>
              <w:spacing w:after="0" w:line="276" w:lineRule="auto"/>
              <w:rPr>
                <w:rFonts w:ascii="Arial" w:eastAsia="Calibri" w:hAnsi="Arial" w:cs="Arial"/>
                <w:sz w:val="22"/>
                <w:lang w:val="en-ZA"/>
              </w:rPr>
            </w:pPr>
            <w:r w:rsidRPr="00604908">
              <w:rPr>
                <w:rFonts w:ascii="Arial" w:eastAsia="Calibri" w:hAnsi="Arial" w:cs="Arial"/>
                <w:sz w:val="22"/>
                <w:lang w:val="en-ZA"/>
              </w:rPr>
              <w:t>QCs as the custodians of the qualifications on the respective sub-frameworks must verify attained qualifications.</w:t>
            </w:r>
          </w:p>
          <w:p w:rsidR="00CB6A78" w:rsidRPr="00604908" w:rsidRDefault="00CB6A78" w:rsidP="00CB6A78">
            <w:pPr>
              <w:spacing w:after="0" w:line="276" w:lineRule="auto"/>
              <w:rPr>
                <w:rFonts w:ascii="Arial" w:eastAsia="Calibri" w:hAnsi="Arial" w:cs="Arial"/>
                <w:sz w:val="22"/>
                <w:lang w:val="en-ZA"/>
              </w:rPr>
            </w:pPr>
          </w:p>
          <w:p w:rsidR="00CB6A78" w:rsidRPr="00604908" w:rsidRDefault="00CB6A78" w:rsidP="00CB6A78">
            <w:pPr>
              <w:spacing w:after="0" w:line="276" w:lineRule="auto"/>
              <w:rPr>
                <w:rFonts w:ascii="Arial" w:eastAsia="Calibri" w:hAnsi="Arial" w:cs="Arial"/>
                <w:sz w:val="22"/>
                <w:lang w:val="en-ZA"/>
              </w:rPr>
            </w:pPr>
            <w:r w:rsidRPr="00604908">
              <w:rPr>
                <w:rFonts w:ascii="Arial" w:eastAsia="Calibri" w:hAnsi="Arial" w:cs="Arial"/>
                <w:sz w:val="22"/>
                <w:lang w:val="en-ZA"/>
              </w:rPr>
              <w:t xml:space="preserve">While QCs certify attained qualifications and part-qualifications and issue the certificates to qualifying candidates detailed verification functions can only be performed by the QCs.     </w:t>
            </w:r>
          </w:p>
          <w:p w:rsidR="00CB6A78" w:rsidRPr="00604908" w:rsidRDefault="00CB6A78" w:rsidP="00CB6A78">
            <w:pPr>
              <w:spacing w:after="0" w:line="276" w:lineRule="auto"/>
              <w:rPr>
                <w:rFonts w:ascii="Arial" w:eastAsia="Calibri" w:hAnsi="Arial" w:cs="Arial"/>
                <w:sz w:val="22"/>
                <w:lang w:val="en-ZA"/>
              </w:rPr>
            </w:pPr>
          </w:p>
          <w:p w:rsidR="00CB6A78" w:rsidRPr="00604908" w:rsidRDefault="00CB6A78" w:rsidP="00CB6A78">
            <w:pPr>
              <w:spacing w:after="0" w:line="276" w:lineRule="auto"/>
              <w:rPr>
                <w:rFonts w:ascii="Arial" w:eastAsia="Calibri" w:hAnsi="Arial" w:cs="Arial"/>
                <w:sz w:val="22"/>
                <w:lang w:val="en-ZA"/>
              </w:rPr>
            </w:pPr>
          </w:p>
        </w:tc>
        <w:tc>
          <w:tcPr>
            <w:tcW w:w="5130" w:type="dxa"/>
          </w:tcPr>
          <w:p w:rsidR="00CB6A78" w:rsidRPr="00604908" w:rsidRDefault="00CB6A78" w:rsidP="00CB6A78">
            <w:pPr>
              <w:spacing w:after="0" w:line="276" w:lineRule="auto"/>
              <w:rPr>
                <w:rFonts w:ascii="Arial" w:eastAsia="Calibri" w:hAnsi="Arial" w:cs="Arial"/>
                <w:sz w:val="22"/>
                <w:lang w:val="en-ZA"/>
              </w:rPr>
            </w:pPr>
            <w:r w:rsidRPr="00604908">
              <w:rPr>
                <w:rFonts w:ascii="Arial" w:eastAsia="Calibri" w:hAnsi="Arial" w:cs="Arial"/>
                <w:sz w:val="22"/>
                <w:lang w:val="en-ZA"/>
              </w:rPr>
              <w:t>by the insertion after the definition of ‘‘</w:t>
            </w:r>
            <w:proofErr w:type="spellStart"/>
            <w:r w:rsidRPr="00604908">
              <w:rPr>
                <w:rFonts w:ascii="Arial" w:eastAsia="Calibri" w:hAnsi="Arial" w:cs="Arial"/>
                <w:sz w:val="22"/>
                <w:lang w:val="en-ZA"/>
              </w:rPr>
              <w:t>Umalusi</w:t>
            </w:r>
            <w:proofErr w:type="spellEnd"/>
            <w:r w:rsidRPr="00604908">
              <w:rPr>
                <w:rFonts w:ascii="Arial" w:eastAsia="Calibri" w:hAnsi="Arial" w:cs="Arial"/>
                <w:sz w:val="22"/>
                <w:lang w:val="en-ZA"/>
              </w:rPr>
              <w:t>’’ of the following definition:</w:t>
            </w:r>
          </w:p>
          <w:p w:rsidR="00CB6A78" w:rsidRPr="00604908" w:rsidRDefault="00CB6A78" w:rsidP="00CB6A78">
            <w:pPr>
              <w:spacing w:after="0" w:line="276" w:lineRule="auto"/>
              <w:rPr>
                <w:rFonts w:ascii="Arial" w:eastAsia="Calibri" w:hAnsi="Arial" w:cs="Arial"/>
                <w:sz w:val="22"/>
                <w:lang w:val="en-ZA"/>
              </w:rPr>
            </w:pPr>
            <w:r w:rsidRPr="00604908">
              <w:rPr>
                <w:rFonts w:ascii="Arial" w:eastAsia="Calibri" w:hAnsi="Arial" w:cs="Arial"/>
                <w:sz w:val="22"/>
                <w:lang w:val="en-ZA"/>
              </w:rPr>
              <w:t>‘‘ ‘verification’ means the process followed by the SAQA</w:t>
            </w:r>
            <w:r w:rsidRPr="00604908">
              <w:rPr>
                <w:rFonts w:ascii="Arial" w:eastAsia="Calibri" w:hAnsi="Arial" w:cs="Arial"/>
                <w:color w:val="0070C0"/>
                <w:sz w:val="22"/>
                <w:lang w:val="en-ZA"/>
              </w:rPr>
              <w:t>,</w:t>
            </w:r>
            <w:r w:rsidRPr="00604908">
              <w:rPr>
                <w:rFonts w:ascii="Arial" w:eastAsia="Calibri" w:hAnsi="Arial" w:cs="Arial"/>
                <w:sz w:val="22"/>
                <w:lang w:val="en-ZA"/>
              </w:rPr>
              <w:t xml:space="preserve"> </w:t>
            </w:r>
            <w:r w:rsidRPr="00604908">
              <w:rPr>
                <w:rFonts w:ascii="Arial" w:eastAsia="Calibri" w:hAnsi="Arial" w:cs="Arial"/>
                <w:color w:val="0070C0"/>
                <w:sz w:val="22"/>
                <w:lang w:val="en-ZA"/>
              </w:rPr>
              <w:t xml:space="preserve">as Qualifications Authority, and the QCs, as custodians of the qualifications on the respective sub-frameworks, </w:t>
            </w:r>
            <w:r w:rsidRPr="00604908">
              <w:rPr>
                <w:rFonts w:ascii="Arial" w:eastAsia="Calibri" w:hAnsi="Arial" w:cs="Arial"/>
                <w:sz w:val="22"/>
                <w:lang w:val="en-ZA"/>
              </w:rPr>
              <w:t>to determine</w:t>
            </w:r>
          </w:p>
          <w:p w:rsidR="00CB6A78" w:rsidRPr="00604908" w:rsidRDefault="00CB6A78" w:rsidP="00CB6A78">
            <w:pPr>
              <w:spacing w:after="0" w:line="276" w:lineRule="auto"/>
              <w:rPr>
                <w:rFonts w:ascii="Arial" w:eastAsia="Calibri" w:hAnsi="Arial" w:cs="Arial"/>
                <w:sz w:val="22"/>
                <w:lang w:val="en-ZA"/>
              </w:rPr>
            </w:pPr>
            <w:r w:rsidRPr="00604908">
              <w:rPr>
                <w:rFonts w:ascii="Arial" w:eastAsia="Calibri" w:hAnsi="Arial" w:cs="Arial"/>
                <w:sz w:val="22"/>
                <w:lang w:val="en-ZA"/>
              </w:rPr>
              <w:t xml:space="preserve">the authenticity of </w:t>
            </w:r>
            <w:r w:rsidRPr="00604908">
              <w:rPr>
                <w:rFonts w:ascii="Arial" w:eastAsia="Calibri" w:hAnsi="Arial" w:cs="Arial"/>
                <w:strike/>
                <w:sz w:val="22"/>
                <w:lang w:val="en-ZA"/>
              </w:rPr>
              <w:t>a</w:t>
            </w:r>
            <w:r w:rsidRPr="00604908">
              <w:rPr>
                <w:rFonts w:ascii="Arial" w:eastAsia="Calibri" w:hAnsi="Arial" w:cs="Arial"/>
                <w:sz w:val="22"/>
                <w:lang w:val="en-ZA"/>
              </w:rPr>
              <w:t xml:space="preserve"> </w:t>
            </w:r>
            <w:r w:rsidRPr="00604908">
              <w:rPr>
                <w:rFonts w:ascii="Arial" w:eastAsia="Calibri" w:hAnsi="Arial" w:cs="Arial"/>
                <w:color w:val="0070C0"/>
                <w:sz w:val="22"/>
                <w:lang w:val="en-ZA"/>
              </w:rPr>
              <w:t>an attained</w:t>
            </w:r>
            <w:r w:rsidRPr="00604908">
              <w:rPr>
                <w:rFonts w:ascii="Arial" w:eastAsia="Calibri" w:hAnsi="Arial" w:cs="Arial"/>
                <w:sz w:val="22"/>
                <w:lang w:val="en-ZA"/>
              </w:rPr>
              <w:t xml:space="preserve"> qualification or part-qualification in terms of the</w:t>
            </w:r>
          </w:p>
          <w:p w:rsidR="00CB6A78" w:rsidRPr="00604908" w:rsidRDefault="00CB6A78" w:rsidP="00CB6A78">
            <w:pPr>
              <w:spacing w:after="0" w:line="276" w:lineRule="auto"/>
              <w:rPr>
                <w:rFonts w:ascii="Arial" w:eastAsia="Calibri" w:hAnsi="Arial" w:cs="Arial"/>
                <w:sz w:val="22"/>
                <w:lang w:val="en-ZA"/>
              </w:rPr>
            </w:pPr>
            <w:proofErr w:type="gramStart"/>
            <w:r w:rsidRPr="00604908">
              <w:rPr>
                <w:rFonts w:ascii="Arial" w:eastAsia="Calibri" w:hAnsi="Arial" w:cs="Arial"/>
                <w:sz w:val="22"/>
                <w:lang w:val="en-ZA"/>
              </w:rPr>
              <w:t>relevant</w:t>
            </w:r>
            <w:proofErr w:type="gramEnd"/>
            <w:r w:rsidRPr="00604908">
              <w:rPr>
                <w:rFonts w:ascii="Arial" w:eastAsia="Calibri" w:hAnsi="Arial" w:cs="Arial"/>
                <w:sz w:val="22"/>
                <w:lang w:val="en-ZA"/>
              </w:rPr>
              <w:t xml:space="preserve"> </w:t>
            </w:r>
            <w:r w:rsidRPr="00604908">
              <w:rPr>
                <w:rFonts w:ascii="Arial" w:eastAsia="Calibri" w:hAnsi="Arial" w:cs="Arial"/>
                <w:strike/>
                <w:sz w:val="22"/>
                <w:lang w:val="en-ZA"/>
              </w:rPr>
              <w:t>SAQA policy</w:t>
            </w:r>
            <w:r w:rsidRPr="00604908">
              <w:rPr>
                <w:rFonts w:ascii="Arial" w:eastAsia="Calibri" w:hAnsi="Arial" w:cs="Arial"/>
                <w:sz w:val="22"/>
                <w:lang w:val="en-ZA"/>
              </w:rPr>
              <w:t xml:space="preserve"> </w:t>
            </w:r>
            <w:r w:rsidRPr="00604908">
              <w:rPr>
                <w:rFonts w:ascii="Arial" w:eastAsia="Calibri" w:hAnsi="Arial" w:cs="Arial"/>
                <w:color w:val="0070C0"/>
                <w:sz w:val="22"/>
                <w:lang w:val="en-ZA"/>
              </w:rPr>
              <w:t>policies</w:t>
            </w:r>
            <w:r w:rsidRPr="00604908">
              <w:rPr>
                <w:rFonts w:ascii="Arial" w:eastAsia="Calibri" w:hAnsi="Arial" w:cs="Arial"/>
                <w:sz w:val="22"/>
                <w:lang w:val="en-ZA"/>
              </w:rPr>
              <w:t xml:space="preserve"> and procedures.’’.</w:t>
            </w:r>
          </w:p>
        </w:tc>
      </w:tr>
      <w:tr w:rsidR="00CB6A78" w:rsidRPr="00604908" w:rsidTr="00271944">
        <w:tc>
          <w:tcPr>
            <w:tcW w:w="1188" w:type="dxa"/>
          </w:tcPr>
          <w:p w:rsidR="00CB6A78" w:rsidRPr="00604908" w:rsidRDefault="00CB6A78" w:rsidP="00CB6A78">
            <w:pPr>
              <w:spacing w:after="0" w:line="276" w:lineRule="auto"/>
              <w:rPr>
                <w:rFonts w:ascii="Arial" w:eastAsia="Times New Roman" w:hAnsi="Arial" w:cs="Arial"/>
                <w:sz w:val="22"/>
                <w:lang w:val="en-ZA"/>
              </w:rPr>
            </w:pPr>
            <w:r w:rsidRPr="00604908">
              <w:rPr>
                <w:rFonts w:ascii="Arial" w:eastAsia="Times New Roman" w:hAnsi="Arial" w:cs="Arial"/>
                <w:sz w:val="22"/>
                <w:lang w:val="en-ZA"/>
              </w:rPr>
              <w:lastRenderedPageBreak/>
              <w:t>3</w:t>
            </w:r>
          </w:p>
        </w:tc>
        <w:tc>
          <w:tcPr>
            <w:tcW w:w="2250" w:type="dxa"/>
          </w:tcPr>
          <w:p w:rsidR="00CB6A78" w:rsidRPr="00604908" w:rsidRDefault="00CB6A78" w:rsidP="00CB6A78">
            <w:pPr>
              <w:pStyle w:val="Default"/>
              <w:spacing w:line="276" w:lineRule="auto"/>
              <w:jc w:val="both"/>
              <w:rPr>
                <w:rFonts w:ascii="Arial" w:eastAsia="Calibri" w:hAnsi="Arial" w:cs="Arial"/>
                <w:sz w:val="22"/>
                <w:szCs w:val="22"/>
              </w:rPr>
            </w:pPr>
            <w:r w:rsidRPr="00604908">
              <w:rPr>
                <w:rFonts w:ascii="Arial" w:eastAsia="Times New Roman" w:hAnsi="Arial" w:cs="Arial"/>
                <w:sz w:val="22"/>
                <w:szCs w:val="22"/>
              </w:rPr>
              <w:t>1</w:t>
            </w:r>
          </w:p>
        </w:tc>
        <w:tc>
          <w:tcPr>
            <w:tcW w:w="5040" w:type="dxa"/>
          </w:tcPr>
          <w:p w:rsidR="00CB6A78" w:rsidRPr="00604908" w:rsidRDefault="00CB6A78" w:rsidP="00CB6A78">
            <w:pPr>
              <w:pStyle w:val="Default"/>
              <w:spacing w:line="276" w:lineRule="auto"/>
              <w:jc w:val="both"/>
              <w:rPr>
                <w:rFonts w:ascii="Arial" w:hAnsi="Arial" w:cs="Arial"/>
                <w:color w:val="auto"/>
                <w:sz w:val="22"/>
                <w:szCs w:val="22"/>
              </w:rPr>
            </w:pPr>
            <w:r w:rsidRPr="00604908">
              <w:rPr>
                <w:rFonts w:ascii="Arial" w:hAnsi="Arial" w:cs="Arial"/>
                <w:color w:val="auto"/>
                <w:sz w:val="22"/>
                <w:szCs w:val="22"/>
              </w:rPr>
              <w:t xml:space="preserve">It is recommended that the definition of an “education institution” be amended and extended to incorporate the definition of a “provider” that was in the original GENFETQA Act (No. 58 of 2001).  This will then cover distance education and online providers as well.  </w:t>
            </w:r>
          </w:p>
          <w:p w:rsidR="00CB6A78" w:rsidRPr="00604908" w:rsidRDefault="00CB6A78" w:rsidP="00CB6A78">
            <w:pPr>
              <w:pStyle w:val="Default"/>
              <w:spacing w:line="276" w:lineRule="auto"/>
              <w:jc w:val="both"/>
              <w:rPr>
                <w:rFonts w:ascii="Arial" w:hAnsi="Arial" w:cs="Arial"/>
                <w:color w:val="auto"/>
                <w:sz w:val="22"/>
                <w:szCs w:val="22"/>
              </w:rPr>
            </w:pPr>
            <w:r w:rsidRPr="00604908">
              <w:rPr>
                <w:rFonts w:ascii="Arial" w:hAnsi="Arial" w:cs="Arial"/>
                <w:color w:val="auto"/>
                <w:sz w:val="22"/>
                <w:szCs w:val="22"/>
              </w:rPr>
              <w:tab/>
            </w:r>
          </w:p>
          <w:p w:rsidR="00CB6A78" w:rsidRPr="00604908" w:rsidRDefault="00CB6A78" w:rsidP="00CB6A78">
            <w:pPr>
              <w:pStyle w:val="Default"/>
              <w:spacing w:line="276" w:lineRule="auto"/>
              <w:jc w:val="both"/>
              <w:rPr>
                <w:rFonts w:ascii="Arial" w:eastAsia="Calibri" w:hAnsi="Arial" w:cs="Arial"/>
                <w:sz w:val="22"/>
                <w:szCs w:val="22"/>
              </w:rPr>
            </w:pPr>
            <w:r w:rsidRPr="00604908">
              <w:rPr>
                <w:rFonts w:ascii="Arial" w:hAnsi="Arial" w:cs="Arial"/>
                <w:color w:val="auto"/>
                <w:sz w:val="22"/>
                <w:szCs w:val="22"/>
              </w:rPr>
              <w:t>This amendment will support the proposed amendment to Section 3(b)(3)</w:t>
            </w:r>
          </w:p>
        </w:tc>
        <w:tc>
          <w:tcPr>
            <w:tcW w:w="5130" w:type="dxa"/>
          </w:tcPr>
          <w:p w:rsidR="00CB6A78" w:rsidRPr="00604908" w:rsidRDefault="00CB6A78" w:rsidP="00CB6A78">
            <w:pPr>
              <w:pStyle w:val="Default"/>
              <w:spacing w:line="276" w:lineRule="auto"/>
              <w:rPr>
                <w:rFonts w:ascii="Arial" w:hAnsi="Arial" w:cs="Arial"/>
                <w:color w:val="auto"/>
                <w:sz w:val="22"/>
                <w:szCs w:val="22"/>
              </w:rPr>
            </w:pPr>
            <w:r w:rsidRPr="00604908">
              <w:rPr>
                <w:rFonts w:ascii="Arial" w:hAnsi="Arial" w:cs="Arial"/>
                <w:color w:val="auto"/>
                <w:sz w:val="22"/>
                <w:szCs w:val="22"/>
              </w:rPr>
              <w:t>“Education institution” – means an organisation founded for an educational purpose that is established, declared or registered by law, which</w:t>
            </w:r>
          </w:p>
          <w:p w:rsidR="00CB6A78" w:rsidRDefault="00CB6A78" w:rsidP="00CB6A78">
            <w:pPr>
              <w:pStyle w:val="Default"/>
              <w:numPr>
                <w:ilvl w:val="0"/>
                <w:numId w:val="1"/>
              </w:numPr>
              <w:spacing w:line="276" w:lineRule="auto"/>
              <w:ind w:left="500" w:hanging="500"/>
              <w:rPr>
                <w:rFonts w:ascii="Arial" w:hAnsi="Arial" w:cs="Arial"/>
                <w:color w:val="auto"/>
                <w:sz w:val="22"/>
                <w:szCs w:val="22"/>
              </w:rPr>
            </w:pPr>
            <w:r w:rsidRPr="00604908">
              <w:rPr>
                <w:rFonts w:ascii="Arial" w:hAnsi="Arial" w:cs="Arial"/>
                <w:color w:val="auto"/>
                <w:sz w:val="22"/>
                <w:szCs w:val="22"/>
              </w:rPr>
              <w:t>Delivers learning programmes which culminate in a specified National Qualifications Framework standard or qualification; and</w:t>
            </w:r>
          </w:p>
          <w:p w:rsidR="00CB6A78" w:rsidRPr="00604908" w:rsidRDefault="00CB6A78" w:rsidP="00CB6A78">
            <w:pPr>
              <w:pStyle w:val="Default"/>
              <w:numPr>
                <w:ilvl w:val="0"/>
                <w:numId w:val="1"/>
              </w:numPr>
              <w:spacing w:line="276" w:lineRule="auto"/>
              <w:ind w:left="500" w:hanging="500"/>
              <w:rPr>
                <w:rFonts w:ascii="Arial" w:hAnsi="Arial" w:cs="Arial"/>
                <w:color w:val="auto"/>
                <w:sz w:val="22"/>
                <w:szCs w:val="22"/>
              </w:rPr>
            </w:pPr>
            <w:r w:rsidRPr="00604908">
              <w:rPr>
                <w:rFonts w:ascii="Arial" w:hAnsi="Arial" w:cs="Arial"/>
                <w:color w:val="auto"/>
                <w:sz w:val="22"/>
                <w:szCs w:val="22"/>
              </w:rPr>
              <w:t>Manages the assessment of such learning programmes”</w:t>
            </w:r>
          </w:p>
          <w:p w:rsidR="00CB6A78" w:rsidRPr="00604908" w:rsidRDefault="00CB6A78" w:rsidP="00CB6A78">
            <w:pPr>
              <w:spacing w:after="0" w:line="276" w:lineRule="auto"/>
              <w:rPr>
                <w:rFonts w:ascii="Arial" w:eastAsia="Calibri" w:hAnsi="Arial" w:cs="Arial"/>
                <w:sz w:val="22"/>
                <w:lang w:val="en-ZA"/>
              </w:rPr>
            </w:pPr>
          </w:p>
        </w:tc>
      </w:tr>
      <w:tr w:rsidR="00CB6A78" w:rsidRPr="00604908" w:rsidTr="00271944">
        <w:tc>
          <w:tcPr>
            <w:tcW w:w="1188" w:type="dxa"/>
          </w:tcPr>
          <w:p w:rsidR="00CB6A78" w:rsidRPr="005E307B" w:rsidRDefault="00CB6A78" w:rsidP="00CB6A78">
            <w:pPr>
              <w:spacing w:after="0" w:line="276" w:lineRule="auto"/>
              <w:rPr>
                <w:rFonts w:ascii="Arial" w:eastAsia="Times New Roman" w:hAnsi="Arial" w:cs="Arial"/>
                <w:sz w:val="22"/>
                <w:lang w:val="en-ZA"/>
              </w:rPr>
            </w:pPr>
            <w:r w:rsidRPr="005E307B">
              <w:rPr>
                <w:rFonts w:ascii="Arial" w:eastAsia="Times New Roman" w:hAnsi="Arial" w:cs="Arial"/>
                <w:sz w:val="22"/>
                <w:lang w:val="en-ZA"/>
              </w:rPr>
              <w:t>4</w:t>
            </w:r>
          </w:p>
        </w:tc>
        <w:tc>
          <w:tcPr>
            <w:tcW w:w="2250" w:type="dxa"/>
          </w:tcPr>
          <w:p w:rsidR="00CB6A78" w:rsidRPr="005E307B" w:rsidRDefault="00CB6A78" w:rsidP="00CB6A78">
            <w:pPr>
              <w:spacing w:after="0" w:line="276" w:lineRule="auto"/>
              <w:rPr>
                <w:rFonts w:ascii="Arial" w:eastAsia="Times New Roman" w:hAnsi="Arial" w:cs="Arial"/>
                <w:sz w:val="22"/>
                <w:lang w:val="en-ZA"/>
              </w:rPr>
            </w:pPr>
            <w:r w:rsidRPr="005E307B">
              <w:rPr>
                <w:rFonts w:ascii="Arial" w:eastAsia="Times New Roman" w:hAnsi="Arial" w:cs="Arial"/>
                <w:sz w:val="22"/>
                <w:lang w:val="en-ZA"/>
              </w:rPr>
              <w:t>Section 13 (a) of the principal Act</w:t>
            </w:r>
          </w:p>
          <w:p w:rsidR="00CB6A78" w:rsidRPr="005E307B" w:rsidRDefault="00CB6A78" w:rsidP="00CB6A78">
            <w:pPr>
              <w:spacing w:after="0" w:line="276" w:lineRule="auto"/>
              <w:rPr>
                <w:rFonts w:ascii="Arial" w:eastAsia="Times New Roman" w:hAnsi="Arial" w:cs="Arial"/>
                <w:sz w:val="22"/>
                <w:lang w:val="en-ZA"/>
              </w:rPr>
            </w:pPr>
            <w:r w:rsidRPr="005E307B">
              <w:rPr>
                <w:rFonts w:ascii="Arial" w:eastAsia="Times New Roman" w:hAnsi="Arial" w:cs="Arial"/>
                <w:sz w:val="22"/>
                <w:lang w:val="en-ZA"/>
              </w:rPr>
              <w:t>(iv)</w:t>
            </w:r>
          </w:p>
        </w:tc>
        <w:tc>
          <w:tcPr>
            <w:tcW w:w="5040" w:type="dxa"/>
          </w:tcPr>
          <w:p w:rsidR="00CB6A78" w:rsidRPr="005E307B" w:rsidRDefault="00CB6A78" w:rsidP="00CB6A78">
            <w:pPr>
              <w:spacing w:after="0" w:line="276" w:lineRule="auto"/>
              <w:rPr>
                <w:rFonts w:ascii="Arial" w:eastAsia="Calibri" w:hAnsi="Arial" w:cs="Arial"/>
                <w:sz w:val="22"/>
                <w:lang w:val="en-ZA"/>
              </w:rPr>
            </w:pPr>
            <w:r w:rsidRPr="005E307B">
              <w:rPr>
                <w:rFonts w:ascii="Arial" w:eastAsia="Calibri" w:hAnsi="Arial" w:cs="Arial"/>
                <w:sz w:val="22"/>
                <w:lang w:val="en-ZA"/>
              </w:rPr>
              <w:t xml:space="preserve">Insert the word “attained” after the word all.   </w:t>
            </w:r>
          </w:p>
          <w:p w:rsidR="00CB6A78" w:rsidRPr="005E307B" w:rsidRDefault="00CB6A78" w:rsidP="00CB6A78">
            <w:pPr>
              <w:spacing w:after="0" w:line="276" w:lineRule="auto"/>
              <w:rPr>
                <w:rFonts w:ascii="Arial" w:eastAsia="Calibri" w:hAnsi="Arial" w:cs="Arial"/>
                <w:sz w:val="22"/>
                <w:lang w:val="en-ZA"/>
              </w:rPr>
            </w:pPr>
            <w:r w:rsidRPr="005E307B">
              <w:rPr>
                <w:rFonts w:ascii="Arial" w:eastAsia="Calibri" w:hAnsi="Arial" w:cs="Arial"/>
                <w:sz w:val="22"/>
                <w:lang w:val="en-ZA"/>
              </w:rPr>
              <w:t>Reference here is to the achieved / obtained qualifications and part-qualifications and not the qualification in itself</w:t>
            </w:r>
          </w:p>
        </w:tc>
        <w:tc>
          <w:tcPr>
            <w:tcW w:w="5130" w:type="dxa"/>
          </w:tcPr>
          <w:p w:rsidR="00CB6A78" w:rsidRPr="005E307B" w:rsidRDefault="00CB6A78" w:rsidP="00CB6A78">
            <w:pPr>
              <w:spacing w:after="0" w:line="276" w:lineRule="auto"/>
              <w:rPr>
                <w:rFonts w:ascii="Arial" w:eastAsia="Calibri" w:hAnsi="Arial" w:cs="Arial"/>
                <w:sz w:val="22"/>
                <w:lang w:val="en-ZA"/>
              </w:rPr>
            </w:pPr>
            <w:r w:rsidRPr="005E307B">
              <w:rPr>
                <w:rFonts w:ascii="Arial" w:eastAsia="Calibri" w:hAnsi="Arial" w:cs="Arial"/>
                <w:sz w:val="22"/>
                <w:lang w:val="en-ZA"/>
              </w:rPr>
              <w:t xml:space="preserve">(iv) verify all </w:t>
            </w:r>
            <w:r w:rsidRPr="005E307B">
              <w:rPr>
                <w:rFonts w:ascii="Arial" w:eastAsia="Calibri" w:hAnsi="Arial" w:cs="Arial"/>
                <w:b/>
                <w:color w:val="2E74B5" w:themeColor="accent1" w:themeShade="BF"/>
                <w:sz w:val="22"/>
                <w:lang w:val="en-ZA"/>
              </w:rPr>
              <w:t xml:space="preserve">attained </w:t>
            </w:r>
            <w:r w:rsidRPr="005E307B">
              <w:rPr>
                <w:rFonts w:ascii="Arial" w:eastAsia="Calibri" w:hAnsi="Arial" w:cs="Arial"/>
                <w:sz w:val="22"/>
                <w:lang w:val="en-ZA"/>
              </w:rPr>
              <w:t>qualifications of part-qualifications …</w:t>
            </w:r>
          </w:p>
        </w:tc>
      </w:tr>
      <w:tr w:rsidR="00CB6A78" w:rsidRPr="00604908" w:rsidTr="00271944">
        <w:tc>
          <w:tcPr>
            <w:tcW w:w="1188" w:type="dxa"/>
          </w:tcPr>
          <w:p w:rsidR="00CB6A78" w:rsidRPr="00604908" w:rsidRDefault="00CB6A78" w:rsidP="00CB6A78">
            <w:pPr>
              <w:spacing w:after="0" w:line="276" w:lineRule="auto"/>
              <w:rPr>
                <w:rFonts w:ascii="Arial" w:eastAsia="Times New Roman" w:hAnsi="Arial" w:cs="Arial"/>
                <w:sz w:val="22"/>
                <w:lang w:val="en-ZA"/>
              </w:rPr>
            </w:pPr>
            <w:r w:rsidRPr="00604908">
              <w:rPr>
                <w:rFonts w:ascii="Arial" w:eastAsia="Times New Roman" w:hAnsi="Arial" w:cs="Arial"/>
                <w:sz w:val="22"/>
                <w:lang w:val="en-ZA"/>
              </w:rPr>
              <w:t>5</w:t>
            </w:r>
          </w:p>
        </w:tc>
        <w:tc>
          <w:tcPr>
            <w:tcW w:w="2250" w:type="dxa"/>
          </w:tcPr>
          <w:p w:rsidR="00CB6A78" w:rsidRPr="00604908" w:rsidRDefault="00CB6A78" w:rsidP="00CB6A78">
            <w:pPr>
              <w:autoSpaceDE w:val="0"/>
              <w:autoSpaceDN w:val="0"/>
              <w:adjustRightInd w:val="0"/>
              <w:spacing w:after="0" w:line="240" w:lineRule="auto"/>
              <w:rPr>
                <w:rFonts w:ascii="Arial" w:hAnsi="Arial" w:cs="Arial"/>
                <w:b/>
                <w:bCs/>
                <w:sz w:val="22"/>
                <w:lang w:val="en-ZA"/>
              </w:rPr>
            </w:pPr>
            <w:r w:rsidRPr="00604908">
              <w:rPr>
                <w:rFonts w:ascii="Arial" w:hAnsi="Arial" w:cs="Arial"/>
                <w:b/>
                <w:bCs/>
                <w:sz w:val="22"/>
                <w:lang w:val="en-ZA"/>
              </w:rPr>
              <w:t>Amendment of section 27 of Act 67 of 2008, as amended by section 14 of Act 26 of</w:t>
            </w:r>
          </w:p>
          <w:p w:rsidR="00CB6A78" w:rsidRPr="00604908" w:rsidRDefault="00CB6A78" w:rsidP="00CB6A78">
            <w:pPr>
              <w:autoSpaceDE w:val="0"/>
              <w:autoSpaceDN w:val="0"/>
              <w:adjustRightInd w:val="0"/>
              <w:spacing w:after="0" w:line="240" w:lineRule="auto"/>
              <w:rPr>
                <w:rFonts w:ascii="Arial" w:hAnsi="Arial" w:cs="Arial"/>
                <w:b/>
                <w:bCs/>
                <w:sz w:val="22"/>
                <w:lang w:val="en-ZA"/>
              </w:rPr>
            </w:pPr>
            <w:r w:rsidRPr="00604908">
              <w:rPr>
                <w:rFonts w:ascii="Arial" w:hAnsi="Arial" w:cs="Arial"/>
                <w:b/>
                <w:bCs/>
                <w:sz w:val="22"/>
                <w:lang w:val="en-ZA"/>
              </w:rPr>
              <w:t>2010</w:t>
            </w:r>
          </w:p>
          <w:p w:rsidR="00CB6A78" w:rsidRPr="00604908" w:rsidRDefault="00CB6A78" w:rsidP="00CB6A78">
            <w:pPr>
              <w:spacing w:after="0" w:line="276" w:lineRule="auto"/>
              <w:rPr>
                <w:rFonts w:ascii="Arial" w:hAnsi="Arial" w:cs="Arial"/>
                <w:sz w:val="22"/>
                <w:lang w:val="en-ZA"/>
              </w:rPr>
            </w:pPr>
            <w:r w:rsidRPr="00604908">
              <w:rPr>
                <w:rFonts w:ascii="Arial" w:hAnsi="Arial" w:cs="Arial"/>
                <w:b/>
                <w:bCs/>
                <w:sz w:val="22"/>
                <w:lang w:val="en-ZA"/>
              </w:rPr>
              <w:t xml:space="preserve">5. </w:t>
            </w:r>
            <w:r w:rsidRPr="00604908">
              <w:rPr>
                <w:rFonts w:ascii="Arial" w:hAnsi="Arial" w:cs="Arial"/>
                <w:sz w:val="22"/>
                <w:lang w:val="en-ZA"/>
              </w:rPr>
              <w:t>Section 27 of the principal Act is hereby amended—</w:t>
            </w:r>
          </w:p>
          <w:p w:rsidR="00CB6A78" w:rsidRPr="00604908" w:rsidRDefault="00CB6A78" w:rsidP="00CB6A78">
            <w:pPr>
              <w:spacing w:after="0" w:line="276" w:lineRule="auto"/>
              <w:rPr>
                <w:rFonts w:ascii="Arial" w:hAnsi="Arial" w:cs="Arial"/>
                <w:sz w:val="22"/>
                <w:lang w:val="en-ZA"/>
              </w:rPr>
            </w:pPr>
            <w:r w:rsidRPr="00604908">
              <w:rPr>
                <w:rFonts w:ascii="Arial" w:hAnsi="Arial" w:cs="Arial"/>
                <w:sz w:val="22"/>
                <w:lang w:val="en-ZA"/>
              </w:rPr>
              <w:t>Line 34</w:t>
            </w:r>
          </w:p>
          <w:p w:rsidR="00CB6A78" w:rsidRPr="00604908" w:rsidRDefault="00CB6A78" w:rsidP="00CB6A78">
            <w:pPr>
              <w:spacing w:after="0" w:line="276" w:lineRule="auto"/>
              <w:rPr>
                <w:rFonts w:ascii="Arial" w:eastAsia="Times New Roman" w:hAnsi="Arial" w:cs="Arial"/>
                <w:sz w:val="22"/>
                <w:lang w:val="en-ZA"/>
              </w:rPr>
            </w:pPr>
          </w:p>
        </w:tc>
        <w:tc>
          <w:tcPr>
            <w:tcW w:w="5040" w:type="dxa"/>
          </w:tcPr>
          <w:p w:rsidR="00CB6A78" w:rsidRPr="00604908" w:rsidRDefault="00CB6A78" w:rsidP="00CB6A78">
            <w:pPr>
              <w:spacing w:after="0" w:line="276" w:lineRule="auto"/>
              <w:rPr>
                <w:rFonts w:ascii="Arial" w:eastAsia="Calibri" w:hAnsi="Arial" w:cs="Arial"/>
                <w:sz w:val="22"/>
                <w:lang w:val="en-ZA"/>
              </w:rPr>
            </w:pPr>
            <w:r w:rsidRPr="00604908">
              <w:rPr>
                <w:rFonts w:ascii="Arial" w:eastAsia="Calibri" w:hAnsi="Arial" w:cs="Arial"/>
                <w:sz w:val="22"/>
                <w:lang w:val="en-ZA"/>
              </w:rPr>
              <w:t xml:space="preserve">Insert the following paragraph as paragraph </w:t>
            </w:r>
            <w:r w:rsidRPr="00604908">
              <w:rPr>
                <w:rFonts w:ascii="Arial" w:eastAsia="Calibri" w:hAnsi="Arial" w:cs="Arial"/>
                <w:b/>
                <w:color w:val="0070C0"/>
                <w:sz w:val="22"/>
                <w:lang w:val="en-ZA"/>
              </w:rPr>
              <w:t>(b)</w:t>
            </w:r>
            <w:r w:rsidRPr="00604908">
              <w:rPr>
                <w:rFonts w:ascii="Arial" w:eastAsia="Calibri" w:hAnsi="Arial" w:cs="Arial"/>
                <w:color w:val="0070C0"/>
                <w:sz w:val="22"/>
                <w:lang w:val="en-ZA"/>
              </w:rPr>
              <w:t xml:space="preserve"> </w:t>
            </w:r>
            <w:r w:rsidRPr="00604908">
              <w:rPr>
                <w:rFonts w:ascii="Arial" w:eastAsia="Calibri" w:hAnsi="Arial" w:cs="Arial"/>
                <w:sz w:val="22"/>
                <w:lang w:val="en-ZA"/>
              </w:rPr>
              <w:t>to allow the QCs to verify qualifications registered on the relevant sub-framework. To be inserted after line 34</w:t>
            </w:r>
          </w:p>
        </w:tc>
        <w:tc>
          <w:tcPr>
            <w:tcW w:w="5130" w:type="dxa"/>
          </w:tcPr>
          <w:p w:rsidR="00CB6A78" w:rsidRPr="00604908" w:rsidRDefault="00CB6A78" w:rsidP="00CB6A78">
            <w:pPr>
              <w:spacing w:after="0" w:line="276" w:lineRule="auto"/>
              <w:rPr>
                <w:rFonts w:ascii="Arial" w:eastAsia="Calibri" w:hAnsi="Arial" w:cs="Arial"/>
                <w:sz w:val="22"/>
                <w:lang w:val="en-ZA"/>
              </w:rPr>
            </w:pPr>
            <w:r w:rsidRPr="00604908">
              <w:rPr>
                <w:rFonts w:ascii="Arial" w:eastAsia="Calibri" w:hAnsi="Arial" w:cs="Arial"/>
                <w:sz w:val="22"/>
                <w:lang w:val="en-ZA"/>
              </w:rPr>
              <w:t>4. Section 27 of the principal Act is hereby amended—</w:t>
            </w:r>
          </w:p>
          <w:p w:rsidR="00CB6A78" w:rsidRPr="00604908" w:rsidRDefault="00CB6A78" w:rsidP="00CB6A78">
            <w:pPr>
              <w:spacing w:after="0" w:line="276" w:lineRule="auto"/>
              <w:rPr>
                <w:rFonts w:ascii="Arial" w:eastAsia="Calibri" w:hAnsi="Arial" w:cs="Arial"/>
                <w:sz w:val="22"/>
                <w:lang w:val="en-ZA"/>
              </w:rPr>
            </w:pPr>
            <w:r w:rsidRPr="00604908">
              <w:rPr>
                <w:rFonts w:ascii="Arial" w:eastAsia="Calibri" w:hAnsi="Arial" w:cs="Arial"/>
                <w:b/>
                <w:color w:val="0070C0"/>
                <w:sz w:val="22"/>
                <w:lang w:val="en-ZA"/>
              </w:rPr>
              <w:t>(b)</w:t>
            </w:r>
            <w:r w:rsidRPr="00604908">
              <w:rPr>
                <w:rFonts w:ascii="Arial" w:eastAsia="Calibri" w:hAnsi="Arial" w:cs="Arial"/>
                <w:color w:val="0070C0"/>
                <w:sz w:val="22"/>
                <w:lang w:val="en-ZA"/>
              </w:rPr>
              <w:t xml:space="preserve"> </w:t>
            </w:r>
            <w:r w:rsidRPr="00604908">
              <w:rPr>
                <w:rFonts w:ascii="Arial" w:eastAsia="Calibri" w:hAnsi="Arial" w:cs="Arial"/>
                <w:sz w:val="22"/>
                <w:lang w:val="en-ZA"/>
              </w:rPr>
              <w:t>by the addition in subsection (1)(h) of the following subparagraph:</w:t>
            </w:r>
          </w:p>
          <w:p w:rsidR="00CB6A78" w:rsidRPr="00604908" w:rsidRDefault="00CB6A78" w:rsidP="00CB6A78">
            <w:pPr>
              <w:spacing w:after="0" w:line="276" w:lineRule="auto"/>
              <w:rPr>
                <w:rFonts w:ascii="Arial" w:eastAsia="Calibri" w:hAnsi="Arial" w:cs="Arial"/>
                <w:sz w:val="22"/>
                <w:lang w:val="en-ZA"/>
              </w:rPr>
            </w:pPr>
            <w:r w:rsidRPr="00604908">
              <w:rPr>
                <w:rFonts w:ascii="Arial" w:eastAsia="Calibri" w:hAnsi="Arial" w:cs="Arial"/>
                <w:sz w:val="22"/>
                <w:lang w:val="en-ZA"/>
              </w:rPr>
              <w:t>‘‘(v) verify all attained qualifications or part-qualifications registered on the sub-framework referred to it in terms</w:t>
            </w:r>
          </w:p>
          <w:p w:rsidR="00CB6A78" w:rsidRPr="00604908" w:rsidRDefault="00CB6A78" w:rsidP="00CB6A78">
            <w:pPr>
              <w:spacing w:after="0" w:line="276" w:lineRule="auto"/>
              <w:rPr>
                <w:rFonts w:ascii="Arial" w:eastAsia="Calibri" w:hAnsi="Arial" w:cs="Arial"/>
                <w:sz w:val="22"/>
                <w:lang w:val="en-ZA"/>
              </w:rPr>
            </w:pPr>
            <w:r w:rsidRPr="00604908">
              <w:rPr>
                <w:rFonts w:ascii="Arial" w:eastAsia="Calibri" w:hAnsi="Arial" w:cs="Arial"/>
                <w:sz w:val="22"/>
                <w:lang w:val="en-ZA"/>
              </w:rPr>
              <w:t>of section 32A and make a decision on the status thereof;’’;</w:t>
            </w:r>
          </w:p>
        </w:tc>
      </w:tr>
      <w:tr w:rsidR="00CB6A78" w:rsidRPr="00604908" w:rsidTr="00271944">
        <w:tc>
          <w:tcPr>
            <w:tcW w:w="1188" w:type="dxa"/>
          </w:tcPr>
          <w:p w:rsidR="00CB6A78" w:rsidRPr="00604908" w:rsidRDefault="00CB6A78" w:rsidP="00CB6A78">
            <w:pPr>
              <w:spacing w:after="0" w:line="276" w:lineRule="auto"/>
              <w:rPr>
                <w:rFonts w:ascii="Arial" w:eastAsia="Times New Roman" w:hAnsi="Arial" w:cs="Arial"/>
                <w:sz w:val="22"/>
                <w:lang w:val="en-ZA"/>
              </w:rPr>
            </w:pPr>
            <w:r w:rsidRPr="00604908">
              <w:rPr>
                <w:rFonts w:ascii="Arial" w:eastAsia="Times New Roman" w:hAnsi="Arial" w:cs="Arial"/>
                <w:sz w:val="22"/>
                <w:lang w:val="en-ZA"/>
              </w:rPr>
              <w:t>5</w:t>
            </w:r>
          </w:p>
        </w:tc>
        <w:tc>
          <w:tcPr>
            <w:tcW w:w="2250" w:type="dxa"/>
          </w:tcPr>
          <w:p w:rsidR="00CB6A78" w:rsidRPr="00604908" w:rsidRDefault="00CB6A78" w:rsidP="00CB6A78">
            <w:pPr>
              <w:spacing w:after="0" w:line="276" w:lineRule="auto"/>
              <w:rPr>
                <w:rFonts w:ascii="Arial" w:eastAsia="Times New Roman" w:hAnsi="Arial" w:cs="Arial"/>
                <w:sz w:val="22"/>
                <w:lang w:val="en-ZA"/>
              </w:rPr>
            </w:pPr>
            <w:r w:rsidRPr="00604908">
              <w:rPr>
                <w:rFonts w:ascii="Arial" w:eastAsia="Times New Roman" w:hAnsi="Arial" w:cs="Arial"/>
                <w:sz w:val="22"/>
                <w:lang w:val="en-ZA"/>
              </w:rPr>
              <w:t>27 5 (b) (iv)</w:t>
            </w:r>
          </w:p>
          <w:p w:rsidR="00CB6A78" w:rsidRPr="00604908" w:rsidRDefault="00CB6A78" w:rsidP="00CB6A78">
            <w:pPr>
              <w:pStyle w:val="Default"/>
              <w:spacing w:line="276" w:lineRule="auto"/>
              <w:jc w:val="both"/>
              <w:rPr>
                <w:rFonts w:ascii="Arial" w:hAnsi="Arial" w:cs="Arial"/>
                <w:color w:val="auto"/>
                <w:sz w:val="22"/>
                <w:szCs w:val="22"/>
              </w:rPr>
            </w:pPr>
            <w:r w:rsidRPr="00604908">
              <w:rPr>
                <w:rFonts w:ascii="Arial" w:eastAsia="Times New Roman" w:hAnsi="Arial" w:cs="Arial"/>
                <w:sz w:val="22"/>
                <w:szCs w:val="22"/>
              </w:rPr>
              <w:t>Line 35</w:t>
            </w:r>
          </w:p>
        </w:tc>
        <w:tc>
          <w:tcPr>
            <w:tcW w:w="5040" w:type="dxa"/>
          </w:tcPr>
          <w:p w:rsidR="00CB6A78" w:rsidRPr="00604908" w:rsidRDefault="00CB6A78" w:rsidP="00CB6A78">
            <w:pPr>
              <w:pStyle w:val="Default"/>
              <w:spacing w:line="276" w:lineRule="auto"/>
              <w:jc w:val="both"/>
              <w:rPr>
                <w:rFonts w:ascii="Arial" w:hAnsi="Arial" w:cs="Arial"/>
                <w:color w:val="auto"/>
                <w:sz w:val="22"/>
                <w:szCs w:val="22"/>
              </w:rPr>
            </w:pPr>
            <w:r w:rsidRPr="00604908">
              <w:rPr>
                <w:rFonts w:ascii="Arial" w:hAnsi="Arial" w:cs="Arial"/>
                <w:color w:val="auto"/>
                <w:sz w:val="22"/>
                <w:szCs w:val="22"/>
              </w:rPr>
              <w:t>Language error:</w:t>
            </w:r>
          </w:p>
        </w:tc>
        <w:tc>
          <w:tcPr>
            <w:tcW w:w="5130" w:type="dxa"/>
          </w:tcPr>
          <w:p w:rsidR="00CB6A78" w:rsidRPr="00604908" w:rsidRDefault="00CB6A78" w:rsidP="00CB6A78">
            <w:pPr>
              <w:pStyle w:val="Default"/>
              <w:spacing w:line="276" w:lineRule="auto"/>
              <w:jc w:val="both"/>
              <w:rPr>
                <w:rFonts w:ascii="Arial" w:hAnsi="Arial" w:cs="Arial"/>
                <w:color w:val="auto"/>
                <w:sz w:val="22"/>
                <w:szCs w:val="22"/>
              </w:rPr>
            </w:pPr>
            <w:r w:rsidRPr="00604908">
              <w:rPr>
                <w:rFonts w:ascii="Arial" w:hAnsi="Arial" w:cs="Arial"/>
                <w:color w:val="auto"/>
                <w:sz w:val="22"/>
                <w:szCs w:val="22"/>
              </w:rPr>
              <w:t>. . .”acc</w:t>
            </w:r>
            <w:r>
              <w:rPr>
                <w:rFonts w:ascii="Arial" w:hAnsi="Arial" w:cs="Arial"/>
                <w:color w:val="auto"/>
                <w:sz w:val="22"/>
                <w:szCs w:val="22"/>
              </w:rPr>
              <w:t>redit the education institution</w:t>
            </w:r>
            <w:r w:rsidRPr="00604908">
              <w:rPr>
                <w:rFonts w:ascii="Arial" w:hAnsi="Arial" w:cs="Arial"/>
                <w:color w:val="auto"/>
                <w:sz w:val="22"/>
                <w:szCs w:val="22"/>
              </w:rPr>
              <w:t xml:space="preserve"> or skills development </w:t>
            </w:r>
            <w:r w:rsidRPr="00604908">
              <w:rPr>
                <w:rFonts w:ascii="Arial" w:hAnsi="Arial" w:cs="Arial"/>
                <w:color w:val="FF0000"/>
                <w:sz w:val="22"/>
                <w:szCs w:val="22"/>
              </w:rPr>
              <w:t>provider</w:t>
            </w:r>
            <w:r w:rsidRPr="00604908">
              <w:rPr>
                <w:rFonts w:ascii="Arial" w:hAnsi="Arial" w:cs="Arial"/>
                <w:color w:val="auto"/>
                <w:sz w:val="22"/>
                <w:szCs w:val="22"/>
              </w:rPr>
              <w:t xml:space="preserve"> that </w:t>
            </w:r>
            <w:proofErr w:type="gramStart"/>
            <w:r w:rsidRPr="00604908">
              <w:rPr>
                <w:rFonts w:ascii="Arial" w:hAnsi="Arial" w:cs="Arial"/>
                <w:color w:val="auto"/>
                <w:sz w:val="22"/>
                <w:szCs w:val="22"/>
              </w:rPr>
              <w:t>complies .</w:t>
            </w:r>
            <w:proofErr w:type="gramEnd"/>
            <w:r w:rsidRPr="00604908">
              <w:rPr>
                <w:rFonts w:ascii="Arial" w:hAnsi="Arial" w:cs="Arial"/>
                <w:color w:val="auto"/>
                <w:sz w:val="22"/>
                <w:szCs w:val="22"/>
              </w:rPr>
              <w:t xml:space="preserve"> . </w:t>
            </w:r>
          </w:p>
          <w:p w:rsidR="00CB6A78" w:rsidRPr="00604908" w:rsidRDefault="00CB6A78" w:rsidP="00CB6A78">
            <w:pPr>
              <w:spacing w:after="0" w:line="276" w:lineRule="auto"/>
              <w:rPr>
                <w:rFonts w:ascii="Arial" w:eastAsia="Calibri" w:hAnsi="Arial" w:cs="Arial"/>
                <w:sz w:val="22"/>
                <w:lang w:val="en-ZA"/>
              </w:rPr>
            </w:pPr>
            <w:r w:rsidRPr="00604908">
              <w:rPr>
                <w:rFonts w:ascii="Arial" w:hAnsi="Arial" w:cs="Arial"/>
                <w:sz w:val="22"/>
              </w:rPr>
              <w:t>(remove “s” from provider)</w:t>
            </w:r>
          </w:p>
        </w:tc>
      </w:tr>
      <w:tr w:rsidR="00CB6A78" w:rsidRPr="00604908" w:rsidTr="00271944">
        <w:tc>
          <w:tcPr>
            <w:tcW w:w="1188" w:type="dxa"/>
          </w:tcPr>
          <w:p w:rsidR="00CB6A78" w:rsidRPr="00604908" w:rsidRDefault="00CB6A78" w:rsidP="00CB6A78">
            <w:pPr>
              <w:spacing w:after="0" w:line="276" w:lineRule="auto"/>
              <w:rPr>
                <w:rFonts w:ascii="Arial" w:eastAsia="Times New Roman" w:hAnsi="Arial" w:cs="Arial"/>
                <w:sz w:val="22"/>
                <w:lang w:val="en-ZA"/>
              </w:rPr>
            </w:pPr>
            <w:r w:rsidRPr="00604908">
              <w:rPr>
                <w:rFonts w:ascii="Arial" w:eastAsia="Times New Roman" w:hAnsi="Arial" w:cs="Arial"/>
                <w:sz w:val="22"/>
                <w:lang w:val="en-ZA"/>
              </w:rPr>
              <w:t>5</w:t>
            </w:r>
          </w:p>
        </w:tc>
        <w:tc>
          <w:tcPr>
            <w:tcW w:w="2250" w:type="dxa"/>
          </w:tcPr>
          <w:p w:rsidR="00CB6A78" w:rsidRPr="00604908" w:rsidRDefault="00CB6A78" w:rsidP="00CB6A78">
            <w:pPr>
              <w:spacing w:after="0" w:line="276" w:lineRule="auto"/>
              <w:rPr>
                <w:rFonts w:ascii="Arial" w:eastAsia="Times New Roman" w:hAnsi="Arial" w:cs="Arial"/>
                <w:sz w:val="22"/>
                <w:lang w:val="en-ZA"/>
              </w:rPr>
            </w:pPr>
            <w:r w:rsidRPr="00604908">
              <w:rPr>
                <w:rFonts w:ascii="Arial" w:eastAsia="Times New Roman" w:hAnsi="Arial" w:cs="Arial"/>
                <w:sz w:val="22"/>
                <w:lang w:val="en-ZA"/>
              </w:rPr>
              <w:t>5. Section 27 (f)</w:t>
            </w:r>
          </w:p>
        </w:tc>
        <w:tc>
          <w:tcPr>
            <w:tcW w:w="5040" w:type="dxa"/>
          </w:tcPr>
          <w:p w:rsidR="00DE35B2" w:rsidRPr="00604908" w:rsidRDefault="00CB6A78" w:rsidP="00DE35B2">
            <w:pPr>
              <w:pStyle w:val="Default"/>
              <w:spacing w:line="276" w:lineRule="auto"/>
              <w:jc w:val="both"/>
              <w:rPr>
                <w:rFonts w:ascii="Arial" w:hAnsi="Arial" w:cs="Arial"/>
                <w:color w:val="auto"/>
                <w:sz w:val="22"/>
                <w:szCs w:val="22"/>
              </w:rPr>
            </w:pPr>
            <w:r w:rsidRPr="00604908">
              <w:rPr>
                <w:rFonts w:ascii="Arial" w:hAnsi="Arial" w:cs="Arial"/>
                <w:color w:val="auto"/>
                <w:sz w:val="22"/>
                <w:szCs w:val="22"/>
              </w:rPr>
              <w:t xml:space="preserve">The act defines the Minister as the Minister of Higher Education and Training. This is </w:t>
            </w:r>
            <w:r w:rsidRPr="00604908">
              <w:rPr>
                <w:rFonts w:ascii="Arial" w:hAnsi="Arial" w:cs="Arial"/>
                <w:color w:val="auto"/>
                <w:sz w:val="22"/>
                <w:szCs w:val="22"/>
              </w:rPr>
              <w:lastRenderedPageBreak/>
              <w:t xml:space="preserve">problematic as most of the matters that </w:t>
            </w:r>
            <w:proofErr w:type="spellStart"/>
            <w:r w:rsidRPr="00604908">
              <w:rPr>
                <w:rFonts w:ascii="Arial" w:hAnsi="Arial" w:cs="Arial"/>
                <w:color w:val="auto"/>
                <w:sz w:val="22"/>
                <w:szCs w:val="22"/>
              </w:rPr>
              <w:t>Umalusi</w:t>
            </w:r>
            <w:proofErr w:type="spellEnd"/>
            <w:r w:rsidRPr="00604908">
              <w:rPr>
                <w:rFonts w:ascii="Arial" w:hAnsi="Arial" w:cs="Arial"/>
                <w:color w:val="auto"/>
                <w:sz w:val="22"/>
                <w:szCs w:val="22"/>
              </w:rPr>
              <w:t xml:space="preserve"> deals with have more to do with the Minister of Basic Education. </w:t>
            </w:r>
            <w:r w:rsidR="00DE35B2" w:rsidRPr="00DE35B2">
              <w:rPr>
                <w:rFonts w:ascii="Arial" w:hAnsi="Arial" w:cs="Arial"/>
                <w:color w:val="auto"/>
                <w:sz w:val="22"/>
                <w:szCs w:val="22"/>
              </w:rPr>
              <w:t>The NQF Act is silent on the functions of the Minister of Basic Education.</w:t>
            </w:r>
          </w:p>
          <w:p w:rsidR="00CB6A78" w:rsidRPr="00604908" w:rsidRDefault="00CB6A78" w:rsidP="00CB6A78">
            <w:pPr>
              <w:pStyle w:val="Default"/>
              <w:spacing w:line="276" w:lineRule="auto"/>
              <w:jc w:val="both"/>
              <w:rPr>
                <w:rFonts w:ascii="Arial" w:hAnsi="Arial" w:cs="Arial"/>
                <w:color w:val="auto"/>
                <w:sz w:val="22"/>
                <w:szCs w:val="22"/>
              </w:rPr>
            </w:pPr>
          </w:p>
        </w:tc>
        <w:tc>
          <w:tcPr>
            <w:tcW w:w="5130" w:type="dxa"/>
          </w:tcPr>
          <w:p w:rsidR="00DE35B2" w:rsidRPr="00DE35B2" w:rsidRDefault="00DE35B2" w:rsidP="00DE35B2">
            <w:pPr>
              <w:pStyle w:val="Default"/>
              <w:spacing w:line="276" w:lineRule="auto"/>
              <w:jc w:val="both"/>
              <w:rPr>
                <w:rFonts w:ascii="Arial" w:hAnsi="Arial" w:cs="Arial"/>
                <w:color w:val="auto"/>
                <w:sz w:val="22"/>
                <w:szCs w:val="22"/>
              </w:rPr>
            </w:pPr>
            <w:r w:rsidRPr="00DE35B2">
              <w:rPr>
                <w:rFonts w:ascii="Arial" w:hAnsi="Arial" w:cs="Arial"/>
                <w:color w:val="auto"/>
                <w:sz w:val="22"/>
                <w:szCs w:val="22"/>
              </w:rPr>
              <w:lastRenderedPageBreak/>
              <w:t xml:space="preserve">Change the definition to: </w:t>
            </w:r>
          </w:p>
          <w:p w:rsidR="00DE35B2" w:rsidRPr="00DE35B2" w:rsidRDefault="00DE35B2" w:rsidP="00DE35B2">
            <w:pPr>
              <w:pStyle w:val="Default"/>
              <w:spacing w:line="276" w:lineRule="auto"/>
              <w:jc w:val="both"/>
              <w:rPr>
                <w:rFonts w:ascii="Arial" w:hAnsi="Arial" w:cs="Arial"/>
                <w:color w:val="auto"/>
                <w:sz w:val="22"/>
                <w:szCs w:val="22"/>
              </w:rPr>
            </w:pPr>
            <w:r w:rsidRPr="00DE35B2">
              <w:rPr>
                <w:rFonts w:ascii="Arial" w:hAnsi="Arial" w:cs="Arial"/>
                <w:color w:val="auto"/>
                <w:sz w:val="22"/>
                <w:szCs w:val="22"/>
              </w:rPr>
              <w:t xml:space="preserve">Minister - means the Minister of Basic Education </w:t>
            </w:r>
            <w:r w:rsidRPr="00DE35B2">
              <w:rPr>
                <w:rFonts w:ascii="Arial" w:hAnsi="Arial" w:cs="Arial"/>
                <w:color w:val="auto"/>
                <w:sz w:val="22"/>
                <w:szCs w:val="22"/>
              </w:rPr>
              <w:lastRenderedPageBreak/>
              <w:t>or the Minister of Higher Education and Training;</w:t>
            </w:r>
          </w:p>
          <w:p w:rsidR="00DE35B2" w:rsidRPr="00DE35B2" w:rsidRDefault="00DE35B2" w:rsidP="00DE35B2">
            <w:pPr>
              <w:pStyle w:val="Default"/>
              <w:spacing w:line="276" w:lineRule="auto"/>
              <w:jc w:val="both"/>
              <w:rPr>
                <w:rFonts w:ascii="Arial" w:hAnsi="Arial" w:cs="Arial"/>
                <w:color w:val="auto"/>
                <w:sz w:val="22"/>
                <w:szCs w:val="22"/>
              </w:rPr>
            </w:pPr>
          </w:p>
          <w:p w:rsidR="00554CAE" w:rsidRPr="00604908" w:rsidRDefault="00DE35B2" w:rsidP="00DE35B2">
            <w:pPr>
              <w:pStyle w:val="Default"/>
              <w:spacing w:line="276" w:lineRule="auto"/>
              <w:jc w:val="both"/>
              <w:rPr>
                <w:rFonts w:ascii="Arial" w:hAnsi="Arial" w:cs="Arial"/>
                <w:color w:val="auto"/>
                <w:sz w:val="22"/>
                <w:szCs w:val="22"/>
              </w:rPr>
            </w:pPr>
            <w:r w:rsidRPr="00DE35B2">
              <w:rPr>
                <w:rFonts w:ascii="Arial" w:hAnsi="Arial" w:cs="Arial"/>
                <w:color w:val="auto"/>
                <w:sz w:val="22"/>
                <w:szCs w:val="22"/>
              </w:rPr>
              <w:t>Add “relevant” in front of Minister when referring to Minister.</w:t>
            </w:r>
          </w:p>
        </w:tc>
      </w:tr>
      <w:tr w:rsidR="00CB6A78" w:rsidRPr="00604908" w:rsidTr="00271944">
        <w:tc>
          <w:tcPr>
            <w:tcW w:w="1188" w:type="dxa"/>
          </w:tcPr>
          <w:p w:rsidR="00CB6A78" w:rsidRPr="00604908" w:rsidRDefault="00CB6A78" w:rsidP="00CB6A78">
            <w:pPr>
              <w:spacing w:after="0" w:line="276" w:lineRule="auto"/>
              <w:rPr>
                <w:rFonts w:ascii="Arial" w:eastAsia="Times New Roman" w:hAnsi="Arial" w:cs="Arial"/>
                <w:sz w:val="22"/>
                <w:lang w:val="en-ZA"/>
              </w:rPr>
            </w:pPr>
            <w:r w:rsidRPr="00604908">
              <w:rPr>
                <w:rFonts w:ascii="Arial" w:eastAsia="Times New Roman" w:hAnsi="Arial" w:cs="Arial"/>
                <w:sz w:val="22"/>
                <w:lang w:val="en-ZA"/>
              </w:rPr>
              <w:lastRenderedPageBreak/>
              <w:t>6</w:t>
            </w:r>
          </w:p>
        </w:tc>
        <w:tc>
          <w:tcPr>
            <w:tcW w:w="2250" w:type="dxa"/>
          </w:tcPr>
          <w:p w:rsidR="00CB6A78" w:rsidRPr="00604908" w:rsidRDefault="00CB6A78" w:rsidP="00CB6A78">
            <w:pPr>
              <w:autoSpaceDE w:val="0"/>
              <w:autoSpaceDN w:val="0"/>
              <w:adjustRightInd w:val="0"/>
              <w:spacing w:after="0" w:line="240" w:lineRule="auto"/>
              <w:rPr>
                <w:rFonts w:ascii="Arial" w:hAnsi="Arial" w:cs="Arial"/>
                <w:b/>
                <w:bCs/>
                <w:sz w:val="22"/>
                <w:lang w:val="en-ZA"/>
              </w:rPr>
            </w:pPr>
            <w:r w:rsidRPr="00604908">
              <w:rPr>
                <w:rFonts w:ascii="Arial" w:hAnsi="Arial" w:cs="Arial"/>
                <w:b/>
                <w:bCs/>
                <w:sz w:val="22"/>
                <w:lang w:val="en-ZA"/>
              </w:rPr>
              <w:t>Paragraph 32(A)</w:t>
            </w:r>
          </w:p>
        </w:tc>
        <w:tc>
          <w:tcPr>
            <w:tcW w:w="5040" w:type="dxa"/>
          </w:tcPr>
          <w:p w:rsidR="00CB6A78" w:rsidRPr="00604908" w:rsidRDefault="00CB6A78" w:rsidP="00CB6A78">
            <w:pPr>
              <w:spacing w:after="0" w:line="276" w:lineRule="auto"/>
              <w:rPr>
                <w:rFonts w:ascii="Arial" w:eastAsia="Calibri" w:hAnsi="Arial" w:cs="Arial"/>
                <w:sz w:val="22"/>
                <w:lang w:val="en-ZA"/>
              </w:rPr>
            </w:pPr>
            <w:r w:rsidRPr="00604908">
              <w:rPr>
                <w:rFonts w:ascii="Arial" w:eastAsia="Calibri" w:hAnsi="Arial" w:cs="Arial"/>
                <w:sz w:val="22"/>
                <w:lang w:val="en-ZA"/>
              </w:rPr>
              <w:t>If the attained qualification is not registered on the NLRD the relevant QC must ensure and verify that the said attained qualification was indeed issued in order to be submitted to the SAQA for registering on the NLRD.</w:t>
            </w:r>
          </w:p>
        </w:tc>
        <w:tc>
          <w:tcPr>
            <w:tcW w:w="5130" w:type="dxa"/>
          </w:tcPr>
          <w:p w:rsidR="00CB6A78" w:rsidRPr="00604908" w:rsidRDefault="00CB6A78" w:rsidP="00CB6A78">
            <w:pPr>
              <w:spacing w:after="0" w:line="276" w:lineRule="auto"/>
              <w:rPr>
                <w:rFonts w:ascii="Arial" w:eastAsia="Calibri" w:hAnsi="Arial" w:cs="Arial"/>
                <w:b/>
                <w:sz w:val="22"/>
                <w:lang w:val="en-ZA"/>
              </w:rPr>
            </w:pPr>
            <w:r w:rsidRPr="00604908">
              <w:rPr>
                <w:rFonts w:ascii="Arial" w:eastAsia="Calibri" w:hAnsi="Arial" w:cs="Arial"/>
                <w:sz w:val="22"/>
                <w:lang w:val="en-ZA"/>
              </w:rPr>
              <w:t xml:space="preserve">32A. (1) Except for those categories of employees who are specifically exempted from the provisions of this section by the Minister by notice in the Gazette, all employers, education institutions, skills development providers and QC’s must check if the qualification or part-qualification which is presented to them for purposes of study, employment, appointment or any other related purpose, is registered on the national learners’ records database and if not, refer such qualification or part-qualification to the SAQA </w:t>
            </w:r>
            <w:r w:rsidRPr="00604908">
              <w:rPr>
                <w:rFonts w:ascii="Arial" w:eastAsia="Calibri" w:hAnsi="Arial" w:cs="Arial"/>
                <w:color w:val="0070C0"/>
                <w:sz w:val="22"/>
                <w:lang w:val="en-ZA"/>
              </w:rPr>
              <w:t>or the relevant QC</w:t>
            </w:r>
            <w:r w:rsidRPr="00604908">
              <w:rPr>
                <w:rFonts w:ascii="Arial" w:eastAsia="Calibri" w:hAnsi="Arial" w:cs="Arial"/>
                <w:sz w:val="22"/>
                <w:lang w:val="en-ZA"/>
              </w:rPr>
              <w:t xml:space="preserve"> for verification or evaluation.</w:t>
            </w:r>
          </w:p>
        </w:tc>
      </w:tr>
    </w:tbl>
    <w:p w:rsidR="009A3899" w:rsidRDefault="001159D0"/>
    <w:p w:rsidR="009C3730" w:rsidRPr="001E4AA2" w:rsidRDefault="009C3730">
      <w:pPr>
        <w:rPr>
          <w:rFonts w:ascii="Arial" w:hAnsi="Arial" w:cs="Arial"/>
          <w:sz w:val="22"/>
        </w:rPr>
      </w:pPr>
      <w:r w:rsidRPr="001E4AA2">
        <w:rPr>
          <w:rFonts w:ascii="Arial" w:hAnsi="Arial" w:cs="Arial"/>
          <w:sz w:val="22"/>
        </w:rPr>
        <w:t>Additional comments on the NQF Act</w:t>
      </w:r>
    </w:p>
    <w:tbl>
      <w:tblPr>
        <w:tblStyle w:val="TableGrid"/>
        <w:tblW w:w="0" w:type="auto"/>
        <w:tblLook w:val="04A0"/>
      </w:tblPr>
      <w:tblGrid>
        <w:gridCol w:w="3237"/>
        <w:gridCol w:w="3237"/>
        <w:gridCol w:w="3238"/>
        <w:gridCol w:w="3238"/>
      </w:tblGrid>
      <w:tr w:rsidR="009C3730" w:rsidRPr="001E4AA2" w:rsidTr="00063D86">
        <w:tc>
          <w:tcPr>
            <w:tcW w:w="3237" w:type="dxa"/>
            <w:tcBorders>
              <w:bottom w:val="single" w:sz="4" w:space="0" w:color="auto"/>
            </w:tcBorders>
            <w:shd w:val="clear" w:color="auto" w:fill="D9D9D9"/>
          </w:tcPr>
          <w:p w:rsidR="009C3730" w:rsidRPr="001E4AA2" w:rsidRDefault="009C3730" w:rsidP="009C3730">
            <w:pPr>
              <w:spacing w:line="480" w:lineRule="auto"/>
              <w:rPr>
                <w:rFonts w:ascii="Arial" w:eastAsia="Times New Roman" w:hAnsi="Arial" w:cs="Arial"/>
                <w:b/>
                <w:sz w:val="22"/>
                <w:lang w:val="en-ZA"/>
              </w:rPr>
            </w:pPr>
            <w:r w:rsidRPr="001E4AA2">
              <w:rPr>
                <w:rFonts w:ascii="Arial" w:eastAsia="Times New Roman" w:hAnsi="Arial" w:cs="Arial"/>
                <w:b/>
                <w:sz w:val="22"/>
                <w:lang w:val="en-ZA"/>
              </w:rPr>
              <w:t>Page</w:t>
            </w:r>
          </w:p>
        </w:tc>
        <w:tc>
          <w:tcPr>
            <w:tcW w:w="3237" w:type="dxa"/>
            <w:tcBorders>
              <w:bottom w:val="single" w:sz="4" w:space="0" w:color="auto"/>
            </w:tcBorders>
            <w:shd w:val="clear" w:color="auto" w:fill="D9D9D9"/>
          </w:tcPr>
          <w:p w:rsidR="009C3730" w:rsidRPr="001E4AA2" w:rsidRDefault="009C3730" w:rsidP="009C3730">
            <w:pPr>
              <w:spacing w:line="480" w:lineRule="auto"/>
              <w:rPr>
                <w:rFonts w:ascii="Arial" w:eastAsia="Times New Roman" w:hAnsi="Arial" w:cs="Arial"/>
                <w:b/>
                <w:sz w:val="22"/>
                <w:lang w:val="en-ZA"/>
              </w:rPr>
            </w:pPr>
            <w:r w:rsidRPr="001E4AA2">
              <w:rPr>
                <w:rFonts w:ascii="Arial" w:eastAsia="Times New Roman" w:hAnsi="Arial" w:cs="Arial"/>
                <w:b/>
                <w:sz w:val="22"/>
                <w:lang w:val="en-ZA"/>
              </w:rPr>
              <w:t>Section</w:t>
            </w:r>
          </w:p>
        </w:tc>
        <w:tc>
          <w:tcPr>
            <w:tcW w:w="3238" w:type="dxa"/>
            <w:tcBorders>
              <w:bottom w:val="single" w:sz="4" w:space="0" w:color="auto"/>
            </w:tcBorders>
            <w:shd w:val="clear" w:color="auto" w:fill="D9D9D9"/>
          </w:tcPr>
          <w:p w:rsidR="009C3730" w:rsidRPr="001E4AA2" w:rsidRDefault="009C3730" w:rsidP="009C3730">
            <w:pPr>
              <w:spacing w:line="480" w:lineRule="auto"/>
              <w:rPr>
                <w:rFonts w:ascii="Arial" w:eastAsia="Calibri" w:hAnsi="Arial" w:cs="Arial"/>
                <w:b/>
                <w:sz w:val="22"/>
                <w:lang w:val="en-ZA"/>
              </w:rPr>
            </w:pPr>
            <w:r w:rsidRPr="001E4AA2">
              <w:rPr>
                <w:rFonts w:ascii="Arial" w:eastAsia="Calibri" w:hAnsi="Arial" w:cs="Arial"/>
                <w:b/>
                <w:sz w:val="22"/>
                <w:lang w:val="en-ZA"/>
              </w:rPr>
              <w:t>Comment</w:t>
            </w:r>
          </w:p>
        </w:tc>
        <w:tc>
          <w:tcPr>
            <w:tcW w:w="3238" w:type="dxa"/>
            <w:tcBorders>
              <w:bottom w:val="single" w:sz="4" w:space="0" w:color="auto"/>
            </w:tcBorders>
            <w:shd w:val="clear" w:color="auto" w:fill="D9D9D9"/>
          </w:tcPr>
          <w:p w:rsidR="009C3730" w:rsidRPr="001E4AA2" w:rsidRDefault="009C3730" w:rsidP="009C3730">
            <w:pPr>
              <w:spacing w:line="480" w:lineRule="auto"/>
              <w:rPr>
                <w:rFonts w:ascii="Arial" w:eastAsia="Calibri" w:hAnsi="Arial" w:cs="Arial"/>
                <w:b/>
                <w:sz w:val="22"/>
                <w:lang w:val="en-ZA"/>
              </w:rPr>
            </w:pPr>
            <w:r w:rsidRPr="001E4AA2">
              <w:rPr>
                <w:rFonts w:ascii="Arial" w:eastAsia="Calibri" w:hAnsi="Arial" w:cs="Arial"/>
                <w:b/>
                <w:sz w:val="22"/>
                <w:lang w:val="en-ZA"/>
              </w:rPr>
              <w:t>Proposal for Revision</w:t>
            </w:r>
          </w:p>
        </w:tc>
      </w:tr>
      <w:tr w:rsidR="009C3730" w:rsidRPr="001E4AA2" w:rsidTr="009C3730">
        <w:tc>
          <w:tcPr>
            <w:tcW w:w="3237" w:type="dxa"/>
          </w:tcPr>
          <w:p w:rsidR="009C3730" w:rsidRPr="001E4AA2" w:rsidRDefault="00A757FC" w:rsidP="009C3730">
            <w:pPr>
              <w:rPr>
                <w:rFonts w:ascii="Arial" w:hAnsi="Arial" w:cs="Arial"/>
                <w:sz w:val="22"/>
              </w:rPr>
            </w:pPr>
            <w:r w:rsidRPr="001E4AA2">
              <w:rPr>
                <w:rFonts w:ascii="Arial" w:hAnsi="Arial" w:cs="Arial"/>
                <w:sz w:val="22"/>
              </w:rPr>
              <w:t>Chapter 1</w:t>
            </w:r>
          </w:p>
          <w:p w:rsidR="00A757FC" w:rsidRPr="001E4AA2" w:rsidRDefault="00A757FC" w:rsidP="009C3730">
            <w:pPr>
              <w:rPr>
                <w:rFonts w:ascii="Arial" w:hAnsi="Arial" w:cs="Arial"/>
                <w:sz w:val="22"/>
              </w:rPr>
            </w:pPr>
            <w:r w:rsidRPr="001E4AA2">
              <w:rPr>
                <w:rFonts w:ascii="Arial" w:hAnsi="Arial" w:cs="Arial"/>
                <w:sz w:val="22"/>
              </w:rPr>
              <w:t>Section1</w:t>
            </w:r>
          </w:p>
        </w:tc>
        <w:tc>
          <w:tcPr>
            <w:tcW w:w="3237" w:type="dxa"/>
          </w:tcPr>
          <w:p w:rsidR="009C3730" w:rsidRPr="001E4AA2" w:rsidRDefault="006B3203" w:rsidP="009C3730">
            <w:pPr>
              <w:rPr>
                <w:rFonts w:ascii="Arial" w:hAnsi="Arial" w:cs="Arial"/>
                <w:sz w:val="22"/>
              </w:rPr>
            </w:pPr>
            <w:r w:rsidRPr="001E4AA2">
              <w:rPr>
                <w:rFonts w:ascii="Arial" w:hAnsi="Arial" w:cs="Arial"/>
                <w:sz w:val="22"/>
              </w:rPr>
              <w:t>Definition of a “qualification”</w:t>
            </w:r>
            <w:r w:rsidR="0092462D" w:rsidRPr="001E4AA2">
              <w:rPr>
                <w:rFonts w:ascii="Arial" w:hAnsi="Arial" w:cs="Arial"/>
                <w:sz w:val="22"/>
              </w:rPr>
              <w:t xml:space="preserve"> </w:t>
            </w:r>
          </w:p>
          <w:p w:rsidR="0092462D" w:rsidRPr="001E4AA2" w:rsidRDefault="0092462D" w:rsidP="009C3730">
            <w:pPr>
              <w:rPr>
                <w:rFonts w:ascii="Arial" w:hAnsi="Arial" w:cs="Arial"/>
                <w:sz w:val="22"/>
              </w:rPr>
            </w:pPr>
            <w:r w:rsidRPr="001E4AA2">
              <w:rPr>
                <w:rFonts w:ascii="Arial" w:hAnsi="Arial" w:cs="Arial"/>
                <w:sz w:val="22"/>
              </w:rPr>
              <w:t xml:space="preserve">“qualification” means a </w:t>
            </w:r>
            <w:r w:rsidRPr="001E4AA2">
              <w:rPr>
                <w:rFonts w:ascii="Arial" w:hAnsi="Arial" w:cs="Arial"/>
                <w:b/>
                <w:sz w:val="22"/>
              </w:rPr>
              <w:t>registered national qualification</w:t>
            </w:r>
          </w:p>
        </w:tc>
        <w:tc>
          <w:tcPr>
            <w:tcW w:w="3238" w:type="dxa"/>
          </w:tcPr>
          <w:p w:rsidR="009C3730" w:rsidRPr="001E4AA2" w:rsidRDefault="009C3730" w:rsidP="009C3730">
            <w:pPr>
              <w:rPr>
                <w:rFonts w:ascii="Arial" w:hAnsi="Arial" w:cs="Arial"/>
                <w:sz w:val="22"/>
              </w:rPr>
            </w:pPr>
            <w:r w:rsidRPr="001E4AA2">
              <w:rPr>
                <w:rFonts w:ascii="Arial" w:hAnsi="Arial" w:cs="Arial"/>
                <w:sz w:val="22"/>
              </w:rPr>
              <w:t>The description given of a qualification in the NQF Act is not clear and seems to allow for education offerings of qualifications not registered on the NQF.</w:t>
            </w:r>
          </w:p>
          <w:p w:rsidR="0092462D" w:rsidRPr="001E4AA2" w:rsidRDefault="0092462D" w:rsidP="009C3730">
            <w:pPr>
              <w:rPr>
                <w:rFonts w:ascii="Arial" w:hAnsi="Arial" w:cs="Arial"/>
                <w:sz w:val="22"/>
              </w:rPr>
            </w:pPr>
            <w:r w:rsidRPr="001E4AA2">
              <w:rPr>
                <w:rFonts w:ascii="Arial" w:hAnsi="Arial" w:cs="Arial"/>
                <w:sz w:val="22"/>
              </w:rPr>
              <w:t xml:space="preserve">The NQF was established to comprise of “qualifications” as defined, i.e. that are registered </w:t>
            </w:r>
            <w:r w:rsidRPr="001E4AA2">
              <w:rPr>
                <w:rFonts w:ascii="Arial" w:hAnsi="Arial" w:cs="Arial"/>
                <w:sz w:val="22"/>
              </w:rPr>
              <w:lastRenderedPageBreak/>
              <w:t>on the NQF, if they meet the relevant c</w:t>
            </w:r>
            <w:r w:rsidR="00A757FC" w:rsidRPr="001E4AA2">
              <w:rPr>
                <w:rFonts w:ascii="Arial" w:hAnsi="Arial" w:cs="Arial"/>
                <w:sz w:val="22"/>
              </w:rPr>
              <w:t>riteria (Section 13(i</w:t>
            </w:r>
            <w:proofErr w:type="gramStart"/>
            <w:r w:rsidR="00A757FC" w:rsidRPr="001E4AA2">
              <w:rPr>
                <w:rFonts w:ascii="Arial" w:hAnsi="Arial" w:cs="Arial"/>
                <w:sz w:val="22"/>
              </w:rPr>
              <w:t>)(</w:t>
            </w:r>
            <w:proofErr w:type="gramEnd"/>
            <w:r w:rsidR="00A757FC" w:rsidRPr="001E4AA2">
              <w:rPr>
                <w:rFonts w:ascii="Arial" w:hAnsi="Arial" w:cs="Arial"/>
                <w:sz w:val="22"/>
              </w:rPr>
              <w:t xml:space="preserve">h)(ii).  </w:t>
            </w:r>
            <w:r w:rsidRPr="001E4AA2">
              <w:rPr>
                <w:rFonts w:ascii="Arial" w:hAnsi="Arial" w:cs="Arial"/>
                <w:sz w:val="22"/>
              </w:rPr>
              <w:t xml:space="preserve">As such the legislative framework does not contemplate the regulation of education and learning </w:t>
            </w:r>
            <w:proofErr w:type="spellStart"/>
            <w:r w:rsidRPr="001E4AA2">
              <w:rPr>
                <w:rFonts w:ascii="Arial" w:hAnsi="Arial" w:cs="Arial"/>
                <w:sz w:val="22"/>
              </w:rPr>
              <w:t>programmes</w:t>
            </w:r>
            <w:proofErr w:type="spellEnd"/>
            <w:r w:rsidRPr="001E4AA2">
              <w:rPr>
                <w:rFonts w:ascii="Arial" w:hAnsi="Arial" w:cs="Arial"/>
                <w:sz w:val="22"/>
              </w:rPr>
              <w:t xml:space="preserve"> that</w:t>
            </w:r>
            <w:r w:rsidR="00A757FC" w:rsidRPr="001E4AA2">
              <w:rPr>
                <w:rFonts w:ascii="Arial" w:hAnsi="Arial" w:cs="Arial"/>
                <w:sz w:val="22"/>
              </w:rPr>
              <w:t xml:space="preserve"> are not registered on the NQF.</w:t>
            </w:r>
          </w:p>
        </w:tc>
        <w:tc>
          <w:tcPr>
            <w:tcW w:w="3238" w:type="dxa"/>
          </w:tcPr>
          <w:p w:rsidR="009C3730" w:rsidRPr="001E4AA2" w:rsidRDefault="006B3203" w:rsidP="009C3730">
            <w:pPr>
              <w:rPr>
                <w:rFonts w:ascii="Arial" w:hAnsi="Arial" w:cs="Arial"/>
                <w:sz w:val="22"/>
              </w:rPr>
            </w:pPr>
            <w:r w:rsidRPr="001E4AA2">
              <w:rPr>
                <w:rFonts w:ascii="Arial" w:hAnsi="Arial" w:cs="Arial"/>
                <w:sz w:val="22"/>
              </w:rPr>
              <w:lastRenderedPageBreak/>
              <w:t>Define a qualification more clearly to include that all qualifications (both local and foreign) offered in South Africa must be registered on the NQF</w:t>
            </w:r>
          </w:p>
        </w:tc>
      </w:tr>
      <w:tr w:rsidR="009C3730" w:rsidRPr="001E4AA2" w:rsidTr="009C3730">
        <w:tc>
          <w:tcPr>
            <w:tcW w:w="3237" w:type="dxa"/>
          </w:tcPr>
          <w:p w:rsidR="00E665C9" w:rsidRPr="001E4AA2" w:rsidRDefault="00E665C9" w:rsidP="00E665C9">
            <w:pPr>
              <w:rPr>
                <w:rFonts w:ascii="Arial" w:hAnsi="Arial" w:cs="Arial"/>
                <w:sz w:val="22"/>
              </w:rPr>
            </w:pPr>
            <w:r w:rsidRPr="001E4AA2">
              <w:rPr>
                <w:rFonts w:ascii="Arial" w:hAnsi="Arial" w:cs="Arial"/>
                <w:sz w:val="22"/>
              </w:rPr>
              <w:lastRenderedPageBreak/>
              <w:t>Chapter 1</w:t>
            </w:r>
          </w:p>
          <w:p w:rsidR="009C3730" w:rsidRPr="001E4AA2" w:rsidRDefault="00E665C9" w:rsidP="00E665C9">
            <w:pPr>
              <w:rPr>
                <w:rFonts w:ascii="Arial" w:hAnsi="Arial" w:cs="Arial"/>
                <w:sz w:val="22"/>
              </w:rPr>
            </w:pPr>
            <w:r w:rsidRPr="001E4AA2">
              <w:rPr>
                <w:rFonts w:ascii="Arial" w:hAnsi="Arial" w:cs="Arial"/>
                <w:sz w:val="22"/>
              </w:rPr>
              <w:t>Section1</w:t>
            </w:r>
          </w:p>
        </w:tc>
        <w:tc>
          <w:tcPr>
            <w:tcW w:w="3237" w:type="dxa"/>
          </w:tcPr>
          <w:p w:rsidR="009C3730" w:rsidRPr="001E4AA2" w:rsidRDefault="006B3203" w:rsidP="009C3730">
            <w:pPr>
              <w:rPr>
                <w:rFonts w:ascii="Arial" w:hAnsi="Arial" w:cs="Arial"/>
                <w:sz w:val="22"/>
              </w:rPr>
            </w:pPr>
            <w:r w:rsidRPr="001E4AA2">
              <w:rPr>
                <w:rFonts w:ascii="Arial" w:hAnsi="Arial" w:cs="Arial"/>
                <w:sz w:val="22"/>
              </w:rPr>
              <w:t xml:space="preserve">Define what is meant by </w:t>
            </w:r>
          </w:p>
          <w:p w:rsidR="006B3203" w:rsidRPr="001E4AA2" w:rsidRDefault="006B3203" w:rsidP="009C3730">
            <w:pPr>
              <w:rPr>
                <w:rFonts w:ascii="Arial" w:hAnsi="Arial" w:cs="Arial"/>
                <w:sz w:val="22"/>
              </w:rPr>
            </w:pPr>
            <w:r w:rsidRPr="001E4AA2">
              <w:rPr>
                <w:rFonts w:ascii="Arial" w:hAnsi="Arial" w:cs="Arial"/>
                <w:sz w:val="22"/>
              </w:rPr>
              <w:t>“offering”</w:t>
            </w:r>
          </w:p>
        </w:tc>
        <w:tc>
          <w:tcPr>
            <w:tcW w:w="3238" w:type="dxa"/>
          </w:tcPr>
          <w:p w:rsidR="009C3730" w:rsidRPr="001E4AA2" w:rsidRDefault="00957532" w:rsidP="009C3730">
            <w:pPr>
              <w:rPr>
                <w:rFonts w:ascii="Arial" w:hAnsi="Arial" w:cs="Arial"/>
                <w:sz w:val="22"/>
              </w:rPr>
            </w:pPr>
            <w:r w:rsidRPr="001E4AA2">
              <w:rPr>
                <w:rFonts w:ascii="Arial" w:hAnsi="Arial" w:cs="Arial"/>
                <w:sz w:val="22"/>
              </w:rPr>
              <w:t xml:space="preserve">It is not clear what “offering a qualification” entails. Does it include all aspects such as administration of learners, facilitation of learning, assessment and certification or only one or more of them?  </w:t>
            </w:r>
          </w:p>
        </w:tc>
        <w:tc>
          <w:tcPr>
            <w:tcW w:w="3238" w:type="dxa"/>
          </w:tcPr>
          <w:p w:rsidR="001E4260" w:rsidRPr="001E4AA2" w:rsidRDefault="001E4260" w:rsidP="001E4260">
            <w:pPr>
              <w:rPr>
                <w:rFonts w:ascii="Arial" w:hAnsi="Arial" w:cs="Arial"/>
                <w:sz w:val="22"/>
              </w:rPr>
            </w:pPr>
            <w:r w:rsidRPr="001E4AA2">
              <w:rPr>
                <w:rFonts w:ascii="Arial" w:hAnsi="Arial" w:cs="Arial"/>
                <w:sz w:val="22"/>
              </w:rPr>
              <w:t xml:space="preserve">A </w:t>
            </w:r>
            <w:r w:rsidR="00E665C9" w:rsidRPr="001E4AA2">
              <w:rPr>
                <w:rFonts w:ascii="Arial" w:hAnsi="Arial" w:cs="Arial"/>
                <w:sz w:val="22"/>
              </w:rPr>
              <w:t xml:space="preserve">clear definition of “offering” is needed. A </w:t>
            </w:r>
            <w:r w:rsidRPr="001E4AA2">
              <w:rPr>
                <w:rFonts w:ascii="Arial" w:hAnsi="Arial" w:cs="Arial"/>
                <w:sz w:val="22"/>
              </w:rPr>
              <w:t>decision on whether an offering is a foreign or local qualification cannot be determined by the place where the learner does the learning, but by what body;</w:t>
            </w:r>
          </w:p>
          <w:p w:rsidR="001E4260" w:rsidRPr="001E4AA2" w:rsidRDefault="001E4260" w:rsidP="001E4260">
            <w:pPr>
              <w:rPr>
                <w:rFonts w:ascii="Arial" w:hAnsi="Arial" w:cs="Arial"/>
                <w:sz w:val="22"/>
              </w:rPr>
            </w:pPr>
            <w:r w:rsidRPr="001E4AA2">
              <w:rPr>
                <w:rFonts w:ascii="Arial" w:hAnsi="Arial" w:cs="Arial"/>
                <w:sz w:val="22"/>
              </w:rPr>
              <w:t>Drew up the curriculum;</w:t>
            </w:r>
          </w:p>
          <w:p w:rsidR="001E4260" w:rsidRPr="001E4AA2" w:rsidRDefault="001E4260" w:rsidP="001E4260">
            <w:pPr>
              <w:rPr>
                <w:rFonts w:ascii="Arial" w:hAnsi="Arial" w:cs="Arial"/>
                <w:sz w:val="22"/>
              </w:rPr>
            </w:pPr>
            <w:r w:rsidRPr="001E4AA2">
              <w:rPr>
                <w:rFonts w:ascii="Arial" w:hAnsi="Arial" w:cs="Arial"/>
                <w:sz w:val="22"/>
              </w:rPr>
              <w:t>Does the quality assurance;</w:t>
            </w:r>
          </w:p>
          <w:p w:rsidR="001E4260" w:rsidRPr="001E4AA2" w:rsidRDefault="001E4260" w:rsidP="001E4260">
            <w:pPr>
              <w:rPr>
                <w:rFonts w:ascii="Arial" w:hAnsi="Arial" w:cs="Arial"/>
                <w:sz w:val="22"/>
              </w:rPr>
            </w:pPr>
            <w:r w:rsidRPr="001E4AA2">
              <w:rPr>
                <w:rFonts w:ascii="Arial" w:hAnsi="Arial" w:cs="Arial"/>
                <w:sz w:val="22"/>
              </w:rPr>
              <w:t>Does the assessment;</w:t>
            </w:r>
          </w:p>
          <w:p w:rsidR="009C3730" w:rsidRPr="001E4AA2" w:rsidRDefault="001E4260" w:rsidP="001E4260">
            <w:pPr>
              <w:rPr>
                <w:rFonts w:ascii="Arial" w:hAnsi="Arial" w:cs="Arial"/>
                <w:sz w:val="22"/>
              </w:rPr>
            </w:pPr>
            <w:r w:rsidRPr="001E4AA2">
              <w:rPr>
                <w:rFonts w:ascii="Arial" w:hAnsi="Arial" w:cs="Arial"/>
                <w:sz w:val="22"/>
              </w:rPr>
              <w:t>Certificates the learners.</w:t>
            </w:r>
          </w:p>
        </w:tc>
      </w:tr>
    </w:tbl>
    <w:p w:rsidR="009C3730" w:rsidRDefault="009C3730"/>
    <w:p w:rsidR="009C3730" w:rsidRDefault="009C3730"/>
    <w:sectPr w:rsidR="009C3730" w:rsidSect="004E301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E5A01"/>
    <w:multiLevelType w:val="hybridMultilevel"/>
    <w:tmpl w:val="01D0DB42"/>
    <w:lvl w:ilvl="0" w:tplc="72E2EA24">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019"/>
    <w:rsid w:val="0004745D"/>
    <w:rsid w:val="001159D0"/>
    <w:rsid w:val="00152E8E"/>
    <w:rsid w:val="00154170"/>
    <w:rsid w:val="001A4E05"/>
    <w:rsid w:val="001B1EE7"/>
    <w:rsid w:val="001E4260"/>
    <w:rsid w:val="001E4AA2"/>
    <w:rsid w:val="00222096"/>
    <w:rsid w:val="0023416C"/>
    <w:rsid w:val="00271460"/>
    <w:rsid w:val="00271944"/>
    <w:rsid w:val="00285824"/>
    <w:rsid w:val="00295052"/>
    <w:rsid w:val="00341466"/>
    <w:rsid w:val="00422B64"/>
    <w:rsid w:val="00426710"/>
    <w:rsid w:val="004510ED"/>
    <w:rsid w:val="004A6553"/>
    <w:rsid w:val="004E3019"/>
    <w:rsid w:val="00544DD7"/>
    <w:rsid w:val="00554CAE"/>
    <w:rsid w:val="00591D18"/>
    <w:rsid w:val="005925DE"/>
    <w:rsid w:val="005A43C9"/>
    <w:rsid w:val="005E307B"/>
    <w:rsid w:val="00604908"/>
    <w:rsid w:val="00646E04"/>
    <w:rsid w:val="006B1B41"/>
    <w:rsid w:val="006B3203"/>
    <w:rsid w:val="006C41A3"/>
    <w:rsid w:val="006E11AB"/>
    <w:rsid w:val="00752BD2"/>
    <w:rsid w:val="0076567F"/>
    <w:rsid w:val="008270B7"/>
    <w:rsid w:val="008364D9"/>
    <w:rsid w:val="008620DE"/>
    <w:rsid w:val="00885B39"/>
    <w:rsid w:val="00891389"/>
    <w:rsid w:val="0089479A"/>
    <w:rsid w:val="0092462D"/>
    <w:rsid w:val="00951D9B"/>
    <w:rsid w:val="00957532"/>
    <w:rsid w:val="0097124B"/>
    <w:rsid w:val="009B5607"/>
    <w:rsid w:val="009B735E"/>
    <w:rsid w:val="009C3730"/>
    <w:rsid w:val="00A4763D"/>
    <w:rsid w:val="00A56935"/>
    <w:rsid w:val="00A64D47"/>
    <w:rsid w:val="00A757FC"/>
    <w:rsid w:val="00A93B11"/>
    <w:rsid w:val="00B358EC"/>
    <w:rsid w:val="00B5511C"/>
    <w:rsid w:val="00B559C8"/>
    <w:rsid w:val="00C046F1"/>
    <w:rsid w:val="00C25309"/>
    <w:rsid w:val="00CB6A78"/>
    <w:rsid w:val="00D42089"/>
    <w:rsid w:val="00D468EE"/>
    <w:rsid w:val="00DD5AAA"/>
    <w:rsid w:val="00DE1731"/>
    <w:rsid w:val="00DE35B2"/>
    <w:rsid w:val="00DF2BC2"/>
    <w:rsid w:val="00DF3F78"/>
    <w:rsid w:val="00E37BAC"/>
    <w:rsid w:val="00E53F59"/>
    <w:rsid w:val="00E665C9"/>
    <w:rsid w:val="00EE438B"/>
    <w:rsid w:val="00FA7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D47"/>
    <w:pPr>
      <w:autoSpaceDE w:val="0"/>
      <w:autoSpaceDN w:val="0"/>
      <w:adjustRightInd w:val="0"/>
      <w:spacing w:after="0" w:line="240" w:lineRule="auto"/>
    </w:pPr>
    <w:rPr>
      <w:rFonts w:cs="Century Gothic"/>
      <w:color w:val="000000"/>
      <w:szCs w:val="24"/>
      <w:lang w:val="en-ZA"/>
    </w:rPr>
  </w:style>
  <w:style w:type="table" w:styleId="TableGrid">
    <w:name w:val="Table Grid"/>
    <w:basedOn w:val="TableNormal"/>
    <w:uiPriority w:val="39"/>
    <w:rsid w:val="009C3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B2"/>
    <w:rPr>
      <w:rFonts w:ascii="Segoe UI" w:hAnsi="Segoe UI" w:cs="Segoe UI"/>
      <w:sz w:val="18"/>
      <w:szCs w:val="18"/>
    </w:rPr>
  </w:style>
  <w:style w:type="character" w:styleId="CommentReference">
    <w:name w:val="annotation reference"/>
    <w:basedOn w:val="DefaultParagraphFont"/>
    <w:uiPriority w:val="99"/>
    <w:semiHidden/>
    <w:unhideWhenUsed/>
    <w:rsid w:val="00DE35B2"/>
    <w:rPr>
      <w:sz w:val="16"/>
      <w:szCs w:val="16"/>
    </w:rPr>
  </w:style>
  <w:style w:type="paragraph" w:styleId="CommentText">
    <w:name w:val="annotation text"/>
    <w:basedOn w:val="Normal"/>
    <w:link w:val="CommentTextChar"/>
    <w:uiPriority w:val="99"/>
    <w:semiHidden/>
    <w:unhideWhenUsed/>
    <w:rsid w:val="00DE35B2"/>
    <w:pPr>
      <w:spacing w:line="240" w:lineRule="auto"/>
    </w:pPr>
    <w:rPr>
      <w:sz w:val="20"/>
      <w:szCs w:val="20"/>
    </w:rPr>
  </w:style>
  <w:style w:type="character" w:customStyle="1" w:styleId="CommentTextChar">
    <w:name w:val="Comment Text Char"/>
    <w:basedOn w:val="DefaultParagraphFont"/>
    <w:link w:val="CommentText"/>
    <w:uiPriority w:val="99"/>
    <w:semiHidden/>
    <w:rsid w:val="00DE35B2"/>
    <w:rPr>
      <w:sz w:val="20"/>
      <w:szCs w:val="20"/>
    </w:rPr>
  </w:style>
  <w:style w:type="paragraph" w:styleId="CommentSubject">
    <w:name w:val="annotation subject"/>
    <w:basedOn w:val="CommentText"/>
    <w:next w:val="CommentText"/>
    <w:link w:val="CommentSubjectChar"/>
    <w:uiPriority w:val="99"/>
    <w:semiHidden/>
    <w:unhideWhenUsed/>
    <w:rsid w:val="00DE35B2"/>
    <w:rPr>
      <w:b/>
      <w:bCs/>
    </w:rPr>
  </w:style>
  <w:style w:type="character" w:customStyle="1" w:styleId="CommentSubjectChar">
    <w:name w:val="Comment Subject Char"/>
    <w:basedOn w:val="CommentTextChar"/>
    <w:link w:val="CommentSubject"/>
    <w:uiPriority w:val="99"/>
    <w:semiHidden/>
    <w:rsid w:val="00DE35B2"/>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Eva Sujee</dc:creator>
  <cp:lastModifiedBy>PUMZA</cp:lastModifiedBy>
  <cp:revision>2</cp:revision>
  <cp:lastPrinted>2018-08-28T05:40:00Z</cp:lastPrinted>
  <dcterms:created xsi:type="dcterms:W3CDTF">2018-09-06T12:27:00Z</dcterms:created>
  <dcterms:modified xsi:type="dcterms:W3CDTF">2018-09-06T12:27:00Z</dcterms:modified>
</cp:coreProperties>
</file>