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5000" w:type="pct"/>
        <w:tblCellMar>
          <w:left w:w="0" w:type="dxa"/>
          <w:right w:w="0" w:type="dxa"/>
        </w:tblCellMar>
        <w:tblLook w:val="01E0"/>
      </w:tblPr>
      <w:tblGrid>
        <w:gridCol w:w="5670"/>
        <w:gridCol w:w="1134"/>
        <w:gridCol w:w="2835"/>
      </w:tblGrid>
      <w:tr w:rsidR="0064547D" w:rsidRPr="00E47E0C" w:rsidTr="000951CA">
        <w:tc>
          <w:tcPr>
            <w:tcW w:w="5670" w:type="dxa"/>
          </w:tcPr>
          <w:p w:rsidR="0064547D" w:rsidRPr="00E47E0C" w:rsidRDefault="00A520C6" w:rsidP="004D5A28">
            <w:pPr>
              <w:pStyle w:val="BA10"/>
              <w:rPr>
                <w:rFonts w:asciiTheme="minorHAnsi" w:hAnsiTheme="minorHAnsi" w:cstheme="minorHAnsi"/>
              </w:rPr>
            </w:pPr>
            <w:bookmarkStart w:id="0" w:name="_GoBack"/>
            <w:bookmarkEnd w:id="0"/>
            <w:r>
              <w:t xml:space="preserve">10 </w:t>
            </w:r>
            <w:r w:rsidR="00D43E25" w:rsidRPr="00D43E25">
              <w:t>August 2018</w:t>
            </w:r>
            <w:r w:rsidR="00D43E25">
              <w:rPr>
                <w:rFonts w:asciiTheme="minorHAnsi" w:hAnsiTheme="minorHAnsi" w:cstheme="minorHAnsi"/>
              </w:rPr>
              <w:t xml:space="preserve"> </w:t>
            </w:r>
          </w:p>
        </w:tc>
        <w:tc>
          <w:tcPr>
            <w:tcW w:w="1134" w:type="dxa"/>
          </w:tcPr>
          <w:p w:rsidR="0064547D" w:rsidRPr="00E47E0C" w:rsidRDefault="0064547D">
            <w:pPr>
              <w:pStyle w:val="BA10"/>
              <w:rPr>
                <w:rFonts w:asciiTheme="minorHAnsi" w:hAnsiTheme="minorHAnsi" w:cstheme="minorHAnsi"/>
              </w:rPr>
            </w:pPr>
          </w:p>
        </w:tc>
        <w:tc>
          <w:tcPr>
            <w:tcW w:w="2835" w:type="dxa"/>
          </w:tcPr>
          <w:p w:rsidR="0064547D" w:rsidRPr="00E47E0C" w:rsidRDefault="0064547D">
            <w:pPr>
              <w:pStyle w:val="BA10"/>
              <w:rPr>
                <w:rFonts w:asciiTheme="minorHAnsi" w:hAnsiTheme="minorHAnsi" w:cstheme="minorHAnsi"/>
              </w:rPr>
            </w:pPr>
          </w:p>
        </w:tc>
      </w:tr>
      <w:tr w:rsidR="0064547D" w:rsidRPr="00E47E0C" w:rsidTr="000951CA">
        <w:tc>
          <w:tcPr>
            <w:tcW w:w="5670" w:type="dxa"/>
          </w:tcPr>
          <w:p w:rsidR="0064547D" w:rsidRPr="00E47E0C" w:rsidRDefault="0064547D">
            <w:pPr>
              <w:pStyle w:val="BA10"/>
              <w:rPr>
                <w:rFonts w:asciiTheme="minorHAnsi" w:hAnsiTheme="minorHAnsi" w:cstheme="minorHAnsi"/>
              </w:rPr>
            </w:pPr>
          </w:p>
        </w:tc>
        <w:tc>
          <w:tcPr>
            <w:tcW w:w="1134" w:type="dxa"/>
          </w:tcPr>
          <w:p w:rsidR="0064547D" w:rsidRPr="00E47E0C" w:rsidRDefault="0064547D" w:rsidP="000951CA">
            <w:pPr>
              <w:pStyle w:val="BA10"/>
              <w:jc w:val="left"/>
              <w:rPr>
                <w:rFonts w:asciiTheme="minorHAnsi" w:hAnsiTheme="minorHAnsi" w:cstheme="minorHAnsi"/>
              </w:rPr>
            </w:pPr>
          </w:p>
        </w:tc>
        <w:tc>
          <w:tcPr>
            <w:tcW w:w="2835" w:type="dxa"/>
          </w:tcPr>
          <w:p w:rsidR="0064547D" w:rsidRPr="00E47E0C" w:rsidRDefault="0064547D">
            <w:pPr>
              <w:pStyle w:val="BA10"/>
              <w:rPr>
                <w:rFonts w:asciiTheme="minorHAnsi" w:hAnsiTheme="minorHAnsi" w:cstheme="minorHAnsi"/>
              </w:rPr>
            </w:pPr>
          </w:p>
        </w:tc>
      </w:tr>
      <w:tr w:rsidR="0064547D" w:rsidRPr="00E47E0C" w:rsidTr="000951CA">
        <w:trPr>
          <w:trHeight w:val="402"/>
        </w:trPr>
        <w:tc>
          <w:tcPr>
            <w:tcW w:w="5670" w:type="dxa"/>
            <w:vMerge w:val="restart"/>
          </w:tcPr>
          <w:p w:rsidR="0064547D" w:rsidRPr="00D43E25" w:rsidRDefault="00D43E25" w:rsidP="00D43E25">
            <w:pPr>
              <w:pStyle w:val="BA10"/>
              <w:jc w:val="left"/>
            </w:pPr>
            <w:r w:rsidRPr="00D43E25">
              <w:t>National Assembly</w:t>
            </w:r>
            <w:r>
              <w:t xml:space="preserve"> </w:t>
            </w:r>
            <w:r w:rsidRPr="00D43E25">
              <w:t>Committee on Human Settlements</w:t>
            </w:r>
          </w:p>
          <w:p w:rsidR="0064547D" w:rsidRPr="00D43E25" w:rsidRDefault="00D43E25">
            <w:pPr>
              <w:pStyle w:val="BA10"/>
            </w:pPr>
            <w:r w:rsidRPr="00D43E25">
              <w:t xml:space="preserve">PO Box 15 </w:t>
            </w:r>
            <w:r w:rsidR="0064547D" w:rsidRPr="00D43E25">
              <w:t>Address</w:t>
            </w:r>
          </w:p>
          <w:p w:rsidR="0064547D" w:rsidRPr="00D43E25" w:rsidRDefault="00D43E25">
            <w:pPr>
              <w:pStyle w:val="BA10"/>
            </w:pPr>
            <w:r w:rsidRPr="00D43E25">
              <w:t xml:space="preserve">Cape Town </w:t>
            </w:r>
          </w:p>
          <w:p w:rsidR="0064547D" w:rsidRPr="00D43E25" w:rsidRDefault="00D43E25">
            <w:pPr>
              <w:pStyle w:val="BA10"/>
            </w:pPr>
            <w:r w:rsidRPr="00D43E25">
              <w:t>8000</w:t>
            </w:r>
          </w:p>
          <w:p w:rsidR="0064547D" w:rsidRPr="00E47E0C" w:rsidRDefault="0064547D">
            <w:pPr>
              <w:pStyle w:val="BA10"/>
              <w:rPr>
                <w:rFonts w:asciiTheme="minorHAnsi" w:hAnsiTheme="minorHAnsi" w:cstheme="minorHAnsi"/>
              </w:rPr>
            </w:pPr>
          </w:p>
        </w:tc>
        <w:tc>
          <w:tcPr>
            <w:tcW w:w="1134" w:type="dxa"/>
          </w:tcPr>
          <w:p w:rsidR="0064547D" w:rsidRPr="00E47E0C" w:rsidRDefault="0064547D" w:rsidP="000951CA">
            <w:pPr>
              <w:pStyle w:val="BA10"/>
              <w:jc w:val="left"/>
              <w:rPr>
                <w:rFonts w:asciiTheme="minorHAnsi" w:hAnsiTheme="minorHAnsi" w:cstheme="minorHAnsi"/>
                <w:sz w:val="16"/>
                <w:szCs w:val="16"/>
              </w:rPr>
            </w:pPr>
            <w:r w:rsidRPr="00E47E0C">
              <w:rPr>
                <w:rFonts w:asciiTheme="minorHAnsi" w:hAnsiTheme="minorHAnsi" w:cstheme="minorHAnsi"/>
                <w:sz w:val="16"/>
                <w:szCs w:val="16"/>
              </w:rPr>
              <w:t>Doc Ref:</w:t>
            </w:r>
          </w:p>
          <w:p w:rsidR="0064547D" w:rsidRPr="00E47E0C" w:rsidRDefault="0064547D" w:rsidP="000951CA">
            <w:pPr>
              <w:pStyle w:val="BA10"/>
              <w:jc w:val="left"/>
              <w:rPr>
                <w:rFonts w:asciiTheme="minorHAnsi" w:hAnsiTheme="minorHAnsi" w:cstheme="minorHAnsi"/>
                <w:sz w:val="16"/>
                <w:szCs w:val="16"/>
              </w:rPr>
            </w:pPr>
          </w:p>
        </w:tc>
        <w:bookmarkStart w:id="1" w:name="worksite_docref"/>
        <w:bookmarkEnd w:id="1"/>
        <w:tc>
          <w:tcPr>
            <w:tcW w:w="2835" w:type="dxa"/>
            <w:shd w:val="clear" w:color="auto" w:fill="auto"/>
          </w:tcPr>
          <w:p w:rsidR="0064547D" w:rsidRPr="00E47E0C" w:rsidRDefault="00A45F21">
            <w:pPr>
              <w:pStyle w:val="BA10"/>
              <w:rPr>
                <w:rFonts w:asciiTheme="minorHAnsi" w:hAnsiTheme="minorHAnsi" w:cstheme="minorHAnsi"/>
                <w:sz w:val="16"/>
                <w:szCs w:val="16"/>
              </w:rPr>
            </w:pPr>
            <w:r w:rsidRPr="00E47E0C">
              <w:rPr>
                <w:rFonts w:asciiTheme="minorHAnsi" w:hAnsiTheme="minorHAnsi" w:cstheme="minorHAnsi"/>
                <w:sz w:val="16"/>
                <w:szCs w:val="16"/>
              </w:rPr>
              <w:fldChar w:fldCharType="begin"/>
            </w:r>
            <w:r w:rsidR="0064547D" w:rsidRPr="00E47E0C">
              <w:rPr>
                <w:rFonts w:asciiTheme="minorHAnsi" w:hAnsiTheme="minorHAnsi" w:cstheme="minorHAnsi"/>
                <w:sz w:val="16"/>
                <w:szCs w:val="16"/>
              </w:rPr>
              <w:instrText xml:space="preserve"> DOCPROPERTY  WorkSite_DocRef  \* MERGEFORMAT </w:instrText>
            </w:r>
            <w:r w:rsidRPr="00E47E0C">
              <w:rPr>
                <w:rFonts w:asciiTheme="minorHAnsi" w:hAnsiTheme="minorHAnsi" w:cstheme="minorHAnsi"/>
                <w:sz w:val="16"/>
                <w:szCs w:val="16"/>
              </w:rPr>
              <w:fldChar w:fldCharType="separate"/>
            </w:r>
            <w:r w:rsidR="008A7999">
              <w:rPr>
                <w:rFonts w:asciiTheme="minorHAnsi" w:hAnsiTheme="minorHAnsi" w:cstheme="minorHAnsi"/>
                <w:sz w:val="16"/>
                <w:szCs w:val="16"/>
              </w:rPr>
              <w:t>PIERREV/#244271_V1</w:t>
            </w:r>
            <w:r w:rsidRPr="00E47E0C">
              <w:rPr>
                <w:rFonts w:asciiTheme="minorHAnsi" w:hAnsiTheme="minorHAnsi" w:cstheme="minorHAnsi"/>
                <w:sz w:val="16"/>
                <w:szCs w:val="16"/>
              </w:rPr>
              <w:fldChar w:fldCharType="end"/>
            </w:r>
          </w:p>
        </w:tc>
      </w:tr>
      <w:tr w:rsidR="0064547D" w:rsidRPr="00E47E0C" w:rsidTr="000951CA">
        <w:trPr>
          <w:trHeight w:val="400"/>
        </w:trPr>
        <w:tc>
          <w:tcPr>
            <w:tcW w:w="5670" w:type="dxa"/>
            <w:vMerge/>
          </w:tcPr>
          <w:p w:rsidR="0064547D" w:rsidRPr="00E47E0C" w:rsidRDefault="0064547D">
            <w:pPr>
              <w:pStyle w:val="BA10"/>
              <w:rPr>
                <w:rFonts w:asciiTheme="minorHAnsi" w:hAnsiTheme="minorHAnsi" w:cstheme="minorHAnsi"/>
                <w:b/>
              </w:rPr>
            </w:pPr>
          </w:p>
        </w:tc>
        <w:tc>
          <w:tcPr>
            <w:tcW w:w="1134" w:type="dxa"/>
          </w:tcPr>
          <w:p w:rsidR="0064547D" w:rsidRPr="00E47E0C" w:rsidRDefault="0064547D" w:rsidP="000951CA">
            <w:pPr>
              <w:pStyle w:val="BA10"/>
              <w:jc w:val="left"/>
              <w:rPr>
                <w:rFonts w:asciiTheme="minorHAnsi" w:hAnsiTheme="minorHAnsi" w:cstheme="minorHAnsi"/>
                <w:sz w:val="16"/>
                <w:szCs w:val="16"/>
              </w:rPr>
            </w:pPr>
            <w:r w:rsidRPr="00E47E0C">
              <w:rPr>
                <w:rFonts w:asciiTheme="minorHAnsi" w:hAnsiTheme="minorHAnsi" w:cstheme="minorHAnsi"/>
                <w:sz w:val="16"/>
                <w:szCs w:val="16"/>
              </w:rPr>
              <w:t>Your ref:</w:t>
            </w:r>
          </w:p>
        </w:tc>
        <w:tc>
          <w:tcPr>
            <w:tcW w:w="2835" w:type="dxa"/>
            <w:shd w:val="clear" w:color="auto" w:fill="auto"/>
          </w:tcPr>
          <w:p w:rsidR="0064547D" w:rsidRPr="008A7999" w:rsidRDefault="008A7999">
            <w:pPr>
              <w:pStyle w:val="BA10"/>
            </w:pPr>
            <w:r>
              <w:rPr>
                <w:sz w:val="16"/>
                <w:szCs w:val="16"/>
              </w:rPr>
              <w:t>Pierre Venter</w:t>
            </w:r>
          </w:p>
        </w:tc>
      </w:tr>
      <w:tr w:rsidR="0064547D" w:rsidRPr="00E47E0C" w:rsidTr="000951CA">
        <w:trPr>
          <w:trHeight w:val="400"/>
        </w:trPr>
        <w:tc>
          <w:tcPr>
            <w:tcW w:w="5670" w:type="dxa"/>
            <w:vMerge/>
          </w:tcPr>
          <w:p w:rsidR="0064547D" w:rsidRPr="00E47E0C" w:rsidRDefault="0064547D">
            <w:pPr>
              <w:pStyle w:val="BA10"/>
              <w:rPr>
                <w:rFonts w:asciiTheme="minorHAnsi" w:hAnsiTheme="minorHAnsi" w:cstheme="minorHAnsi"/>
                <w:b/>
              </w:rPr>
            </w:pPr>
          </w:p>
        </w:tc>
        <w:tc>
          <w:tcPr>
            <w:tcW w:w="1134" w:type="dxa"/>
          </w:tcPr>
          <w:p w:rsidR="0064547D" w:rsidRPr="00E47E0C" w:rsidRDefault="0064547D" w:rsidP="000951CA">
            <w:pPr>
              <w:pStyle w:val="BA10"/>
              <w:jc w:val="left"/>
              <w:rPr>
                <w:rFonts w:asciiTheme="minorHAnsi" w:hAnsiTheme="minorHAnsi" w:cstheme="minorHAnsi"/>
                <w:sz w:val="16"/>
                <w:szCs w:val="16"/>
              </w:rPr>
            </w:pPr>
            <w:r w:rsidRPr="00E47E0C">
              <w:rPr>
                <w:rFonts w:asciiTheme="minorHAnsi" w:hAnsiTheme="minorHAnsi" w:cstheme="minorHAnsi"/>
                <w:sz w:val="16"/>
                <w:szCs w:val="16"/>
              </w:rPr>
              <w:t xml:space="preserve">Direct </w:t>
            </w:r>
            <w:r w:rsidR="005D6BC8">
              <w:rPr>
                <w:rFonts w:asciiTheme="minorHAnsi" w:hAnsiTheme="minorHAnsi" w:cstheme="minorHAnsi"/>
                <w:sz w:val="16"/>
                <w:szCs w:val="16"/>
              </w:rPr>
              <w:sym w:font="Wingdings" w:char="F028"/>
            </w:r>
            <w:r w:rsidRPr="00E47E0C">
              <w:rPr>
                <w:rFonts w:asciiTheme="minorHAnsi" w:hAnsiTheme="minorHAnsi" w:cstheme="minorHAnsi"/>
                <w:sz w:val="16"/>
                <w:szCs w:val="16"/>
              </w:rPr>
              <w:t>:</w:t>
            </w:r>
          </w:p>
          <w:p w:rsidR="0064547D" w:rsidRPr="00E47E0C" w:rsidRDefault="0064547D" w:rsidP="000951CA">
            <w:pPr>
              <w:pStyle w:val="BA10"/>
              <w:jc w:val="left"/>
              <w:rPr>
                <w:rFonts w:asciiTheme="minorHAnsi" w:hAnsiTheme="minorHAnsi" w:cstheme="minorHAnsi"/>
                <w:sz w:val="16"/>
                <w:szCs w:val="16"/>
              </w:rPr>
            </w:pPr>
          </w:p>
        </w:tc>
        <w:tc>
          <w:tcPr>
            <w:tcW w:w="2835" w:type="dxa"/>
            <w:shd w:val="clear" w:color="auto" w:fill="auto"/>
          </w:tcPr>
          <w:p w:rsidR="0064547D" w:rsidRPr="008A7999" w:rsidRDefault="008A7999">
            <w:pPr>
              <w:pStyle w:val="BA10"/>
              <w:rPr>
                <w:rFonts w:cstheme="minorHAnsi"/>
                <w:sz w:val="16"/>
                <w:szCs w:val="16"/>
              </w:rPr>
            </w:pPr>
            <w:r w:rsidRPr="008A7999">
              <w:rPr>
                <w:rFonts w:cstheme="minorHAnsi"/>
                <w:sz w:val="16"/>
                <w:szCs w:val="16"/>
              </w:rPr>
              <w:t>011 645 6717</w:t>
            </w:r>
          </w:p>
        </w:tc>
      </w:tr>
      <w:tr w:rsidR="0064547D" w:rsidRPr="00E47E0C" w:rsidTr="000951CA">
        <w:trPr>
          <w:trHeight w:val="400"/>
        </w:trPr>
        <w:tc>
          <w:tcPr>
            <w:tcW w:w="5670" w:type="dxa"/>
            <w:vMerge/>
          </w:tcPr>
          <w:p w:rsidR="0064547D" w:rsidRPr="00E47E0C" w:rsidRDefault="0064547D">
            <w:pPr>
              <w:pStyle w:val="BA10"/>
              <w:rPr>
                <w:rFonts w:asciiTheme="minorHAnsi" w:hAnsiTheme="minorHAnsi" w:cstheme="minorHAnsi"/>
                <w:b/>
              </w:rPr>
            </w:pPr>
          </w:p>
        </w:tc>
        <w:tc>
          <w:tcPr>
            <w:tcW w:w="1134" w:type="dxa"/>
          </w:tcPr>
          <w:p w:rsidR="0064547D" w:rsidRPr="00E47E0C" w:rsidRDefault="0064547D" w:rsidP="000951CA">
            <w:pPr>
              <w:pStyle w:val="BA10"/>
              <w:jc w:val="left"/>
              <w:rPr>
                <w:rFonts w:asciiTheme="minorHAnsi" w:hAnsiTheme="minorHAnsi" w:cstheme="minorHAnsi"/>
                <w:sz w:val="16"/>
                <w:szCs w:val="16"/>
              </w:rPr>
            </w:pPr>
            <w:r w:rsidRPr="00E47E0C">
              <w:rPr>
                <w:rFonts w:asciiTheme="minorHAnsi" w:hAnsiTheme="minorHAnsi" w:cstheme="minorHAnsi"/>
                <w:sz w:val="16"/>
                <w:szCs w:val="16"/>
              </w:rPr>
              <w:t>E-</w:t>
            </w:r>
            <w:r w:rsidR="005D6BC8">
              <w:rPr>
                <w:rFonts w:asciiTheme="minorHAnsi" w:hAnsiTheme="minorHAnsi" w:cstheme="minorHAnsi"/>
                <w:b/>
                <w:sz w:val="16"/>
                <w:szCs w:val="16"/>
              </w:rPr>
              <w:sym w:font="Wingdings" w:char="F02A"/>
            </w:r>
            <w:r w:rsidRPr="00E47E0C">
              <w:rPr>
                <w:rFonts w:asciiTheme="minorHAnsi" w:hAnsiTheme="minorHAnsi" w:cstheme="minorHAnsi"/>
                <w:sz w:val="16"/>
                <w:szCs w:val="16"/>
              </w:rPr>
              <w:t>:</w:t>
            </w:r>
          </w:p>
        </w:tc>
        <w:tc>
          <w:tcPr>
            <w:tcW w:w="2835" w:type="dxa"/>
            <w:shd w:val="clear" w:color="auto" w:fill="auto"/>
          </w:tcPr>
          <w:p w:rsidR="008A7999" w:rsidRDefault="00A45F21">
            <w:pPr>
              <w:pStyle w:val="BA10"/>
              <w:rPr>
                <w:rFonts w:cstheme="minorHAnsi"/>
                <w:sz w:val="16"/>
                <w:szCs w:val="16"/>
              </w:rPr>
            </w:pPr>
            <w:hyperlink r:id="rId8" w:history="1">
              <w:r w:rsidR="008A7999" w:rsidRPr="005774AD">
                <w:rPr>
                  <w:rStyle w:val="Hyperlink"/>
                  <w:rFonts w:cstheme="minorHAnsi"/>
                  <w:sz w:val="16"/>
                  <w:szCs w:val="16"/>
                </w:rPr>
                <w:t>pierrev@banking.org.za</w:t>
              </w:r>
            </w:hyperlink>
          </w:p>
          <w:p w:rsidR="008A7999" w:rsidRPr="008A7999" w:rsidRDefault="008A7999">
            <w:pPr>
              <w:pStyle w:val="BA10"/>
              <w:rPr>
                <w:rFonts w:cstheme="minorHAnsi"/>
                <w:sz w:val="16"/>
                <w:szCs w:val="16"/>
              </w:rPr>
            </w:pPr>
          </w:p>
        </w:tc>
      </w:tr>
      <w:tr w:rsidR="0064547D" w:rsidRPr="00E47E0C" w:rsidTr="000951CA">
        <w:tc>
          <w:tcPr>
            <w:tcW w:w="5670" w:type="dxa"/>
          </w:tcPr>
          <w:p w:rsidR="0064547D" w:rsidRPr="00E47E0C" w:rsidRDefault="0064547D" w:rsidP="000951CA">
            <w:pPr>
              <w:pStyle w:val="BA10"/>
              <w:spacing w:after="120"/>
              <w:rPr>
                <w:rFonts w:asciiTheme="minorHAnsi" w:hAnsiTheme="minorHAnsi" w:cstheme="minorHAnsi"/>
              </w:rPr>
            </w:pPr>
          </w:p>
        </w:tc>
        <w:tc>
          <w:tcPr>
            <w:tcW w:w="1134" w:type="dxa"/>
          </w:tcPr>
          <w:p w:rsidR="0064547D" w:rsidRPr="00E47E0C" w:rsidRDefault="0064547D">
            <w:pPr>
              <w:pStyle w:val="BA10"/>
              <w:rPr>
                <w:rFonts w:asciiTheme="minorHAnsi" w:hAnsiTheme="minorHAnsi" w:cstheme="minorHAnsi"/>
              </w:rPr>
            </w:pPr>
          </w:p>
        </w:tc>
        <w:tc>
          <w:tcPr>
            <w:tcW w:w="2835" w:type="dxa"/>
          </w:tcPr>
          <w:p w:rsidR="0064547D" w:rsidRPr="00E47E0C" w:rsidRDefault="0064547D">
            <w:pPr>
              <w:pStyle w:val="BA10"/>
              <w:rPr>
                <w:rFonts w:asciiTheme="minorHAnsi" w:hAnsiTheme="minorHAnsi" w:cstheme="minorHAnsi"/>
              </w:rPr>
            </w:pPr>
          </w:p>
        </w:tc>
      </w:tr>
    </w:tbl>
    <w:p w:rsidR="008B13BB" w:rsidRDefault="008B13BB" w:rsidP="008B13BB">
      <w:pPr>
        <w:spacing w:after="120"/>
        <w:jc w:val="left"/>
        <w:rPr>
          <w:rFonts w:ascii="Verdana" w:hAnsi="Verdana"/>
          <w:sz w:val="22"/>
        </w:rPr>
      </w:pPr>
      <w:r>
        <w:t xml:space="preserve">Per email: </w:t>
      </w:r>
      <w:hyperlink r:id="rId9" w:history="1">
        <w:r w:rsidRPr="00CE648B">
          <w:rPr>
            <w:rStyle w:val="Hyperlink"/>
            <w:rFonts w:ascii="Open Sans" w:hAnsi="Open Sans" w:cs="Open Sans"/>
            <w:sz w:val="21"/>
            <w:szCs w:val="21"/>
            <w:shd w:val="clear" w:color="auto" w:fill="FFFFFF"/>
          </w:rPr>
          <w:t>kpasiya-mndende@parliament.gov.za</w:t>
        </w:r>
      </w:hyperlink>
    </w:p>
    <w:p w:rsidR="008B13BB" w:rsidRDefault="008B13BB" w:rsidP="00FD0D8C">
      <w:pPr>
        <w:spacing w:after="120"/>
        <w:jc w:val="left"/>
        <w:rPr>
          <w:rFonts w:ascii="Verdana" w:hAnsi="Verdana"/>
          <w:sz w:val="22"/>
        </w:rPr>
      </w:pPr>
    </w:p>
    <w:p w:rsidR="00FD0D8C" w:rsidRPr="008B13BB" w:rsidRDefault="00FD0D8C" w:rsidP="008B13BB">
      <w:pPr>
        <w:pStyle w:val="BA10"/>
      </w:pPr>
      <w:r w:rsidRPr="00EA72EB">
        <w:t xml:space="preserve">Dear </w:t>
      </w:r>
      <w:r w:rsidR="008B13BB" w:rsidRPr="008B13BB">
        <w:t>Ms Koliswa Pasiya-Mndende </w:t>
      </w:r>
    </w:p>
    <w:p w:rsidR="008B13BB" w:rsidRPr="008B13BB" w:rsidRDefault="008B13BB" w:rsidP="00FD0D8C">
      <w:pPr>
        <w:spacing w:after="120"/>
        <w:jc w:val="left"/>
        <w:rPr>
          <w:rFonts w:ascii="Open Sans" w:hAnsi="Open Sans" w:cs="Open Sans"/>
          <w:color w:val="333333"/>
          <w:sz w:val="21"/>
          <w:szCs w:val="21"/>
          <w:shd w:val="clear" w:color="auto" w:fill="FFFFFF"/>
        </w:rPr>
      </w:pPr>
    </w:p>
    <w:p w:rsidR="00FD0D8C" w:rsidRDefault="00FD0D8C" w:rsidP="00FD0D8C">
      <w:pPr>
        <w:pStyle w:val="BA10"/>
        <w:rPr>
          <w:b/>
        </w:rPr>
      </w:pPr>
      <w:r>
        <w:rPr>
          <w:b/>
        </w:rPr>
        <w:t>PUBLIC SUBMISSION: PROPERTY PRACTITIONERS BILL (“BILL”),</w:t>
      </w:r>
      <w:r w:rsidR="008B13BB">
        <w:rPr>
          <w:b/>
        </w:rPr>
        <w:t xml:space="preserve"> [B 21- 2018]</w:t>
      </w:r>
    </w:p>
    <w:p w:rsidR="00FD0D8C" w:rsidRPr="00305A15" w:rsidRDefault="00FD0D8C" w:rsidP="00FD0D8C">
      <w:pPr>
        <w:pStyle w:val="BA10"/>
        <w:rPr>
          <w:b/>
        </w:rPr>
      </w:pPr>
    </w:p>
    <w:p w:rsidR="00FD0D8C" w:rsidRDefault="00FD0D8C" w:rsidP="00FD0D8C">
      <w:pPr>
        <w:pStyle w:val="BA10"/>
      </w:pPr>
      <w:r>
        <w:t>The Banking Association South Africa (“The Banking Association”) would like to thank The Department of Human Settlements (DHS)</w:t>
      </w:r>
      <w:r w:rsidR="008B13BB">
        <w:t xml:space="preserve"> and the National Assembly Committee on Human Settlements</w:t>
      </w:r>
      <w:r>
        <w:t xml:space="preserve"> for the opportunity to comment on the above-mentioned Bill.</w:t>
      </w:r>
    </w:p>
    <w:p w:rsidR="00FD0D8C" w:rsidRDefault="00FD0D8C" w:rsidP="00FD0D8C">
      <w:pPr>
        <w:pStyle w:val="BA10"/>
      </w:pPr>
    </w:p>
    <w:p w:rsidR="00FD0D8C" w:rsidRPr="00DC4BC1" w:rsidRDefault="00FD0D8C" w:rsidP="00FD0D8C">
      <w:pPr>
        <w:spacing w:after="120"/>
        <w:jc w:val="left"/>
        <w:rPr>
          <w:rFonts w:ascii="Verdana" w:eastAsia="Calibri" w:hAnsi="Verdana"/>
          <w:b/>
          <w:sz w:val="22"/>
          <w:szCs w:val="22"/>
        </w:rPr>
      </w:pPr>
      <w:r w:rsidRPr="00DC4BC1">
        <w:rPr>
          <w:rFonts w:ascii="Verdana" w:eastAsia="Calibri" w:hAnsi="Verdana"/>
          <w:b/>
          <w:sz w:val="22"/>
          <w:szCs w:val="22"/>
        </w:rPr>
        <w:t>Who we are</w:t>
      </w:r>
    </w:p>
    <w:p w:rsidR="00FD0D8C" w:rsidRDefault="00FD0D8C" w:rsidP="00FD0D8C">
      <w:pPr>
        <w:pStyle w:val="BA10"/>
      </w:pPr>
      <w:r w:rsidRPr="00E97BE9">
        <w:t xml:space="preserve">The Banking Association South Africa (The Banking Association) is an industry body representing all banks registered and operating in South Africa. Currently, The Banking Association has </w:t>
      </w:r>
      <w:r w:rsidR="00A520C6" w:rsidRPr="00E97BE9">
        <w:t>3</w:t>
      </w:r>
      <w:r w:rsidR="00A520C6">
        <w:t>4-member</w:t>
      </w:r>
      <w:r w:rsidRPr="00E97BE9">
        <w:t xml:space="preserve"> banks which include both South African and International banks. All licenced banks are members of The Banking Association. Our vision and role, together with our areas of focus, including a list of our members may be found on our website, </w:t>
      </w:r>
      <w:hyperlink r:id="rId10" w:history="1">
        <w:r>
          <w:rPr>
            <w:rStyle w:val="Hyperlink"/>
            <w:rFonts w:ascii="Calibri" w:hAnsi="Calibri"/>
            <w:color w:val="0563C1"/>
            <w:lang w:val="en-GB"/>
          </w:rPr>
          <w:t>www.banking.org.za</w:t>
        </w:r>
      </w:hyperlink>
    </w:p>
    <w:p w:rsidR="00FD0D8C" w:rsidRDefault="00FD0D8C" w:rsidP="00FD0D8C">
      <w:pPr>
        <w:pStyle w:val="BA10"/>
      </w:pPr>
    </w:p>
    <w:p w:rsidR="00FD0D8C" w:rsidRPr="004D5A28" w:rsidRDefault="00FD0D8C" w:rsidP="004D5A28">
      <w:pPr>
        <w:pStyle w:val="BA10"/>
      </w:pPr>
      <w:r w:rsidRPr="004D5A28">
        <w:t xml:space="preserve">The Banking Association as the mandated association for commercial banks has had the opportunity to work very closely with the Department over the years </w:t>
      </w:r>
      <w:r w:rsidR="00A520C6" w:rsidRPr="004D5A28">
        <w:t>to</w:t>
      </w:r>
      <w:r w:rsidRPr="004D5A28">
        <w:t xml:space="preserve"> improve access to housing finance and to accelerate housing delivery, for which we thank you. </w:t>
      </w:r>
    </w:p>
    <w:p w:rsidR="00FD0D8C" w:rsidRDefault="00FD0D8C" w:rsidP="00FD0D8C">
      <w:pPr>
        <w:pStyle w:val="BA10"/>
      </w:pPr>
    </w:p>
    <w:p w:rsidR="00FD0D8C" w:rsidRDefault="00FD0D8C" w:rsidP="00FD0D8C">
      <w:pPr>
        <w:pStyle w:val="BA10"/>
        <w:spacing w:line="360" w:lineRule="auto"/>
        <w:rPr>
          <w:b/>
        </w:rPr>
      </w:pPr>
      <w:r w:rsidRPr="00C2039A">
        <w:rPr>
          <w:b/>
        </w:rPr>
        <w:t>Context</w:t>
      </w:r>
    </w:p>
    <w:p w:rsidR="00FD0D8C" w:rsidRPr="004D5A28" w:rsidRDefault="00FD0D8C" w:rsidP="004D5A28">
      <w:pPr>
        <w:pStyle w:val="BA10"/>
      </w:pPr>
      <w:r w:rsidRPr="004D5A28">
        <w:t xml:space="preserve">The Banking Association has publicly promoted the need for all property intermediaries to be regulated, as we believe that this is in the interest of the public. We are therefore favourably disposed towards and would like to add our support for this Bill. </w:t>
      </w:r>
    </w:p>
    <w:p w:rsidR="00FD0D8C" w:rsidRPr="004D5A28" w:rsidRDefault="00FD0D8C" w:rsidP="004D5A28">
      <w:pPr>
        <w:pStyle w:val="BA10"/>
      </w:pPr>
    </w:p>
    <w:p w:rsidR="00FD0D8C" w:rsidRPr="004D5A28" w:rsidRDefault="00FD0D8C" w:rsidP="004D5A28">
      <w:pPr>
        <w:pStyle w:val="BA10"/>
      </w:pPr>
      <w:r w:rsidRPr="004D5A28">
        <w:t xml:space="preserve">We also recognize and support the need for DHS to transform the property sector and are pleased to note the inclusion of capacity building and training support that </w:t>
      </w:r>
      <w:r w:rsidR="00A520C6" w:rsidRPr="004D5A28">
        <w:t xml:space="preserve">the Board </w:t>
      </w:r>
      <w:r w:rsidRPr="004D5A28">
        <w:t>intends providing to Black intermediaries and home owners alike. We believe that such capacity building and training should however be extended to include the rental market, which we comment on below.</w:t>
      </w:r>
    </w:p>
    <w:p w:rsidR="00FD0D8C" w:rsidRDefault="00FD0D8C" w:rsidP="00FD0D8C">
      <w:pPr>
        <w:pStyle w:val="BA10"/>
      </w:pPr>
    </w:p>
    <w:p w:rsidR="00FD0D8C" w:rsidRDefault="00FD0D8C" w:rsidP="00FD0D8C">
      <w:pPr>
        <w:pStyle w:val="BA10"/>
        <w:jc w:val="left"/>
        <w:rPr>
          <w:b/>
          <w:lang w:val="en-US"/>
        </w:rPr>
      </w:pPr>
    </w:p>
    <w:p w:rsidR="00FD0D8C" w:rsidRPr="004D5A28" w:rsidRDefault="00FD0D8C" w:rsidP="004D5A28">
      <w:pPr>
        <w:pStyle w:val="BA10"/>
      </w:pPr>
      <w:r w:rsidRPr="004D5A28">
        <w:lastRenderedPageBreak/>
        <w:t>We further welcome the inclusion of Mortgage Origination in the ambit of the Bill which is positive for the industry. We mention that careful consideration be given to the Code of Conduct, as envisaged in the Bill, particularly as it pertains to origination and it may be well served to review the Mortgage Origination framework in the United Kingdom (considered to be an example of a well-regulated Origination industry).</w:t>
      </w:r>
    </w:p>
    <w:p w:rsidR="00FD0D8C" w:rsidRDefault="00FD0D8C" w:rsidP="00FD0D8C">
      <w:pPr>
        <w:pStyle w:val="BA10"/>
        <w:jc w:val="left"/>
        <w:rPr>
          <w:b/>
          <w:lang w:val="en-US"/>
        </w:rPr>
      </w:pPr>
    </w:p>
    <w:p w:rsidR="00FD0D8C" w:rsidRDefault="00FD0D8C" w:rsidP="00FD0D8C">
      <w:pPr>
        <w:pStyle w:val="BA10"/>
        <w:jc w:val="left"/>
        <w:rPr>
          <w:b/>
          <w:lang w:val="en-US"/>
        </w:rPr>
      </w:pPr>
      <w:r w:rsidRPr="007B4AD0">
        <w:rPr>
          <w:b/>
          <w:lang w:val="en-US"/>
        </w:rPr>
        <w:t>Comments</w:t>
      </w:r>
    </w:p>
    <w:p w:rsidR="00FD0D8C" w:rsidRDefault="00FD0D8C" w:rsidP="00FD0D8C">
      <w:pPr>
        <w:pStyle w:val="BA10"/>
        <w:jc w:val="left"/>
        <w:rPr>
          <w:b/>
          <w:lang w:val="en-US"/>
        </w:rPr>
      </w:pPr>
    </w:p>
    <w:p w:rsidR="00FD0D8C" w:rsidRDefault="00FD0D8C" w:rsidP="00FD0D8C">
      <w:pPr>
        <w:pStyle w:val="BA10"/>
        <w:spacing w:after="120"/>
        <w:jc w:val="left"/>
        <w:rPr>
          <w:b/>
          <w:lang w:val="en-US"/>
        </w:rPr>
      </w:pPr>
      <w:r>
        <w:rPr>
          <w:b/>
          <w:lang w:val="en-US"/>
        </w:rPr>
        <w:t>CHAPTER 1- Definitions</w:t>
      </w:r>
    </w:p>
    <w:p w:rsidR="00FD0D8C" w:rsidRPr="004D5A28" w:rsidRDefault="00FD0D8C" w:rsidP="004D5A28">
      <w:pPr>
        <w:pStyle w:val="BA10"/>
      </w:pPr>
      <w:r w:rsidRPr="004D5A28">
        <w:t>We welcome the inclusive list of “property practitioners” as defined within the Bill. We do however believe that the wording for two categories of “property practitioners” as defined within this Bill require re-definition, namely:</w:t>
      </w:r>
    </w:p>
    <w:p w:rsidR="00FD0D8C" w:rsidRDefault="00FD0D8C" w:rsidP="00FD0D8C">
      <w:pPr>
        <w:pStyle w:val="BA10"/>
        <w:rPr>
          <w:lang w:val="en-US"/>
        </w:rPr>
      </w:pPr>
    </w:p>
    <w:p w:rsidR="00FD0D8C" w:rsidRDefault="00FD0D8C" w:rsidP="00FD0D8C">
      <w:pPr>
        <w:pStyle w:val="BA10"/>
        <w:rPr>
          <w:lang w:val="en-US"/>
        </w:rPr>
      </w:pPr>
      <w:r w:rsidRPr="00276CAF">
        <w:rPr>
          <w:b/>
          <w:i/>
          <w:lang w:val="en-US"/>
        </w:rPr>
        <w:t>Clause (a)(</w:t>
      </w:r>
      <w:proofErr w:type="spellStart"/>
      <w:r w:rsidRPr="00276CAF">
        <w:rPr>
          <w:b/>
          <w:i/>
          <w:lang w:val="en-US"/>
        </w:rPr>
        <w:t>i</w:t>
      </w:r>
      <w:proofErr w:type="spellEnd"/>
      <w:r w:rsidRPr="00276CAF">
        <w:rPr>
          <w:b/>
          <w:i/>
          <w:lang w:val="en-US"/>
        </w:rPr>
        <w:t>):</w:t>
      </w:r>
      <w:r>
        <w:rPr>
          <w:lang w:val="en-US"/>
        </w:rPr>
        <w:t xml:space="preserve"> </w:t>
      </w:r>
      <w:r w:rsidRPr="004D5A28">
        <w:t>Sheriffs are regulated by the Sheriffs Act, 90 of 1986, amendments thereto, as well as by specific Regulations and a Code of conduct relating to this Act. The clause relating to (a)(</w:t>
      </w:r>
      <w:proofErr w:type="spellStart"/>
      <w:r w:rsidRPr="004D5A28">
        <w:t>i</w:t>
      </w:r>
      <w:proofErr w:type="spellEnd"/>
      <w:r w:rsidRPr="004D5A28">
        <w:t xml:space="preserve">) should therefore exclude Sheriffs from being included within the definition of “property practitioners”. By including the words “sale in execution” this implies that Sheriffs are included within the definition of a “property practitioner”. Sheriffs are appointed by the courts to </w:t>
      </w:r>
      <w:proofErr w:type="spellStart"/>
      <w:r w:rsidRPr="004D5A28">
        <w:t>fulfill</w:t>
      </w:r>
      <w:proofErr w:type="spellEnd"/>
      <w:r w:rsidRPr="004D5A28">
        <w:t xml:space="preserve"> this role. No private sector intermediaries (auctioneers) are entitled to </w:t>
      </w:r>
      <w:proofErr w:type="spellStart"/>
      <w:r w:rsidRPr="004D5A28">
        <w:t>fulfill</w:t>
      </w:r>
      <w:proofErr w:type="spellEnd"/>
      <w:r w:rsidRPr="004D5A28">
        <w:t xml:space="preserve"> this function i.e. they may only conduct a voluntary auction sale.</w:t>
      </w:r>
    </w:p>
    <w:p w:rsidR="00FD0D8C" w:rsidRDefault="00FD0D8C" w:rsidP="00FD0D8C">
      <w:pPr>
        <w:pStyle w:val="BA10"/>
        <w:rPr>
          <w:lang w:val="en-US"/>
        </w:rPr>
      </w:pPr>
    </w:p>
    <w:p w:rsidR="00FD0D8C" w:rsidRPr="00276CAF" w:rsidRDefault="00FD0D8C" w:rsidP="00FD0D8C">
      <w:pPr>
        <w:pStyle w:val="BA10"/>
        <w:spacing w:after="120"/>
        <w:rPr>
          <w:b/>
          <w:i/>
          <w:lang w:val="en-US"/>
        </w:rPr>
      </w:pPr>
      <w:r w:rsidRPr="00276CAF">
        <w:rPr>
          <w:b/>
          <w:i/>
          <w:lang w:val="en-US"/>
        </w:rPr>
        <w:t xml:space="preserve">Recommendation </w:t>
      </w:r>
    </w:p>
    <w:p w:rsidR="00FD0D8C" w:rsidRPr="004D5A28" w:rsidRDefault="00FD0D8C" w:rsidP="004D5A28">
      <w:pPr>
        <w:pStyle w:val="BA10"/>
      </w:pPr>
      <w:r w:rsidRPr="004D5A28">
        <w:t>We accordingly recommend that the clause should read as follows “…by auction or otherwise…”</w:t>
      </w:r>
    </w:p>
    <w:p w:rsidR="00FD0D8C" w:rsidRDefault="00FD0D8C" w:rsidP="00FD0D8C">
      <w:pPr>
        <w:pStyle w:val="BA10"/>
        <w:rPr>
          <w:lang w:val="en-US"/>
        </w:rPr>
      </w:pPr>
    </w:p>
    <w:p w:rsidR="00FD0D8C" w:rsidRPr="004D5A28" w:rsidRDefault="00FD0D8C" w:rsidP="004D5A28">
      <w:pPr>
        <w:pStyle w:val="BA10"/>
      </w:pPr>
      <w:r w:rsidRPr="00AA3CB2">
        <w:rPr>
          <w:b/>
          <w:i/>
          <w:lang w:val="en-US"/>
        </w:rPr>
        <w:t>Clause (a)(v)</w:t>
      </w:r>
      <w:r>
        <w:rPr>
          <w:b/>
          <w:i/>
          <w:lang w:val="en-US"/>
        </w:rPr>
        <w:t xml:space="preserve">: </w:t>
      </w:r>
      <w:r w:rsidRPr="004D5A28">
        <w:t>The wording of this clause could be read to include bank property assessors</w:t>
      </w:r>
      <w:r w:rsidR="00A520C6" w:rsidRPr="004D5A28">
        <w:t xml:space="preserve">, NHBRC assessors and Municipal </w:t>
      </w:r>
      <w:proofErr w:type="spellStart"/>
      <w:r w:rsidR="00A520C6" w:rsidRPr="004D5A28">
        <w:t>Valuers</w:t>
      </w:r>
      <w:proofErr w:type="spellEnd"/>
      <w:r w:rsidRPr="004D5A28">
        <w:t xml:space="preserve">. Our view is that there are two distinct types of assessors, namely those who act on behalf of a buyer/seller and those who represent </w:t>
      </w:r>
      <w:r w:rsidR="00A520C6" w:rsidRPr="004D5A28">
        <w:t xml:space="preserve">either the NHBRC/a Municipality or </w:t>
      </w:r>
      <w:r w:rsidRPr="004D5A28">
        <w:t xml:space="preserve">a mortgagee. We agree that a property assessor who acts on behalf of a buyer/seller </w:t>
      </w:r>
      <w:r w:rsidR="00A520C6" w:rsidRPr="004D5A28">
        <w:t>to</w:t>
      </w:r>
      <w:r w:rsidRPr="004D5A28">
        <w:t xml:space="preserve"> “determine the defects, value for money and fit for use as part of the conclusion of an agreement to sell and purchase, or hire or let a property” should be included as a regulated intermediary as this will safeguard the public. However, a property assessor who is appointed by a bank to assess a property undertakes this task solely for the bank, where his/her assessment is purely to determine the suitability of the property for bank security purposes. There is therefore no need for a bank appointed property assessor to be governed by this Bill.</w:t>
      </w:r>
    </w:p>
    <w:p w:rsidR="00FD0D8C" w:rsidRPr="004D5A28" w:rsidRDefault="00FD0D8C" w:rsidP="004D5A28">
      <w:pPr>
        <w:pStyle w:val="BA10"/>
      </w:pPr>
      <w:r w:rsidRPr="004D5A28">
        <w:t xml:space="preserve"> </w:t>
      </w:r>
    </w:p>
    <w:p w:rsidR="00FD0D8C" w:rsidRDefault="00FD0D8C" w:rsidP="004D5A28">
      <w:pPr>
        <w:pStyle w:val="BA10"/>
        <w:rPr>
          <w:lang w:val="en-US"/>
        </w:rPr>
      </w:pPr>
      <w:r w:rsidRPr="004D5A28">
        <w:t xml:space="preserve">Further, property assessors are governed by the South African Council for the Property </w:t>
      </w:r>
      <w:proofErr w:type="spellStart"/>
      <w:r w:rsidRPr="004D5A28">
        <w:t>Valuers</w:t>
      </w:r>
      <w:proofErr w:type="spellEnd"/>
      <w:r w:rsidRPr="004D5A28">
        <w:t xml:space="preserve"> Profession (SACPVP) which is a statutory body established in 1983 to govern the professionalism of and training standards for a </w:t>
      </w:r>
      <w:proofErr w:type="spellStart"/>
      <w:r w:rsidRPr="004D5A28">
        <w:t>valuer</w:t>
      </w:r>
      <w:proofErr w:type="spellEnd"/>
      <w:r w:rsidRPr="004D5A28">
        <w:t xml:space="preserve">, amongst others. In turn the SACPVP is governed by the Built Environment Act 43 of 2000, which includes, amongst others governance within the profession, as well as Codes of Conduct for each of the six professions (includes </w:t>
      </w:r>
      <w:proofErr w:type="spellStart"/>
      <w:r w:rsidRPr="004D5A28">
        <w:t>valuers</w:t>
      </w:r>
      <w:proofErr w:type="spellEnd"/>
      <w:r w:rsidRPr="004D5A28">
        <w:t>) within the scope of this Act.</w:t>
      </w:r>
    </w:p>
    <w:p w:rsidR="00FD0D8C" w:rsidRDefault="00FD0D8C" w:rsidP="00FD0D8C">
      <w:pPr>
        <w:pStyle w:val="BA10"/>
        <w:rPr>
          <w:lang w:val="en-US"/>
        </w:rPr>
      </w:pPr>
    </w:p>
    <w:p w:rsidR="00FD0D8C" w:rsidRDefault="00FD0D8C" w:rsidP="00FD0D8C">
      <w:pPr>
        <w:pStyle w:val="BA10"/>
        <w:spacing w:after="120"/>
        <w:rPr>
          <w:b/>
          <w:i/>
          <w:lang w:val="en-US"/>
        </w:rPr>
      </w:pPr>
      <w:r w:rsidRPr="00BD06BB">
        <w:rPr>
          <w:b/>
          <w:i/>
          <w:lang w:val="en-US"/>
        </w:rPr>
        <w:t>Recommendations</w:t>
      </w:r>
    </w:p>
    <w:p w:rsidR="00FD0D8C" w:rsidRPr="00DC4BC1" w:rsidRDefault="00FD0D8C" w:rsidP="00DC4BC1">
      <w:pPr>
        <w:pStyle w:val="BA10"/>
      </w:pPr>
      <w:r w:rsidRPr="00DC4BC1">
        <w:t>We recommend that the wording of this clause be altered to expressly exclude the need for bank appointed property assessors</w:t>
      </w:r>
      <w:r w:rsidR="00A520C6" w:rsidRPr="00DC4BC1">
        <w:t xml:space="preserve">, Municipal </w:t>
      </w:r>
      <w:proofErr w:type="spellStart"/>
      <w:r w:rsidR="00A520C6" w:rsidRPr="00DC4BC1">
        <w:t>valuers</w:t>
      </w:r>
      <w:proofErr w:type="spellEnd"/>
      <w:r w:rsidR="00A520C6" w:rsidRPr="00DC4BC1">
        <w:t xml:space="preserve"> and NHBRC assessors </w:t>
      </w:r>
      <w:r w:rsidRPr="00DC4BC1">
        <w:t>to be governed by this Bill.</w:t>
      </w:r>
    </w:p>
    <w:p w:rsidR="00FD0D8C" w:rsidRPr="00DC4BC1" w:rsidRDefault="00FD0D8C" w:rsidP="00DC4BC1">
      <w:pPr>
        <w:pStyle w:val="BA10"/>
      </w:pPr>
      <w:r w:rsidRPr="00DC4BC1">
        <w:t xml:space="preserve"> </w:t>
      </w:r>
    </w:p>
    <w:p w:rsidR="00FD0D8C" w:rsidRDefault="00FD0D8C" w:rsidP="00DC4BC1">
      <w:pPr>
        <w:pStyle w:val="BA10"/>
        <w:rPr>
          <w:lang w:val="en-US"/>
        </w:rPr>
      </w:pPr>
      <w:r w:rsidRPr="00DC4BC1">
        <w:t xml:space="preserve">We also recommend that DHS engages with executives which oversee both the SACPVP and the Built Environment Act, </w:t>
      </w:r>
      <w:r w:rsidR="00A520C6" w:rsidRPr="00DC4BC1">
        <w:t>to</w:t>
      </w:r>
      <w:r w:rsidRPr="00DC4BC1">
        <w:t xml:space="preserve"> ensure that this Bill does not </w:t>
      </w:r>
      <w:r w:rsidRPr="00DC4BC1">
        <w:lastRenderedPageBreak/>
        <w:t>conflict/duplicate with their roles and/or create the need for compliance to two Codes of Conduct.</w:t>
      </w:r>
    </w:p>
    <w:p w:rsidR="00FD0D8C" w:rsidRDefault="00FD0D8C" w:rsidP="00FD0D8C">
      <w:pPr>
        <w:pStyle w:val="BA10"/>
        <w:rPr>
          <w:lang w:val="en-US"/>
        </w:rPr>
      </w:pPr>
    </w:p>
    <w:p w:rsidR="00FD0D8C" w:rsidRDefault="00FD0D8C" w:rsidP="00FD0D8C">
      <w:pPr>
        <w:pStyle w:val="BA10"/>
        <w:rPr>
          <w:lang w:val="en-US"/>
        </w:rPr>
      </w:pPr>
    </w:p>
    <w:p w:rsidR="00FD0D8C" w:rsidRPr="00DC4BC1" w:rsidRDefault="00FD0D8C" w:rsidP="00DC4BC1">
      <w:pPr>
        <w:pStyle w:val="BA10"/>
        <w:spacing w:after="120"/>
        <w:rPr>
          <w:b/>
          <w:lang w:val="en-US"/>
        </w:rPr>
      </w:pPr>
      <w:r w:rsidRPr="00DC4BC1">
        <w:rPr>
          <w:b/>
          <w:lang w:val="en-US"/>
        </w:rPr>
        <w:t xml:space="preserve">2. Application of the Draft Bill </w:t>
      </w:r>
    </w:p>
    <w:p w:rsidR="00FD0D8C" w:rsidRPr="008C7E67" w:rsidRDefault="00FD0D8C" w:rsidP="00FD0D8C">
      <w:pPr>
        <w:pStyle w:val="BA10"/>
        <w:rPr>
          <w:lang w:val="en-GB"/>
        </w:rPr>
      </w:pPr>
      <w:r>
        <w:rPr>
          <w:lang w:val="en-GB"/>
        </w:rPr>
        <w:t>Section</w:t>
      </w:r>
      <w:r w:rsidRPr="008C7E67">
        <w:rPr>
          <w:lang w:val="en-GB"/>
        </w:rPr>
        <w:t xml:space="preserve"> 2 proposes that the proposed law will apply to: </w:t>
      </w:r>
    </w:p>
    <w:p w:rsidR="00FD0D8C" w:rsidRPr="008C7E67" w:rsidRDefault="00FD0D8C" w:rsidP="00FD0D8C">
      <w:pPr>
        <w:pStyle w:val="BA10"/>
        <w:ind w:left="720"/>
        <w:rPr>
          <w:lang w:val="en-GB"/>
        </w:rPr>
      </w:pPr>
      <w:r w:rsidRPr="008C7E67">
        <w:rPr>
          <w:lang w:val="en-GB"/>
        </w:rPr>
        <w:t>(</w:t>
      </w:r>
      <w:proofErr w:type="spellStart"/>
      <w:r w:rsidRPr="008C7E67">
        <w:rPr>
          <w:lang w:val="en-GB"/>
        </w:rPr>
        <w:t>i</w:t>
      </w:r>
      <w:proofErr w:type="spellEnd"/>
      <w:r w:rsidRPr="008C7E67">
        <w:rPr>
          <w:lang w:val="en-GB"/>
        </w:rPr>
        <w:t xml:space="preserve">) The marketing, promotion, sale, letting, financing and purchase of immovable property; and </w:t>
      </w:r>
    </w:p>
    <w:p w:rsidR="00FD0D8C" w:rsidRDefault="00FD0D8C" w:rsidP="00FD0D8C">
      <w:pPr>
        <w:pStyle w:val="BA10"/>
        <w:ind w:left="720"/>
        <w:rPr>
          <w:lang w:val="en-GB"/>
        </w:rPr>
      </w:pPr>
      <w:r w:rsidRPr="008C7E67">
        <w:rPr>
          <w:lang w:val="en-GB"/>
        </w:rPr>
        <w:t>(ii) Any rights, obligations, interests, duties or powers associated with or relevant to such property.</w:t>
      </w:r>
    </w:p>
    <w:p w:rsidR="00FD0D8C" w:rsidRPr="008C7E67" w:rsidRDefault="00FD0D8C" w:rsidP="00FD0D8C">
      <w:pPr>
        <w:pStyle w:val="BA10"/>
        <w:ind w:left="720"/>
        <w:rPr>
          <w:lang w:val="en-GB"/>
        </w:rPr>
      </w:pPr>
    </w:p>
    <w:p w:rsidR="00FD0D8C" w:rsidRDefault="00FD0D8C" w:rsidP="00FD0D8C">
      <w:pPr>
        <w:pStyle w:val="BA10"/>
        <w:rPr>
          <w:lang w:val="en-GB"/>
        </w:rPr>
      </w:pPr>
      <w:r w:rsidRPr="008C7E67">
        <w:rPr>
          <w:lang w:val="en-GB"/>
        </w:rPr>
        <w:t xml:space="preserve">However, the definition of property practitioner consistently refers to persons executing actions in respect of property or "any business undertaking". No definition for </w:t>
      </w:r>
      <w:r w:rsidR="00A520C6">
        <w:rPr>
          <w:lang w:val="en-GB"/>
        </w:rPr>
        <w:t>“</w:t>
      </w:r>
      <w:r w:rsidRPr="008C7E67">
        <w:rPr>
          <w:lang w:val="en-GB"/>
        </w:rPr>
        <w:t>business undertaking</w:t>
      </w:r>
      <w:r w:rsidR="00A520C6">
        <w:rPr>
          <w:lang w:val="en-GB"/>
        </w:rPr>
        <w:t>”</w:t>
      </w:r>
      <w:r w:rsidRPr="008C7E67">
        <w:rPr>
          <w:lang w:val="en-GB"/>
        </w:rPr>
        <w:t xml:space="preserve"> appears in the Bill.</w:t>
      </w:r>
    </w:p>
    <w:p w:rsidR="00FD0D8C" w:rsidRDefault="00FD0D8C" w:rsidP="00FD0D8C">
      <w:pPr>
        <w:pStyle w:val="BA10"/>
        <w:rPr>
          <w:lang w:val="en-GB"/>
        </w:rPr>
      </w:pPr>
    </w:p>
    <w:p w:rsidR="00FD0D8C" w:rsidRPr="00DC4BC1" w:rsidRDefault="00FD0D8C" w:rsidP="00DC4BC1">
      <w:pPr>
        <w:pStyle w:val="BA10"/>
        <w:spacing w:after="120"/>
        <w:rPr>
          <w:b/>
          <w:i/>
          <w:lang w:val="en-US"/>
        </w:rPr>
      </w:pPr>
      <w:r w:rsidRPr="00DC4BC1">
        <w:rPr>
          <w:b/>
          <w:i/>
          <w:lang w:val="en-US"/>
        </w:rPr>
        <w:t>Recommendation</w:t>
      </w:r>
    </w:p>
    <w:p w:rsidR="00FD0D8C" w:rsidRPr="00DC4BC1" w:rsidRDefault="00FD0D8C" w:rsidP="00DC4BC1">
      <w:pPr>
        <w:pStyle w:val="BA10"/>
      </w:pPr>
      <w:r w:rsidRPr="00DC4BC1">
        <w:t>We recommend that this section includes a definition of “business undertaking”.</w:t>
      </w:r>
    </w:p>
    <w:p w:rsidR="00FD0D8C" w:rsidRDefault="00FD0D8C" w:rsidP="00FD0D8C">
      <w:pPr>
        <w:pStyle w:val="BA10"/>
        <w:rPr>
          <w:lang w:val="en-US"/>
        </w:rPr>
      </w:pPr>
    </w:p>
    <w:p w:rsidR="00FD0D8C" w:rsidRDefault="00FD0D8C" w:rsidP="00FD0D8C">
      <w:pPr>
        <w:pStyle w:val="BA10"/>
        <w:spacing w:after="120"/>
        <w:rPr>
          <w:b/>
          <w:lang w:val="en-US"/>
        </w:rPr>
      </w:pPr>
      <w:r w:rsidRPr="00087614">
        <w:rPr>
          <w:b/>
          <w:lang w:val="en-US"/>
        </w:rPr>
        <w:t>3. OBJECTS OF THE ACT</w:t>
      </w:r>
    </w:p>
    <w:p w:rsidR="00FD0D8C" w:rsidRPr="00DC4BC1" w:rsidRDefault="00FD0D8C" w:rsidP="00DC4BC1">
      <w:pPr>
        <w:pStyle w:val="BA10"/>
      </w:pPr>
      <w:r w:rsidRPr="00DC4BC1">
        <w:t xml:space="preserve">In respect of </w:t>
      </w:r>
      <w:r w:rsidRPr="00DC4BC1">
        <w:rPr>
          <w:b/>
        </w:rPr>
        <w:t>Clause (K)</w:t>
      </w:r>
      <w:r w:rsidRPr="00DC4BC1">
        <w:t>, we are of the view that there is as pressing a need for tenants to also be included within the scope of training which DHS envisages fulfilling.</w:t>
      </w:r>
      <w:r w:rsidR="00FC5BC2" w:rsidRPr="00DC4BC1">
        <w:t xml:space="preserve"> </w:t>
      </w:r>
      <w:r w:rsidRPr="00DC4BC1">
        <w:t xml:space="preserve">Care should however be taken for DHS is terms of this Bill, not to duplicate on the role of the Office of the Ombud for the Community Scheme </w:t>
      </w:r>
      <w:proofErr w:type="spellStart"/>
      <w:r w:rsidRPr="00DC4BC1">
        <w:t>Ombuds</w:t>
      </w:r>
      <w:proofErr w:type="spellEnd"/>
      <w:r w:rsidRPr="00DC4BC1">
        <w:t xml:space="preserve"> Service Act, 2011 (CSOS), as one of the roles which this office envisages is the provision of training for both body corporate trustees and sectional title owners alike.</w:t>
      </w:r>
    </w:p>
    <w:p w:rsidR="00FD0D8C" w:rsidRDefault="00FD0D8C" w:rsidP="00FD0D8C">
      <w:pPr>
        <w:pStyle w:val="BA10"/>
        <w:rPr>
          <w:lang w:val="en-US"/>
        </w:rPr>
      </w:pPr>
    </w:p>
    <w:p w:rsidR="00FD0D8C" w:rsidRDefault="00FD0D8C" w:rsidP="00FD0D8C">
      <w:pPr>
        <w:pStyle w:val="BA10"/>
        <w:spacing w:after="120"/>
        <w:rPr>
          <w:lang w:val="en-US"/>
        </w:rPr>
      </w:pPr>
      <w:r w:rsidRPr="00087614">
        <w:rPr>
          <w:b/>
          <w:i/>
          <w:lang w:val="en-US"/>
        </w:rPr>
        <w:t>Recommendation</w:t>
      </w:r>
    </w:p>
    <w:p w:rsidR="00FD0D8C" w:rsidRPr="00DC4BC1" w:rsidRDefault="00FD0D8C" w:rsidP="00DC4BC1">
      <w:pPr>
        <w:pStyle w:val="BA10"/>
      </w:pPr>
      <w:r w:rsidRPr="00DC4BC1">
        <w:t>We recommend that this clause within the Bill be amplified to include the need for tenant education and to exclude any training which the Office of the Ombud intends undertaking in terms of the CSOS.</w:t>
      </w:r>
    </w:p>
    <w:p w:rsidR="00EA51AF" w:rsidRDefault="00EA51AF" w:rsidP="00FD0D8C">
      <w:pPr>
        <w:pStyle w:val="BA10"/>
        <w:rPr>
          <w:lang w:val="en-US"/>
        </w:rPr>
      </w:pPr>
    </w:p>
    <w:p w:rsidR="002B5E30" w:rsidRPr="002B5E30" w:rsidRDefault="002B5E30" w:rsidP="002B5E30">
      <w:pPr>
        <w:pStyle w:val="BA10"/>
        <w:spacing w:after="120"/>
        <w:rPr>
          <w:b/>
          <w:lang w:val="en-US"/>
        </w:rPr>
      </w:pPr>
      <w:r w:rsidRPr="002B5E30">
        <w:rPr>
          <w:b/>
          <w:lang w:val="en-US"/>
        </w:rPr>
        <w:t xml:space="preserve">Section 6 – Functions of Authority </w:t>
      </w:r>
    </w:p>
    <w:p w:rsidR="002B5E30" w:rsidRDefault="002B5E30" w:rsidP="00DC4BC1">
      <w:pPr>
        <w:pStyle w:val="BA10"/>
      </w:pPr>
      <w:r w:rsidRPr="00DC4BC1">
        <w:t>The Bill refers to estate agents in clause (a), (b) and (e), however, this is inconsistent with the Bill as the purpose is to regulate property practitioners and not only estate agents.</w:t>
      </w:r>
    </w:p>
    <w:p w:rsidR="00DC4BC1" w:rsidRPr="00DC4BC1" w:rsidRDefault="00DC4BC1" w:rsidP="00DC4BC1">
      <w:pPr>
        <w:pStyle w:val="BA10"/>
      </w:pPr>
    </w:p>
    <w:p w:rsidR="002B5E30" w:rsidRPr="002B5E30" w:rsidRDefault="002B5E30" w:rsidP="002B5E30">
      <w:pPr>
        <w:pStyle w:val="BA10"/>
        <w:spacing w:after="120"/>
        <w:rPr>
          <w:b/>
          <w:lang w:val="en-US"/>
        </w:rPr>
      </w:pPr>
      <w:r w:rsidRPr="002B5E30">
        <w:rPr>
          <w:b/>
          <w:i/>
          <w:lang w:val="en-US"/>
        </w:rPr>
        <w:t xml:space="preserve">Recommendation  </w:t>
      </w:r>
      <w:r w:rsidRPr="002B5E30">
        <w:rPr>
          <w:lang w:val="en-US"/>
        </w:rPr>
        <w:t xml:space="preserve">   </w:t>
      </w:r>
    </w:p>
    <w:p w:rsidR="002B5E30" w:rsidRPr="00DC4BC1" w:rsidRDefault="002B5E30" w:rsidP="00DC4BC1">
      <w:pPr>
        <w:pStyle w:val="BA10"/>
      </w:pPr>
      <w:r w:rsidRPr="00DC4BC1">
        <w:t>We recommend that estate agent be replaced with property practitioner in this section.</w:t>
      </w:r>
    </w:p>
    <w:p w:rsidR="00FD0D8C" w:rsidRDefault="00FD0D8C" w:rsidP="00FD0D8C">
      <w:pPr>
        <w:pStyle w:val="BA10"/>
        <w:rPr>
          <w:lang w:val="en-US"/>
        </w:rPr>
      </w:pPr>
    </w:p>
    <w:p w:rsidR="00FD0D8C" w:rsidRDefault="00FD0D8C" w:rsidP="00FD0D8C">
      <w:pPr>
        <w:pStyle w:val="BA10"/>
        <w:spacing w:after="120"/>
        <w:rPr>
          <w:b/>
        </w:rPr>
      </w:pPr>
      <w:r w:rsidRPr="000A65EA">
        <w:rPr>
          <w:b/>
        </w:rPr>
        <w:t>Section 23</w:t>
      </w:r>
      <w:r w:rsidR="00451B73">
        <w:rPr>
          <w:b/>
        </w:rPr>
        <w:t xml:space="preserve"> </w:t>
      </w:r>
      <w:r w:rsidR="003A7093">
        <w:rPr>
          <w:b/>
        </w:rPr>
        <w:t>-</w:t>
      </w:r>
      <w:r w:rsidRPr="000A65EA">
        <w:rPr>
          <w:b/>
        </w:rPr>
        <w:t xml:space="preserve"> Lodging of Complaints to the </w:t>
      </w:r>
      <w:proofErr w:type="spellStart"/>
      <w:r w:rsidRPr="000A65EA">
        <w:rPr>
          <w:b/>
        </w:rPr>
        <w:t>Ombuds</w:t>
      </w:r>
      <w:proofErr w:type="spellEnd"/>
      <w:r w:rsidRPr="000A65EA">
        <w:rPr>
          <w:b/>
        </w:rPr>
        <w:t xml:space="preserve"> Office</w:t>
      </w:r>
    </w:p>
    <w:p w:rsidR="00FD0D8C" w:rsidRPr="00DC4BC1" w:rsidRDefault="00FD0D8C" w:rsidP="00DC4BC1">
      <w:pPr>
        <w:pStyle w:val="BA10"/>
      </w:pPr>
      <w:r w:rsidRPr="00DC4BC1">
        <w:t xml:space="preserve">We are of the view that the scope of the </w:t>
      </w:r>
      <w:proofErr w:type="spellStart"/>
      <w:r w:rsidRPr="00DC4BC1">
        <w:t>Ombuds</w:t>
      </w:r>
      <w:proofErr w:type="spellEnd"/>
      <w:r w:rsidRPr="00DC4BC1">
        <w:t xml:space="preserve"> office should be extended to include hearing industry complaints against the Property Practitioners Board, especially where matters are not being resolved that are affecting the ability of a practitioner to continue operating and in extension, the livelihood of the practitioners in that agency become affected. This will also ensure that there is balance in respect of the role that the </w:t>
      </w:r>
      <w:proofErr w:type="spellStart"/>
      <w:r w:rsidRPr="00DC4BC1">
        <w:t>Ombuds</w:t>
      </w:r>
      <w:proofErr w:type="spellEnd"/>
      <w:r w:rsidRPr="00DC4BC1">
        <w:t xml:space="preserve"> fulfils.</w:t>
      </w:r>
    </w:p>
    <w:p w:rsidR="00FD0D8C" w:rsidRDefault="00FD0D8C" w:rsidP="00FD0D8C">
      <w:pPr>
        <w:pStyle w:val="BA10"/>
      </w:pPr>
    </w:p>
    <w:p w:rsidR="00FD0D8C" w:rsidRDefault="00FD0D8C" w:rsidP="00FD0D8C">
      <w:pPr>
        <w:pStyle w:val="BA10"/>
        <w:spacing w:after="120"/>
        <w:rPr>
          <w:b/>
          <w:i/>
        </w:rPr>
      </w:pPr>
      <w:r w:rsidRPr="00D53503">
        <w:rPr>
          <w:b/>
          <w:i/>
        </w:rPr>
        <w:t>Recommendation</w:t>
      </w:r>
    </w:p>
    <w:p w:rsidR="00FD0D8C" w:rsidRPr="00DC4BC1" w:rsidRDefault="00FD0D8C" w:rsidP="00DC4BC1">
      <w:pPr>
        <w:pStyle w:val="BA10"/>
      </w:pPr>
      <w:r w:rsidRPr="00DC4BC1">
        <w:lastRenderedPageBreak/>
        <w:t xml:space="preserve">We recommend that an additional clause as suggested above be included within this section of the Bill. </w:t>
      </w:r>
    </w:p>
    <w:p w:rsidR="00FD0D8C" w:rsidRDefault="00FD0D8C" w:rsidP="00FD0D8C">
      <w:pPr>
        <w:pStyle w:val="BA10"/>
        <w:rPr>
          <w:b/>
          <w:i/>
        </w:rPr>
      </w:pPr>
    </w:p>
    <w:p w:rsidR="00DC4BC1" w:rsidRDefault="003A7093" w:rsidP="00DC4BC1">
      <w:pPr>
        <w:pStyle w:val="BA10"/>
        <w:spacing w:after="120"/>
        <w:rPr>
          <w:b/>
        </w:rPr>
      </w:pPr>
      <w:r w:rsidRPr="001418C1">
        <w:rPr>
          <w:b/>
        </w:rPr>
        <w:t>Section 25</w:t>
      </w:r>
      <w:r w:rsidR="00451B73" w:rsidRPr="001418C1">
        <w:rPr>
          <w:b/>
        </w:rPr>
        <w:t xml:space="preserve"> </w:t>
      </w:r>
      <w:r w:rsidR="00DC4BC1">
        <w:rPr>
          <w:b/>
        </w:rPr>
        <w:t>–</w:t>
      </w:r>
      <w:r w:rsidRPr="001418C1">
        <w:rPr>
          <w:b/>
        </w:rPr>
        <w:t xml:space="preserve"> Adjudication</w:t>
      </w:r>
    </w:p>
    <w:p w:rsidR="00083C3A" w:rsidRPr="00DC4BC1" w:rsidRDefault="00451B73" w:rsidP="00DC4BC1">
      <w:pPr>
        <w:pStyle w:val="BA10"/>
        <w:spacing w:after="120"/>
        <w:rPr>
          <w:b/>
        </w:rPr>
      </w:pPr>
      <w:r w:rsidRPr="00DC4BC1">
        <w:t xml:space="preserve">While we welcome </w:t>
      </w:r>
      <w:r w:rsidR="00CA5FC2" w:rsidRPr="00DC4BC1">
        <w:t>an</w:t>
      </w:r>
      <w:r w:rsidR="003A7093" w:rsidRPr="00DC4BC1">
        <w:t xml:space="preserve"> adjudication</w:t>
      </w:r>
      <w:r w:rsidR="00CA5FC2" w:rsidRPr="00DC4BC1">
        <w:t xml:space="preserve"> process, which may reduce the burden of our courts</w:t>
      </w:r>
      <w:r w:rsidR="001418C1" w:rsidRPr="00DC4BC1">
        <w:t xml:space="preserve">, we </w:t>
      </w:r>
      <w:r w:rsidR="00CA5FC2" w:rsidRPr="00DC4BC1">
        <w:t xml:space="preserve">have identified two matters of concern with the adjudication process </w:t>
      </w:r>
      <w:r w:rsidR="001418C1" w:rsidRPr="00DC4BC1">
        <w:t xml:space="preserve">as </w:t>
      </w:r>
      <w:r w:rsidR="00CA5FC2" w:rsidRPr="00DC4BC1">
        <w:t>outlined in the Bill</w:t>
      </w:r>
      <w:r w:rsidR="003A7093" w:rsidRPr="00DC4BC1">
        <w:t>. Firstly</w:t>
      </w:r>
      <w:r w:rsidR="0002177D" w:rsidRPr="00DC4BC1">
        <w:t>,</w:t>
      </w:r>
      <w:r w:rsidR="003A7093" w:rsidRPr="00DC4BC1">
        <w:t xml:space="preserve"> the</w:t>
      </w:r>
      <w:r w:rsidR="00083C3A" w:rsidRPr="00DC4BC1">
        <w:t xml:space="preserve"> Bill does not make mention of a</w:t>
      </w:r>
      <w:r w:rsidR="003A7093" w:rsidRPr="00DC4BC1">
        <w:t xml:space="preserve"> time</w:t>
      </w:r>
      <w:r w:rsidR="00047D15" w:rsidRPr="00DC4BC1">
        <w:t xml:space="preserve"> limit that</w:t>
      </w:r>
      <w:r w:rsidR="003A7093" w:rsidRPr="00DC4BC1">
        <w:t xml:space="preserve"> </w:t>
      </w:r>
      <w:r w:rsidR="0002177D" w:rsidRPr="00DC4BC1">
        <w:t>dictates</w:t>
      </w:r>
      <w:r w:rsidR="003A7093" w:rsidRPr="00DC4BC1">
        <w:t xml:space="preserve"> </w:t>
      </w:r>
      <w:r w:rsidR="00047D15" w:rsidRPr="00DC4BC1">
        <w:t>the length of a</w:t>
      </w:r>
      <w:r w:rsidR="00083C3A" w:rsidRPr="00DC4BC1">
        <w:t xml:space="preserve"> matter in the</w:t>
      </w:r>
      <w:r w:rsidR="00047D15" w:rsidRPr="00DC4BC1">
        <w:t xml:space="preserve"> adjudication process. This can hinder a fair and just adjudication process</w:t>
      </w:r>
      <w:r w:rsidR="001418C1" w:rsidRPr="00DC4BC1">
        <w:t>,</w:t>
      </w:r>
      <w:r w:rsidR="00047D15" w:rsidRPr="00DC4BC1">
        <w:t xml:space="preserve"> as a dispute can be held up indefinitely, due to an order being withheld. </w:t>
      </w:r>
      <w:r w:rsidR="0002177D" w:rsidRPr="00DC4BC1">
        <w:t xml:space="preserve"> </w:t>
      </w:r>
    </w:p>
    <w:p w:rsidR="00083C3A" w:rsidRPr="00DC4BC1" w:rsidRDefault="00083C3A" w:rsidP="00DC4BC1">
      <w:pPr>
        <w:pStyle w:val="BA10"/>
      </w:pPr>
    </w:p>
    <w:p w:rsidR="00910BEF" w:rsidRPr="00DC4BC1" w:rsidRDefault="0002177D" w:rsidP="00DC4BC1">
      <w:pPr>
        <w:pStyle w:val="BA10"/>
      </w:pPr>
      <w:r w:rsidRPr="00DC4BC1">
        <w:t>The second issue regarding</w:t>
      </w:r>
      <w:r w:rsidR="00083C3A" w:rsidRPr="00DC4BC1">
        <w:t xml:space="preserve"> the adjudication process is</w:t>
      </w:r>
      <w:r w:rsidRPr="00DC4BC1">
        <w:t xml:space="preserve"> the</w:t>
      </w:r>
      <w:r w:rsidR="00083C3A" w:rsidRPr="00DC4BC1">
        <w:t xml:space="preserve"> Bill </w:t>
      </w:r>
      <w:r w:rsidR="001418C1" w:rsidRPr="00DC4BC1">
        <w:t xml:space="preserve">non-recognition of </w:t>
      </w:r>
      <w:r w:rsidR="00910BEF" w:rsidRPr="00DC4BC1">
        <w:t xml:space="preserve">Section 34 of the </w:t>
      </w:r>
      <w:r w:rsidR="001418C1" w:rsidRPr="00DC4BC1">
        <w:t xml:space="preserve">Constitution of the </w:t>
      </w:r>
      <w:r w:rsidR="00A520C6" w:rsidRPr="00DC4BC1">
        <w:t>R</w:t>
      </w:r>
      <w:r w:rsidR="001418C1" w:rsidRPr="00DC4BC1">
        <w:t>epublic of South Africa</w:t>
      </w:r>
      <w:r w:rsidRPr="00DC4BC1">
        <w:t>. The Bill indicates that a</w:t>
      </w:r>
      <w:r w:rsidR="00083C3A" w:rsidRPr="00DC4BC1">
        <w:t>n</w:t>
      </w:r>
      <w:r w:rsidRPr="00DC4BC1">
        <w:t xml:space="preserve"> adjudicator</w:t>
      </w:r>
      <w:r w:rsidR="001418C1" w:rsidRPr="00DC4BC1">
        <w:t>’</w:t>
      </w:r>
      <w:r w:rsidRPr="00DC4BC1">
        <w:t xml:space="preserve">s order can </w:t>
      </w:r>
      <w:r w:rsidR="00910BEF" w:rsidRPr="00DC4BC1">
        <w:t xml:space="preserve">be </w:t>
      </w:r>
      <w:r w:rsidR="00A520C6" w:rsidRPr="00DC4BC1">
        <w:t>referred</w:t>
      </w:r>
      <w:r w:rsidRPr="00DC4BC1">
        <w:t xml:space="preserve"> to the Ombud for final adjudication</w:t>
      </w:r>
      <w:r w:rsidR="00910BEF" w:rsidRPr="00DC4BC1">
        <w:t xml:space="preserve">. However, the Bill makes no mention of </w:t>
      </w:r>
      <w:r w:rsidR="001418C1" w:rsidRPr="00DC4BC1">
        <w:t xml:space="preserve">a consumer’s right of recourse to the Court’s in the event of their being unhappy with the decision of the Ombud. </w:t>
      </w:r>
      <w:r w:rsidR="00910BEF" w:rsidRPr="00DC4BC1">
        <w:t xml:space="preserve">A previous version of this Draft </w:t>
      </w:r>
      <w:r w:rsidR="001418C1" w:rsidRPr="00DC4BC1">
        <w:t>B</w:t>
      </w:r>
      <w:r w:rsidR="00910BEF" w:rsidRPr="00DC4BC1">
        <w:t>ill</w:t>
      </w:r>
      <w:r w:rsidR="001418C1" w:rsidRPr="00DC4BC1">
        <w:t xml:space="preserve">, section </w:t>
      </w:r>
      <w:r w:rsidR="00910BEF" w:rsidRPr="00DC4BC1">
        <w:t xml:space="preserve">25 (b) (12) stated that “An order of the Ombud is final and binding and may only be reviewed by the High Court.” </w:t>
      </w:r>
      <w:r w:rsidR="001418C1" w:rsidRPr="00DC4BC1">
        <w:t>T</w:t>
      </w:r>
      <w:r w:rsidR="00910BEF" w:rsidRPr="00DC4BC1">
        <w:t xml:space="preserve">his clause has since been removed.  </w:t>
      </w:r>
    </w:p>
    <w:p w:rsidR="003A7093" w:rsidRPr="003A7093" w:rsidRDefault="003A7093" w:rsidP="003A7093">
      <w:pPr>
        <w:pStyle w:val="BA10"/>
        <w:rPr>
          <w:b/>
        </w:rPr>
      </w:pPr>
      <w:r w:rsidRPr="003A7093">
        <w:rPr>
          <w:b/>
        </w:rPr>
        <w:t xml:space="preserve"> </w:t>
      </w:r>
    </w:p>
    <w:p w:rsidR="00083C3A" w:rsidRPr="00DC4BC1" w:rsidRDefault="00083C3A" w:rsidP="00DC4BC1">
      <w:pPr>
        <w:pStyle w:val="BA10"/>
        <w:spacing w:after="120"/>
        <w:rPr>
          <w:b/>
          <w:i/>
          <w:lang w:val="en-US"/>
        </w:rPr>
      </w:pPr>
      <w:r w:rsidRPr="00DC4BC1">
        <w:rPr>
          <w:b/>
          <w:i/>
          <w:lang w:val="en-US"/>
        </w:rPr>
        <w:t>Recommendation</w:t>
      </w:r>
    </w:p>
    <w:p w:rsidR="00910BEF" w:rsidRDefault="00083C3A" w:rsidP="00FD0D8C">
      <w:pPr>
        <w:pStyle w:val="BA10"/>
      </w:pPr>
      <w:r w:rsidRPr="00DC4BC1">
        <w:t xml:space="preserve">We </w:t>
      </w:r>
      <w:r w:rsidR="00910BEF" w:rsidRPr="00DC4BC1">
        <w:t>recommend</w:t>
      </w:r>
      <w:r w:rsidRPr="00DC4BC1">
        <w:t xml:space="preserve"> that a “</w:t>
      </w:r>
      <w:r w:rsidR="00A520C6" w:rsidRPr="00DC4BC1">
        <w:t>t</w:t>
      </w:r>
      <w:r w:rsidRPr="00DC4BC1">
        <w:t>ime frame” clause be inserted in the Bill which prescribes a time frame for matters in the adjudication process</w:t>
      </w:r>
      <w:r>
        <w:t>.</w:t>
      </w:r>
    </w:p>
    <w:p w:rsidR="00910BEF" w:rsidRDefault="00910BEF" w:rsidP="00FD0D8C">
      <w:pPr>
        <w:pStyle w:val="BA10"/>
      </w:pPr>
    </w:p>
    <w:p w:rsidR="003A7093" w:rsidRPr="00083C3A" w:rsidRDefault="00910BEF" w:rsidP="00910BEF">
      <w:r>
        <w:t xml:space="preserve">We further recommend that clause 25 (b) (12) “An order of the Ombud is final and binding and may only be reviewed by the High Court.” be reinstated. </w:t>
      </w:r>
    </w:p>
    <w:p w:rsidR="00451B73" w:rsidRPr="00DC4BC1" w:rsidRDefault="00FD0D8C" w:rsidP="00DC4BC1">
      <w:pPr>
        <w:pStyle w:val="BA10"/>
        <w:spacing w:after="120"/>
        <w:rPr>
          <w:b/>
          <w:lang w:val="en-US"/>
        </w:rPr>
      </w:pPr>
      <w:r w:rsidRPr="00DC4BC1">
        <w:rPr>
          <w:b/>
          <w:lang w:val="en-US"/>
        </w:rPr>
        <w:t>Section 46</w:t>
      </w:r>
      <w:r w:rsidR="00451B73" w:rsidRPr="00DC4BC1">
        <w:rPr>
          <w:b/>
          <w:lang w:val="en-US"/>
        </w:rPr>
        <w:t xml:space="preserve"> </w:t>
      </w:r>
      <w:r w:rsidRPr="00DC4BC1">
        <w:rPr>
          <w:b/>
          <w:lang w:val="en-US"/>
        </w:rPr>
        <w:t>-</w:t>
      </w:r>
      <w:r w:rsidR="00451B73" w:rsidRPr="00DC4BC1">
        <w:rPr>
          <w:b/>
          <w:lang w:val="en-US"/>
        </w:rPr>
        <w:t xml:space="preserve"> </w:t>
      </w:r>
      <w:r w:rsidRPr="00DC4BC1">
        <w:rPr>
          <w:b/>
          <w:lang w:val="en-US"/>
        </w:rPr>
        <w:t xml:space="preserve">Fidelity Fund Certificates </w:t>
      </w:r>
    </w:p>
    <w:p w:rsidR="00FD0D8C" w:rsidRPr="00DC4BC1" w:rsidRDefault="00FD0D8C" w:rsidP="00DC4BC1">
      <w:pPr>
        <w:pStyle w:val="BA10"/>
      </w:pPr>
      <w:r w:rsidRPr="00DC4BC1">
        <w:t xml:space="preserve">Section 46 proposes that a property practitioner must apply annually for a fidelity fund certificate and pay the prescribed annual fee. </w:t>
      </w:r>
    </w:p>
    <w:p w:rsidR="00FD0D8C" w:rsidRPr="00DC4BC1" w:rsidRDefault="00FD0D8C" w:rsidP="00DC4BC1">
      <w:pPr>
        <w:pStyle w:val="BA10"/>
      </w:pPr>
    </w:p>
    <w:p w:rsidR="00FD0D8C" w:rsidRPr="00DC4BC1" w:rsidRDefault="00FD0D8C" w:rsidP="00DC4BC1">
      <w:pPr>
        <w:pStyle w:val="BA10"/>
      </w:pPr>
      <w:r w:rsidRPr="00DC4BC1">
        <w:t xml:space="preserve">The possession of a Fidelity Fund certificate will be a mandatory requirement for acting as a property practitioner. </w:t>
      </w:r>
    </w:p>
    <w:p w:rsidR="00FD0D8C" w:rsidRPr="00DC4BC1" w:rsidRDefault="00FD0D8C" w:rsidP="00DC4BC1">
      <w:pPr>
        <w:pStyle w:val="BA10"/>
      </w:pPr>
    </w:p>
    <w:p w:rsidR="00FD0D8C" w:rsidRPr="00DC4BC1" w:rsidRDefault="00FD0D8C" w:rsidP="00DC4BC1">
      <w:pPr>
        <w:pStyle w:val="BA10"/>
      </w:pPr>
      <w:r w:rsidRPr="00DC4BC1">
        <w:t>In instances where</w:t>
      </w:r>
      <w:r w:rsidR="00327412" w:rsidRPr="00DC4BC1">
        <w:t xml:space="preserve"> a </w:t>
      </w:r>
      <w:r w:rsidR="002B5E30" w:rsidRPr="00DC4BC1">
        <w:t xml:space="preserve">juristic person participates as a property intermediary </w:t>
      </w:r>
      <w:r w:rsidRPr="00DC4BC1">
        <w:t>every director of the company will be required to be in possession of a certificate. The same applies to:</w:t>
      </w:r>
    </w:p>
    <w:p w:rsidR="00FD0D8C" w:rsidRPr="008C7E67" w:rsidRDefault="00FD0D8C" w:rsidP="00FD0D8C">
      <w:pPr>
        <w:pStyle w:val="BA10"/>
        <w:ind w:left="720"/>
        <w:rPr>
          <w:lang w:val="en-GB"/>
        </w:rPr>
      </w:pPr>
      <w:r w:rsidRPr="008C7E67">
        <w:rPr>
          <w:lang w:val="en-GB"/>
        </w:rPr>
        <w:t>(</w:t>
      </w:r>
      <w:proofErr w:type="spellStart"/>
      <w:r w:rsidRPr="008C7E67">
        <w:rPr>
          <w:lang w:val="en-GB"/>
        </w:rPr>
        <w:t>i</w:t>
      </w:r>
      <w:proofErr w:type="spellEnd"/>
      <w:r w:rsidRPr="008C7E67">
        <w:rPr>
          <w:lang w:val="en-GB"/>
        </w:rPr>
        <w:t xml:space="preserve">) All members of a close corporation; </w:t>
      </w:r>
    </w:p>
    <w:p w:rsidR="00FD0D8C" w:rsidRPr="008C7E67" w:rsidRDefault="00FD0D8C" w:rsidP="00FD0D8C">
      <w:pPr>
        <w:pStyle w:val="BA10"/>
        <w:ind w:left="720"/>
        <w:rPr>
          <w:lang w:val="en-GB"/>
        </w:rPr>
      </w:pPr>
      <w:r w:rsidRPr="008C7E67">
        <w:rPr>
          <w:lang w:val="en-GB"/>
        </w:rPr>
        <w:t xml:space="preserve">(ii) All trustees of a trust; and </w:t>
      </w:r>
    </w:p>
    <w:p w:rsidR="00FD0D8C" w:rsidRDefault="00FD0D8C" w:rsidP="00FD0D8C">
      <w:pPr>
        <w:pStyle w:val="BA10"/>
        <w:ind w:left="720"/>
        <w:rPr>
          <w:lang w:val="en-GB"/>
        </w:rPr>
      </w:pPr>
      <w:r w:rsidRPr="008C7E67">
        <w:rPr>
          <w:lang w:val="en-GB"/>
        </w:rPr>
        <w:t>(iii) All partners of a partnership.</w:t>
      </w:r>
      <w:r>
        <w:rPr>
          <w:lang w:val="en-GB"/>
        </w:rPr>
        <w:t>”</w:t>
      </w:r>
    </w:p>
    <w:p w:rsidR="00FD0D8C" w:rsidRPr="00306469" w:rsidRDefault="00FD0D8C" w:rsidP="00FD0D8C">
      <w:pPr>
        <w:pStyle w:val="BA10"/>
        <w:ind w:left="720"/>
        <w:rPr>
          <w:lang w:val="en-US"/>
        </w:rPr>
      </w:pPr>
    </w:p>
    <w:p w:rsidR="00FD0D8C" w:rsidRDefault="00FD0D8C" w:rsidP="00FD0D8C">
      <w:pPr>
        <w:pStyle w:val="BA10"/>
        <w:rPr>
          <w:lang w:val="en-US"/>
        </w:rPr>
      </w:pPr>
      <w:r>
        <w:rPr>
          <w:lang w:val="en-US"/>
        </w:rPr>
        <w:t>We believe that this requirement will place an undue burden on all directors/members/trustees/partners to possess a fidelity certificate as such entities employ specialists to fulfil particular roles without their having any knowledge of the property industry e.g. financiers.</w:t>
      </w:r>
    </w:p>
    <w:p w:rsidR="00FD0D8C" w:rsidRDefault="00FD0D8C" w:rsidP="00FD0D8C">
      <w:pPr>
        <w:pStyle w:val="BA10"/>
        <w:rPr>
          <w:lang w:val="en-US"/>
        </w:rPr>
      </w:pPr>
    </w:p>
    <w:p w:rsidR="00FD0D8C" w:rsidRDefault="00FD0D8C" w:rsidP="00DD64FA">
      <w:pPr>
        <w:pStyle w:val="BA10"/>
        <w:spacing w:after="120"/>
        <w:rPr>
          <w:b/>
          <w:i/>
          <w:lang w:val="en-US"/>
        </w:rPr>
      </w:pPr>
      <w:r>
        <w:rPr>
          <w:b/>
          <w:i/>
          <w:lang w:val="en-US"/>
        </w:rPr>
        <w:t>Recommendation</w:t>
      </w:r>
    </w:p>
    <w:p w:rsidR="00FD0D8C" w:rsidRDefault="00FD0D8C" w:rsidP="00FD0D8C">
      <w:pPr>
        <w:pStyle w:val="BA10"/>
        <w:rPr>
          <w:lang w:val="en-US"/>
        </w:rPr>
      </w:pPr>
      <w:r>
        <w:rPr>
          <w:lang w:val="en-US"/>
        </w:rPr>
        <w:t>We recommend that at least one director/member/trustee/partner should be required to be in possession of a fidelity fund certificate</w:t>
      </w:r>
      <w:r w:rsidR="00327412">
        <w:rPr>
          <w:lang w:val="en-US"/>
        </w:rPr>
        <w:t xml:space="preserve"> only</w:t>
      </w:r>
      <w:r>
        <w:rPr>
          <w:lang w:val="en-US"/>
        </w:rPr>
        <w:t>.</w:t>
      </w:r>
    </w:p>
    <w:p w:rsidR="00FD0D8C" w:rsidRPr="00306469" w:rsidRDefault="00FD0D8C" w:rsidP="00FD0D8C">
      <w:pPr>
        <w:pStyle w:val="BA10"/>
        <w:rPr>
          <w:lang w:val="en-US"/>
        </w:rPr>
      </w:pPr>
    </w:p>
    <w:p w:rsidR="00FD0D8C" w:rsidRPr="00DD64FA" w:rsidRDefault="00FD0D8C" w:rsidP="00DD64FA">
      <w:pPr>
        <w:pStyle w:val="BA10"/>
        <w:spacing w:after="120"/>
        <w:rPr>
          <w:b/>
        </w:rPr>
      </w:pPr>
      <w:r w:rsidRPr="00DD64FA">
        <w:rPr>
          <w:b/>
        </w:rPr>
        <w:t>Section 49</w:t>
      </w:r>
      <w:r w:rsidR="00451B73" w:rsidRPr="00DD64FA">
        <w:rPr>
          <w:b/>
        </w:rPr>
        <w:t xml:space="preserve"> </w:t>
      </w:r>
      <w:r w:rsidRPr="00DD64FA">
        <w:rPr>
          <w:b/>
        </w:rPr>
        <w:t>- Disqualification from issue of Fidelity Fund Certificate</w:t>
      </w:r>
    </w:p>
    <w:p w:rsidR="00FD0D8C" w:rsidRDefault="00FD0D8C" w:rsidP="00FD0D8C">
      <w:pPr>
        <w:pStyle w:val="BA10"/>
        <w:rPr>
          <w:lang w:val="en-GB"/>
        </w:rPr>
      </w:pPr>
      <w:r w:rsidRPr="00306469">
        <w:rPr>
          <w:lang w:val="en-GB"/>
        </w:rPr>
        <w:lastRenderedPageBreak/>
        <w:t xml:space="preserve">The Draft Bill proposes a long list of mandatory reasons for the Property Practitioners Regulatory Authority to withhold a Fidelity Fund certificate, and thereby the ability </w:t>
      </w:r>
      <w:r>
        <w:rPr>
          <w:lang w:val="en-GB"/>
        </w:rPr>
        <w:t xml:space="preserve">for them </w:t>
      </w:r>
      <w:r w:rsidRPr="00306469">
        <w:rPr>
          <w:lang w:val="en-GB"/>
        </w:rPr>
        <w:t xml:space="preserve">to earn an income. </w:t>
      </w:r>
    </w:p>
    <w:p w:rsidR="00FD0D8C" w:rsidRPr="00306469" w:rsidRDefault="00FD0D8C" w:rsidP="00FD0D8C">
      <w:pPr>
        <w:pStyle w:val="BA10"/>
        <w:rPr>
          <w:lang w:val="en-GB"/>
        </w:rPr>
      </w:pPr>
    </w:p>
    <w:p w:rsidR="00FD0D8C" w:rsidRPr="007B4C79" w:rsidRDefault="00FD0D8C" w:rsidP="00FD0D8C">
      <w:pPr>
        <w:pStyle w:val="BA10"/>
        <w:rPr>
          <w:b/>
          <w:lang w:val="en-US"/>
        </w:rPr>
      </w:pPr>
      <w:r w:rsidRPr="00AB50C9">
        <w:rPr>
          <w:bCs/>
          <w:iCs/>
          <w:lang w:val="en-GB"/>
        </w:rPr>
        <w:t xml:space="preserve">A </w:t>
      </w:r>
      <w:r w:rsidRPr="00306469">
        <w:rPr>
          <w:iCs/>
          <w:lang w:val="en-GB"/>
        </w:rPr>
        <w:t>number of these grounds may, depending on the circumstances</w:t>
      </w:r>
      <w:r w:rsidR="00327412">
        <w:rPr>
          <w:iCs/>
          <w:lang w:val="en-GB"/>
        </w:rPr>
        <w:t>,</w:t>
      </w:r>
      <w:r w:rsidRPr="00306469">
        <w:rPr>
          <w:iCs/>
          <w:lang w:val="en-GB"/>
        </w:rPr>
        <w:t xml:space="preserve"> be contrary to the principle that the punishment must fit the crime and, more importantly, the Constitutional limitation of rights considerations. There is also a concern of potential abuse of processes for </w:t>
      </w:r>
      <w:r w:rsidRPr="00762E9B">
        <w:rPr>
          <w:i/>
          <w:iCs/>
          <w:lang w:val="en-GB"/>
        </w:rPr>
        <w:t>ultra vires</w:t>
      </w:r>
      <w:r w:rsidRPr="00306469">
        <w:rPr>
          <w:iCs/>
          <w:lang w:val="en-GB"/>
        </w:rPr>
        <w:t xml:space="preserve"> reasons.</w:t>
      </w:r>
      <w:r w:rsidRPr="00306469">
        <w:rPr>
          <w:rFonts w:ascii="Arial" w:eastAsia="Times New Roman" w:hAnsi="Arial" w:cs="Arial"/>
          <w:iCs/>
          <w:color w:val="000000"/>
          <w:sz w:val="20"/>
          <w:szCs w:val="20"/>
          <w:lang w:val="en-GB"/>
        </w:rPr>
        <w:t xml:space="preserve"> </w:t>
      </w:r>
      <w:r w:rsidRPr="00306469">
        <w:rPr>
          <w:iCs/>
          <w:lang w:val="en-GB"/>
        </w:rPr>
        <w:t xml:space="preserve">Grounds based on court orders tend to hold more </w:t>
      </w:r>
      <w:r w:rsidRPr="00762E9B">
        <w:rPr>
          <w:i/>
          <w:iCs/>
          <w:lang w:val="en-GB"/>
        </w:rPr>
        <w:t>gravitas</w:t>
      </w:r>
      <w:r w:rsidRPr="00306469">
        <w:rPr>
          <w:iCs/>
          <w:lang w:val="en-GB"/>
        </w:rPr>
        <w:t xml:space="preserve"> and </w:t>
      </w:r>
      <w:r w:rsidR="001418C1" w:rsidRPr="00306469">
        <w:rPr>
          <w:iCs/>
          <w:lang w:val="en-GB"/>
        </w:rPr>
        <w:t>be</w:t>
      </w:r>
      <w:r w:rsidRPr="00306469">
        <w:rPr>
          <w:iCs/>
          <w:lang w:val="en-GB"/>
        </w:rPr>
        <w:t xml:space="preserve"> more immediatel</w:t>
      </w:r>
      <w:r w:rsidRPr="004654FD">
        <w:rPr>
          <w:iCs/>
          <w:lang w:val="en-GB"/>
        </w:rPr>
        <w:t>y justifiable. We note</w:t>
      </w:r>
      <w:r w:rsidRPr="00306469">
        <w:rPr>
          <w:iCs/>
          <w:lang w:val="en-GB"/>
        </w:rPr>
        <w:t xml:space="preserve"> that these same grounds are not reflected in the grounds for disqualification from the Board or Authority itself</w:t>
      </w:r>
      <w:r>
        <w:rPr>
          <w:iCs/>
          <w:lang w:val="en-GB"/>
        </w:rPr>
        <w:t>?</w:t>
      </w:r>
    </w:p>
    <w:p w:rsidR="00FD0D8C" w:rsidRDefault="00FD0D8C" w:rsidP="00FD0D8C">
      <w:pPr>
        <w:pStyle w:val="BA10"/>
        <w:rPr>
          <w:b/>
          <w:lang w:val="en-US"/>
        </w:rPr>
      </w:pPr>
    </w:p>
    <w:p w:rsidR="00FD0D8C" w:rsidRPr="00DD64FA" w:rsidRDefault="00FD0D8C" w:rsidP="00DD64FA">
      <w:pPr>
        <w:pStyle w:val="BA10"/>
        <w:spacing w:after="120"/>
        <w:rPr>
          <w:b/>
          <w:i/>
        </w:rPr>
      </w:pPr>
      <w:r w:rsidRPr="00DD64FA">
        <w:rPr>
          <w:b/>
          <w:i/>
        </w:rPr>
        <w:t>Recommendation</w:t>
      </w:r>
    </w:p>
    <w:p w:rsidR="00FD0D8C" w:rsidRPr="00DC4BC1" w:rsidRDefault="00FD0D8C" w:rsidP="00DC4BC1">
      <w:pPr>
        <w:pStyle w:val="BA10"/>
      </w:pPr>
      <w:r w:rsidRPr="00DC4BC1">
        <w:t>We recommend that this section of the Bill be redrafted to include commentary as per our concerns detailed above.</w:t>
      </w:r>
    </w:p>
    <w:p w:rsidR="00FD0D8C" w:rsidRPr="00DC4BC1" w:rsidRDefault="00FD0D8C" w:rsidP="00DC4BC1">
      <w:pPr>
        <w:pStyle w:val="BA10"/>
      </w:pPr>
    </w:p>
    <w:p w:rsidR="00FD0D8C" w:rsidRPr="00DC4BC1" w:rsidRDefault="00FD0D8C" w:rsidP="00DC4BC1">
      <w:pPr>
        <w:pStyle w:val="BA10"/>
      </w:pPr>
      <w:r w:rsidRPr="00DC4BC1">
        <w:t>We further recommend that consideration be given to including this content for a Board/Authority.</w:t>
      </w:r>
    </w:p>
    <w:p w:rsidR="00FD0D8C" w:rsidRDefault="00FD0D8C" w:rsidP="00FD0D8C">
      <w:pPr>
        <w:pStyle w:val="BA10"/>
        <w:rPr>
          <w:lang w:val="en-US"/>
        </w:rPr>
      </w:pPr>
    </w:p>
    <w:p w:rsidR="00FD0D8C" w:rsidRDefault="00FD0D8C" w:rsidP="00FD0D8C">
      <w:pPr>
        <w:pStyle w:val="BA10"/>
        <w:spacing w:after="120"/>
        <w:rPr>
          <w:b/>
          <w:lang w:val="en-US"/>
        </w:rPr>
      </w:pPr>
      <w:r w:rsidRPr="008D78A8">
        <w:rPr>
          <w:b/>
          <w:lang w:val="en-US"/>
        </w:rPr>
        <w:t xml:space="preserve">Section 53 - Trusts </w:t>
      </w:r>
    </w:p>
    <w:p w:rsidR="00FD0D8C" w:rsidRPr="00DC4BC1" w:rsidRDefault="00FD0D8C" w:rsidP="00DC4BC1">
      <w:pPr>
        <w:pStyle w:val="BA10"/>
      </w:pPr>
      <w:r w:rsidRPr="00DC4BC1">
        <w:t xml:space="preserve">In terms of Regulations in support the Banks Act No.94 of 1990, a bank may not open a trust account for a property practitioner unless they are registered with the Property Practitioners Board. Clause 53(1)(b) is therefore incorrect as it should require a property practitioner to register with the Property Practitioners Board and only to approach a bank thereafter </w:t>
      </w:r>
      <w:r w:rsidR="001418C1" w:rsidRPr="00DC4BC1">
        <w:t>for</w:t>
      </w:r>
      <w:r w:rsidRPr="00DC4BC1">
        <w:t xml:space="preserve"> a trust account to be opened. </w:t>
      </w:r>
    </w:p>
    <w:p w:rsidR="00FD0D8C" w:rsidRPr="00DC4BC1" w:rsidRDefault="00FD0D8C" w:rsidP="00DC4BC1">
      <w:pPr>
        <w:pStyle w:val="BA10"/>
      </w:pPr>
    </w:p>
    <w:p w:rsidR="00FD0D8C" w:rsidRPr="00DC4BC1" w:rsidRDefault="00FD0D8C" w:rsidP="00DC4BC1">
      <w:pPr>
        <w:pStyle w:val="BA10"/>
      </w:pPr>
      <w:r w:rsidRPr="00DC4BC1">
        <w:t xml:space="preserve">We assume that the </w:t>
      </w:r>
      <w:r w:rsidR="001418C1" w:rsidRPr="00DC4BC1">
        <w:t>P</w:t>
      </w:r>
      <w:r w:rsidRPr="00DC4BC1">
        <w:t>roperty Practitioners Board</w:t>
      </w:r>
      <w:r w:rsidR="00327412" w:rsidRPr="00DC4BC1">
        <w:t>,</w:t>
      </w:r>
      <w:r w:rsidRPr="00DC4BC1">
        <w:t xml:space="preserve"> when approving the registration of a </w:t>
      </w:r>
      <w:r w:rsidR="001418C1" w:rsidRPr="00DC4BC1">
        <w:t>P</w:t>
      </w:r>
      <w:r w:rsidRPr="00DC4BC1">
        <w:t>roperty Practitioner would ensure that the name used for the trust account is appropriate and that the descriptor name clearly identifies that the trust account is for a property practitioner, as currently some of the name descriptors used by Estate Agents/Estate Agencies make it impossible for banks when undertaking a search of their computer database to determine that the account is in fact a trust account or the purpose for what it is to be used.</w:t>
      </w:r>
    </w:p>
    <w:p w:rsidR="00FD0D8C" w:rsidRDefault="00FD0D8C" w:rsidP="00FD0D8C">
      <w:pPr>
        <w:pStyle w:val="BA10"/>
        <w:rPr>
          <w:lang w:val="en-US"/>
        </w:rPr>
      </w:pPr>
    </w:p>
    <w:p w:rsidR="00FD0D8C" w:rsidRDefault="00FD0D8C" w:rsidP="00FD0D8C">
      <w:pPr>
        <w:pStyle w:val="BA10"/>
        <w:spacing w:after="120"/>
        <w:rPr>
          <w:b/>
          <w:i/>
          <w:lang w:val="en-US"/>
        </w:rPr>
      </w:pPr>
      <w:r w:rsidRPr="008D78A8">
        <w:rPr>
          <w:b/>
          <w:i/>
          <w:lang w:val="en-US"/>
        </w:rPr>
        <w:t>Recommendation</w:t>
      </w:r>
    </w:p>
    <w:p w:rsidR="00FD0D8C" w:rsidRDefault="00FD0D8C" w:rsidP="00FD0D8C">
      <w:pPr>
        <w:pStyle w:val="BA10"/>
        <w:rPr>
          <w:lang w:val="en-US"/>
        </w:rPr>
      </w:pPr>
      <w:r w:rsidRPr="00DC4BC1">
        <w:t>We recommend that Clause 53(1)(b) be amended accordingly. This includes the need for the Property Practitioners Board to approve the descriptor name that the property practitioner intends using</w:t>
      </w:r>
      <w:r>
        <w:rPr>
          <w:lang w:val="en-US"/>
        </w:rPr>
        <w:t>.</w:t>
      </w:r>
    </w:p>
    <w:p w:rsidR="002B5E30" w:rsidRDefault="002B5E30" w:rsidP="00FD0D8C">
      <w:pPr>
        <w:pStyle w:val="BA10"/>
        <w:rPr>
          <w:lang w:val="en-US"/>
        </w:rPr>
      </w:pPr>
    </w:p>
    <w:p w:rsidR="002B5E30" w:rsidRPr="002B5E30" w:rsidRDefault="002B5E30" w:rsidP="002B5E30">
      <w:pPr>
        <w:pStyle w:val="BA10"/>
        <w:spacing w:after="120"/>
        <w:rPr>
          <w:b/>
          <w:lang w:val="en-US"/>
        </w:rPr>
      </w:pPr>
      <w:r w:rsidRPr="002B5E30">
        <w:rPr>
          <w:b/>
          <w:lang w:val="en-US"/>
        </w:rPr>
        <w:t>Section 54 - Duty of Property Practitioner to Keep Accounting Records and Other Documents</w:t>
      </w:r>
    </w:p>
    <w:p w:rsidR="002B5E30" w:rsidRDefault="002B5E30" w:rsidP="00DC4BC1">
      <w:pPr>
        <w:pStyle w:val="BA10"/>
      </w:pPr>
      <w:r w:rsidRPr="00DC4BC1">
        <w:t>In section 1 (g) a record is defined as “means any recorded information regardless of form or medium”. However, in the heading of section 54 the Bill makes mention of  accounting records but the clauses of section 54 implies that records as defined in section 1(g) are being referred to. This creates confusion as to what is being referred to, if it solely accounting records or all records.</w:t>
      </w:r>
    </w:p>
    <w:p w:rsidR="00DC4BC1" w:rsidRPr="00DC4BC1" w:rsidRDefault="00DC4BC1" w:rsidP="00DC4BC1">
      <w:pPr>
        <w:pStyle w:val="BA10"/>
      </w:pPr>
    </w:p>
    <w:p w:rsidR="002B5E30" w:rsidRPr="002B5E30" w:rsidRDefault="002B5E30" w:rsidP="002B5E30">
      <w:pPr>
        <w:pStyle w:val="BA10"/>
        <w:spacing w:after="120"/>
        <w:rPr>
          <w:b/>
          <w:i/>
          <w:lang w:val="en-US"/>
        </w:rPr>
      </w:pPr>
      <w:r w:rsidRPr="002B5E30">
        <w:rPr>
          <w:b/>
          <w:i/>
          <w:lang w:val="en-US"/>
        </w:rPr>
        <w:t>Recommendation</w:t>
      </w:r>
    </w:p>
    <w:p w:rsidR="002B5E30" w:rsidRDefault="002B5E30" w:rsidP="002B5E30">
      <w:pPr>
        <w:pStyle w:val="BA10"/>
        <w:spacing w:after="120"/>
        <w:rPr>
          <w:lang w:val="en-US"/>
        </w:rPr>
      </w:pPr>
      <w:r w:rsidRPr="002B5E30">
        <w:rPr>
          <w:lang w:val="en-US"/>
        </w:rPr>
        <w:t>We recommend that two sections be created, a section dealing with records and a separate section thereafter specifically dealing with accounting records. The clauses of section 54 can then be allocated either to the section referring to general records or to the section specifically dealing with accounting records.</w:t>
      </w:r>
      <w:r>
        <w:rPr>
          <w:lang w:val="en-US"/>
        </w:rPr>
        <w:t xml:space="preserve">  </w:t>
      </w:r>
    </w:p>
    <w:p w:rsidR="002B5E30" w:rsidRDefault="002B5E30" w:rsidP="00FD0D8C">
      <w:pPr>
        <w:pStyle w:val="BA10"/>
        <w:rPr>
          <w:lang w:val="en-US"/>
        </w:rPr>
      </w:pPr>
    </w:p>
    <w:p w:rsidR="00451B73" w:rsidRDefault="00FD0D8C" w:rsidP="00451B73">
      <w:pPr>
        <w:pStyle w:val="BA10"/>
        <w:spacing w:after="120"/>
        <w:rPr>
          <w:b/>
          <w:lang w:val="en-US"/>
        </w:rPr>
      </w:pPr>
      <w:r w:rsidRPr="00AC0F7A">
        <w:rPr>
          <w:b/>
          <w:lang w:val="en-US"/>
        </w:rPr>
        <w:t xml:space="preserve">Section 65 – </w:t>
      </w:r>
      <w:r>
        <w:rPr>
          <w:b/>
          <w:lang w:val="en-US"/>
        </w:rPr>
        <w:t>P</w:t>
      </w:r>
      <w:r w:rsidRPr="00AC0F7A">
        <w:rPr>
          <w:b/>
          <w:lang w:val="en-US"/>
        </w:rPr>
        <w:t>rohibition on conduct to influence issue of certain certificates</w:t>
      </w:r>
    </w:p>
    <w:p w:rsidR="00FD0D8C" w:rsidRPr="00DC4BC1" w:rsidRDefault="00FD0D8C" w:rsidP="00DC4BC1">
      <w:pPr>
        <w:pStyle w:val="BA10"/>
      </w:pPr>
      <w:r w:rsidRPr="00DC4BC1">
        <w:t>We submit that the list is incomplete as property owners are compelled by legislation to provide a certificate which confirms that gas and security electrical fencing is compliant.</w:t>
      </w:r>
    </w:p>
    <w:p w:rsidR="00FD0D8C" w:rsidRDefault="00FD0D8C" w:rsidP="00FD0D8C">
      <w:pPr>
        <w:pStyle w:val="BA10"/>
        <w:rPr>
          <w:lang w:val="en-US"/>
        </w:rPr>
      </w:pPr>
    </w:p>
    <w:p w:rsidR="00DD64FA" w:rsidRDefault="00DD64FA" w:rsidP="00FD0D8C">
      <w:pPr>
        <w:pStyle w:val="BA10"/>
        <w:spacing w:after="120"/>
        <w:rPr>
          <w:b/>
          <w:i/>
          <w:lang w:val="en-US"/>
        </w:rPr>
      </w:pPr>
    </w:p>
    <w:p w:rsidR="00FD0D8C" w:rsidRDefault="00FD0D8C" w:rsidP="00FD0D8C">
      <w:pPr>
        <w:pStyle w:val="BA10"/>
        <w:spacing w:after="120"/>
        <w:rPr>
          <w:b/>
          <w:i/>
          <w:lang w:val="en-US"/>
        </w:rPr>
      </w:pPr>
      <w:r w:rsidRPr="00AC0F7A">
        <w:rPr>
          <w:b/>
          <w:i/>
          <w:lang w:val="en-US"/>
        </w:rPr>
        <w:t>Recommendation</w:t>
      </w:r>
    </w:p>
    <w:p w:rsidR="00FD0D8C" w:rsidRPr="00DC4BC1" w:rsidRDefault="00FD0D8C" w:rsidP="00DC4BC1">
      <w:pPr>
        <w:pStyle w:val="BA10"/>
      </w:pPr>
      <w:r w:rsidRPr="00DC4BC1">
        <w:t>We recommend that a clause (d) and (e) be added to this section of the Bill to include gas and security electrical fencing.</w:t>
      </w:r>
    </w:p>
    <w:p w:rsidR="00FD0D8C" w:rsidRDefault="00FD0D8C" w:rsidP="00FD0D8C">
      <w:pPr>
        <w:pStyle w:val="BA10"/>
        <w:rPr>
          <w:lang w:val="en-US"/>
        </w:rPr>
      </w:pPr>
    </w:p>
    <w:p w:rsidR="00FD0D8C" w:rsidRDefault="00FD0D8C" w:rsidP="00DD64FA">
      <w:pPr>
        <w:pStyle w:val="BA10"/>
        <w:spacing w:after="120"/>
        <w:rPr>
          <w:b/>
          <w:lang w:val="en-US"/>
        </w:rPr>
      </w:pPr>
      <w:r>
        <w:rPr>
          <w:b/>
          <w:lang w:val="en-US"/>
        </w:rPr>
        <w:t>Section 67(1) Language of Agreements</w:t>
      </w:r>
    </w:p>
    <w:p w:rsidR="00FD0D8C" w:rsidRPr="00DC4BC1" w:rsidRDefault="00FD0D8C" w:rsidP="00DC4BC1">
      <w:pPr>
        <w:pStyle w:val="BA10"/>
      </w:pPr>
      <w:r w:rsidRPr="00DC4BC1">
        <w:t>The requirement that sale/lease agreements be prepared in the language of choice of the purchaser/lessee may be problematic considering the 11 official languages in South Africa and the fact that the agreements need to be understandable to all stakeholders in the property sale/letting process, inclusive of seller, originators, financial institutions, conveyancers etc.</w:t>
      </w:r>
    </w:p>
    <w:p w:rsidR="00FD0D8C" w:rsidRDefault="00FD0D8C" w:rsidP="00FD0D8C">
      <w:pPr>
        <w:pStyle w:val="BA10"/>
        <w:rPr>
          <w:lang w:val="en-US"/>
        </w:rPr>
      </w:pPr>
    </w:p>
    <w:p w:rsidR="00FD0D8C" w:rsidRDefault="00FD0D8C" w:rsidP="00DD64FA">
      <w:pPr>
        <w:pStyle w:val="BA10"/>
        <w:spacing w:after="120"/>
        <w:rPr>
          <w:b/>
          <w:i/>
          <w:lang w:val="en-US"/>
        </w:rPr>
      </w:pPr>
      <w:r>
        <w:rPr>
          <w:b/>
          <w:i/>
          <w:lang w:val="en-US"/>
        </w:rPr>
        <w:t>Recommendation</w:t>
      </w:r>
    </w:p>
    <w:p w:rsidR="00DC4BC1" w:rsidRPr="00DC4BC1" w:rsidRDefault="00DC4BC1" w:rsidP="00DC4BC1">
      <w:pPr>
        <w:pStyle w:val="BA10"/>
      </w:pPr>
      <w:r w:rsidRPr="00DC4BC1">
        <w:t xml:space="preserve">We recommend that this provision be changed and aligned to the provisions of the National Credit Act which deals with Language Statement of Intent, and which dictates that the official version be provided in English and copies be made available in the language of choice, upon request. </w:t>
      </w:r>
    </w:p>
    <w:p w:rsidR="00DC4BC1" w:rsidRPr="00DC4BC1" w:rsidRDefault="00DC4BC1" w:rsidP="00DC4BC1">
      <w:pPr>
        <w:pStyle w:val="BA10"/>
      </w:pPr>
    </w:p>
    <w:p w:rsidR="00DC4BC1" w:rsidRPr="00DC4BC1" w:rsidRDefault="00DC4BC1" w:rsidP="00DC4BC1">
      <w:pPr>
        <w:pStyle w:val="BA10"/>
      </w:pPr>
      <w:r w:rsidRPr="00DC4BC1">
        <w:t>We further draw your attention to the Rental Housing Amendment Act, 2014, more specifically Section 8 (1)(</w:t>
      </w:r>
      <w:proofErr w:type="spellStart"/>
      <w:r w:rsidRPr="00DC4BC1">
        <w:t>i</w:t>
      </w:r>
      <w:proofErr w:type="spellEnd"/>
      <w:r w:rsidRPr="00DC4BC1">
        <w:t>) which states that “the Minister must develop a pro-forma lease agreement in all 11 official languages, containing the minimum requirements set out in this Act, which may be used as a guideline by the tenants and the landlords”. We therefore recommend the need for an alignment between this specific section and this Bill i.e. the Minister needs to draw up pro-forma contracts in all 11 official languages for both sale and lease contracts.</w:t>
      </w:r>
    </w:p>
    <w:p w:rsidR="00451B73" w:rsidRDefault="00451B73" w:rsidP="00FD0D8C">
      <w:pPr>
        <w:pStyle w:val="BA10"/>
        <w:rPr>
          <w:lang w:val="en-US"/>
        </w:rPr>
      </w:pPr>
    </w:p>
    <w:p w:rsidR="00451B73" w:rsidRPr="00DC4BC1" w:rsidRDefault="00451B73" w:rsidP="00DD64FA">
      <w:pPr>
        <w:pStyle w:val="BA10"/>
        <w:spacing w:after="120"/>
        <w:rPr>
          <w:b/>
          <w:lang w:val="en-US"/>
        </w:rPr>
      </w:pPr>
      <w:r w:rsidRPr="00FE6E49">
        <w:rPr>
          <w:b/>
          <w:lang w:val="en-US"/>
        </w:rPr>
        <w:t>Section 69(4) – Property Sector Transformation</w:t>
      </w:r>
    </w:p>
    <w:p w:rsidR="00451B73" w:rsidRPr="00FE6E49" w:rsidRDefault="006438C1" w:rsidP="000B6193">
      <w:pPr>
        <w:pStyle w:val="BA10"/>
        <w:rPr>
          <w:lang w:val="en-US"/>
        </w:rPr>
      </w:pPr>
      <w:r w:rsidRPr="00FE6E49">
        <w:rPr>
          <w:lang w:val="en-US"/>
        </w:rPr>
        <w:t xml:space="preserve">We are </w:t>
      </w:r>
      <w:r w:rsidR="002727D9" w:rsidRPr="00FE6E49">
        <w:rPr>
          <w:lang w:val="en-US"/>
        </w:rPr>
        <w:t xml:space="preserve">supportive of transformation within </w:t>
      </w:r>
      <w:r w:rsidRPr="00FE6E49">
        <w:rPr>
          <w:lang w:val="en-US"/>
        </w:rPr>
        <w:t>the property sector</w:t>
      </w:r>
      <w:r w:rsidR="002727D9" w:rsidRPr="00FE6E49">
        <w:rPr>
          <w:lang w:val="en-US"/>
        </w:rPr>
        <w:t>, including property intermediaries</w:t>
      </w:r>
      <w:r w:rsidRPr="00FE6E49">
        <w:rPr>
          <w:lang w:val="en-US"/>
        </w:rPr>
        <w:t xml:space="preserve">. However, </w:t>
      </w:r>
      <w:r w:rsidR="002727D9" w:rsidRPr="00FE6E49">
        <w:rPr>
          <w:lang w:val="en-US"/>
        </w:rPr>
        <w:t>the wording within clauses 69</w:t>
      </w:r>
      <w:proofErr w:type="gramStart"/>
      <w:r w:rsidR="002727D9" w:rsidRPr="00FE6E49">
        <w:rPr>
          <w:lang w:val="en-US"/>
        </w:rPr>
        <w:t>.(</w:t>
      </w:r>
      <w:proofErr w:type="gramEnd"/>
      <w:r w:rsidR="002727D9" w:rsidRPr="00FE6E49">
        <w:rPr>
          <w:lang w:val="en-US"/>
        </w:rPr>
        <w:t xml:space="preserve">3) and </w:t>
      </w:r>
      <w:r w:rsidRPr="00FE6E49">
        <w:rPr>
          <w:lang w:val="en-US"/>
        </w:rPr>
        <w:t xml:space="preserve">69 (4) </w:t>
      </w:r>
      <w:r w:rsidR="002727D9" w:rsidRPr="00FE6E49">
        <w:rPr>
          <w:lang w:val="en-US"/>
        </w:rPr>
        <w:t xml:space="preserve">go </w:t>
      </w:r>
      <w:r w:rsidRPr="00FE6E49">
        <w:rPr>
          <w:lang w:val="en-US"/>
        </w:rPr>
        <w:t xml:space="preserve">beyond the </w:t>
      </w:r>
      <w:r w:rsidR="002727D9" w:rsidRPr="00FE6E49">
        <w:rPr>
          <w:lang w:val="en-US"/>
        </w:rPr>
        <w:t xml:space="preserve">intent </w:t>
      </w:r>
      <w:r w:rsidRPr="00FE6E49">
        <w:rPr>
          <w:lang w:val="en-US"/>
        </w:rPr>
        <w:t>of the Bill</w:t>
      </w:r>
      <w:r w:rsidR="002727D9" w:rsidRPr="00FE6E49">
        <w:rPr>
          <w:lang w:val="en-US"/>
        </w:rPr>
        <w:t xml:space="preserve">, which is to regulate </w:t>
      </w:r>
      <w:r w:rsidR="00FE6E49" w:rsidRPr="00FE6E49">
        <w:rPr>
          <w:lang w:val="en-US"/>
        </w:rPr>
        <w:t xml:space="preserve">and transform the </w:t>
      </w:r>
      <w:r w:rsidR="002727D9" w:rsidRPr="00FE6E49">
        <w:rPr>
          <w:lang w:val="en-US"/>
        </w:rPr>
        <w:t xml:space="preserve">property </w:t>
      </w:r>
      <w:r w:rsidR="002727D9" w:rsidRPr="0027155B">
        <w:rPr>
          <w:b/>
          <w:lang w:val="en-US"/>
        </w:rPr>
        <w:t>intermediar</w:t>
      </w:r>
      <w:r w:rsidR="00FE6E49" w:rsidRPr="0027155B">
        <w:rPr>
          <w:b/>
          <w:lang w:val="en-US"/>
        </w:rPr>
        <w:t>y</w:t>
      </w:r>
      <w:r w:rsidR="00FE6E49" w:rsidRPr="00FE6E49">
        <w:rPr>
          <w:lang w:val="en-US"/>
        </w:rPr>
        <w:t xml:space="preserve"> sector.</w:t>
      </w:r>
      <w:r w:rsidRPr="00FE6E49">
        <w:rPr>
          <w:lang w:val="en-US"/>
        </w:rPr>
        <w:t xml:space="preserve"> As this is a </w:t>
      </w:r>
      <w:r w:rsidR="002727D9" w:rsidRPr="00FE6E49">
        <w:rPr>
          <w:lang w:val="en-US"/>
        </w:rPr>
        <w:t>P</w:t>
      </w:r>
      <w:r w:rsidRPr="00FE6E49">
        <w:rPr>
          <w:lang w:val="en-US"/>
        </w:rPr>
        <w:t xml:space="preserve">roperty </w:t>
      </w:r>
      <w:r w:rsidR="002727D9" w:rsidRPr="00FE6E49">
        <w:rPr>
          <w:lang w:val="en-US"/>
        </w:rPr>
        <w:t>P</w:t>
      </w:r>
      <w:r w:rsidRPr="00FE6E49">
        <w:rPr>
          <w:lang w:val="en-US"/>
        </w:rPr>
        <w:t>ractitioners Bill</w:t>
      </w:r>
      <w:r w:rsidR="002727D9" w:rsidRPr="00FE6E49">
        <w:rPr>
          <w:lang w:val="en-US"/>
        </w:rPr>
        <w:t xml:space="preserve">, envisaged transformation and </w:t>
      </w:r>
      <w:r w:rsidR="00FE6E49" w:rsidRPr="00FE6E49">
        <w:rPr>
          <w:lang w:val="en-US"/>
        </w:rPr>
        <w:t xml:space="preserve">the creation of </w:t>
      </w:r>
      <w:r w:rsidR="002727D9" w:rsidRPr="00FE6E49">
        <w:rPr>
          <w:lang w:val="en-US"/>
        </w:rPr>
        <w:t xml:space="preserve">a </w:t>
      </w:r>
      <w:r w:rsidR="00FE6E49" w:rsidRPr="00FE6E49">
        <w:rPr>
          <w:lang w:val="en-US"/>
        </w:rPr>
        <w:t>t</w:t>
      </w:r>
      <w:r w:rsidR="002727D9" w:rsidRPr="00FE6E49">
        <w:rPr>
          <w:lang w:val="en-US"/>
        </w:rPr>
        <w:t xml:space="preserve">ransformation fund should </w:t>
      </w:r>
      <w:r w:rsidR="0027155B">
        <w:rPr>
          <w:lang w:val="en-US"/>
        </w:rPr>
        <w:t xml:space="preserve">therefore </w:t>
      </w:r>
      <w:r w:rsidRPr="00FE6E49">
        <w:rPr>
          <w:lang w:val="en-US"/>
        </w:rPr>
        <w:t xml:space="preserve">be restricted to </w:t>
      </w:r>
      <w:r w:rsidR="00FE6E49" w:rsidRPr="00FE6E49">
        <w:rPr>
          <w:lang w:val="en-US"/>
        </w:rPr>
        <w:t xml:space="preserve">expenditure used to </w:t>
      </w:r>
      <w:r w:rsidRPr="00FE6E49">
        <w:rPr>
          <w:lang w:val="en-US"/>
        </w:rPr>
        <w:t xml:space="preserve">transform property practitioners </w:t>
      </w:r>
      <w:r w:rsidR="00FE6E49" w:rsidRPr="00FE6E49">
        <w:rPr>
          <w:lang w:val="en-US"/>
        </w:rPr>
        <w:t>operat</w:t>
      </w:r>
      <w:r w:rsidR="00327412">
        <w:rPr>
          <w:lang w:val="en-US"/>
        </w:rPr>
        <w:t xml:space="preserve">ing </w:t>
      </w:r>
      <w:r w:rsidR="002727D9" w:rsidRPr="00FE6E49">
        <w:rPr>
          <w:lang w:val="en-US"/>
        </w:rPr>
        <w:t xml:space="preserve">within the sector, including </w:t>
      </w:r>
      <w:r w:rsidR="0027155B">
        <w:rPr>
          <w:lang w:val="en-US"/>
        </w:rPr>
        <w:t xml:space="preserve">the </w:t>
      </w:r>
      <w:r w:rsidR="002727D9" w:rsidRPr="00FE6E49">
        <w:rPr>
          <w:lang w:val="en-US"/>
        </w:rPr>
        <w:t xml:space="preserve">upskilling </w:t>
      </w:r>
      <w:r w:rsidR="0027155B">
        <w:rPr>
          <w:lang w:val="en-US"/>
        </w:rPr>
        <w:t xml:space="preserve">of </w:t>
      </w:r>
      <w:r w:rsidR="002727D9" w:rsidRPr="00FE6E49">
        <w:rPr>
          <w:lang w:val="en-US"/>
        </w:rPr>
        <w:t xml:space="preserve">potential homeowners and property practitioners. </w:t>
      </w:r>
      <w:r w:rsidR="00FE6E49" w:rsidRPr="00FE6E49">
        <w:rPr>
          <w:lang w:val="en-US"/>
        </w:rPr>
        <w:t xml:space="preserve">In our view, the purpose of the transformation fund should be to provide opportunities for </w:t>
      </w:r>
      <w:r w:rsidR="00FE6E49" w:rsidRPr="00FE6E49">
        <w:t>historically disadvantaged individuals including women and youth to become property practitioners and thereafter to be able to compete with their established competitors</w:t>
      </w:r>
      <w:r w:rsidR="0027155B">
        <w:t xml:space="preserve"> only. Other entities within DHS focus on access to finance etc. </w:t>
      </w:r>
      <w:r w:rsidR="000B6193" w:rsidRPr="00FE6E49">
        <w:rPr>
          <w:lang w:val="en-US"/>
        </w:rPr>
        <w:t xml:space="preserve"> </w:t>
      </w:r>
      <w:r w:rsidRPr="00FE6E49">
        <w:rPr>
          <w:lang w:val="en-US"/>
        </w:rPr>
        <w:t xml:space="preserve"> </w:t>
      </w:r>
      <w:r w:rsidR="000B6193" w:rsidRPr="00FE6E49">
        <w:rPr>
          <w:lang w:val="en-US"/>
        </w:rPr>
        <w:t xml:space="preserve"> </w:t>
      </w:r>
    </w:p>
    <w:p w:rsidR="00451B73" w:rsidRPr="00FE6E49" w:rsidRDefault="00451B73" w:rsidP="00FD0D8C">
      <w:pPr>
        <w:pStyle w:val="BA10"/>
        <w:rPr>
          <w:b/>
          <w:lang w:val="en-US"/>
        </w:rPr>
      </w:pPr>
    </w:p>
    <w:p w:rsidR="00451B73" w:rsidRPr="00DC4BC1" w:rsidRDefault="00451B73" w:rsidP="00DD64FA">
      <w:pPr>
        <w:pStyle w:val="BA10"/>
        <w:spacing w:after="120"/>
        <w:rPr>
          <w:b/>
          <w:i/>
          <w:lang w:val="en-US"/>
        </w:rPr>
      </w:pPr>
      <w:r w:rsidRPr="00FE6E49">
        <w:rPr>
          <w:b/>
          <w:i/>
          <w:lang w:val="en-US"/>
        </w:rPr>
        <w:t xml:space="preserve">Recommendation  </w:t>
      </w:r>
    </w:p>
    <w:p w:rsidR="00CF0340" w:rsidRDefault="00451B73" w:rsidP="00DC4BC1">
      <w:pPr>
        <w:pStyle w:val="BA10"/>
      </w:pPr>
      <w:r w:rsidRPr="00DC4BC1">
        <w:t xml:space="preserve">We </w:t>
      </w:r>
      <w:r w:rsidR="006438C1" w:rsidRPr="00DC4BC1">
        <w:t xml:space="preserve">recommend that </w:t>
      </w:r>
      <w:r w:rsidR="000B6193" w:rsidRPr="00DC4BC1">
        <w:t>clause</w:t>
      </w:r>
      <w:r w:rsidR="002727D9" w:rsidRPr="00DC4BC1">
        <w:t>s</w:t>
      </w:r>
      <w:r w:rsidR="000B6193" w:rsidRPr="00DC4BC1">
        <w:t xml:space="preserve"> 69</w:t>
      </w:r>
      <w:r w:rsidR="00FE6E49" w:rsidRPr="00DC4BC1">
        <w:t xml:space="preserve">(3) and </w:t>
      </w:r>
      <w:r w:rsidR="000B6193" w:rsidRPr="00DC4BC1">
        <w:t xml:space="preserve">(4) be amended </w:t>
      </w:r>
      <w:r w:rsidR="00FE6E49" w:rsidRPr="00DC4BC1">
        <w:t>accordingly.</w:t>
      </w:r>
    </w:p>
    <w:p w:rsidR="00DC4BC1" w:rsidRPr="00DC4BC1" w:rsidRDefault="00DC4BC1" w:rsidP="00DC4BC1">
      <w:pPr>
        <w:pStyle w:val="BA10"/>
      </w:pPr>
    </w:p>
    <w:p w:rsidR="00CF0340" w:rsidRPr="00CF0340" w:rsidRDefault="00CF0340" w:rsidP="00CF0340">
      <w:pPr>
        <w:pStyle w:val="BA10"/>
        <w:spacing w:after="120"/>
        <w:rPr>
          <w:b/>
          <w:lang w:val="en-US"/>
        </w:rPr>
      </w:pPr>
      <w:r w:rsidRPr="00CF0340">
        <w:rPr>
          <w:b/>
          <w:lang w:val="en-US"/>
        </w:rPr>
        <w:t xml:space="preserve">General Comment </w:t>
      </w:r>
    </w:p>
    <w:p w:rsidR="00CF0340" w:rsidRPr="00CF0340" w:rsidRDefault="00CF0340" w:rsidP="00CF0340">
      <w:pPr>
        <w:pStyle w:val="BA10"/>
        <w:spacing w:after="120"/>
        <w:rPr>
          <w:lang w:val="en-US"/>
        </w:rPr>
      </w:pPr>
      <w:r w:rsidRPr="00CF0340">
        <w:rPr>
          <w:lang w:val="en-US"/>
        </w:rPr>
        <w:lastRenderedPageBreak/>
        <w:t xml:space="preserve">The Financial Intelligence Centre Act </w:t>
      </w:r>
      <w:r>
        <w:rPr>
          <w:lang w:val="en-US"/>
        </w:rPr>
        <w:t xml:space="preserve">(FICA) </w:t>
      </w:r>
      <w:r w:rsidRPr="00CF0340">
        <w:rPr>
          <w:lang w:val="en-US"/>
        </w:rPr>
        <w:t xml:space="preserve">38 of 2001 contains a definition of an Estate Agent </w:t>
      </w:r>
      <w:r>
        <w:rPr>
          <w:lang w:val="en-US"/>
        </w:rPr>
        <w:t xml:space="preserve">within its </w:t>
      </w:r>
      <w:r w:rsidRPr="00CF0340">
        <w:rPr>
          <w:lang w:val="en-US"/>
        </w:rPr>
        <w:t>Schedule 1</w:t>
      </w:r>
      <w:r>
        <w:rPr>
          <w:lang w:val="en-US"/>
        </w:rPr>
        <w:t xml:space="preserve">. This schedule </w:t>
      </w:r>
      <w:r w:rsidRPr="00CF0340">
        <w:rPr>
          <w:lang w:val="en-US"/>
        </w:rPr>
        <w:t xml:space="preserve">describes </w:t>
      </w:r>
      <w:r>
        <w:rPr>
          <w:lang w:val="en-US"/>
        </w:rPr>
        <w:t xml:space="preserve">the parties affected by this Act. It highlights </w:t>
      </w:r>
      <w:r w:rsidRPr="00CF0340">
        <w:rPr>
          <w:lang w:val="en-US"/>
        </w:rPr>
        <w:t>estate agents as defined in the Estate Agency Affairs Act 112 of 1967. As the Bill is repealing the Estate Agency Affairs Act</w:t>
      </w:r>
      <w:r>
        <w:rPr>
          <w:lang w:val="en-US"/>
        </w:rPr>
        <w:t>,</w:t>
      </w:r>
      <w:r w:rsidRPr="00CF0340">
        <w:rPr>
          <w:lang w:val="en-US"/>
        </w:rPr>
        <w:t xml:space="preserve"> </w:t>
      </w:r>
      <w:r>
        <w:rPr>
          <w:lang w:val="en-US"/>
        </w:rPr>
        <w:t>there will be a need for this section within FICA to be amended and for this to be replaced by the Property Practitioners Act and further that reference be made to the definition of property practitioners.</w:t>
      </w:r>
      <w:r w:rsidRPr="00CF0340">
        <w:rPr>
          <w:lang w:val="en-US"/>
        </w:rPr>
        <w:t xml:space="preserve"> </w:t>
      </w:r>
    </w:p>
    <w:p w:rsidR="00DD64FA" w:rsidRDefault="00DD64FA" w:rsidP="00DD64FA">
      <w:pPr>
        <w:pStyle w:val="BA10"/>
        <w:spacing w:after="120"/>
        <w:rPr>
          <w:b/>
          <w:lang w:val="en-US"/>
        </w:rPr>
      </w:pPr>
    </w:p>
    <w:p w:rsidR="00DD64FA" w:rsidRDefault="00DD64FA" w:rsidP="00DD64FA">
      <w:pPr>
        <w:pStyle w:val="BA10"/>
        <w:spacing w:after="120"/>
        <w:rPr>
          <w:b/>
          <w:lang w:val="en-US"/>
        </w:rPr>
      </w:pPr>
    </w:p>
    <w:p w:rsidR="00FD0D8C" w:rsidRDefault="00FD0D8C" w:rsidP="00DD64FA">
      <w:pPr>
        <w:pStyle w:val="BA10"/>
        <w:spacing w:after="120"/>
        <w:rPr>
          <w:b/>
          <w:lang w:val="en-US"/>
        </w:rPr>
      </w:pPr>
      <w:r w:rsidRPr="00D53503">
        <w:rPr>
          <w:b/>
          <w:lang w:val="en-US"/>
        </w:rPr>
        <w:t>Conclusion</w:t>
      </w:r>
    </w:p>
    <w:p w:rsidR="00FD0D8C" w:rsidRPr="00D53503" w:rsidRDefault="00FD0D8C" w:rsidP="00FD0D8C">
      <w:pPr>
        <w:pStyle w:val="BA10"/>
        <w:rPr>
          <w:lang w:val="en-US"/>
        </w:rPr>
      </w:pPr>
      <w:r w:rsidRPr="00DC4BC1">
        <w:t>Whilst we have highlighted a few aspects which we believe needs address, we are fully supportive of the strategic intent of this Bill</w:t>
      </w:r>
      <w:r>
        <w:rPr>
          <w:lang w:val="en-US"/>
        </w:rPr>
        <w:t xml:space="preserve">.   </w:t>
      </w:r>
      <w:r w:rsidRPr="00D53503">
        <w:rPr>
          <w:lang w:val="en-US"/>
        </w:rPr>
        <w:t xml:space="preserve">   </w:t>
      </w:r>
    </w:p>
    <w:p w:rsidR="00FD0D8C" w:rsidRDefault="00FD0D8C" w:rsidP="00FD0D8C">
      <w:pPr>
        <w:pStyle w:val="BA10"/>
        <w:rPr>
          <w:lang w:val="en-US"/>
        </w:rPr>
      </w:pPr>
    </w:p>
    <w:p w:rsidR="00FD0D8C" w:rsidRPr="00276CAF" w:rsidRDefault="00FD0D8C" w:rsidP="00FD0D8C">
      <w:pPr>
        <w:pStyle w:val="BA10"/>
        <w:jc w:val="left"/>
        <w:rPr>
          <w:lang w:val="en-US"/>
        </w:rPr>
      </w:pPr>
      <w:r>
        <w:rPr>
          <w:noProof/>
          <w:lang w:eastAsia="en-ZA"/>
        </w:rPr>
        <w:drawing>
          <wp:anchor distT="0" distB="0" distL="114300" distR="114300" simplePos="0" relativeHeight="251659264" behindDoc="1" locked="0" layoutInCell="1" allowOverlap="1">
            <wp:simplePos x="0" y="0"/>
            <wp:positionH relativeFrom="column">
              <wp:posOffset>-224790</wp:posOffset>
            </wp:positionH>
            <wp:positionV relativeFrom="paragraph">
              <wp:posOffset>94615</wp:posOffset>
            </wp:positionV>
            <wp:extent cx="1647825" cy="6933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rreV.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47825" cy="693378"/>
                    </a:xfrm>
                    <a:prstGeom prst="rect">
                      <a:avLst/>
                    </a:prstGeom>
                  </pic:spPr>
                </pic:pic>
              </a:graphicData>
            </a:graphic>
          </wp:anchor>
        </w:drawing>
      </w:r>
      <w:r>
        <w:rPr>
          <w:lang w:val="en-US"/>
        </w:rPr>
        <w:t xml:space="preserve">Yours sincerely  </w:t>
      </w:r>
    </w:p>
    <w:p w:rsidR="00FD0D8C" w:rsidRDefault="00FD0D8C" w:rsidP="00FD0D8C">
      <w:pPr>
        <w:pStyle w:val="BA10"/>
        <w:jc w:val="left"/>
        <w:rPr>
          <w:lang w:val="en-US"/>
        </w:rPr>
      </w:pPr>
    </w:p>
    <w:p w:rsidR="00FD0D8C" w:rsidRDefault="00FD0D8C" w:rsidP="00FD0D8C">
      <w:pPr>
        <w:pStyle w:val="BA10"/>
        <w:jc w:val="left"/>
        <w:rPr>
          <w:lang w:val="en-US"/>
        </w:rPr>
      </w:pPr>
    </w:p>
    <w:p w:rsidR="00FD0D8C" w:rsidRDefault="00FD0D8C" w:rsidP="00FD0D8C">
      <w:pPr>
        <w:pStyle w:val="BA10"/>
        <w:jc w:val="left"/>
        <w:rPr>
          <w:lang w:val="en-US"/>
        </w:rPr>
      </w:pPr>
    </w:p>
    <w:p w:rsidR="00FD0D8C" w:rsidRDefault="00FD0D8C" w:rsidP="00FD0D8C">
      <w:pPr>
        <w:pStyle w:val="BA10"/>
        <w:jc w:val="left"/>
        <w:rPr>
          <w:lang w:val="en-US"/>
        </w:rPr>
      </w:pPr>
      <w:r>
        <w:rPr>
          <w:lang w:val="en-US"/>
        </w:rPr>
        <w:t>Pierre Venter</w:t>
      </w:r>
    </w:p>
    <w:p w:rsidR="00FD0D8C" w:rsidRDefault="00FD0D8C" w:rsidP="00FD0D8C">
      <w:pPr>
        <w:pStyle w:val="BA10"/>
        <w:jc w:val="left"/>
        <w:rPr>
          <w:lang w:val="en-US"/>
        </w:rPr>
      </w:pPr>
      <w:r>
        <w:rPr>
          <w:lang w:val="en-US"/>
        </w:rPr>
        <w:t>General Manager</w:t>
      </w:r>
    </w:p>
    <w:p w:rsidR="0064547D" w:rsidRPr="00FB5601" w:rsidRDefault="00FD0D8C" w:rsidP="00FD0D8C">
      <w:pPr>
        <w:pStyle w:val="BA10"/>
        <w:rPr>
          <w:rFonts w:asciiTheme="minorHAnsi" w:hAnsiTheme="minorHAnsi"/>
        </w:rPr>
      </w:pPr>
      <w:r>
        <w:rPr>
          <w:lang w:val="en-US"/>
        </w:rPr>
        <w:t>Market Conduct Division</w:t>
      </w:r>
    </w:p>
    <w:sectPr w:rsidR="0064547D" w:rsidRPr="00FB5601" w:rsidSect="00E5328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45" w:rsidRDefault="00D30E45">
      <w:r>
        <w:separator/>
      </w:r>
    </w:p>
  </w:endnote>
  <w:endnote w:type="continuationSeparator" w:id="0">
    <w:p w:rsidR="00D30E45" w:rsidRDefault="00D30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9B" w:rsidRDefault="00A670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7D" w:rsidRDefault="00A45F21">
    <w:pPr>
      <w:pStyle w:val="BA10"/>
      <w:tabs>
        <w:tab w:val="left" w:pos="537"/>
      </w:tabs>
      <w:jc w:val="left"/>
      <w:rPr>
        <w:b/>
        <w:color w:val="636263"/>
        <w:sz w:val="16"/>
        <w:szCs w:val="16"/>
        <w:lang w:val="en-US"/>
      </w:rPr>
    </w:pPr>
    <w:r>
      <w:rPr>
        <w:b/>
        <w:noProof/>
        <w:color w:val="636263"/>
        <w:sz w:val="16"/>
        <w:szCs w:val="16"/>
        <w:lang w:eastAsia="en-ZA"/>
      </w:rPr>
    </w:r>
    <w:r w:rsidRPr="00A45F21">
      <w:rPr>
        <w:b/>
        <w:noProof/>
        <w:color w:val="636263"/>
        <w:sz w:val="16"/>
        <w:szCs w:val="16"/>
        <w:lang w:eastAsia="en-ZA"/>
      </w:rPr>
      <w:pict>
        <v:line id="Line 11" o:spid="_x0000_s4098" style="visibility:visible;mso-wrap-style:square;mso-left-percent:-10001;mso-top-percent:-10001;mso-position-horizontal:absolute;mso-position-horizontal-relative:char;mso-position-vertical:absolute;mso-position-vertical-relative:line;mso-left-percent:-10001;mso-top-percent:-10001" from="0,0" to="453.55pt,0" strokecolor="#636263">
          <w10:wrap type="none"/>
          <w10:anchorlock/>
        </v:line>
      </w:pict>
    </w:r>
  </w:p>
  <w:p w:rsidR="0064547D" w:rsidRDefault="00A45F21">
    <w:pPr>
      <w:pStyle w:val="BA10"/>
      <w:jc w:val="right"/>
      <w:rPr>
        <w:b/>
        <w:color w:val="636263"/>
        <w:sz w:val="16"/>
        <w:szCs w:val="16"/>
        <w:lang w:val="en-US"/>
      </w:rPr>
    </w:pPr>
    <w:fldSimple w:instr=" DOCPROPERTY  WorkSite_DocRef  \* MERGEFORMAT ">
      <w:r w:rsidR="008A7999">
        <w:rPr>
          <w:color w:val="636263"/>
          <w:sz w:val="16"/>
          <w:szCs w:val="16"/>
        </w:rPr>
        <w:t>PIERREV/#244271_V1</w:t>
      </w:r>
    </w:fldSimple>
    <w:r w:rsidR="001D3B6D">
      <w:rPr>
        <w:b/>
        <w:noProof/>
        <w:color w:val="636263"/>
        <w:sz w:val="16"/>
        <w:szCs w:val="16"/>
        <w:lang w:eastAsia="en-ZA"/>
      </w:rPr>
      <w:drawing>
        <wp:anchor distT="0" distB="0" distL="114300" distR="114300" simplePos="0" relativeHeight="251656704" behindDoc="0" locked="1" layoutInCell="1" allowOverlap="1">
          <wp:simplePos x="0" y="0"/>
          <wp:positionH relativeFrom="page">
            <wp:posOffset>7021195</wp:posOffset>
          </wp:positionH>
          <wp:positionV relativeFrom="page">
            <wp:posOffset>8705850</wp:posOffset>
          </wp:positionV>
          <wp:extent cx="179705" cy="1266190"/>
          <wp:effectExtent l="0" t="0" r="0" b="0"/>
          <wp:wrapNone/>
          <wp:docPr id="5" name="Picture 2" descr="BALogo_Continuation_8bitColour600dpi_w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_Continuation_8bitColour600dpi_w50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705" cy="126619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7D" w:rsidRDefault="00A45F21">
    <w:pPr>
      <w:pStyle w:val="BA10"/>
      <w:tabs>
        <w:tab w:val="right" w:pos="9072"/>
      </w:tabs>
      <w:jc w:val="center"/>
      <w:rPr>
        <w:color w:val="636263"/>
        <w:sz w:val="16"/>
        <w:szCs w:val="16"/>
      </w:rPr>
    </w:pPr>
    <w:r w:rsidRPr="00A45F21">
      <w:rPr>
        <w:b/>
        <w:noProof/>
        <w:color w:val="636263"/>
        <w:sz w:val="16"/>
        <w:szCs w:val="16"/>
        <w:lang w:eastAsia="en-ZA"/>
      </w:rPr>
      <w:pict>
        <v:line id="Line 7"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" strokecolor="#636263"/>
      </w:pict>
    </w:r>
  </w:p>
  <w:p w:rsidR="0064547D" w:rsidRPr="00E47E0C" w:rsidRDefault="0064547D" w:rsidP="00293550">
    <w:pPr>
      <w:pStyle w:val="BA10"/>
      <w:tabs>
        <w:tab w:val="left" w:pos="1985"/>
        <w:tab w:val="left" w:pos="2127"/>
        <w:tab w:val="right" w:pos="9072"/>
      </w:tabs>
      <w:jc w:val="left"/>
      <w:rPr>
        <w:rFonts w:asciiTheme="minorHAnsi" w:hAnsiTheme="minorHAnsi" w:cstheme="minorHAnsi"/>
        <w:color w:val="636263"/>
        <w:sz w:val="15"/>
        <w:szCs w:val="15"/>
      </w:rPr>
    </w:pPr>
    <w:r w:rsidRPr="00E47E0C">
      <w:rPr>
        <w:rFonts w:asciiTheme="minorHAnsi" w:hAnsiTheme="minorHAnsi" w:cstheme="minorHAnsi"/>
        <w:b/>
        <w:color w:val="636263"/>
        <w:sz w:val="15"/>
        <w:szCs w:val="15"/>
      </w:rPr>
      <w:t>Registration Number</w:t>
    </w:r>
    <w:r w:rsidR="00293550" w:rsidRPr="00E47E0C">
      <w:rPr>
        <w:rFonts w:asciiTheme="minorHAnsi" w:hAnsiTheme="minorHAnsi" w:cstheme="minorHAnsi"/>
        <w:b/>
        <w:color w:val="636263"/>
        <w:sz w:val="15"/>
        <w:szCs w:val="15"/>
      </w:rPr>
      <w:tab/>
    </w:r>
    <w:r w:rsidRPr="00E47E0C">
      <w:rPr>
        <w:rFonts w:asciiTheme="minorHAnsi" w:hAnsiTheme="minorHAnsi" w:cstheme="minorHAnsi"/>
        <w:b/>
        <w:color w:val="636263"/>
        <w:sz w:val="15"/>
        <w:szCs w:val="15"/>
      </w:rPr>
      <w:t>:</w:t>
    </w:r>
    <w:r w:rsidR="00293550" w:rsidRPr="00E47E0C">
      <w:rPr>
        <w:rFonts w:asciiTheme="minorHAnsi" w:hAnsiTheme="minorHAnsi" w:cstheme="minorHAnsi"/>
        <w:b/>
        <w:color w:val="636263"/>
        <w:sz w:val="15"/>
        <w:szCs w:val="15"/>
      </w:rPr>
      <w:tab/>
    </w:r>
    <w:r w:rsidR="006A1AD9" w:rsidRPr="00E47E0C">
      <w:rPr>
        <w:rFonts w:asciiTheme="minorHAnsi" w:hAnsiTheme="minorHAnsi" w:cstheme="minorHAnsi"/>
        <w:color w:val="636263"/>
        <w:sz w:val="15"/>
        <w:szCs w:val="15"/>
      </w:rPr>
      <w:t>1992/00</w:t>
    </w:r>
    <w:r w:rsidR="00143602" w:rsidRPr="00E47E0C">
      <w:rPr>
        <w:rFonts w:asciiTheme="minorHAnsi" w:hAnsiTheme="minorHAnsi" w:cstheme="minorHAnsi"/>
        <w:color w:val="636263"/>
        <w:sz w:val="15"/>
        <w:szCs w:val="15"/>
      </w:rPr>
      <w:t xml:space="preserve">1350/08 </w:t>
    </w:r>
    <w:r w:rsidR="00293550" w:rsidRPr="00E47E0C">
      <w:rPr>
        <w:rFonts w:asciiTheme="minorHAnsi" w:hAnsiTheme="minorHAnsi" w:cstheme="minorHAnsi"/>
        <w:color w:val="636263"/>
        <w:sz w:val="15"/>
        <w:szCs w:val="15"/>
      </w:rPr>
      <w:t xml:space="preserve">     </w:t>
    </w:r>
    <w:r w:rsidR="00143602" w:rsidRPr="00E47E0C">
      <w:rPr>
        <w:rFonts w:asciiTheme="minorHAnsi" w:hAnsiTheme="minorHAnsi" w:cstheme="minorHAnsi"/>
        <w:color w:val="636263"/>
        <w:sz w:val="15"/>
        <w:szCs w:val="15"/>
      </w:rPr>
      <w:t>A non</w:t>
    </w:r>
    <w:r w:rsidR="00293550" w:rsidRPr="00E47E0C">
      <w:rPr>
        <w:rFonts w:asciiTheme="minorHAnsi" w:hAnsiTheme="minorHAnsi" w:cstheme="minorHAnsi"/>
        <w:color w:val="636263"/>
        <w:sz w:val="15"/>
        <w:szCs w:val="15"/>
      </w:rPr>
      <w:t>-p</w:t>
    </w:r>
    <w:r w:rsidR="00143602" w:rsidRPr="00E47E0C">
      <w:rPr>
        <w:rFonts w:asciiTheme="minorHAnsi" w:hAnsiTheme="minorHAnsi" w:cstheme="minorHAnsi"/>
        <w:color w:val="636263"/>
        <w:sz w:val="15"/>
        <w:szCs w:val="15"/>
      </w:rPr>
      <w:t xml:space="preserve">rofit </w:t>
    </w:r>
    <w:r w:rsidR="00293550" w:rsidRPr="00E47E0C">
      <w:rPr>
        <w:rFonts w:asciiTheme="minorHAnsi" w:hAnsiTheme="minorHAnsi" w:cstheme="minorHAnsi"/>
        <w:color w:val="636263"/>
        <w:sz w:val="15"/>
        <w:szCs w:val="15"/>
      </w:rPr>
      <w:t>c</w:t>
    </w:r>
    <w:r w:rsidR="00143602" w:rsidRPr="00E47E0C">
      <w:rPr>
        <w:rFonts w:asciiTheme="minorHAnsi" w:hAnsiTheme="minorHAnsi" w:cstheme="minorHAnsi"/>
        <w:color w:val="636263"/>
        <w:sz w:val="15"/>
        <w:szCs w:val="15"/>
      </w:rPr>
      <w:t>ompany un</w:t>
    </w:r>
    <w:r w:rsidR="006A1AD9" w:rsidRPr="00E47E0C">
      <w:rPr>
        <w:rFonts w:asciiTheme="minorHAnsi" w:hAnsiTheme="minorHAnsi" w:cstheme="minorHAnsi"/>
        <w:color w:val="636263"/>
        <w:sz w:val="15"/>
        <w:szCs w:val="15"/>
      </w:rPr>
      <w:t>der the Companies Act 2008</w:t>
    </w:r>
  </w:p>
  <w:p w:rsidR="00E47E0C" w:rsidRDefault="0064547D" w:rsidP="009241D2">
    <w:pPr>
      <w:pStyle w:val="BA10"/>
      <w:tabs>
        <w:tab w:val="left" w:pos="1985"/>
        <w:tab w:val="left" w:pos="2127"/>
        <w:tab w:val="right" w:pos="9072"/>
      </w:tabs>
      <w:rPr>
        <w:rFonts w:asciiTheme="minorHAnsi" w:hAnsiTheme="minorHAnsi" w:cstheme="minorHAnsi"/>
        <w:color w:val="636263"/>
        <w:sz w:val="15"/>
        <w:szCs w:val="15"/>
      </w:rPr>
    </w:pPr>
    <w:r w:rsidRPr="00E47E0C">
      <w:rPr>
        <w:rFonts w:asciiTheme="minorHAnsi" w:hAnsiTheme="minorHAnsi" w:cstheme="minorHAnsi"/>
        <w:b/>
        <w:color w:val="636263"/>
        <w:sz w:val="15"/>
        <w:szCs w:val="15"/>
      </w:rPr>
      <w:t>Directors</w:t>
    </w:r>
    <w:r w:rsidR="00293550" w:rsidRPr="00E47E0C">
      <w:rPr>
        <w:rFonts w:asciiTheme="minorHAnsi" w:hAnsiTheme="minorHAnsi" w:cstheme="minorHAnsi"/>
        <w:b/>
        <w:color w:val="636263"/>
        <w:sz w:val="15"/>
        <w:szCs w:val="15"/>
      </w:rPr>
      <w:tab/>
    </w:r>
    <w:r w:rsidRPr="00E47E0C">
      <w:rPr>
        <w:rFonts w:asciiTheme="minorHAnsi" w:hAnsiTheme="minorHAnsi" w:cstheme="minorHAnsi"/>
        <w:b/>
        <w:color w:val="636263"/>
        <w:sz w:val="15"/>
        <w:szCs w:val="15"/>
      </w:rPr>
      <w:t>:</w:t>
    </w:r>
    <w:r w:rsidR="00293550" w:rsidRPr="00E47E0C">
      <w:rPr>
        <w:rFonts w:asciiTheme="minorHAnsi" w:hAnsiTheme="minorHAnsi" w:cstheme="minorHAnsi"/>
        <w:color w:val="636263"/>
        <w:sz w:val="15"/>
        <w:szCs w:val="15"/>
      </w:rPr>
      <w:tab/>
    </w:r>
    <w:r w:rsidR="009241D2" w:rsidRPr="00E47E0C">
      <w:rPr>
        <w:rFonts w:asciiTheme="minorHAnsi" w:hAnsiTheme="minorHAnsi" w:cstheme="minorHAnsi"/>
        <w:color w:val="636263"/>
        <w:sz w:val="15"/>
        <w:szCs w:val="15"/>
      </w:rPr>
      <w:t xml:space="preserve">MWT Brown </w:t>
    </w:r>
    <w:r w:rsidRPr="00E47E0C">
      <w:rPr>
        <w:rFonts w:asciiTheme="minorHAnsi" w:hAnsiTheme="minorHAnsi" w:cstheme="minorHAnsi"/>
        <w:color w:val="636263"/>
        <w:sz w:val="15"/>
        <w:szCs w:val="15"/>
      </w:rPr>
      <w:t>(Chairman), C </w:t>
    </w:r>
    <w:proofErr w:type="spellStart"/>
    <w:r w:rsidRPr="00E47E0C">
      <w:rPr>
        <w:rFonts w:asciiTheme="minorHAnsi" w:hAnsiTheme="minorHAnsi" w:cstheme="minorHAnsi"/>
        <w:color w:val="636263"/>
        <w:sz w:val="15"/>
        <w:szCs w:val="15"/>
      </w:rPr>
      <w:t>Coovadia</w:t>
    </w:r>
    <w:proofErr w:type="spellEnd"/>
    <w:r w:rsidRPr="00E47E0C">
      <w:rPr>
        <w:rFonts w:asciiTheme="minorHAnsi" w:hAnsiTheme="minorHAnsi" w:cstheme="minorHAnsi"/>
        <w:color w:val="636263"/>
        <w:sz w:val="15"/>
        <w:szCs w:val="15"/>
      </w:rPr>
      <w:t xml:space="preserve"> (Managing), </w:t>
    </w:r>
    <w:r w:rsidR="009241D2" w:rsidRPr="00E47E0C">
      <w:rPr>
        <w:rFonts w:asciiTheme="minorHAnsi" w:hAnsiTheme="minorHAnsi" w:cstheme="minorHAnsi"/>
        <w:color w:val="636263"/>
        <w:sz w:val="15"/>
        <w:szCs w:val="15"/>
      </w:rPr>
      <w:t xml:space="preserve">AP </w:t>
    </w:r>
    <w:proofErr w:type="spellStart"/>
    <w:r w:rsidR="009241D2" w:rsidRPr="00E47E0C">
      <w:rPr>
        <w:rFonts w:asciiTheme="minorHAnsi" w:hAnsiTheme="minorHAnsi" w:cstheme="minorHAnsi"/>
        <w:color w:val="636263"/>
        <w:sz w:val="15"/>
        <w:szCs w:val="15"/>
      </w:rPr>
      <w:t>Pullinger</w:t>
    </w:r>
    <w:proofErr w:type="spellEnd"/>
    <w:r w:rsidR="009241D2" w:rsidRPr="00E47E0C">
      <w:rPr>
        <w:rFonts w:asciiTheme="minorHAnsi" w:hAnsiTheme="minorHAnsi" w:cstheme="minorHAnsi"/>
        <w:color w:val="636263"/>
        <w:sz w:val="15"/>
        <w:szCs w:val="15"/>
      </w:rPr>
      <w:t xml:space="preserve">, </w:t>
    </w:r>
    <w:r w:rsidR="00A73490" w:rsidRPr="00E47E0C">
      <w:rPr>
        <w:rFonts w:asciiTheme="minorHAnsi" w:hAnsiTheme="minorHAnsi" w:cstheme="minorHAnsi"/>
        <w:color w:val="636263"/>
        <w:sz w:val="15"/>
        <w:szCs w:val="15"/>
      </w:rPr>
      <w:t>GM Fourie</w:t>
    </w:r>
    <w:r w:rsidR="00D90E89" w:rsidRPr="00E47E0C">
      <w:rPr>
        <w:rFonts w:asciiTheme="minorHAnsi" w:hAnsiTheme="minorHAnsi" w:cstheme="minorHAnsi"/>
        <w:color w:val="636263"/>
        <w:sz w:val="15"/>
        <w:szCs w:val="15"/>
      </w:rPr>
      <w:t>,</w:t>
    </w:r>
    <w:r w:rsidR="009241D2" w:rsidRPr="00E47E0C">
      <w:rPr>
        <w:rFonts w:asciiTheme="minorHAnsi" w:hAnsiTheme="minorHAnsi" w:cstheme="minorHAnsi"/>
        <w:color w:val="636263"/>
        <w:sz w:val="15"/>
        <w:szCs w:val="15"/>
      </w:rPr>
      <w:t xml:space="preserve"> </w:t>
    </w:r>
    <w:r w:rsidR="00D47FBD" w:rsidRPr="00E47E0C">
      <w:rPr>
        <w:rFonts w:asciiTheme="minorHAnsi" w:hAnsiTheme="minorHAnsi" w:cstheme="minorHAnsi"/>
        <w:color w:val="636263"/>
        <w:sz w:val="15"/>
        <w:szCs w:val="15"/>
      </w:rPr>
      <w:t xml:space="preserve">KR </w:t>
    </w:r>
    <w:proofErr w:type="spellStart"/>
    <w:r w:rsidR="00D47FBD" w:rsidRPr="00E47E0C">
      <w:rPr>
        <w:rFonts w:asciiTheme="minorHAnsi" w:hAnsiTheme="minorHAnsi" w:cstheme="minorHAnsi"/>
        <w:color w:val="636263"/>
        <w:sz w:val="15"/>
        <w:szCs w:val="15"/>
      </w:rPr>
      <w:t>Kumbier</w:t>
    </w:r>
    <w:proofErr w:type="spellEnd"/>
    <w:r w:rsidR="00D47FBD" w:rsidRPr="00E47E0C">
      <w:rPr>
        <w:rFonts w:asciiTheme="minorHAnsi" w:hAnsiTheme="minorHAnsi" w:cstheme="minorHAnsi"/>
        <w:color w:val="636263"/>
        <w:sz w:val="15"/>
        <w:szCs w:val="15"/>
      </w:rPr>
      <w:t xml:space="preserve">, </w:t>
    </w:r>
    <w:r w:rsidR="00D47FBD" w:rsidRPr="00E47E0C">
      <w:rPr>
        <w:rFonts w:asciiTheme="minorHAnsi" w:hAnsiTheme="minorHAnsi" w:cstheme="minorHAnsi"/>
        <w:color w:val="636263"/>
        <w:sz w:val="15"/>
        <w:szCs w:val="15"/>
      </w:rPr>
      <w:tab/>
    </w:r>
    <w:r w:rsidR="009241D2" w:rsidRPr="00E47E0C">
      <w:rPr>
        <w:rFonts w:asciiTheme="minorHAnsi" w:hAnsiTheme="minorHAnsi" w:cstheme="minorHAnsi"/>
        <w:color w:val="636263"/>
        <w:sz w:val="15"/>
        <w:szCs w:val="15"/>
      </w:rPr>
      <w:t>Ms M Ramos,</w:t>
    </w:r>
    <w:r w:rsidR="007B4FBB" w:rsidRPr="00E47E0C">
      <w:rPr>
        <w:rFonts w:asciiTheme="minorHAnsi" w:hAnsiTheme="minorHAnsi" w:cstheme="minorHAnsi"/>
        <w:color w:val="636263"/>
        <w:sz w:val="15"/>
        <w:szCs w:val="15"/>
      </w:rPr>
      <w:t xml:space="preserve"> M </w:t>
    </w:r>
    <w:proofErr w:type="spellStart"/>
    <w:r w:rsidR="007B4FBB" w:rsidRPr="00E47E0C">
      <w:rPr>
        <w:rFonts w:asciiTheme="minorHAnsi" w:hAnsiTheme="minorHAnsi" w:cstheme="minorHAnsi"/>
        <w:color w:val="636263"/>
        <w:sz w:val="15"/>
        <w:szCs w:val="15"/>
      </w:rPr>
      <w:t>Stadler</w:t>
    </w:r>
    <w:proofErr w:type="spellEnd"/>
    <w:r w:rsidR="007B4FBB" w:rsidRPr="00E47E0C">
      <w:rPr>
        <w:rFonts w:asciiTheme="minorHAnsi" w:hAnsiTheme="minorHAnsi" w:cstheme="minorHAnsi"/>
        <w:color w:val="636263"/>
        <w:sz w:val="15"/>
        <w:szCs w:val="15"/>
      </w:rPr>
      <w:t>,</w:t>
    </w:r>
    <w:r w:rsidR="00D47FBD" w:rsidRPr="00E47E0C">
      <w:rPr>
        <w:rFonts w:asciiTheme="minorHAnsi" w:hAnsiTheme="minorHAnsi" w:cstheme="minorHAnsi"/>
        <w:color w:val="636263"/>
        <w:sz w:val="15"/>
        <w:szCs w:val="15"/>
      </w:rPr>
      <w:t xml:space="preserve"> </w:t>
    </w:r>
    <w:r w:rsidR="00A73490" w:rsidRPr="00E47E0C">
      <w:rPr>
        <w:rFonts w:asciiTheme="minorHAnsi" w:hAnsiTheme="minorHAnsi" w:cstheme="minorHAnsi"/>
        <w:color w:val="636263"/>
        <w:sz w:val="15"/>
        <w:szCs w:val="15"/>
      </w:rPr>
      <w:t xml:space="preserve">S </w:t>
    </w:r>
    <w:proofErr w:type="spellStart"/>
    <w:r w:rsidR="00A73490" w:rsidRPr="00E47E0C">
      <w:rPr>
        <w:rFonts w:asciiTheme="minorHAnsi" w:hAnsiTheme="minorHAnsi" w:cstheme="minorHAnsi"/>
        <w:color w:val="636263"/>
        <w:sz w:val="15"/>
        <w:szCs w:val="15"/>
      </w:rPr>
      <w:t>Koseff</w:t>
    </w:r>
    <w:proofErr w:type="spellEnd"/>
    <w:r w:rsidRPr="00E47E0C">
      <w:rPr>
        <w:rFonts w:asciiTheme="minorHAnsi" w:hAnsiTheme="minorHAnsi" w:cstheme="minorHAnsi"/>
        <w:color w:val="636263"/>
        <w:sz w:val="15"/>
        <w:szCs w:val="15"/>
      </w:rPr>
      <w:t>,</w:t>
    </w:r>
  </w:p>
  <w:p w:rsidR="001D3B6D" w:rsidRPr="00E47E0C" w:rsidRDefault="00E47E0C" w:rsidP="009241D2">
    <w:pPr>
      <w:pStyle w:val="BA10"/>
      <w:tabs>
        <w:tab w:val="left" w:pos="1985"/>
        <w:tab w:val="left" w:pos="2127"/>
        <w:tab w:val="right" w:pos="9072"/>
      </w:tabs>
      <w:rPr>
        <w:rFonts w:asciiTheme="minorHAnsi" w:hAnsiTheme="minorHAnsi" w:cstheme="minorHAnsi"/>
        <w:color w:val="636263"/>
        <w:sz w:val="15"/>
        <w:szCs w:val="15"/>
      </w:rPr>
    </w:pPr>
    <w:r>
      <w:rPr>
        <w:rFonts w:asciiTheme="minorHAnsi" w:hAnsiTheme="minorHAnsi" w:cstheme="minorHAnsi"/>
        <w:color w:val="636263"/>
        <w:sz w:val="15"/>
        <w:szCs w:val="15"/>
      </w:rPr>
      <w:tab/>
    </w:r>
    <w:r>
      <w:rPr>
        <w:rFonts w:asciiTheme="minorHAnsi" w:hAnsiTheme="minorHAnsi" w:cstheme="minorHAnsi"/>
        <w:color w:val="636263"/>
        <w:sz w:val="15"/>
        <w:szCs w:val="15"/>
      </w:rPr>
      <w:tab/>
    </w:r>
    <w:r w:rsidR="00A73490" w:rsidRPr="00E47E0C">
      <w:rPr>
        <w:rFonts w:asciiTheme="minorHAnsi" w:hAnsiTheme="minorHAnsi" w:cstheme="minorHAnsi"/>
        <w:color w:val="636263"/>
        <w:sz w:val="15"/>
        <w:szCs w:val="15"/>
      </w:rPr>
      <w:t>SK Tshabalala</w:t>
    </w:r>
    <w:r w:rsidR="003B13F2" w:rsidRPr="00E47E0C">
      <w:rPr>
        <w:rFonts w:asciiTheme="minorHAnsi" w:hAnsiTheme="minorHAnsi" w:cstheme="minorHAnsi"/>
        <w:color w:val="636263"/>
        <w:sz w:val="15"/>
        <w:szCs w:val="15"/>
      </w:rPr>
      <w:t xml:space="preserve">, </w:t>
    </w:r>
    <w:r w:rsidR="00934F88" w:rsidRPr="00E47E0C">
      <w:rPr>
        <w:rFonts w:asciiTheme="minorHAnsi" w:hAnsiTheme="minorHAnsi" w:cstheme="minorHAnsi"/>
        <w:color w:val="636263"/>
        <w:sz w:val="15"/>
        <w:szCs w:val="15"/>
      </w:rPr>
      <w:t>V</w:t>
    </w:r>
    <w:r w:rsidR="00395550" w:rsidRPr="00E47E0C">
      <w:rPr>
        <w:rFonts w:asciiTheme="minorHAnsi" w:hAnsiTheme="minorHAnsi" w:cstheme="minorHAnsi"/>
        <w:color w:val="636263"/>
        <w:sz w:val="15"/>
        <w:szCs w:val="15"/>
      </w:rPr>
      <w:t>SK</w:t>
    </w:r>
    <w:r w:rsidR="00934F88" w:rsidRPr="00E47E0C">
      <w:rPr>
        <w:rFonts w:asciiTheme="minorHAnsi" w:hAnsiTheme="minorHAnsi" w:cstheme="minorHAnsi"/>
        <w:color w:val="636263"/>
        <w:sz w:val="15"/>
        <w:szCs w:val="15"/>
      </w:rPr>
      <w:t xml:space="preserve"> </w:t>
    </w:r>
    <w:proofErr w:type="spellStart"/>
    <w:r w:rsidR="00395550" w:rsidRPr="00E47E0C">
      <w:rPr>
        <w:rFonts w:asciiTheme="minorHAnsi" w:hAnsiTheme="minorHAnsi" w:cstheme="minorHAnsi"/>
        <w:color w:val="636263"/>
        <w:sz w:val="15"/>
        <w:szCs w:val="15"/>
      </w:rPr>
      <w:t>Khandelwal</w:t>
    </w:r>
    <w:proofErr w:type="spellEnd"/>
    <w:r w:rsidR="00934F88" w:rsidRPr="00E47E0C">
      <w:rPr>
        <w:rFonts w:asciiTheme="minorHAnsi" w:hAnsiTheme="minorHAnsi" w:cstheme="minorHAnsi"/>
        <w:color w:val="636263"/>
        <w:sz w:val="15"/>
        <w:szCs w:val="15"/>
      </w:rPr>
      <w:t xml:space="preserve"> </w:t>
    </w:r>
    <w:r w:rsidR="00956CDF" w:rsidRPr="00E47E0C">
      <w:rPr>
        <w:rFonts w:asciiTheme="minorHAnsi" w:hAnsiTheme="minorHAnsi" w:cstheme="minorHAnsi"/>
        <w:color w:val="636263"/>
        <w:sz w:val="15"/>
        <w:szCs w:val="15"/>
      </w:rPr>
      <w:t>(</w:t>
    </w:r>
    <w:r w:rsidR="00395550" w:rsidRPr="00E47E0C">
      <w:rPr>
        <w:rFonts w:asciiTheme="minorHAnsi" w:hAnsiTheme="minorHAnsi" w:cstheme="minorHAnsi"/>
        <w:i/>
        <w:color w:val="636263"/>
        <w:sz w:val="12"/>
        <w:szCs w:val="12"/>
      </w:rPr>
      <w:t>Indian</w:t>
    </w:r>
    <w:r w:rsidR="00956CDF" w:rsidRPr="00E47E0C">
      <w:rPr>
        <w:rFonts w:asciiTheme="minorHAnsi" w:hAnsiTheme="minorHAnsi" w:cstheme="minorHAnsi"/>
        <w:color w:val="636263"/>
        <w:sz w:val="15"/>
        <w:szCs w:val="15"/>
      </w:rPr>
      <w:t>)</w:t>
    </w:r>
    <w:r w:rsidR="006A1AD9" w:rsidRPr="00E47E0C">
      <w:rPr>
        <w:rFonts w:asciiTheme="minorHAnsi" w:hAnsiTheme="minorHAnsi" w:cstheme="minorHAnsi"/>
        <w:color w:val="636263"/>
        <w:sz w:val="15"/>
        <w:szCs w:val="15"/>
      </w:rPr>
      <w:t xml:space="preserve"> </w:t>
    </w:r>
  </w:p>
  <w:p w:rsidR="0064547D" w:rsidRPr="00E47E0C" w:rsidRDefault="0064547D" w:rsidP="00293550">
    <w:pPr>
      <w:pStyle w:val="BA10"/>
      <w:tabs>
        <w:tab w:val="left" w:pos="1985"/>
        <w:tab w:val="left" w:pos="2127"/>
      </w:tabs>
      <w:rPr>
        <w:rFonts w:asciiTheme="minorHAnsi" w:hAnsiTheme="minorHAnsi" w:cstheme="minorHAnsi"/>
        <w:color w:val="636263"/>
        <w:sz w:val="15"/>
        <w:szCs w:val="15"/>
      </w:rPr>
    </w:pPr>
    <w:r w:rsidRPr="00E47E0C">
      <w:rPr>
        <w:rFonts w:asciiTheme="minorHAnsi" w:hAnsiTheme="minorHAnsi" w:cstheme="minorHAnsi"/>
        <w:b/>
        <w:color w:val="636263"/>
        <w:sz w:val="15"/>
        <w:szCs w:val="15"/>
      </w:rPr>
      <w:t>Company Secretary</w:t>
    </w:r>
    <w:r w:rsidR="00293550" w:rsidRPr="00E47E0C">
      <w:rPr>
        <w:rFonts w:asciiTheme="minorHAnsi" w:hAnsiTheme="minorHAnsi" w:cstheme="minorHAnsi"/>
        <w:b/>
        <w:color w:val="636263"/>
        <w:sz w:val="15"/>
        <w:szCs w:val="15"/>
      </w:rPr>
      <w:tab/>
    </w:r>
    <w:r w:rsidRPr="00E47E0C">
      <w:rPr>
        <w:rFonts w:asciiTheme="minorHAnsi" w:hAnsiTheme="minorHAnsi" w:cstheme="minorHAnsi"/>
        <w:b/>
        <w:color w:val="636263"/>
        <w:sz w:val="15"/>
        <w:szCs w:val="15"/>
      </w:rPr>
      <w:t>:</w:t>
    </w:r>
    <w:r w:rsidR="00293550" w:rsidRPr="00E47E0C">
      <w:rPr>
        <w:rFonts w:asciiTheme="minorHAnsi" w:hAnsiTheme="minorHAnsi" w:cstheme="minorHAnsi"/>
        <w:b/>
        <w:color w:val="636263"/>
        <w:sz w:val="15"/>
        <w:szCs w:val="15"/>
      </w:rPr>
      <w:tab/>
    </w:r>
    <w:r w:rsidR="00B60A0B" w:rsidRPr="00E47E0C">
      <w:rPr>
        <w:rFonts w:asciiTheme="minorHAnsi" w:hAnsiTheme="minorHAnsi" w:cstheme="minorHAnsi"/>
        <w:color w:val="636263"/>
        <w:sz w:val="15"/>
        <w:szCs w:val="15"/>
      </w:rPr>
      <w:t xml:space="preserve">Ms </w:t>
    </w:r>
    <w:r w:rsidR="00FB5601">
      <w:rPr>
        <w:rFonts w:asciiTheme="minorHAnsi" w:hAnsiTheme="minorHAnsi" w:cstheme="minorHAnsi"/>
        <w:color w:val="636263"/>
        <w:sz w:val="15"/>
        <w:szCs w:val="15"/>
      </w:rPr>
      <w:t>N Buthelezi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45" w:rsidRDefault="00D30E45">
      <w:r>
        <w:separator/>
      </w:r>
    </w:p>
  </w:footnote>
  <w:footnote w:type="continuationSeparator" w:id="0">
    <w:p w:rsidR="00D30E45" w:rsidRDefault="00D30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7D" w:rsidRDefault="00A45F21">
    <w:pPr>
      <w:pStyle w:val="Header"/>
      <w:framePr w:wrap="around" w:vAnchor="text" w:hAnchor="margin" w:xAlign="center" w:y="1"/>
      <w:rPr>
        <w:rStyle w:val="PageNumber"/>
      </w:rPr>
    </w:pPr>
    <w:r>
      <w:rPr>
        <w:rStyle w:val="PageNumber"/>
      </w:rPr>
      <w:fldChar w:fldCharType="begin"/>
    </w:r>
    <w:r w:rsidR="0064547D">
      <w:rPr>
        <w:rStyle w:val="PageNumber"/>
      </w:rPr>
      <w:instrText xml:space="preserve">PAGE  </w:instrText>
    </w:r>
    <w:r>
      <w:rPr>
        <w:rStyle w:val="PageNumber"/>
      </w:rPr>
      <w:fldChar w:fldCharType="separate"/>
    </w:r>
    <w:r w:rsidR="0064547D">
      <w:rPr>
        <w:rStyle w:val="PageNumber"/>
        <w:noProof/>
      </w:rPr>
      <w:t>1</w:t>
    </w:r>
    <w:r>
      <w:rPr>
        <w:rStyle w:val="PageNumber"/>
      </w:rPr>
      <w:fldChar w:fldCharType="end"/>
    </w:r>
  </w:p>
  <w:p w:rsidR="0064547D" w:rsidRDefault="0064547D">
    <w:pPr>
      <w:pStyle w:val="Header"/>
    </w:pPr>
  </w:p>
  <w:p w:rsidR="0064547D" w:rsidRDefault="0064547D"/>
  <w:p w:rsidR="0064547D" w:rsidRDefault="006454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7D" w:rsidRDefault="0064547D">
    <w:pPr>
      <w:pStyle w:val="BA10"/>
      <w:jc w:val="center"/>
      <w:rPr>
        <w:color w:val="636263"/>
        <w:sz w:val="16"/>
        <w:szCs w:val="16"/>
        <w:lang w:val="en-US"/>
      </w:rPr>
    </w:pPr>
    <w:r>
      <w:rPr>
        <w:color w:val="636263"/>
        <w:sz w:val="16"/>
        <w:szCs w:val="16"/>
        <w:lang w:val="en-US"/>
      </w:rPr>
      <w:t xml:space="preserve">Page </w:t>
    </w:r>
    <w:r w:rsidR="00A45F21">
      <w:rPr>
        <w:rStyle w:val="PageNumber"/>
        <w:color w:val="636263"/>
        <w:sz w:val="16"/>
        <w:szCs w:val="16"/>
      </w:rPr>
      <w:fldChar w:fldCharType="begin"/>
    </w:r>
    <w:r>
      <w:rPr>
        <w:rStyle w:val="PageNumber"/>
        <w:color w:val="636263"/>
        <w:sz w:val="16"/>
        <w:szCs w:val="16"/>
      </w:rPr>
      <w:instrText xml:space="preserve"> PAGE </w:instrText>
    </w:r>
    <w:r w:rsidR="00A45F21">
      <w:rPr>
        <w:rStyle w:val="PageNumber"/>
        <w:color w:val="636263"/>
        <w:sz w:val="16"/>
        <w:szCs w:val="16"/>
      </w:rPr>
      <w:fldChar w:fldCharType="separate"/>
    </w:r>
    <w:r w:rsidR="00D91AB8">
      <w:rPr>
        <w:rStyle w:val="PageNumber"/>
        <w:noProof/>
        <w:color w:val="636263"/>
        <w:sz w:val="16"/>
        <w:szCs w:val="16"/>
      </w:rPr>
      <w:t>2</w:t>
    </w:r>
    <w:r w:rsidR="00A45F21">
      <w:rPr>
        <w:rStyle w:val="PageNumber"/>
        <w:color w:val="636263"/>
        <w:sz w:val="16"/>
        <w:szCs w:val="16"/>
      </w:rPr>
      <w:fldChar w:fldCharType="end"/>
    </w:r>
  </w:p>
  <w:p w:rsidR="0064547D" w:rsidRDefault="0064547D">
    <w:pPr>
      <w:pStyle w:val="BA10"/>
      <w:jc w:val="center"/>
      <w:rPr>
        <w:color w:val="636263"/>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3515"/>
      <w:gridCol w:w="1985"/>
      <w:gridCol w:w="4139"/>
    </w:tblGrid>
    <w:tr w:rsidR="0064547D" w:rsidTr="00DA017C">
      <w:tc>
        <w:tcPr>
          <w:tcW w:w="3515" w:type="dxa"/>
        </w:tcPr>
        <w:p w:rsidR="0064547D" w:rsidRDefault="001D3B6D">
          <w:pPr>
            <w:pStyle w:val="BA10"/>
          </w:pPr>
          <w:r>
            <w:rPr>
              <w:noProof/>
              <w:lang w:eastAsia="en-ZA"/>
            </w:rPr>
            <w:drawing>
              <wp:inline distT="0" distB="0" distL="0" distR="0">
                <wp:extent cx="1795780" cy="539115"/>
                <wp:effectExtent l="0" t="0" r="0" b="0"/>
                <wp:docPr id="2" name="Picture 2" descr="BALogo_8bitColour600dpi_w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_8bitColour600dpi_w50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5780" cy="539115"/>
                        </a:xfrm>
                        <a:prstGeom prst="rect">
                          <a:avLst/>
                        </a:prstGeom>
                        <a:noFill/>
                        <a:ln>
                          <a:noFill/>
                        </a:ln>
                      </pic:spPr>
                    </pic:pic>
                  </a:graphicData>
                </a:graphic>
              </wp:inline>
            </w:drawing>
          </w:r>
        </w:p>
      </w:tc>
      <w:tc>
        <w:tcPr>
          <w:tcW w:w="1985" w:type="dxa"/>
        </w:tcPr>
        <w:p w:rsidR="0064547D" w:rsidRDefault="001D3B6D">
          <w:pPr>
            <w:pStyle w:val="BA10"/>
          </w:pPr>
          <w:r>
            <w:rPr>
              <w:noProof/>
              <w:lang w:eastAsia="en-ZA"/>
            </w:rPr>
            <w:drawing>
              <wp:inline distT="0" distB="0" distL="0" distR="0">
                <wp:extent cx="822325" cy="532765"/>
                <wp:effectExtent l="0" t="0" r="0" b="635"/>
                <wp:docPr id="3" name="Picture 3" descr="BA_AddressDetails1_8bitColour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_AddressDetails1_8bitColour600dp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2325" cy="532765"/>
                        </a:xfrm>
                        <a:prstGeom prst="rect">
                          <a:avLst/>
                        </a:prstGeom>
                        <a:noFill/>
                        <a:ln>
                          <a:noFill/>
                        </a:ln>
                      </pic:spPr>
                    </pic:pic>
                  </a:graphicData>
                </a:graphic>
              </wp:inline>
            </w:drawing>
          </w:r>
        </w:p>
      </w:tc>
      <w:tc>
        <w:tcPr>
          <w:tcW w:w="0" w:type="auto"/>
        </w:tcPr>
        <w:p w:rsidR="0064547D" w:rsidRDefault="001D3B6D">
          <w:pPr>
            <w:pStyle w:val="BA10"/>
          </w:pPr>
          <w:r>
            <w:rPr>
              <w:noProof/>
              <w:lang w:eastAsia="en-ZA"/>
            </w:rPr>
            <w:drawing>
              <wp:inline distT="0" distB="0" distL="0" distR="0">
                <wp:extent cx="1098550" cy="401320"/>
                <wp:effectExtent l="0" t="0" r="6350" b="0"/>
                <wp:docPr id="4" name="Picture 4" descr="BA_AddressDetails2_8bitColour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_AddressDetails2_8bitColour600dpi"/>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8550" cy="401320"/>
                        </a:xfrm>
                        <a:prstGeom prst="rect">
                          <a:avLst/>
                        </a:prstGeom>
                        <a:noFill/>
                        <a:ln>
                          <a:noFill/>
                        </a:ln>
                      </pic:spPr>
                    </pic:pic>
                  </a:graphicData>
                </a:graphic>
              </wp:inline>
            </w:drawing>
          </w:r>
        </w:p>
      </w:tc>
    </w:tr>
    <w:tr w:rsidR="0064547D" w:rsidTr="000951CA">
      <w:trPr>
        <w:trHeight w:hRule="exact" w:val="422"/>
      </w:trPr>
      <w:tc>
        <w:tcPr>
          <w:tcW w:w="3515" w:type="dxa"/>
        </w:tcPr>
        <w:p w:rsidR="0064547D" w:rsidRDefault="0064547D">
          <w:pPr>
            <w:pStyle w:val="BA10"/>
          </w:pPr>
        </w:p>
      </w:tc>
      <w:tc>
        <w:tcPr>
          <w:tcW w:w="1985" w:type="dxa"/>
        </w:tcPr>
        <w:p w:rsidR="0064547D" w:rsidRDefault="0064547D">
          <w:pPr>
            <w:pStyle w:val="BA10"/>
          </w:pPr>
        </w:p>
      </w:tc>
      <w:tc>
        <w:tcPr>
          <w:tcW w:w="0" w:type="auto"/>
        </w:tcPr>
        <w:p w:rsidR="0064547D" w:rsidRDefault="0064547D" w:rsidP="00DA017C">
          <w:pPr>
            <w:pStyle w:val="BA10"/>
            <w:tabs>
              <w:tab w:val="left" w:pos="1095"/>
            </w:tabs>
          </w:pPr>
        </w:p>
      </w:tc>
    </w:tr>
  </w:tbl>
  <w:p w:rsidR="0064547D" w:rsidRDefault="0064547D">
    <w:pPr>
      <w:pStyle w:val="BA10"/>
      <w:rPr>
        <w:b/>
        <w:color w:val="636263"/>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001C"/>
    <w:multiLevelType w:val="singleLevel"/>
    <w:tmpl w:val="E498594A"/>
    <w:lvl w:ilvl="0">
      <w:numFmt w:val="bullet"/>
      <w:lvlText w:val=""/>
      <w:lvlJc w:val="left"/>
      <w:pPr>
        <w:tabs>
          <w:tab w:val="num" w:pos="360"/>
        </w:tabs>
        <w:ind w:left="360" w:hanging="360"/>
      </w:pPr>
      <w:rPr>
        <w:rFonts w:ascii="Symbol" w:hAnsi="Symbol" w:hint="default"/>
      </w:rPr>
    </w:lvl>
  </w:abstractNum>
  <w:abstractNum w:abstractNumId="1">
    <w:nsid w:val="27E37456"/>
    <w:multiLevelType w:val="multilevel"/>
    <w:tmpl w:val="E86286B8"/>
    <w:lvl w:ilvl="0">
      <w:start w:val="1"/>
      <w:numFmt w:val="decimal"/>
      <w:pStyle w:val="BCHeading1"/>
      <w:lvlText w:val="%1."/>
      <w:lvlJc w:val="left"/>
      <w:pPr>
        <w:tabs>
          <w:tab w:val="num" w:pos="851"/>
        </w:tabs>
        <w:ind w:left="851" w:hanging="851"/>
      </w:pPr>
      <w:rPr>
        <w:b w:val="0"/>
        <w:i w:val="0"/>
        <w:sz w:val="24"/>
        <w:u w:val="none"/>
      </w:rPr>
    </w:lvl>
    <w:lvl w:ilvl="1">
      <w:start w:val="1"/>
      <w:numFmt w:val="decimal"/>
      <w:pStyle w:val="BCHeading2"/>
      <w:lvlText w:val="%1.%2"/>
      <w:lvlJc w:val="left"/>
      <w:pPr>
        <w:tabs>
          <w:tab w:val="num" w:pos="851"/>
        </w:tabs>
        <w:ind w:left="851" w:hanging="851"/>
      </w:pPr>
      <w:rPr>
        <w:u w:val="none"/>
      </w:rPr>
    </w:lvl>
    <w:lvl w:ilvl="2">
      <w:start w:val="1"/>
      <w:numFmt w:val="decimal"/>
      <w:pStyle w:val="BCHeading3"/>
      <w:lvlText w:val="%1.%2.%3"/>
      <w:lvlJc w:val="left"/>
      <w:pPr>
        <w:tabs>
          <w:tab w:val="num" w:pos="1134"/>
        </w:tabs>
        <w:ind w:left="1134" w:hanging="1134"/>
      </w:pPr>
      <w:rPr>
        <w:b w:val="0"/>
        <w:i w:val="0"/>
        <w:sz w:val="24"/>
        <w:u w:val="none"/>
      </w:rPr>
    </w:lvl>
    <w:lvl w:ilvl="3">
      <w:start w:val="1"/>
      <w:numFmt w:val="decimal"/>
      <w:pStyle w:val="BCHeading4"/>
      <w:lvlText w:val="%1.%2.%3.%4"/>
      <w:lvlJc w:val="left"/>
      <w:pPr>
        <w:tabs>
          <w:tab w:val="num" w:pos="1134"/>
        </w:tabs>
        <w:ind w:left="1134" w:hanging="1134"/>
      </w:pPr>
      <w:rPr>
        <w:u w:val="none"/>
      </w:rPr>
    </w:lvl>
    <w:lvl w:ilvl="4">
      <w:start w:val="1"/>
      <w:numFmt w:val="decimal"/>
      <w:pStyle w:val="BCNumber4"/>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D170E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C0A0BA2"/>
    <w:multiLevelType w:val="multilevel"/>
    <w:tmpl w:val="537873FE"/>
    <w:lvl w:ilvl="0">
      <w:start w:val="1"/>
      <w:numFmt w:val="decimal"/>
      <w:lvlText w:val="%1."/>
      <w:lvlJc w:val="left"/>
      <w:pPr>
        <w:tabs>
          <w:tab w:val="num" w:pos="851"/>
        </w:tabs>
        <w:ind w:left="851" w:hanging="851"/>
      </w:pPr>
      <w:rPr>
        <w:b w:val="0"/>
        <w:i w:val="0"/>
        <w:sz w:val="24"/>
        <w:u w:val="none"/>
      </w:rPr>
    </w:lvl>
    <w:lvl w:ilvl="1">
      <w:start w:val="1"/>
      <w:numFmt w:val="decimal"/>
      <w:lvlText w:val="%1.%2"/>
      <w:lvlJc w:val="left"/>
      <w:pPr>
        <w:tabs>
          <w:tab w:val="num" w:pos="851"/>
        </w:tabs>
        <w:ind w:left="851" w:hanging="851"/>
      </w:pPr>
      <w:rPr>
        <w:b w:val="0"/>
        <w:i w:val="0"/>
        <w:u w:val="none"/>
      </w:rPr>
    </w:lvl>
    <w:lvl w:ilvl="2">
      <w:start w:val="1"/>
      <w:numFmt w:val="decimal"/>
      <w:lvlText w:val="%1.%2.%3"/>
      <w:lvlJc w:val="left"/>
      <w:pPr>
        <w:tabs>
          <w:tab w:val="num" w:pos="1134"/>
        </w:tabs>
        <w:ind w:left="1134" w:hanging="1134"/>
      </w:pPr>
      <w:rPr>
        <w:b w:val="0"/>
        <w:i w:val="0"/>
        <w:sz w:val="24"/>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D30547B"/>
    <w:multiLevelType w:val="singleLevel"/>
    <w:tmpl w:val="6328633A"/>
    <w:lvl w:ilvl="0">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4"/>
  </w:num>
  <w:num w:numId="8">
    <w:abstractNumId w:val="3"/>
  </w:num>
  <w:num w:numId="9">
    <w:abstractNumId w:val="3"/>
  </w:num>
  <w:num w:numId="10">
    <w:abstractNumId w:val="3"/>
  </w:num>
  <w:num w:numId="11">
    <w:abstractNumId w:val="2"/>
  </w:num>
  <w:num w:numId="12">
    <w:abstractNumId w:val="3"/>
  </w:num>
  <w:num w:numId="13">
    <w:abstractNumId w:val="3"/>
  </w:num>
  <w:num w:numId="14">
    <w:abstractNumId w:val="3"/>
  </w:num>
  <w:num w:numId="15">
    <w:abstractNumId w:val="1"/>
  </w:num>
  <w:num w:numId="16">
    <w:abstractNumId w:val="1"/>
  </w:num>
  <w:num w:numId="17">
    <w:abstractNumId w:val="1"/>
  </w:num>
  <w:num w:numId="18">
    <w:abstractNumId w:val="1"/>
  </w:num>
  <w:num w:numId="19">
    <w:abstractNumId w:val="3"/>
  </w:num>
  <w:num w:numId="20">
    <w:abstractNumId w:val="3"/>
  </w:num>
  <w:num w:numId="21">
    <w:abstractNumId w:val="3"/>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20"/>
  <w:displayHorizontalDrawingGridEvery w:val="0"/>
  <w:displayVerticalDrawingGridEvery w:val="0"/>
  <w:doNotUseMarginsForDrawingGridOrigin/>
  <w:noPunctuationKerning/>
  <w:characterSpacingControl w:val="doNotCompress"/>
  <w:hdrShapeDefaults>
    <o:shapedefaults v:ext="edit" spidmax="4099">
      <o:colormru v:ext="edit" colors="#636263,#039"/>
    </o:shapedefaults>
    <o:shapelayout v:ext="edit">
      <o:idmap v:ext="edit" data="4"/>
    </o:shapelayout>
  </w:hdrShapeDefaults>
  <w:footnotePr>
    <w:footnote w:id="-1"/>
    <w:footnote w:id="0"/>
  </w:footnotePr>
  <w:endnotePr>
    <w:endnote w:id="-1"/>
    <w:endnote w:id="0"/>
  </w:endnotePr>
  <w:compat/>
  <w:rsids>
    <w:rsidRoot w:val="00FD0D8C"/>
    <w:rsid w:val="0002177D"/>
    <w:rsid w:val="00047D15"/>
    <w:rsid w:val="00053EB1"/>
    <w:rsid w:val="00061B69"/>
    <w:rsid w:val="00082DBF"/>
    <w:rsid w:val="00083C3A"/>
    <w:rsid w:val="000951CA"/>
    <w:rsid w:val="000B6193"/>
    <w:rsid w:val="000F2336"/>
    <w:rsid w:val="00115CFE"/>
    <w:rsid w:val="001418C1"/>
    <w:rsid w:val="00143602"/>
    <w:rsid w:val="00197B6A"/>
    <w:rsid w:val="001C0675"/>
    <w:rsid w:val="001C2DFE"/>
    <w:rsid w:val="001D3B6D"/>
    <w:rsid w:val="002369D3"/>
    <w:rsid w:val="0027155B"/>
    <w:rsid w:val="002727D9"/>
    <w:rsid w:val="00273A75"/>
    <w:rsid w:val="00293550"/>
    <w:rsid w:val="002A358C"/>
    <w:rsid w:val="002B5E30"/>
    <w:rsid w:val="00323CB0"/>
    <w:rsid w:val="00327412"/>
    <w:rsid w:val="00361FA5"/>
    <w:rsid w:val="00367B55"/>
    <w:rsid w:val="00383CA2"/>
    <w:rsid w:val="00395550"/>
    <w:rsid w:val="003A7093"/>
    <w:rsid w:val="003B13F2"/>
    <w:rsid w:val="003D56F6"/>
    <w:rsid w:val="00451B73"/>
    <w:rsid w:val="004652C0"/>
    <w:rsid w:val="004D5A28"/>
    <w:rsid w:val="005075B5"/>
    <w:rsid w:val="00530CD4"/>
    <w:rsid w:val="00586072"/>
    <w:rsid w:val="00595236"/>
    <w:rsid w:val="005D6BC8"/>
    <w:rsid w:val="006159B6"/>
    <w:rsid w:val="006231B2"/>
    <w:rsid w:val="006438C1"/>
    <w:rsid w:val="0064547D"/>
    <w:rsid w:val="006A1AD9"/>
    <w:rsid w:val="006C2A1A"/>
    <w:rsid w:val="006D547E"/>
    <w:rsid w:val="00792697"/>
    <w:rsid w:val="007B4FBB"/>
    <w:rsid w:val="007B6C0B"/>
    <w:rsid w:val="00852546"/>
    <w:rsid w:val="008919BB"/>
    <w:rsid w:val="008A7999"/>
    <w:rsid w:val="008B13BB"/>
    <w:rsid w:val="009028EB"/>
    <w:rsid w:val="00910BEF"/>
    <w:rsid w:val="009241D2"/>
    <w:rsid w:val="00934F88"/>
    <w:rsid w:val="00956595"/>
    <w:rsid w:val="00956CDF"/>
    <w:rsid w:val="00985775"/>
    <w:rsid w:val="009E5638"/>
    <w:rsid w:val="00A45F21"/>
    <w:rsid w:val="00A520C6"/>
    <w:rsid w:val="00A63085"/>
    <w:rsid w:val="00A6709B"/>
    <w:rsid w:val="00A73490"/>
    <w:rsid w:val="00B12CBB"/>
    <w:rsid w:val="00B57C98"/>
    <w:rsid w:val="00B60A0B"/>
    <w:rsid w:val="00B91C54"/>
    <w:rsid w:val="00BA7F5D"/>
    <w:rsid w:val="00CA5FC2"/>
    <w:rsid w:val="00CF0340"/>
    <w:rsid w:val="00D30E45"/>
    <w:rsid w:val="00D40CEA"/>
    <w:rsid w:val="00D43E25"/>
    <w:rsid w:val="00D47FBD"/>
    <w:rsid w:val="00D640CF"/>
    <w:rsid w:val="00D90E89"/>
    <w:rsid w:val="00D91AB8"/>
    <w:rsid w:val="00DA017C"/>
    <w:rsid w:val="00DC4BC1"/>
    <w:rsid w:val="00DD1D69"/>
    <w:rsid w:val="00DD2B49"/>
    <w:rsid w:val="00DD64FA"/>
    <w:rsid w:val="00E110D4"/>
    <w:rsid w:val="00E47E0C"/>
    <w:rsid w:val="00E53289"/>
    <w:rsid w:val="00E97CF4"/>
    <w:rsid w:val="00EA143C"/>
    <w:rsid w:val="00EA51AF"/>
    <w:rsid w:val="00F76E5F"/>
    <w:rsid w:val="00FB0470"/>
    <w:rsid w:val="00FB5601"/>
    <w:rsid w:val="00FC5BC2"/>
    <w:rsid w:val="00FD0D8C"/>
    <w:rsid w:val="00FE0714"/>
    <w:rsid w:val="00FE6E49"/>
    <w:rsid w:val="00FF1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636263,#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89"/>
    <w:pPr>
      <w:spacing w:after="240"/>
      <w:jc w:val="both"/>
    </w:pPr>
    <w:rPr>
      <w:rFonts w:ascii="Arial" w:hAnsi="Arial"/>
      <w:sz w:val="24"/>
      <w:lang w:val="en-ZA"/>
    </w:rPr>
  </w:style>
  <w:style w:type="paragraph" w:styleId="Heading1">
    <w:name w:val="heading 1"/>
    <w:basedOn w:val="Normal"/>
    <w:next w:val="Normal"/>
    <w:qFormat/>
    <w:rsid w:val="00E53289"/>
    <w:pPr>
      <w:keepNext/>
      <w:widowControl w:val="0"/>
      <w:outlineLvl w:val="0"/>
    </w:pPr>
    <w:rPr>
      <w:b/>
      <w:snapToGrid w:val="0"/>
      <w:sz w:val="28"/>
    </w:rPr>
  </w:style>
  <w:style w:type="paragraph" w:styleId="Heading2">
    <w:name w:val="heading 2"/>
    <w:basedOn w:val="Normal"/>
    <w:next w:val="Normal"/>
    <w:qFormat/>
    <w:rsid w:val="00E53289"/>
    <w:pPr>
      <w:keepNext/>
      <w:jc w:val="center"/>
      <w:outlineLvl w:val="1"/>
    </w:pPr>
    <w:rPr>
      <w:rFonts w:ascii="Times New Roman" w:hAnsi="Times New Roman"/>
      <w:b/>
      <w:sz w:val="48"/>
    </w:rPr>
  </w:style>
  <w:style w:type="paragraph" w:styleId="Heading3">
    <w:name w:val="heading 3"/>
    <w:basedOn w:val="Normal"/>
    <w:next w:val="Normal"/>
    <w:qFormat/>
    <w:rsid w:val="00E53289"/>
    <w:pPr>
      <w:keepNext/>
      <w:outlineLvl w:val="2"/>
    </w:pPr>
    <w:rPr>
      <w:b/>
      <w:u w:val="single"/>
      <w:lang w:val="en-US"/>
    </w:rPr>
  </w:style>
  <w:style w:type="paragraph" w:styleId="Heading4">
    <w:name w:val="heading 4"/>
    <w:basedOn w:val="Normal"/>
    <w:next w:val="Normal"/>
    <w:qFormat/>
    <w:rsid w:val="00E53289"/>
    <w:pPr>
      <w:keepNext/>
      <w:outlineLvl w:val="3"/>
    </w:pPr>
    <w:rPr>
      <w:b/>
    </w:rPr>
  </w:style>
  <w:style w:type="paragraph" w:styleId="Heading5">
    <w:name w:val="heading 5"/>
    <w:basedOn w:val="Normal"/>
    <w:next w:val="Normal"/>
    <w:qFormat/>
    <w:rsid w:val="00E53289"/>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289"/>
    <w:rPr>
      <w:sz w:val="16"/>
    </w:rPr>
  </w:style>
  <w:style w:type="paragraph" w:styleId="EnvelopeAddress">
    <w:name w:val="envelope address"/>
    <w:basedOn w:val="Normal"/>
    <w:rsid w:val="00E53289"/>
    <w:pPr>
      <w:framePr w:w="7920" w:h="1980" w:hRule="exact" w:hSpace="180" w:wrap="auto" w:hAnchor="page" w:xAlign="center" w:yAlign="bottom"/>
      <w:ind w:left="2880"/>
    </w:pPr>
    <w:rPr>
      <w:sz w:val="20"/>
    </w:rPr>
  </w:style>
  <w:style w:type="paragraph" w:styleId="Header">
    <w:name w:val="header"/>
    <w:basedOn w:val="Normal"/>
    <w:rsid w:val="00E53289"/>
    <w:pPr>
      <w:tabs>
        <w:tab w:val="center" w:pos="4320"/>
        <w:tab w:val="right" w:pos="8640"/>
      </w:tabs>
    </w:pPr>
  </w:style>
  <w:style w:type="paragraph" w:styleId="Footer">
    <w:name w:val="footer"/>
    <w:basedOn w:val="Normal"/>
    <w:rsid w:val="00E53289"/>
    <w:pPr>
      <w:tabs>
        <w:tab w:val="center" w:pos="4320"/>
        <w:tab w:val="right" w:pos="8640"/>
      </w:tabs>
    </w:pPr>
  </w:style>
  <w:style w:type="paragraph" w:customStyle="1" w:styleId="BankingCouncilFooter">
    <w:name w:val="Banking Council Footer"/>
    <w:basedOn w:val="Normal"/>
    <w:rsid w:val="00E110D4"/>
    <w:pPr>
      <w:spacing w:after="0" w:line="120" w:lineRule="exact"/>
    </w:pPr>
    <w:rPr>
      <w:sz w:val="14"/>
    </w:rPr>
  </w:style>
  <w:style w:type="character" w:styleId="PageNumber">
    <w:name w:val="page number"/>
    <w:basedOn w:val="DefaultParagraphFont"/>
    <w:rsid w:val="00E53289"/>
  </w:style>
  <w:style w:type="paragraph" w:customStyle="1" w:styleId="BCHeading1">
    <w:name w:val="BC Heading 1"/>
    <w:basedOn w:val="Heading1"/>
    <w:rsid w:val="006C2A1A"/>
    <w:pPr>
      <w:keepNext w:val="0"/>
      <w:widowControl/>
      <w:numPr>
        <w:numId w:val="33"/>
      </w:numPr>
      <w:spacing w:before="120" w:after="120"/>
    </w:pPr>
    <w:rPr>
      <w:rFonts w:ascii="Verdana" w:hAnsi="Verdana"/>
      <w:snapToGrid/>
      <w:kern w:val="28"/>
    </w:rPr>
  </w:style>
  <w:style w:type="paragraph" w:customStyle="1" w:styleId="TableStyle">
    <w:name w:val="Table Style"/>
    <w:basedOn w:val="Normal"/>
    <w:rsid w:val="00E53289"/>
    <w:pPr>
      <w:spacing w:after="0"/>
    </w:pPr>
    <w:rPr>
      <w:lang w:val="en-US"/>
    </w:rPr>
  </w:style>
  <w:style w:type="paragraph" w:customStyle="1" w:styleId="BCHeading2">
    <w:name w:val="BC Heading 2"/>
    <w:basedOn w:val="Heading2"/>
    <w:rsid w:val="006C2A1A"/>
    <w:pPr>
      <w:numPr>
        <w:ilvl w:val="1"/>
        <w:numId w:val="33"/>
      </w:numPr>
      <w:spacing w:after="120"/>
      <w:jc w:val="both"/>
    </w:pPr>
    <w:rPr>
      <w:rFonts w:ascii="Verdana" w:hAnsi="Verdana"/>
      <w:b w:val="0"/>
      <w:sz w:val="24"/>
    </w:rPr>
  </w:style>
  <w:style w:type="paragraph" w:customStyle="1" w:styleId="BCHeading3">
    <w:name w:val="BC Heading 3"/>
    <w:basedOn w:val="Heading3"/>
    <w:rsid w:val="006C2A1A"/>
    <w:pPr>
      <w:keepNext w:val="0"/>
      <w:numPr>
        <w:ilvl w:val="2"/>
        <w:numId w:val="33"/>
      </w:numPr>
      <w:spacing w:after="120"/>
    </w:pPr>
    <w:rPr>
      <w:rFonts w:ascii="Verdana" w:hAnsi="Verdana"/>
      <w:b w:val="0"/>
      <w:u w:val="none"/>
      <w:lang w:val="en-ZA"/>
    </w:rPr>
  </w:style>
  <w:style w:type="paragraph" w:customStyle="1" w:styleId="BCHeading4">
    <w:name w:val="BC Heading 4"/>
    <w:basedOn w:val="Heading4"/>
    <w:rsid w:val="006C2A1A"/>
    <w:pPr>
      <w:keepNext w:val="0"/>
      <w:numPr>
        <w:ilvl w:val="3"/>
        <w:numId w:val="33"/>
      </w:numPr>
      <w:spacing w:after="120"/>
    </w:pPr>
    <w:rPr>
      <w:rFonts w:ascii="Verdana" w:hAnsi="Verdana"/>
      <w:b w:val="0"/>
    </w:rPr>
  </w:style>
  <w:style w:type="paragraph" w:customStyle="1" w:styleId="BCMainHeading">
    <w:name w:val="BC Main Heading"/>
    <w:basedOn w:val="Normal"/>
    <w:next w:val="Normal"/>
    <w:rsid w:val="006C2A1A"/>
    <w:pPr>
      <w:spacing w:line="360" w:lineRule="auto"/>
      <w:jc w:val="center"/>
    </w:pPr>
    <w:rPr>
      <w:rFonts w:ascii="Verdana" w:hAnsi="Verdana"/>
      <w:b/>
      <w:caps/>
      <w:sz w:val="32"/>
    </w:rPr>
  </w:style>
  <w:style w:type="paragraph" w:customStyle="1" w:styleId="BCNumber1">
    <w:name w:val="BC Number 1"/>
    <w:basedOn w:val="BCHeading2"/>
    <w:rsid w:val="006C2A1A"/>
    <w:pPr>
      <w:numPr>
        <w:ilvl w:val="0"/>
        <w:numId w:val="0"/>
      </w:numPr>
      <w:tabs>
        <w:tab w:val="num" w:pos="851"/>
      </w:tabs>
      <w:ind w:left="851" w:hanging="851"/>
    </w:pPr>
  </w:style>
  <w:style w:type="paragraph" w:customStyle="1" w:styleId="BCNumber2">
    <w:name w:val="BC Number 2"/>
    <w:basedOn w:val="Normal"/>
    <w:autoRedefine/>
    <w:rsid w:val="006C2A1A"/>
    <w:pPr>
      <w:keepNext/>
      <w:tabs>
        <w:tab w:val="num" w:pos="851"/>
      </w:tabs>
      <w:spacing w:after="120"/>
      <w:ind w:left="851" w:hanging="851"/>
      <w:outlineLvl w:val="2"/>
    </w:pPr>
    <w:rPr>
      <w:rFonts w:ascii="Verdana" w:hAnsi="Verdana"/>
    </w:rPr>
  </w:style>
  <w:style w:type="paragraph" w:customStyle="1" w:styleId="BCNumber3">
    <w:name w:val="BC Number 3"/>
    <w:basedOn w:val="BCHeading4"/>
    <w:rsid w:val="00E110D4"/>
    <w:pPr>
      <w:numPr>
        <w:ilvl w:val="0"/>
        <w:numId w:val="0"/>
      </w:numPr>
      <w:tabs>
        <w:tab w:val="num" w:pos="1134"/>
      </w:tabs>
      <w:ind w:left="1134" w:hanging="1134"/>
    </w:pPr>
  </w:style>
  <w:style w:type="paragraph" w:customStyle="1" w:styleId="BCNumber4">
    <w:name w:val="BC Number 4"/>
    <w:basedOn w:val="Heading5"/>
    <w:rsid w:val="006C2A1A"/>
    <w:pPr>
      <w:numPr>
        <w:ilvl w:val="4"/>
        <w:numId w:val="33"/>
      </w:numPr>
      <w:spacing w:before="0" w:after="120"/>
    </w:pPr>
    <w:rPr>
      <w:rFonts w:ascii="Verdana" w:hAnsi="Verdana"/>
      <w:sz w:val="24"/>
      <w:lang w:val="en-US"/>
    </w:rPr>
  </w:style>
  <w:style w:type="paragraph" w:customStyle="1" w:styleId="BCSubHeading">
    <w:name w:val="BC Sub Heading"/>
    <w:basedOn w:val="Normal"/>
    <w:next w:val="Normal"/>
    <w:rsid w:val="006C2A1A"/>
    <w:pPr>
      <w:spacing w:line="360" w:lineRule="auto"/>
      <w:jc w:val="center"/>
    </w:pPr>
    <w:rPr>
      <w:rFonts w:ascii="Verdana" w:hAnsi="Verdana"/>
      <w:b/>
      <w:sz w:val="28"/>
    </w:rPr>
  </w:style>
  <w:style w:type="paragraph" w:customStyle="1" w:styleId="BCText1">
    <w:name w:val="BC Text 1"/>
    <w:basedOn w:val="Normal"/>
    <w:rsid w:val="006C2A1A"/>
    <w:pPr>
      <w:spacing w:after="120"/>
      <w:ind w:left="851"/>
    </w:pPr>
    <w:rPr>
      <w:rFonts w:ascii="Verdana" w:hAnsi="Verdana"/>
    </w:rPr>
  </w:style>
  <w:style w:type="paragraph" w:customStyle="1" w:styleId="BCText2">
    <w:name w:val="BC Text 2"/>
    <w:basedOn w:val="BCText1"/>
    <w:rsid w:val="006C2A1A"/>
  </w:style>
  <w:style w:type="paragraph" w:customStyle="1" w:styleId="BCText3">
    <w:name w:val="BC Text 3"/>
    <w:basedOn w:val="BCText1"/>
    <w:rsid w:val="00E110D4"/>
    <w:pPr>
      <w:ind w:left="1134"/>
    </w:pPr>
  </w:style>
  <w:style w:type="paragraph" w:customStyle="1" w:styleId="BCText4">
    <w:name w:val="BC Text 4"/>
    <w:basedOn w:val="BCText3"/>
    <w:rsid w:val="00E110D4"/>
  </w:style>
  <w:style w:type="table" w:styleId="TableGrid">
    <w:name w:val="Table Grid"/>
    <w:basedOn w:val="TableNormal"/>
    <w:rsid w:val="00E53289"/>
    <w:pPr>
      <w:spacing w:after="24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10">
    <w:name w:val="BA1.0"/>
    <w:basedOn w:val="Normal"/>
    <w:qFormat/>
    <w:rsid w:val="00D40CEA"/>
    <w:pPr>
      <w:spacing w:after="0"/>
    </w:pPr>
    <w:rPr>
      <w:rFonts w:ascii="Verdana" w:eastAsia="Calibri" w:hAnsi="Verdana"/>
      <w:sz w:val="22"/>
      <w:szCs w:val="22"/>
    </w:rPr>
  </w:style>
  <w:style w:type="paragraph" w:customStyle="1" w:styleId="BA15">
    <w:name w:val="BA1.5"/>
    <w:basedOn w:val="Normal"/>
    <w:qFormat/>
    <w:rsid w:val="00D40CEA"/>
    <w:pPr>
      <w:spacing w:after="0" w:line="360" w:lineRule="auto"/>
    </w:pPr>
    <w:rPr>
      <w:rFonts w:ascii="Verdana" w:eastAsia="Calibri" w:hAnsi="Verdana"/>
      <w:sz w:val="22"/>
      <w:szCs w:val="22"/>
    </w:rPr>
  </w:style>
  <w:style w:type="paragraph" w:customStyle="1" w:styleId="Style1">
    <w:name w:val="Style1"/>
    <w:basedOn w:val="Normal"/>
    <w:rsid w:val="00FE0714"/>
    <w:pPr>
      <w:jc w:val="left"/>
    </w:pPr>
    <w:rPr>
      <w:sz w:val="28"/>
    </w:rPr>
  </w:style>
  <w:style w:type="paragraph" w:customStyle="1" w:styleId="Style2">
    <w:name w:val="Style2"/>
    <w:basedOn w:val="BA10"/>
    <w:rsid w:val="00E53289"/>
  </w:style>
  <w:style w:type="paragraph" w:styleId="BlockText">
    <w:name w:val="Block Text"/>
    <w:basedOn w:val="Normal"/>
    <w:rsid w:val="006C2A1A"/>
    <w:pPr>
      <w:spacing w:after="120"/>
      <w:ind w:left="1440" w:right="1440"/>
    </w:pPr>
  </w:style>
  <w:style w:type="paragraph" w:styleId="BalloonText">
    <w:name w:val="Balloon Text"/>
    <w:basedOn w:val="Normal"/>
    <w:link w:val="BalloonTextChar"/>
    <w:rsid w:val="00A73490"/>
    <w:pPr>
      <w:spacing w:after="0"/>
    </w:pPr>
    <w:rPr>
      <w:rFonts w:ascii="Tahoma" w:hAnsi="Tahoma" w:cs="Tahoma"/>
      <w:sz w:val="16"/>
      <w:szCs w:val="16"/>
    </w:rPr>
  </w:style>
  <w:style w:type="character" w:customStyle="1" w:styleId="BalloonTextChar">
    <w:name w:val="Balloon Text Char"/>
    <w:basedOn w:val="DefaultParagraphFont"/>
    <w:link w:val="BalloonText"/>
    <w:rsid w:val="00A73490"/>
    <w:rPr>
      <w:rFonts w:ascii="Tahoma" w:hAnsi="Tahoma" w:cs="Tahoma"/>
      <w:sz w:val="16"/>
      <w:szCs w:val="16"/>
      <w:lang w:val="en-ZA"/>
    </w:rPr>
  </w:style>
  <w:style w:type="character" w:styleId="Hyperlink">
    <w:name w:val="Hyperlink"/>
    <w:basedOn w:val="DefaultParagraphFont"/>
    <w:uiPriority w:val="99"/>
    <w:unhideWhenUsed/>
    <w:rsid w:val="00FD0D8C"/>
    <w:rPr>
      <w:color w:val="0000FF" w:themeColor="hyperlink"/>
      <w:u w:val="single"/>
    </w:rPr>
  </w:style>
  <w:style w:type="character" w:customStyle="1" w:styleId="UnresolvedMention">
    <w:name w:val="Unresolved Mention"/>
    <w:basedOn w:val="DefaultParagraphFont"/>
    <w:uiPriority w:val="99"/>
    <w:semiHidden/>
    <w:unhideWhenUsed/>
    <w:rsid w:val="008B13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52399">
      <w:bodyDiv w:val="1"/>
      <w:marLeft w:val="0"/>
      <w:marRight w:val="0"/>
      <w:marTop w:val="0"/>
      <w:marBottom w:val="0"/>
      <w:divBdr>
        <w:top w:val="none" w:sz="0" w:space="0" w:color="auto"/>
        <w:left w:val="none" w:sz="0" w:space="0" w:color="auto"/>
        <w:bottom w:val="none" w:sz="0" w:space="0" w:color="auto"/>
        <w:right w:val="none" w:sz="0" w:space="0" w:color="auto"/>
      </w:divBdr>
    </w:div>
    <w:div w:id="177350802">
      <w:bodyDiv w:val="1"/>
      <w:marLeft w:val="0"/>
      <w:marRight w:val="0"/>
      <w:marTop w:val="0"/>
      <w:marBottom w:val="0"/>
      <w:divBdr>
        <w:top w:val="none" w:sz="0" w:space="0" w:color="auto"/>
        <w:left w:val="none" w:sz="0" w:space="0" w:color="auto"/>
        <w:bottom w:val="none" w:sz="0" w:space="0" w:color="auto"/>
        <w:right w:val="none" w:sz="0" w:space="0" w:color="auto"/>
      </w:divBdr>
    </w:div>
    <w:div w:id="7586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rrev@banking.org.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nking.org.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asiya-mndende@parliament.gov.z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07_Company_Stationary_V1%202015\B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9AF4-5728-41F1-B245-F7638DC4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BA_Letterhead</Template>
  <TotalTime>1</TotalTime>
  <Pages>7</Pages>
  <Words>2582</Words>
  <Characters>14056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Date</vt:lpstr>
    </vt:vector>
  </TitlesOfParts>
  <Company>C'nN Consulting cc</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Yaseen Lockhat</dc:creator>
  <cp:lastModifiedBy>PUMZA</cp:lastModifiedBy>
  <cp:revision>2</cp:revision>
  <cp:lastPrinted>2018-07-30T11:22:00Z</cp:lastPrinted>
  <dcterms:created xsi:type="dcterms:W3CDTF">2018-09-06T10:15:00Z</dcterms:created>
  <dcterms:modified xsi:type="dcterms:W3CDTF">2018-09-06T10:15:00Z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PIERREV/#244271_V1</vt:lpwstr>
  </property>
</Properties>
</file>