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78CAA" w14:textId="77777777" w:rsidR="008846C8" w:rsidRPr="00802F9C" w:rsidRDefault="008846C8" w:rsidP="00802F9C">
      <w:pPr>
        <w:pStyle w:val="ListParagraph"/>
        <w:numPr>
          <w:ilvl w:val="0"/>
          <w:numId w:val="8"/>
        </w:numPr>
        <w:spacing w:line="360" w:lineRule="auto"/>
        <w:jc w:val="both"/>
        <w:rPr>
          <w:b/>
          <w:sz w:val="28"/>
          <w:szCs w:val="28"/>
        </w:rPr>
      </w:pPr>
      <w:bookmarkStart w:id="0" w:name="_GoBack"/>
      <w:bookmarkEnd w:id="0"/>
      <w:r w:rsidRPr="00802F9C">
        <w:rPr>
          <w:b/>
          <w:sz w:val="28"/>
          <w:szCs w:val="28"/>
        </w:rPr>
        <w:t>REPORT OF THE SELECT COMMITTEE ON APPROPRIATIONS ON THE HUMAN SETTLEMENTS DEVELOPMENT GRANT EXPENDITURE AS AT FOURTH QUARTER 2017/18 FINANCIAL YEAR, DATED</w:t>
      </w:r>
      <w:r w:rsidR="000D5D6C" w:rsidRPr="00802F9C">
        <w:rPr>
          <w:b/>
          <w:sz w:val="28"/>
          <w:szCs w:val="28"/>
        </w:rPr>
        <w:t xml:space="preserve"> 22 AUGUST </w:t>
      </w:r>
      <w:r w:rsidRPr="00802F9C">
        <w:rPr>
          <w:b/>
          <w:sz w:val="28"/>
          <w:szCs w:val="28"/>
        </w:rPr>
        <w:t>2018</w:t>
      </w:r>
    </w:p>
    <w:p w14:paraId="335C1A78" w14:textId="77777777" w:rsidR="008846C8" w:rsidRPr="001E247B" w:rsidRDefault="008846C8" w:rsidP="008846C8">
      <w:pPr>
        <w:spacing w:line="360" w:lineRule="auto"/>
        <w:jc w:val="both"/>
        <w:rPr>
          <w:b/>
        </w:rPr>
      </w:pPr>
    </w:p>
    <w:p w14:paraId="6F7036B9" w14:textId="77777777" w:rsidR="00754168" w:rsidRPr="001E247B" w:rsidRDefault="00754168" w:rsidP="008846C8">
      <w:pPr>
        <w:spacing w:line="360" w:lineRule="auto"/>
        <w:jc w:val="both"/>
        <w:rPr>
          <w:b/>
        </w:rPr>
      </w:pPr>
    </w:p>
    <w:p w14:paraId="3EF03BD6" w14:textId="77777777" w:rsidR="008846C8" w:rsidRPr="001E247B" w:rsidRDefault="008846C8" w:rsidP="008846C8">
      <w:pPr>
        <w:spacing w:line="360" w:lineRule="auto"/>
        <w:jc w:val="both"/>
      </w:pPr>
      <w:r w:rsidRPr="001E247B">
        <w:rPr>
          <w:b/>
        </w:rPr>
        <w:t xml:space="preserve"> 1. Introduction </w:t>
      </w:r>
    </w:p>
    <w:p w14:paraId="2134587C" w14:textId="77777777" w:rsidR="00EE0B6D" w:rsidRPr="001E247B" w:rsidRDefault="00EE0B6D" w:rsidP="00220E75">
      <w:pPr>
        <w:autoSpaceDE w:val="0"/>
        <w:autoSpaceDN w:val="0"/>
        <w:adjustRightInd w:val="0"/>
        <w:spacing w:line="360" w:lineRule="auto"/>
        <w:jc w:val="both"/>
        <w:rPr>
          <w:rFonts w:eastAsiaTheme="minorHAnsi"/>
          <w:lang w:val="en-ZA" w:eastAsia="en-US"/>
        </w:rPr>
      </w:pPr>
      <w:r w:rsidRPr="001E247B">
        <w:rPr>
          <w:rFonts w:eastAsiaTheme="minorHAnsi"/>
          <w:lang w:val="en-ZA" w:eastAsia="en-US"/>
        </w:rPr>
        <w:t xml:space="preserve">The Committee invited the national Department of Human Settlements, National Treasury and the provincial departments of human settlements of Gauteng, Limpopo and Western Cape to make submissions on the Human Settlements Development Grant’s fourth term performance (financial and non-financial) for the 2017/18 financial year, at a meeting on 06 June 2018.  </w:t>
      </w:r>
    </w:p>
    <w:p w14:paraId="70335B6B" w14:textId="77777777" w:rsidR="00EE0B6D" w:rsidRPr="001E247B" w:rsidRDefault="00EE0B6D" w:rsidP="00220E75">
      <w:pPr>
        <w:autoSpaceDE w:val="0"/>
        <w:autoSpaceDN w:val="0"/>
        <w:adjustRightInd w:val="0"/>
        <w:spacing w:line="360" w:lineRule="auto"/>
        <w:jc w:val="both"/>
        <w:rPr>
          <w:rFonts w:eastAsiaTheme="minorHAnsi"/>
          <w:lang w:val="en-ZA" w:eastAsia="en-US"/>
        </w:rPr>
      </w:pPr>
    </w:p>
    <w:p w14:paraId="7D4717EC" w14:textId="77777777" w:rsidR="008846C8" w:rsidRPr="001E247B" w:rsidRDefault="008846C8" w:rsidP="00220E75">
      <w:pPr>
        <w:autoSpaceDE w:val="0"/>
        <w:autoSpaceDN w:val="0"/>
        <w:adjustRightInd w:val="0"/>
        <w:spacing w:line="360" w:lineRule="auto"/>
        <w:jc w:val="both"/>
        <w:rPr>
          <w:rFonts w:eastAsiaTheme="minorHAnsi"/>
          <w:lang w:val="en-ZA" w:eastAsia="en-US"/>
        </w:rPr>
      </w:pPr>
      <w:r w:rsidRPr="001E247B">
        <w:rPr>
          <w:rFonts w:eastAsiaTheme="minorHAnsi"/>
          <w:lang w:val="en-ZA" w:eastAsia="en-US"/>
        </w:rPr>
        <w:t>The Human Settlement</w:t>
      </w:r>
      <w:r w:rsidR="00853834" w:rsidRPr="001E247B">
        <w:rPr>
          <w:rFonts w:eastAsiaTheme="minorHAnsi"/>
          <w:lang w:val="en-ZA" w:eastAsia="en-US"/>
        </w:rPr>
        <w:t>s</w:t>
      </w:r>
      <w:r w:rsidRPr="001E247B">
        <w:rPr>
          <w:rFonts w:eastAsiaTheme="minorHAnsi"/>
          <w:lang w:val="en-ZA" w:eastAsia="en-US"/>
        </w:rPr>
        <w:t xml:space="preserve"> Development Grant (HSDG) is a schedule 5 grant </w:t>
      </w:r>
      <w:r w:rsidR="00D928AB" w:rsidRPr="001E247B">
        <w:rPr>
          <w:rFonts w:eastAsiaTheme="minorHAnsi"/>
          <w:lang w:val="en-ZA" w:eastAsia="en-US"/>
        </w:rPr>
        <w:t xml:space="preserve">of </w:t>
      </w:r>
      <w:r w:rsidRPr="001E247B">
        <w:rPr>
          <w:rFonts w:eastAsiaTheme="minorHAnsi"/>
          <w:lang w:val="en-ZA" w:eastAsia="en-US"/>
        </w:rPr>
        <w:t xml:space="preserve">which </w:t>
      </w:r>
      <w:r w:rsidR="00D928AB" w:rsidRPr="001E247B">
        <w:rPr>
          <w:rFonts w:eastAsiaTheme="minorHAnsi"/>
          <w:lang w:val="en-ZA" w:eastAsia="en-US"/>
        </w:rPr>
        <w:t xml:space="preserve">the objective </w:t>
      </w:r>
      <w:r w:rsidRPr="001E247B">
        <w:rPr>
          <w:rFonts w:eastAsiaTheme="minorHAnsi"/>
          <w:lang w:val="en-ZA" w:eastAsia="en-US"/>
        </w:rPr>
        <w:t xml:space="preserve">is </w:t>
      </w:r>
      <w:r w:rsidR="00EE0B6D" w:rsidRPr="001E247B">
        <w:rPr>
          <w:rFonts w:eastAsiaTheme="minorHAnsi"/>
          <w:lang w:val="en-ZA" w:eastAsia="en-US"/>
        </w:rPr>
        <w:t xml:space="preserve">the </w:t>
      </w:r>
      <w:r w:rsidRPr="001E247B">
        <w:rPr>
          <w:rFonts w:eastAsiaTheme="minorHAnsi"/>
          <w:lang w:val="en-ZA" w:eastAsia="en-US"/>
        </w:rPr>
        <w:t xml:space="preserve">creation of sustainable and integrated human settlements that enable improved quality of household life and access to basic services. </w:t>
      </w:r>
      <w:r w:rsidR="00853834" w:rsidRPr="001E247B">
        <w:rPr>
          <w:rFonts w:eastAsiaTheme="minorHAnsi"/>
          <w:lang w:val="en-ZA" w:eastAsia="en-US"/>
        </w:rPr>
        <w:t>The HSDG</w:t>
      </w:r>
      <w:r w:rsidRPr="001E247B">
        <w:rPr>
          <w:rFonts w:eastAsiaTheme="minorHAnsi"/>
          <w:lang w:val="en-ZA" w:eastAsia="en-US"/>
        </w:rPr>
        <w:t xml:space="preserve"> supplements provincial </w:t>
      </w:r>
      <w:r w:rsidR="00853834" w:rsidRPr="001E247B">
        <w:rPr>
          <w:rFonts w:eastAsiaTheme="minorHAnsi"/>
          <w:lang w:val="en-ZA" w:eastAsia="en-US"/>
        </w:rPr>
        <w:t xml:space="preserve">equitable share </w:t>
      </w:r>
      <w:r w:rsidRPr="001E247B">
        <w:rPr>
          <w:rFonts w:eastAsiaTheme="minorHAnsi"/>
          <w:lang w:val="en-ZA" w:eastAsia="en-US"/>
        </w:rPr>
        <w:t>allocations. However, over the past few years, provincial contributions have been dwindling, with some provinces relying almost entirely on grant funding</w:t>
      </w:r>
      <w:r w:rsidR="009E3FA6" w:rsidRPr="001E247B">
        <w:rPr>
          <w:rFonts w:eastAsiaTheme="minorHAnsi"/>
          <w:lang w:val="en-ZA" w:eastAsia="en-US"/>
        </w:rPr>
        <w:t xml:space="preserve"> to provide integrated human settlements services</w:t>
      </w:r>
      <w:r w:rsidRPr="001E247B">
        <w:rPr>
          <w:rFonts w:eastAsiaTheme="minorHAnsi"/>
          <w:lang w:val="en-ZA" w:eastAsia="en-US"/>
        </w:rPr>
        <w:t xml:space="preserve">. </w:t>
      </w:r>
    </w:p>
    <w:p w14:paraId="2B6DA2E9" w14:textId="77777777" w:rsidR="008846C8" w:rsidRPr="001E247B" w:rsidRDefault="008846C8" w:rsidP="00220E75">
      <w:pPr>
        <w:autoSpaceDE w:val="0"/>
        <w:autoSpaceDN w:val="0"/>
        <w:adjustRightInd w:val="0"/>
        <w:spacing w:line="360" w:lineRule="auto"/>
        <w:jc w:val="both"/>
        <w:rPr>
          <w:rFonts w:eastAsiaTheme="minorHAnsi"/>
          <w:lang w:val="en-ZA" w:eastAsia="en-US"/>
        </w:rPr>
      </w:pPr>
    </w:p>
    <w:p w14:paraId="280F86F5" w14:textId="77777777" w:rsidR="00D5240A" w:rsidRPr="001E247B" w:rsidRDefault="008846C8" w:rsidP="00220E75">
      <w:pPr>
        <w:autoSpaceDE w:val="0"/>
        <w:autoSpaceDN w:val="0"/>
        <w:adjustRightInd w:val="0"/>
        <w:spacing w:line="360" w:lineRule="auto"/>
        <w:jc w:val="both"/>
        <w:rPr>
          <w:rFonts w:eastAsiaTheme="minorHAnsi"/>
          <w:lang w:eastAsia="en-US"/>
        </w:rPr>
      </w:pPr>
      <w:r w:rsidRPr="001E247B">
        <w:rPr>
          <w:rFonts w:eastAsiaTheme="minorHAnsi"/>
          <w:lang w:val="en-ZA" w:eastAsia="en-US"/>
        </w:rPr>
        <w:t xml:space="preserve">The </w:t>
      </w:r>
      <w:r w:rsidR="00D5240A" w:rsidRPr="001E247B">
        <w:rPr>
          <w:rFonts w:eastAsiaTheme="minorHAnsi"/>
          <w:lang w:eastAsia="en-US"/>
        </w:rPr>
        <w:t>outcomes of the HSDG are to ensure</w:t>
      </w:r>
      <w:r w:rsidR="00D928AB" w:rsidRPr="001E247B">
        <w:rPr>
          <w:rFonts w:eastAsiaTheme="minorHAnsi"/>
          <w:lang w:eastAsia="en-US"/>
        </w:rPr>
        <w:t xml:space="preserve"> </w:t>
      </w:r>
      <w:r w:rsidR="00D5240A" w:rsidRPr="001E247B">
        <w:rPr>
          <w:rFonts w:eastAsiaTheme="minorHAnsi"/>
          <w:lang w:eastAsia="en-US"/>
        </w:rPr>
        <w:t xml:space="preserve">– </w:t>
      </w:r>
    </w:p>
    <w:p w14:paraId="76B93553" w14:textId="77777777" w:rsidR="00D5240A" w:rsidRPr="001E247B" w:rsidRDefault="00D5240A" w:rsidP="00220E75">
      <w:pPr>
        <w:pStyle w:val="ListParagraph"/>
        <w:numPr>
          <w:ilvl w:val="0"/>
          <w:numId w:val="1"/>
        </w:numPr>
        <w:autoSpaceDE w:val="0"/>
        <w:autoSpaceDN w:val="0"/>
        <w:adjustRightInd w:val="0"/>
        <w:spacing w:line="360" w:lineRule="auto"/>
        <w:jc w:val="both"/>
        <w:rPr>
          <w:rFonts w:eastAsiaTheme="minorHAnsi"/>
          <w:lang w:eastAsia="en-US"/>
        </w:rPr>
      </w:pPr>
      <w:r w:rsidRPr="001E247B">
        <w:rPr>
          <w:rFonts w:eastAsiaTheme="minorHAnsi"/>
          <w:lang w:eastAsia="en-US"/>
        </w:rPr>
        <w:t xml:space="preserve">The facilitation and provision of adequate housing opportunities and </w:t>
      </w:r>
      <w:r w:rsidR="00D928AB" w:rsidRPr="001E247B">
        <w:rPr>
          <w:rFonts w:eastAsiaTheme="minorHAnsi"/>
          <w:lang w:eastAsia="en-US"/>
        </w:rPr>
        <w:t xml:space="preserve">an </w:t>
      </w:r>
      <w:r w:rsidRPr="001E247B">
        <w:rPr>
          <w:rFonts w:eastAsiaTheme="minorHAnsi"/>
          <w:lang w:eastAsia="en-US"/>
        </w:rPr>
        <w:t>improved quality living environment</w:t>
      </w:r>
      <w:r w:rsidR="00D928AB" w:rsidRPr="001E247B">
        <w:rPr>
          <w:rFonts w:eastAsiaTheme="minorHAnsi"/>
          <w:lang w:eastAsia="en-US"/>
        </w:rPr>
        <w:t>;</w:t>
      </w:r>
    </w:p>
    <w:p w14:paraId="3A3FA691" w14:textId="77777777" w:rsidR="00D5240A" w:rsidRPr="001E247B" w:rsidRDefault="00D5240A" w:rsidP="00220E75">
      <w:pPr>
        <w:pStyle w:val="ListParagraph"/>
        <w:numPr>
          <w:ilvl w:val="0"/>
          <w:numId w:val="1"/>
        </w:numPr>
        <w:autoSpaceDE w:val="0"/>
        <w:autoSpaceDN w:val="0"/>
        <w:adjustRightInd w:val="0"/>
        <w:spacing w:line="360" w:lineRule="auto"/>
        <w:jc w:val="both"/>
        <w:rPr>
          <w:rFonts w:eastAsiaTheme="minorHAnsi"/>
          <w:lang w:eastAsia="en-US"/>
        </w:rPr>
      </w:pPr>
      <w:r w:rsidRPr="001E247B">
        <w:rPr>
          <w:rFonts w:eastAsiaTheme="minorHAnsi"/>
          <w:lang w:eastAsia="en-US"/>
        </w:rPr>
        <w:t>A functionally equitable and integrated reside</w:t>
      </w:r>
      <w:r w:rsidR="006D45EB" w:rsidRPr="001E247B">
        <w:rPr>
          <w:rFonts w:eastAsiaTheme="minorHAnsi"/>
          <w:lang w:eastAsia="en-US"/>
        </w:rPr>
        <w:t>ntial property market</w:t>
      </w:r>
      <w:r w:rsidR="00D928AB" w:rsidRPr="001E247B">
        <w:rPr>
          <w:rFonts w:eastAsiaTheme="minorHAnsi"/>
          <w:lang w:eastAsia="en-US"/>
        </w:rPr>
        <w:t>; and</w:t>
      </w:r>
    </w:p>
    <w:p w14:paraId="36E5D46E" w14:textId="77777777" w:rsidR="006D45EB" w:rsidRPr="001E247B" w:rsidRDefault="006D45EB" w:rsidP="00220E75">
      <w:pPr>
        <w:pStyle w:val="ListParagraph"/>
        <w:numPr>
          <w:ilvl w:val="0"/>
          <w:numId w:val="1"/>
        </w:numPr>
        <w:autoSpaceDE w:val="0"/>
        <w:autoSpaceDN w:val="0"/>
        <w:adjustRightInd w:val="0"/>
        <w:spacing w:line="360" w:lineRule="auto"/>
        <w:jc w:val="both"/>
        <w:rPr>
          <w:rFonts w:eastAsiaTheme="minorHAnsi"/>
          <w:lang w:eastAsia="en-US"/>
        </w:rPr>
      </w:pPr>
      <w:r w:rsidRPr="001E247B">
        <w:rPr>
          <w:rFonts w:eastAsiaTheme="minorHAnsi"/>
          <w:lang w:eastAsia="en-US"/>
        </w:rPr>
        <w:t>Enhanced institutional capabilities for effective coordination of spatial investment decisions.</w:t>
      </w:r>
    </w:p>
    <w:p w14:paraId="2A134BF1" w14:textId="77777777" w:rsidR="009E3FA6" w:rsidRPr="001E247B" w:rsidRDefault="009E3FA6" w:rsidP="00220E75">
      <w:pPr>
        <w:autoSpaceDE w:val="0"/>
        <w:autoSpaceDN w:val="0"/>
        <w:adjustRightInd w:val="0"/>
        <w:spacing w:line="360" w:lineRule="auto"/>
        <w:jc w:val="both"/>
        <w:rPr>
          <w:rFonts w:eastAsiaTheme="minorHAnsi"/>
          <w:lang w:eastAsia="en-US"/>
        </w:rPr>
      </w:pPr>
    </w:p>
    <w:p w14:paraId="41551712" w14:textId="77777777" w:rsidR="006D45EB" w:rsidRPr="001E247B" w:rsidRDefault="006D45EB" w:rsidP="00220E75">
      <w:pPr>
        <w:autoSpaceDE w:val="0"/>
        <w:autoSpaceDN w:val="0"/>
        <w:adjustRightInd w:val="0"/>
        <w:spacing w:line="360" w:lineRule="auto"/>
        <w:jc w:val="both"/>
        <w:rPr>
          <w:rFonts w:eastAsiaTheme="minorHAnsi"/>
          <w:lang w:eastAsia="en-US"/>
        </w:rPr>
      </w:pPr>
      <w:r w:rsidRPr="001E247B">
        <w:rPr>
          <w:rFonts w:eastAsiaTheme="minorHAnsi"/>
          <w:lang w:eastAsia="en-US"/>
        </w:rPr>
        <w:t>The outputs of the HSDG as provided in the Division of Revenue Act 4 of 2017 are</w:t>
      </w:r>
      <w:r w:rsidR="00D928AB" w:rsidRPr="001E247B">
        <w:rPr>
          <w:rFonts w:eastAsiaTheme="minorHAnsi"/>
          <w:lang w:eastAsia="en-US"/>
        </w:rPr>
        <w:t xml:space="preserve"> as follows</w:t>
      </w:r>
      <w:r w:rsidRPr="001E247B">
        <w:rPr>
          <w:rFonts w:eastAsiaTheme="minorHAnsi"/>
          <w:lang w:eastAsia="en-US"/>
        </w:rPr>
        <w:t>:</w:t>
      </w:r>
    </w:p>
    <w:p w14:paraId="7862E20E" w14:textId="77777777" w:rsidR="006D45EB" w:rsidRPr="001E247B" w:rsidRDefault="00D928AB" w:rsidP="00220E75">
      <w:pPr>
        <w:pStyle w:val="ListParagraph"/>
        <w:numPr>
          <w:ilvl w:val="0"/>
          <w:numId w:val="2"/>
        </w:numPr>
        <w:autoSpaceDE w:val="0"/>
        <w:autoSpaceDN w:val="0"/>
        <w:adjustRightInd w:val="0"/>
        <w:spacing w:line="360" w:lineRule="auto"/>
        <w:jc w:val="both"/>
        <w:rPr>
          <w:rFonts w:eastAsiaTheme="minorHAnsi"/>
          <w:lang w:eastAsia="en-US"/>
        </w:rPr>
      </w:pPr>
      <w:r w:rsidRPr="001E247B">
        <w:rPr>
          <w:rFonts w:eastAsiaTheme="minorHAnsi"/>
          <w:lang w:eastAsia="en-US"/>
        </w:rPr>
        <w:t>N</w:t>
      </w:r>
      <w:r w:rsidR="006D45EB" w:rsidRPr="001E247B">
        <w:rPr>
          <w:rFonts w:eastAsiaTheme="minorHAnsi"/>
          <w:lang w:eastAsia="en-US"/>
        </w:rPr>
        <w:t>umber of housing opportunities created</w:t>
      </w:r>
      <w:r w:rsidRPr="001E247B">
        <w:rPr>
          <w:rFonts w:eastAsiaTheme="minorHAnsi"/>
          <w:lang w:eastAsia="en-US"/>
        </w:rPr>
        <w:t>, that is the</w:t>
      </w:r>
      <w:r w:rsidR="006D45EB" w:rsidRPr="001E247B">
        <w:rPr>
          <w:rFonts w:eastAsiaTheme="minorHAnsi"/>
          <w:lang w:eastAsia="en-US"/>
        </w:rPr>
        <w:t xml:space="preserve"> </w:t>
      </w:r>
      <w:r w:rsidR="009E3FA6" w:rsidRPr="001E247B">
        <w:rPr>
          <w:rFonts w:eastAsiaTheme="minorHAnsi"/>
          <w:lang w:eastAsia="en-US"/>
        </w:rPr>
        <w:t xml:space="preserve">number of residential units delivered in all housing programmes and </w:t>
      </w:r>
      <w:r w:rsidRPr="001E247B">
        <w:rPr>
          <w:rFonts w:eastAsiaTheme="minorHAnsi"/>
          <w:lang w:eastAsia="en-US"/>
        </w:rPr>
        <w:t xml:space="preserve">the </w:t>
      </w:r>
      <w:r w:rsidR="009E3FA6" w:rsidRPr="001E247B">
        <w:rPr>
          <w:rFonts w:eastAsiaTheme="minorHAnsi"/>
          <w:lang w:eastAsia="en-US"/>
        </w:rPr>
        <w:t>number of service</w:t>
      </w:r>
      <w:r w:rsidRPr="001E247B">
        <w:rPr>
          <w:rFonts w:eastAsiaTheme="minorHAnsi"/>
          <w:lang w:eastAsia="en-US"/>
        </w:rPr>
        <w:t>d</w:t>
      </w:r>
      <w:r w:rsidR="009E3FA6" w:rsidRPr="001E247B">
        <w:rPr>
          <w:rFonts w:eastAsiaTheme="minorHAnsi"/>
          <w:lang w:eastAsia="en-US"/>
        </w:rPr>
        <w:t xml:space="preserve"> sites delivered in all housing programmes. </w:t>
      </w:r>
    </w:p>
    <w:p w14:paraId="04872F19" w14:textId="77777777" w:rsidR="006D45EB" w:rsidRPr="001E247B" w:rsidRDefault="00D928AB" w:rsidP="00220E75">
      <w:pPr>
        <w:pStyle w:val="ListParagraph"/>
        <w:numPr>
          <w:ilvl w:val="0"/>
          <w:numId w:val="2"/>
        </w:numPr>
        <w:autoSpaceDE w:val="0"/>
        <w:autoSpaceDN w:val="0"/>
        <w:adjustRightInd w:val="0"/>
        <w:spacing w:line="360" w:lineRule="auto"/>
        <w:jc w:val="both"/>
        <w:rPr>
          <w:rFonts w:eastAsiaTheme="minorHAnsi"/>
          <w:lang w:eastAsia="en-US"/>
        </w:rPr>
      </w:pPr>
      <w:r w:rsidRPr="001E247B">
        <w:rPr>
          <w:rFonts w:eastAsiaTheme="minorHAnsi"/>
          <w:lang w:eastAsia="en-US"/>
        </w:rPr>
        <w:lastRenderedPageBreak/>
        <w:t>N</w:t>
      </w:r>
      <w:r w:rsidR="006D45EB" w:rsidRPr="001E247B">
        <w:rPr>
          <w:rFonts w:eastAsiaTheme="minorHAnsi"/>
          <w:lang w:eastAsia="en-US"/>
        </w:rPr>
        <w:t>umber of households in informal settlements provided with access to basic services</w:t>
      </w:r>
      <w:r w:rsidRPr="001E247B">
        <w:rPr>
          <w:rFonts w:eastAsiaTheme="minorHAnsi"/>
          <w:lang w:eastAsia="en-US"/>
        </w:rPr>
        <w:t xml:space="preserve"> </w:t>
      </w:r>
      <w:r w:rsidR="006D45EB" w:rsidRPr="001E247B">
        <w:rPr>
          <w:rFonts w:eastAsiaTheme="minorHAnsi"/>
          <w:lang w:eastAsia="en-US"/>
        </w:rPr>
        <w:t>- at upgrading of informal settlements programme level 2 standard.</w:t>
      </w:r>
    </w:p>
    <w:p w14:paraId="512676DF" w14:textId="77777777" w:rsidR="006D45EB" w:rsidRPr="001E247B" w:rsidRDefault="00D928AB" w:rsidP="00220E75">
      <w:pPr>
        <w:pStyle w:val="ListParagraph"/>
        <w:numPr>
          <w:ilvl w:val="0"/>
          <w:numId w:val="2"/>
        </w:numPr>
        <w:autoSpaceDE w:val="0"/>
        <w:autoSpaceDN w:val="0"/>
        <w:adjustRightInd w:val="0"/>
        <w:spacing w:line="360" w:lineRule="auto"/>
        <w:jc w:val="both"/>
        <w:rPr>
          <w:rFonts w:eastAsiaTheme="minorHAnsi"/>
          <w:lang w:eastAsia="en-US"/>
        </w:rPr>
      </w:pPr>
      <w:r w:rsidRPr="001E247B">
        <w:rPr>
          <w:rFonts w:eastAsiaTheme="minorHAnsi"/>
          <w:lang w:eastAsia="en-US"/>
        </w:rPr>
        <w:t>N</w:t>
      </w:r>
      <w:r w:rsidR="006D45EB" w:rsidRPr="001E247B">
        <w:rPr>
          <w:rFonts w:eastAsiaTheme="minorHAnsi"/>
          <w:lang w:eastAsia="en-US"/>
        </w:rPr>
        <w:t>umber of households in backyards provided with access to service</w:t>
      </w:r>
      <w:r w:rsidRPr="001E247B">
        <w:rPr>
          <w:rFonts w:eastAsiaTheme="minorHAnsi"/>
          <w:lang w:eastAsia="en-US"/>
        </w:rPr>
        <w:t>s</w:t>
      </w:r>
      <w:r w:rsidR="006D45EB" w:rsidRPr="001E247B">
        <w:rPr>
          <w:rFonts w:eastAsiaTheme="minorHAnsi"/>
          <w:lang w:eastAsia="en-US"/>
        </w:rPr>
        <w:t>/upgraded services.</w:t>
      </w:r>
    </w:p>
    <w:p w14:paraId="4BAB29F8" w14:textId="77777777" w:rsidR="006D45EB" w:rsidRPr="001E247B" w:rsidRDefault="006D45EB" w:rsidP="00220E75">
      <w:pPr>
        <w:pStyle w:val="ListParagraph"/>
        <w:numPr>
          <w:ilvl w:val="0"/>
          <w:numId w:val="2"/>
        </w:numPr>
        <w:autoSpaceDE w:val="0"/>
        <w:autoSpaceDN w:val="0"/>
        <w:adjustRightInd w:val="0"/>
        <w:spacing w:line="360" w:lineRule="auto"/>
        <w:jc w:val="both"/>
        <w:rPr>
          <w:rFonts w:eastAsiaTheme="minorHAnsi"/>
          <w:lang w:eastAsia="en-US"/>
        </w:rPr>
      </w:pPr>
      <w:r w:rsidRPr="001E247B">
        <w:rPr>
          <w:rFonts w:eastAsiaTheme="minorHAnsi"/>
          <w:lang w:eastAsia="en-US"/>
        </w:rPr>
        <w:t>Number of title deeds issued (pre 1994, post 1994 and post 2014).</w:t>
      </w:r>
    </w:p>
    <w:p w14:paraId="0075EA96" w14:textId="77777777" w:rsidR="006D45EB" w:rsidRPr="001E247B" w:rsidRDefault="006D45EB" w:rsidP="00220E75">
      <w:pPr>
        <w:pStyle w:val="ListParagraph"/>
        <w:numPr>
          <w:ilvl w:val="0"/>
          <w:numId w:val="2"/>
        </w:numPr>
        <w:autoSpaceDE w:val="0"/>
        <w:autoSpaceDN w:val="0"/>
        <w:adjustRightInd w:val="0"/>
        <w:spacing w:line="360" w:lineRule="auto"/>
        <w:jc w:val="both"/>
        <w:rPr>
          <w:rFonts w:eastAsiaTheme="minorHAnsi"/>
          <w:lang w:eastAsia="en-US"/>
        </w:rPr>
      </w:pPr>
      <w:r w:rsidRPr="001E247B">
        <w:rPr>
          <w:rFonts w:eastAsiaTheme="minorHAnsi"/>
          <w:lang w:eastAsia="en-US"/>
        </w:rPr>
        <w:t>Hectares of well-located land acquired and zoned to create housing opportunities.</w:t>
      </w:r>
    </w:p>
    <w:p w14:paraId="46B527A7" w14:textId="77777777" w:rsidR="006D45EB" w:rsidRPr="001E247B" w:rsidRDefault="006D45EB" w:rsidP="00220E75">
      <w:pPr>
        <w:pStyle w:val="ListParagraph"/>
        <w:numPr>
          <w:ilvl w:val="0"/>
          <w:numId w:val="2"/>
        </w:numPr>
        <w:autoSpaceDE w:val="0"/>
        <w:autoSpaceDN w:val="0"/>
        <w:adjustRightInd w:val="0"/>
        <w:spacing w:line="360" w:lineRule="auto"/>
        <w:jc w:val="both"/>
        <w:rPr>
          <w:rFonts w:eastAsiaTheme="minorHAnsi"/>
          <w:lang w:eastAsia="en-US"/>
        </w:rPr>
      </w:pPr>
      <w:r w:rsidRPr="001E247B">
        <w:rPr>
          <w:rFonts w:eastAsiaTheme="minorHAnsi"/>
          <w:lang w:eastAsia="en-US"/>
        </w:rPr>
        <w:t>N</w:t>
      </w:r>
      <w:r w:rsidR="00E75B7F" w:rsidRPr="001E247B">
        <w:rPr>
          <w:rFonts w:eastAsiaTheme="minorHAnsi"/>
          <w:lang w:eastAsia="en-US"/>
        </w:rPr>
        <w:t>umber of work opportunities created through related programmes.</w:t>
      </w:r>
    </w:p>
    <w:p w14:paraId="2EBEFD20" w14:textId="77777777" w:rsidR="00E75B7F" w:rsidRPr="001E247B" w:rsidRDefault="00E75B7F" w:rsidP="00220E75">
      <w:pPr>
        <w:pStyle w:val="ListParagraph"/>
        <w:numPr>
          <w:ilvl w:val="0"/>
          <w:numId w:val="2"/>
        </w:numPr>
        <w:autoSpaceDE w:val="0"/>
        <w:autoSpaceDN w:val="0"/>
        <w:adjustRightInd w:val="0"/>
        <w:spacing w:line="360" w:lineRule="auto"/>
        <w:jc w:val="both"/>
        <w:rPr>
          <w:rFonts w:eastAsiaTheme="minorHAnsi"/>
          <w:lang w:eastAsia="en-US"/>
        </w:rPr>
      </w:pPr>
      <w:r w:rsidRPr="001E247B">
        <w:rPr>
          <w:rFonts w:eastAsiaTheme="minorHAnsi"/>
          <w:lang w:eastAsia="en-US"/>
        </w:rPr>
        <w:t>Number of informal settlements upgraded on site and/or relocated.</w:t>
      </w:r>
    </w:p>
    <w:p w14:paraId="70017031" w14:textId="77777777" w:rsidR="00E75B7F" w:rsidRPr="001E247B" w:rsidRDefault="00E75B7F" w:rsidP="00220E75">
      <w:pPr>
        <w:pStyle w:val="ListParagraph"/>
        <w:numPr>
          <w:ilvl w:val="0"/>
          <w:numId w:val="2"/>
        </w:numPr>
        <w:autoSpaceDE w:val="0"/>
        <w:autoSpaceDN w:val="0"/>
        <w:adjustRightInd w:val="0"/>
        <w:spacing w:line="360" w:lineRule="auto"/>
        <w:jc w:val="both"/>
        <w:rPr>
          <w:rFonts w:eastAsiaTheme="minorHAnsi"/>
          <w:lang w:eastAsia="en-US"/>
        </w:rPr>
      </w:pPr>
      <w:r w:rsidRPr="001E247B">
        <w:rPr>
          <w:rFonts w:eastAsiaTheme="minorHAnsi"/>
          <w:lang w:eastAsia="en-US"/>
        </w:rPr>
        <w:t>Percentage of project value procured from women and youth service providers.</w:t>
      </w:r>
    </w:p>
    <w:p w14:paraId="0239F127" w14:textId="77777777" w:rsidR="00E75B7F" w:rsidRPr="001E247B" w:rsidRDefault="00E75B7F" w:rsidP="00220E75">
      <w:pPr>
        <w:pStyle w:val="ListParagraph"/>
        <w:numPr>
          <w:ilvl w:val="0"/>
          <w:numId w:val="2"/>
        </w:numPr>
        <w:autoSpaceDE w:val="0"/>
        <w:autoSpaceDN w:val="0"/>
        <w:adjustRightInd w:val="0"/>
        <w:spacing w:line="360" w:lineRule="auto"/>
        <w:jc w:val="both"/>
        <w:rPr>
          <w:rFonts w:eastAsiaTheme="minorHAnsi"/>
          <w:lang w:eastAsia="en-US"/>
        </w:rPr>
      </w:pPr>
      <w:r w:rsidRPr="001E247B">
        <w:rPr>
          <w:rFonts w:eastAsiaTheme="minorHAnsi"/>
          <w:lang w:eastAsia="en-US"/>
        </w:rPr>
        <w:t>Number of socio-economic amenities delivered in human settlements.</w:t>
      </w:r>
    </w:p>
    <w:p w14:paraId="03E527A2" w14:textId="77777777" w:rsidR="00E75B7F" w:rsidRPr="001E247B" w:rsidRDefault="00E75B7F" w:rsidP="00220E75">
      <w:pPr>
        <w:pStyle w:val="ListParagraph"/>
        <w:numPr>
          <w:ilvl w:val="0"/>
          <w:numId w:val="2"/>
        </w:numPr>
        <w:autoSpaceDE w:val="0"/>
        <w:autoSpaceDN w:val="0"/>
        <w:adjustRightInd w:val="0"/>
        <w:spacing w:line="360" w:lineRule="auto"/>
        <w:jc w:val="both"/>
        <w:rPr>
          <w:rFonts w:eastAsiaTheme="minorHAnsi"/>
          <w:lang w:eastAsia="en-US"/>
        </w:rPr>
      </w:pPr>
      <w:r w:rsidRPr="001E247B">
        <w:rPr>
          <w:rFonts w:eastAsiaTheme="minorHAnsi"/>
          <w:lang w:eastAsia="en-US"/>
        </w:rPr>
        <w:t>Number of catalytic projects planned, approved and implemented for integrated human settlement developments.</w:t>
      </w:r>
    </w:p>
    <w:p w14:paraId="092E29C1" w14:textId="77777777" w:rsidR="00E75B7F" w:rsidRPr="001E247B" w:rsidRDefault="00E75B7F" w:rsidP="00853834">
      <w:pPr>
        <w:spacing w:line="360" w:lineRule="auto"/>
        <w:jc w:val="both"/>
        <w:rPr>
          <w:rFonts w:eastAsiaTheme="minorHAnsi"/>
          <w:lang w:eastAsia="en-US"/>
        </w:rPr>
      </w:pPr>
    </w:p>
    <w:p w14:paraId="4B04888D" w14:textId="77777777" w:rsidR="008846C8" w:rsidRPr="001E247B" w:rsidRDefault="008846C8" w:rsidP="00220E75">
      <w:pPr>
        <w:autoSpaceDE w:val="0"/>
        <w:autoSpaceDN w:val="0"/>
        <w:adjustRightInd w:val="0"/>
        <w:spacing w:line="360" w:lineRule="auto"/>
        <w:jc w:val="both"/>
      </w:pPr>
      <w:r w:rsidRPr="001E247B">
        <w:t xml:space="preserve">      </w:t>
      </w:r>
    </w:p>
    <w:p w14:paraId="07F763B1" w14:textId="77777777" w:rsidR="008846C8" w:rsidRPr="001E247B" w:rsidRDefault="008846C8" w:rsidP="00853834">
      <w:pPr>
        <w:spacing w:line="360" w:lineRule="auto"/>
        <w:jc w:val="both"/>
        <w:rPr>
          <w:b/>
        </w:rPr>
      </w:pPr>
      <w:r w:rsidRPr="001E247B">
        <w:rPr>
          <w:b/>
        </w:rPr>
        <w:t xml:space="preserve">2. Terms of reference  </w:t>
      </w:r>
    </w:p>
    <w:p w14:paraId="38B84169" w14:textId="77777777" w:rsidR="008846C8" w:rsidRPr="001E247B" w:rsidRDefault="008846C8" w:rsidP="00220E75">
      <w:pPr>
        <w:spacing w:line="360" w:lineRule="auto"/>
        <w:jc w:val="both"/>
      </w:pPr>
      <w:r w:rsidRPr="001E247B">
        <w:t xml:space="preserve">The hearing formed part of the Committee’s ongoing interaction with departments to monitor their spending patterns on conditional grants allocated to them. A framework for the grant sets out its purpose, measurable objectives, conditions, allocation criteria, and past performance, among other things. The three provincial departments were selected on the basis of their </w:t>
      </w:r>
      <w:r w:rsidR="00B11533" w:rsidRPr="001E247B">
        <w:t xml:space="preserve">third quarter grant </w:t>
      </w:r>
      <w:r w:rsidRPr="001E247B">
        <w:t>performance</w:t>
      </w:r>
      <w:r w:rsidR="000B07FF" w:rsidRPr="001E247B">
        <w:t xml:space="preserve"> and the national Department of Human Settlements</w:t>
      </w:r>
      <w:r w:rsidR="00B11533" w:rsidRPr="001E247B">
        <w:t xml:space="preserve"> invited</w:t>
      </w:r>
      <w:r w:rsidR="000B07FF" w:rsidRPr="001E247B">
        <w:t xml:space="preserve"> as the transferring department. </w:t>
      </w:r>
    </w:p>
    <w:p w14:paraId="0FB23742" w14:textId="77777777" w:rsidR="00D5240A" w:rsidRPr="001E247B" w:rsidRDefault="00D5240A" w:rsidP="008846C8">
      <w:pPr>
        <w:spacing w:line="360" w:lineRule="auto"/>
        <w:jc w:val="both"/>
      </w:pPr>
    </w:p>
    <w:p w14:paraId="42FE97D9" w14:textId="77777777" w:rsidR="00D5240A" w:rsidRPr="001E247B" w:rsidRDefault="00D5240A" w:rsidP="00D5240A">
      <w:pPr>
        <w:spacing w:line="360" w:lineRule="auto"/>
        <w:jc w:val="both"/>
        <w:rPr>
          <w:b/>
        </w:rPr>
      </w:pPr>
      <w:r w:rsidRPr="001E247B">
        <w:rPr>
          <w:b/>
        </w:rPr>
        <w:t xml:space="preserve">3. Submission by National Treasury </w:t>
      </w:r>
    </w:p>
    <w:p w14:paraId="3C143480" w14:textId="77777777" w:rsidR="00681E60" w:rsidRPr="001E247B" w:rsidRDefault="00D5240A" w:rsidP="00D5240A">
      <w:pPr>
        <w:spacing w:line="360" w:lineRule="auto"/>
        <w:jc w:val="both"/>
      </w:pPr>
      <w:r w:rsidRPr="001E247B">
        <w:t>With regard to</w:t>
      </w:r>
      <w:r w:rsidR="0004511D" w:rsidRPr="001E247B">
        <w:t xml:space="preserve"> spending on the </w:t>
      </w:r>
      <w:r w:rsidR="00B11533" w:rsidRPr="001E247B">
        <w:rPr>
          <w:rFonts w:eastAsiaTheme="minorHAnsi"/>
          <w:lang w:eastAsia="en-US"/>
        </w:rPr>
        <w:t>HSDG</w:t>
      </w:r>
      <w:r w:rsidR="00B11533" w:rsidRPr="001E247B" w:rsidDel="00B11533">
        <w:t xml:space="preserve"> </w:t>
      </w:r>
      <w:r w:rsidRPr="001E247B">
        <w:t xml:space="preserve">in the 2017/18 financial year, National Treasury reported that only </w:t>
      </w:r>
      <w:r w:rsidR="0004511D" w:rsidRPr="001E247B">
        <w:t xml:space="preserve">Gauteng </w:t>
      </w:r>
      <w:r w:rsidRPr="001E247B">
        <w:t>(at 9</w:t>
      </w:r>
      <w:r w:rsidR="0004511D" w:rsidRPr="001E247B">
        <w:t xml:space="preserve">7.8 </w:t>
      </w:r>
      <w:r w:rsidRPr="001E247B">
        <w:t xml:space="preserve">percent), </w:t>
      </w:r>
      <w:r w:rsidR="0004511D" w:rsidRPr="001E247B">
        <w:t xml:space="preserve">Northern Cape </w:t>
      </w:r>
      <w:r w:rsidRPr="001E247B">
        <w:t>(at 9</w:t>
      </w:r>
      <w:r w:rsidR="0004511D" w:rsidRPr="001E247B">
        <w:t>3.6 p</w:t>
      </w:r>
      <w:r w:rsidRPr="001E247B">
        <w:t xml:space="preserve">ercent) and </w:t>
      </w:r>
      <w:r w:rsidR="0004511D" w:rsidRPr="001E247B">
        <w:t xml:space="preserve">North West </w:t>
      </w:r>
      <w:r w:rsidRPr="001E247B">
        <w:t>(at 9</w:t>
      </w:r>
      <w:r w:rsidR="0004511D" w:rsidRPr="001E247B">
        <w:t xml:space="preserve">8.7 </w:t>
      </w:r>
      <w:r w:rsidRPr="001E247B">
        <w:t xml:space="preserve">percent) </w:t>
      </w:r>
      <w:r w:rsidR="000B07FF" w:rsidRPr="001E247B">
        <w:t xml:space="preserve">spent less than </w:t>
      </w:r>
      <w:r w:rsidRPr="001E247B">
        <w:t>100 percent of their total allocations</w:t>
      </w:r>
      <w:r w:rsidR="000B07FF" w:rsidRPr="001E247B">
        <w:t xml:space="preserve"> on the Human Settlements Development Grant</w:t>
      </w:r>
      <w:r w:rsidRPr="001E247B">
        <w:t>.</w:t>
      </w:r>
      <w:r w:rsidR="0004511D" w:rsidRPr="001E247B">
        <w:t xml:space="preserve"> The overall allocation </w:t>
      </w:r>
      <w:r w:rsidR="000B07FF" w:rsidRPr="001E247B">
        <w:t>of</w:t>
      </w:r>
      <w:r w:rsidR="0004511D" w:rsidRPr="001E247B">
        <w:t xml:space="preserve"> the </w:t>
      </w:r>
      <w:r w:rsidR="00B11533" w:rsidRPr="001E247B">
        <w:rPr>
          <w:rFonts w:eastAsiaTheme="minorHAnsi"/>
          <w:lang w:eastAsia="en-US"/>
        </w:rPr>
        <w:t>HSDG</w:t>
      </w:r>
      <w:r w:rsidR="00B11533" w:rsidRPr="001E247B" w:rsidDel="00B11533">
        <w:t xml:space="preserve"> </w:t>
      </w:r>
      <w:r w:rsidR="000B07FF" w:rsidRPr="001E247B">
        <w:t xml:space="preserve">to the Department of Human Settlements </w:t>
      </w:r>
      <w:r w:rsidR="0004511D" w:rsidRPr="001E247B">
        <w:t>was R20</w:t>
      </w:r>
      <w:r w:rsidR="005302DB" w:rsidRPr="001E247B">
        <w:t>.3</w:t>
      </w:r>
      <w:r w:rsidR="0004511D" w:rsidRPr="001E247B">
        <w:t xml:space="preserve"> billion</w:t>
      </w:r>
      <w:r w:rsidR="005302DB" w:rsidRPr="001E247B">
        <w:t xml:space="preserve"> and the provinces spent R20.1 billion (99.1 percent)</w:t>
      </w:r>
      <w:r w:rsidR="000B07FF" w:rsidRPr="001E247B">
        <w:t xml:space="preserve"> of the transferred funds</w:t>
      </w:r>
      <w:r w:rsidR="005302DB" w:rsidRPr="001E247B">
        <w:t>.</w:t>
      </w:r>
      <w:r w:rsidR="0004511D" w:rsidRPr="001E247B">
        <w:t xml:space="preserve"> </w:t>
      </w:r>
    </w:p>
    <w:p w14:paraId="6E2EF614" w14:textId="77777777" w:rsidR="00681E60" w:rsidRPr="001E247B" w:rsidRDefault="00681E60" w:rsidP="00D5240A">
      <w:pPr>
        <w:spacing w:line="360" w:lineRule="auto"/>
        <w:jc w:val="both"/>
      </w:pPr>
    </w:p>
    <w:p w14:paraId="1AA34678" w14:textId="77777777" w:rsidR="00D5240A" w:rsidRPr="001E247B" w:rsidRDefault="005302DB" w:rsidP="00D5240A">
      <w:pPr>
        <w:spacing w:line="360" w:lineRule="auto"/>
        <w:jc w:val="both"/>
      </w:pPr>
      <w:r w:rsidRPr="001E247B">
        <w:t xml:space="preserve">Furthermore, </w:t>
      </w:r>
      <w:r w:rsidR="0004511D" w:rsidRPr="001E247B">
        <w:t xml:space="preserve">the National Treasury reported </w:t>
      </w:r>
      <w:r w:rsidR="00B11533" w:rsidRPr="001E247B">
        <w:t xml:space="preserve">that </w:t>
      </w:r>
      <w:r w:rsidR="0004511D" w:rsidRPr="001E247B">
        <w:t>in March 2018</w:t>
      </w:r>
      <w:r w:rsidR="00FD20B5" w:rsidRPr="001E247B">
        <w:t>,</w:t>
      </w:r>
      <w:r w:rsidR="0004511D" w:rsidRPr="001E247B">
        <w:t xml:space="preserve"> key transfers of funds were made by some provinces to metropolitan municipalities (R682 billion) and </w:t>
      </w:r>
      <w:r w:rsidR="00FD20B5" w:rsidRPr="001E247B">
        <w:t xml:space="preserve">the </w:t>
      </w:r>
      <w:r w:rsidR="0004511D" w:rsidRPr="001E247B">
        <w:t>Housing Development Agency</w:t>
      </w:r>
      <w:r w:rsidR="00FD20B5" w:rsidRPr="001E247B">
        <w:t xml:space="preserve"> (HDA)</w:t>
      </w:r>
      <w:r w:rsidR="0004511D" w:rsidRPr="001E247B">
        <w:t xml:space="preserve"> (R1</w:t>
      </w:r>
      <w:r w:rsidR="00681E60" w:rsidRPr="001E247B">
        <w:t>.9</w:t>
      </w:r>
      <w:r w:rsidR="0004511D" w:rsidRPr="001E247B">
        <w:t xml:space="preserve"> billion).</w:t>
      </w:r>
      <w:r w:rsidR="001F2203" w:rsidRPr="001E247B">
        <w:t xml:space="preserve"> These funds are reported as spent by the </w:t>
      </w:r>
      <w:r w:rsidR="001F2203" w:rsidRPr="001E247B">
        <w:lastRenderedPageBreak/>
        <w:t>provinces, whereas in real terms they have not been spent as at the time of reporting.</w:t>
      </w:r>
      <w:r w:rsidRPr="001E247B">
        <w:t xml:space="preserve"> </w:t>
      </w:r>
      <w:r w:rsidR="00EE0B6D" w:rsidRPr="001E247B">
        <w:t>During</w:t>
      </w:r>
      <w:r w:rsidRPr="001E247B">
        <w:t xml:space="preserve"> the 2017/18 financial year, the National Treasury reported that R600 million was stopped from</w:t>
      </w:r>
      <w:r w:rsidR="001F2203" w:rsidRPr="001E247B">
        <w:t xml:space="preserve"> three provinces due to under</w:t>
      </w:r>
      <w:r w:rsidR="004E6D4A" w:rsidRPr="001E247B">
        <w:t>-</w:t>
      </w:r>
      <w:r w:rsidR="001F2203" w:rsidRPr="001E247B">
        <w:t>expenditure</w:t>
      </w:r>
      <w:r w:rsidR="004E6D4A" w:rsidRPr="001E247B">
        <w:t xml:space="preserve"> -</w:t>
      </w:r>
      <w:r w:rsidRPr="001E247B">
        <w:t xml:space="preserve"> Gauteng (R150 million), Limpopo (R150 million</w:t>
      </w:r>
      <w:r w:rsidR="004E6D4A" w:rsidRPr="001E247B">
        <w:t>)</w:t>
      </w:r>
      <w:r w:rsidRPr="001E247B">
        <w:t xml:space="preserve"> and North West (R300 million)</w:t>
      </w:r>
      <w:r w:rsidR="004E6D4A" w:rsidRPr="001E247B">
        <w:t xml:space="preserve"> -</w:t>
      </w:r>
      <w:r w:rsidRPr="001E247B">
        <w:t xml:space="preserve"> and reallocated </w:t>
      </w:r>
      <w:r w:rsidR="008370B9" w:rsidRPr="001E247B">
        <w:t xml:space="preserve">to other performing provinces. </w:t>
      </w:r>
    </w:p>
    <w:p w14:paraId="04D31DF9" w14:textId="77777777" w:rsidR="00DE6886" w:rsidRPr="001E247B" w:rsidRDefault="00DE6886" w:rsidP="00D5240A">
      <w:pPr>
        <w:spacing w:line="360" w:lineRule="auto"/>
        <w:jc w:val="both"/>
      </w:pPr>
    </w:p>
    <w:p w14:paraId="32318BA9" w14:textId="77777777" w:rsidR="00681E60" w:rsidRPr="001E247B" w:rsidRDefault="00DE6886" w:rsidP="00D5240A">
      <w:pPr>
        <w:spacing w:line="360" w:lineRule="auto"/>
        <w:jc w:val="both"/>
      </w:pPr>
      <w:r w:rsidRPr="001E247B">
        <w:t>The National Treasury submitted to the Committee that poor alignment between cash flow projections and allocations in the business plans</w:t>
      </w:r>
      <w:r w:rsidR="001F2203" w:rsidRPr="001E247B">
        <w:t xml:space="preserve"> </w:t>
      </w:r>
      <w:r w:rsidRPr="001E247B">
        <w:t>result</w:t>
      </w:r>
      <w:r w:rsidR="001F2203" w:rsidRPr="001E247B">
        <w:t xml:space="preserve">ed, </w:t>
      </w:r>
      <w:r w:rsidRPr="001E247B">
        <w:t>in some instances</w:t>
      </w:r>
      <w:r w:rsidR="001F2203" w:rsidRPr="001E247B">
        <w:t>,</w:t>
      </w:r>
      <w:r w:rsidRPr="001E247B">
        <w:t xml:space="preserve"> in huge cash amounts </w:t>
      </w:r>
      <w:r w:rsidR="001F2203" w:rsidRPr="001E247B">
        <w:t>transferred by</w:t>
      </w:r>
      <w:r w:rsidR="00EE0B6D" w:rsidRPr="001E247B">
        <w:t xml:space="preserve"> the</w:t>
      </w:r>
      <w:r w:rsidR="001F2203" w:rsidRPr="001E247B">
        <w:t xml:space="preserve"> </w:t>
      </w:r>
      <w:r w:rsidRPr="001E247B">
        <w:t xml:space="preserve">provinces </w:t>
      </w:r>
      <w:r w:rsidR="001F2203" w:rsidRPr="001E247B">
        <w:t>t</w:t>
      </w:r>
      <w:r w:rsidRPr="001E247B">
        <w:t xml:space="preserve">o </w:t>
      </w:r>
      <w:r w:rsidR="001F2203" w:rsidRPr="001E247B">
        <w:t xml:space="preserve">the </w:t>
      </w:r>
      <w:r w:rsidRPr="001E247B">
        <w:t>implementing agencies (H</w:t>
      </w:r>
      <w:r w:rsidR="004E6D4A" w:rsidRPr="001E247B">
        <w:t>DA</w:t>
      </w:r>
      <w:r w:rsidRPr="001E247B">
        <w:t xml:space="preserve"> and the </w:t>
      </w:r>
      <w:r w:rsidR="004E6D4A" w:rsidRPr="001E247B">
        <w:t>m</w:t>
      </w:r>
      <w:r w:rsidRPr="001E247B">
        <w:t>unicipalities). Another matter the National Treasury highlighted was that provinces spent funds on unplanned programmes, wh</w:t>
      </w:r>
      <w:r w:rsidR="004E6D4A" w:rsidRPr="001E247B">
        <w:t xml:space="preserve">ile </w:t>
      </w:r>
      <w:r w:rsidRPr="001E247B">
        <w:t>they under</w:t>
      </w:r>
      <w:r w:rsidR="004E6D4A" w:rsidRPr="001E247B">
        <w:t>-</w:t>
      </w:r>
      <w:r w:rsidRPr="001E247B">
        <w:t>perform</w:t>
      </w:r>
      <w:r w:rsidR="004E6D4A" w:rsidRPr="001E247B">
        <w:t>ed</w:t>
      </w:r>
      <w:r w:rsidRPr="001E247B">
        <w:t xml:space="preserve"> on planned programmes. Th</w:t>
      </w:r>
      <w:r w:rsidR="001F2203" w:rsidRPr="001E247B">
        <w:t>e National Treasury stated that th</w:t>
      </w:r>
      <w:r w:rsidRPr="001E247B">
        <w:t>is</w:t>
      </w:r>
      <w:r w:rsidR="001F2203" w:rsidRPr="001E247B">
        <w:t xml:space="preserve"> </w:t>
      </w:r>
      <w:r w:rsidRPr="001E247B">
        <w:t>show</w:t>
      </w:r>
      <w:r w:rsidR="004E6D4A" w:rsidRPr="001E247B">
        <w:t>ed a</w:t>
      </w:r>
      <w:r w:rsidRPr="001E247B">
        <w:t xml:space="preserve"> planning deficiency on the part of provinces.</w:t>
      </w:r>
      <w:r w:rsidR="00C67ABA" w:rsidRPr="001E247B">
        <w:t xml:space="preserve"> </w:t>
      </w:r>
    </w:p>
    <w:p w14:paraId="31C7A0B2" w14:textId="77777777" w:rsidR="00681E60" w:rsidRPr="001E247B" w:rsidRDefault="00681E60" w:rsidP="00D5240A">
      <w:pPr>
        <w:spacing w:line="360" w:lineRule="auto"/>
        <w:jc w:val="both"/>
      </w:pPr>
    </w:p>
    <w:p w14:paraId="526C9F62" w14:textId="77777777" w:rsidR="00681E60" w:rsidRPr="001E247B" w:rsidRDefault="00C67ABA" w:rsidP="00D5240A">
      <w:pPr>
        <w:spacing w:line="360" w:lineRule="auto"/>
        <w:jc w:val="both"/>
      </w:pPr>
      <w:r w:rsidRPr="001E247B">
        <w:t xml:space="preserve">Added to that, the National Treasury reported that labour unrest and late payment of contractors </w:t>
      </w:r>
      <w:r w:rsidR="00F572CF" w:rsidRPr="001E247B">
        <w:t xml:space="preserve">by departments </w:t>
      </w:r>
      <w:r w:rsidRPr="001E247B">
        <w:t>may have contributed to stalling of projects and some contractors abandoning project</w:t>
      </w:r>
      <w:r w:rsidR="00953420" w:rsidRPr="001E247B">
        <w:t xml:space="preserve"> </w:t>
      </w:r>
      <w:r w:rsidRPr="001E247B">
        <w:t xml:space="preserve">sites before </w:t>
      </w:r>
      <w:r w:rsidR="00220E75" w:rsidRPr="001E247B">
        <w:t>completion</w:t>
      </w:r>
      <w:r w:rsidRPr="001E247B">
        <w:t>. Moreover, poor contractor</w:t>
      </w:r>
      <w:r w:rsidR="007045D8" w:rsidRPr="001E247B">
        <w:t xml:space="preserve"> workmanship also </w:t>
      </w:r>
      <w:r w:rsidR="003E519F" w:rsidRPr="001E247B">
        <w:t>contributed to projects</w:t>
      </w:r>
      <w:r w:rsidR="007045D8" w:rsidRPr="001E247B">
        <w:t xml:space="preserve"> </w:t>
      </w:r>
      <w:r w:rsidR="003E519F" w:rsidRPr="001E247B">
        <w:t>being delayed</w:t>
      </w:r>
      <w:r w:rsidR="007045D8" w:rsidRPr="001E247B">
        <w:t xml:space="preserve">. </w:t>
      </w:r>
      <w:r w:rsidR="003E519F" w:rsidRPr="001E247B">
        <w:t xml:space="preserve">This </w:t>
      </w:r>
      <w:r w:rsidR="00953420" w:rsidRPr="001E247B">
        <w:t xml:space="preserve">necessitated </w:t>
      </w:r>
      <w:r w:rsidR="003E519F" w:rsidRPr="001E247B">
        <w:t xml:space="preserve">some provinces spending funds on rectification of </w:t>
      </w:r>
      <w:r w:rsidR="003328CC" w:rsidRPr="001E247B">
        <w:t>faulty housing units.</w:t>
      </w:r>
    </w:p>
    <w:p w14:paraId="2C2B60D3" w14:textId="77777777" w:rsidR="00681E60" w:rsidRPr="001E247B" w:rsidRDefault="00681E60" w:rsidP="00D5240A">
      <w:pPr>
        <w:spacing w:line="360" w:lineRule="auto"/>
        <w:jc w:val="both"/>
      </w:pPr>
    </w:p>
    <w:p w14:paraId="172E398C" w14:textId="77777777" w:rsidR="00681E60" w:rsidRPr="001E247B" w:rsidRDefault="008160E8" w:rsidP="00D5240A">
      <w:pPr>
        <w:spacing w:line="360" w:lineRule="auto"/>
        <w:jc w:val="both"/>
        <w:rPr>
          <w:b/>
        </w:rPr>
      </w:pPr>
      <w:r w:rsidRPr="001E247B">
        <w:rPr>
          <w:b/>
        </w:rPr>
        <w:t>4</w:t>
      </w:r>
      <w:r w:rsidR="00681E60" w:rsidRPr="001E247B">
        <w:rPr>
          <w:b/>
        </w:rPr>
        <w:t>. Submission by the Department of Human Settlements</w:t>
      </w:r>
    </w:p>
    <w:p w14:paraId="636280DB" w14:textId="77777777" w:rsidR="009C4A57" w:rsidRPr="001E247B" w:rsidRDefault="00CE1D00" w:rsidP="00D5240A">
      <w:pPr>
        <w:spacing w:line="360" w:lineRule="auto"/>
        <w:jc w:val="both"/>
      </w:pPr>
      <w:r w:rsidRPr="001E247B">
        <w:t xml:space="preserve">The national </w:t>
      </w:r>
      <w:r w:rsidR="007045D8" w:rsidRPr="001E247B">
        <w:t>D</w:t>
      </w:r>
      <w:r w:rsidRPr="001E247B">
        <w:t xml:space="preserve">epartment </w:t>
      </w:r>
      <w:r w:rsidR="006F6250" w:rsidRPr="001E247B">
        <w:t xml:space="preserve">of Human Settlements </w:t>
      </w:r>
      <w:r w:rsidR="00C55C6B" w:rsidRPr="001E247B">
        <w:t>(DH</w:t>
      </w:r>
      <w:r w:rsidR="004178FD" w:rsidRPr="001E247B">
        <w:t>S</w:t>
      </w:r>
      <w:r w:rsidR="00C55C6B" w:rsidRPr="001E247B">
        <w:t xml:space="preserve">) </w:t>
      </w:r>
      <w:r w:rsidR="006F6250" w:rsidRPr="001E247B">
        <w:t xml:space="preserve">reported that the </w:t>
      </w:r>
      <w:r w:rsidR="004178FD" w:rsidRPr="001E247B">
        <w:t xml:space="preserve">total </w:t>
      </w:r>
      <w:r w:rsidR="006F6250" w:rsidRPr="001E247B">
        <w:t xml:space="preserve">allocation </w:t>
      </w:r>
      <w:r w:rsidR="004178FD" w:rsidRPr="001E247B">
        <w:t>for</w:t>
      </w:r>
      <w:r w:rsidR="006F6250" w:rsidRPr="001E247B">
        <w:t xml:space="preserve"> the</w:t>
      </w:r>
      <w:r w:rsidR="00C55C6B" w:rsidRPr="001E247B">
        <w:t xml:space="preserve"> </w:t>
      </w:r>
      <w:r w:rsidR="00E25A8E" w:rsidRPr="001E247B">
        <w:t xml:space="preserve">HSDG </w:t>
      </w:r>
      <w:r w:rsidR="006F6250" w:rsidRPr="001E247B">
        <w:t>was R19.9 billion in the 2017/18 financial year.</w:t>
      </w:r>
      <w:r w:rsidR="00E25A8E" w:rsidRPr="001E247B">
        <w:t xml:space="preserve"> The HSDG funds were allocated to provinces based on a formula approved by the Human Settlements M</w:t>
      </w:r>
      <w:r w:rsidR="007045D8" w:rsidRPr="001E247B">
        <w:t>in</w:t>
      </w:r>
      <w:r w:rsidR="00E25A8E" w:rsidRPr="001E247B">
        <w:t>M</w:t>
      </w:r>
      <w:r w:rsidR="007045D8" w:rsidRPr="001E247B">
        <w:t>ec</w:t>
      </w:r>
      <w:r w:rsidR="0000758B" w:rsidRPr="001E247B">
        <w:t xml:space="preserve"> (an intergovernmental structure formed as per section 10 of</w:t>
      </w:r>
      <w:r w:rsidR="004178FD" w:rsidRPr="001E247B">
        <w:t xml:space="preserve"> the </w:t>
      </w:r>
      <w:r w:rsidR="0000758B" w:rsidRPr="001E247B">
        <w:t xml:space="preserve">Intergovernmental Relations Framework Act 13 of 2005) </w:t>
      </w:r>
      <w:r w:rsidR="00E25A8E" w:rsidRPr="001E247B">
        <w:t xml:space="preserve">and </w:t>
      </w:r>
      <w:r w:rsidR="00B52DAA" w:rsidRPr="001E247B">
        <w:t xml:space="preserve">the </w:t>
      </w:r>
      <w:r w:rsidR="00E25A8E" w:rsidRPr="001E247B">
        <w:t xml:space="preserve">National Treasury.  The formula was based on </w:t>
      </w:r>
      <w:r w:rsidR="00EE0B6D" w:rsidRPr="001E247B">
        <w:t xml:space="preserve">the </w:t>
      </w:r>
      <w:r w:rsidR="00E25A8E" w:rsidRPr="001E247B">
        <w:t xml:space="preserve">share of inadequate housing in each province but also accounted for population size and extent of poverty in each province. As part of the process of allocating funds as stipulated in the Division of Revenue Act, all provinces submitted their business plans before funds were transferred. The </w:t>
      </w:r>
      <w:r w:rsidR="00B52DAA" w:rsidRPr="001E247B">
        <w:t xml:space="preserve">submitted </w:t>
      </w:r>
      <w:r w:rsidR="00E25A8E" w:rsidRPr="001E247B">
        <w:t>business plans</w:t>
      </w:r>
      <w:r w:rsidR="00B52DAA" w:rsidRPr="001E247B">
        <w:t xml:space="preserve"> </w:t>
      </w:r>
      <w:r w:rsidR="00E25A8E" w:rsidRPr="001E247B">
        <w:t xml:space="preserve">were </w:t>
      </w:r>
      <w:r w:rsidR="00B52DAA" w:rsidRPr="001E247B">
        <w:t xml:space="preserve">considered, </w:t>
      </w:r>
      <w:r w:rsidR="00E25A8E" w:rsidRPr="001E247B">
        <w:t>reviewed and approved by the Accounting Officer</w:t>
      </w:r>
      <w:r w:rsidR="00B52DAA" w:rsidRPr="001E247B">
        <w:t xml:space="preserve"> of </w:t>
      </w:r>
      <w:r w:rsidR="00E25A8E" w:rsidRPr="001E247B">
        <w:t>the D</w:t>
      </w:r>
      <w:r w:rsidR="004178FD" w:rsidRPr="001E247B">
        <w:t>HS</w:t>
      </w:r>
      <w:r w:rsidR="00E25A8E" w:rsidRPr="001E247B">
        <w:t xml:space="preserve">. </w:t>
      </w:r>
    </w:p>
    <w:p w14:paraId="54F638F5" w14:textId="77777777" w:rsidR="009C4A57" w:rsidRPr="001E247B" w:rsidRDefault="009C4A57" w:rsidP="00D5240A">
      <w:pPr>
        <w:spacing w:line="360" w:lineRule="auto"/>
        <w:jc w:val="both"/>
      </w:pPr>
    </w:p>
    <w:p w14:paraId="04F40253" w14:textId="77777777" w:rsidR="001F2E25" w:rsidRPr="001E247B" w:rsidRDefault="00E25A8E" w:rsidP="00D5240A">
      <w:pPr>
        <w:spacing w:line="360" w:lineRule="auto"/>
        <w:jc w:val="both"/>
      </w:pPr>
      <w:r w:rsidRPr="001E247B">
        <w:t>The D</w:t>
      </w:r>
      <w:r w:rsidR="004178FD" w:rsidRPr="001E247B">
        <w:t xml:space="preserve">HS </w:t>
      </w:r>
      <w:r w:rsidR="009C4A57" w:rsidRPr="001E247B">
        <w:t xml:space="preserve">submitted </w:t>
      </w:r>
      <w:r w:rsidRPr="001E247B">
        <w:t>that the performance of th</w:t>
      </w:r>
      <w:r w:rsidR="009C4A57" w:rsidRPr="001E247B">
        <w:t>e HSDG</w:t>
      </w:r>
      <w:r w:rsidR="00B52DAA" w:rsidRPr="001E247B">
        <w:t>,</w:t>
      </w:r>
      <w:r w:rsidR="009C4A57" w:rsidRPr="001E247B">
        <w:t xml:space="preserve"> as </w:t>
      </w:r>
      <w:r w:rsidR="00B52DAA" w:rsidRPr="001E247B">
        <w:t xml:space="preserve">per reports of </w:t>
      </w:r>
      <w:r w:rsidR="009C4A57" w:rsidRPr="001E247B">
        <w:t>implement</w:t>
      </w:r>
      <w:r w:rsidR="00B52DAA" w:rsidRPr="001E247B">
        <w:t xml:space="preserve">ation </w:t>
      </w:r>
      <w:r w:rsidR="009C4A57" w:rsidRPr="001E247B">
        <w:t>by th</w:t>
      </w:r>
      <w:r w:rsidRPr="001E247B">
        <w:t>e provinces</w:t>
      </w:r>
      <w:r w:rsidR="00B52DAA" w:rsidRPr="001E247B">
        <w:t>,</w:t>
      </w:r>
      <w:r w:rsidR="009C4A57" w:rsidRPr="001E247B">
        <w:t xml:space="preserve"> was monitored throughout the year. The monitoring process included visits to projects, quarterly review sessions, Technical M</w:t>
      </w:r>
      <w:r w:rsidR="00B52DAA" w:rsidRPr="001E247B">
        <w:t>inMec</w:t>
      </w:r>
      <w:r w:rsidR="009C4A57" w:rsidRPr="001E247B">
        <w:t xml:space="preserve"> and M</w:t>
      </w:r>
      <w:r w:rsidR="00B52DAA" w:rsidRPr="001E247B">
        <w:t>inMec</w:t>
      </w:r>
      <w:r w:rsidR="004178FD" w:rsidRPr="001E247B">
        <w:t xml:space="preserve"> meetings</w:t>
      </w:r>
      <w:r w:rsidR="009C4A57" w:rsidRPr="001E247B">
        <w:t>. Where there was under</w:t>
      </w:r>
      <w:r w:rsidR="004178FD" w:rsidRPr="001E247B">
        <w:t>-</w:t>
      </w:r>
      <w:r w:rsidR="009C4A57" w:rsidRPr="001E247B">
        <w:t xml:space="preserve">performance in </w:t>
      </w:r>
      <w:r w:rsidR="00EE0B6D" w:rsidRPr="001E247B">
        <w:t xml:space="preserve">the </w:t>
      </w:r>
      <w:r w:rsidR="009C4A57" w:rsidRPr="001E247B">
        <w:t>provinces, the</w:t>
      </w:r>
      <w:r w:rsidR="00220E75" w:rsidRPr="001E247B">
        <w:t xml:space="preserve"> DHS </w:t>
      </w:r>
      <w:r w:rsidR="009C4A57" w:rsidRPr="001E247B">
        <w:t xml:space="preserve">reported that </w:t>
      </w:r>
      <w:r w:rsidR="00220E75" w:rsidRPr="001E247B">
        <w:t xml:space="preserve">technical </w:t>
      </w:r>
      <w:r w:rsidR="009C4A57" w:rsidRPr="001E247B">
        <w:t xml:space="preserve">support was </w:t>
      </w:r>
      <w:r w:rsidR="009C4A57" w:rsidRPr="001E247B">
        <w:lastRenderedPageBreak/>
        <w:t xml:space="preserve">provided. </w:t>
      </w:r>
      <w:r w:rsidR="001F2E25" w:rsidRPr="001E247B">
        <w:t xml:space="preserve">Overall, the DHS reported that the </w:t>
      </w:r>
      <w:r w:rsidR="00220E75" w:rsidRPr="001E247B">
        <w:t xml:space="preserve">actual </w:t>
      </w:r>
      <w:r w:rsidR="001F2E25" w:rsidRPr="001E247B">
        <w:t xml:space="preserve">expenditure performance of the HSDG was 99 percent as at the end of the 2017/18 financial year. </w:t>
      </w:r>
      <w:r w:rsidR="00E25DAD" w:rsidRPr="001E247B">
        <w:t>The table below shows the allocation</w:t>
      </w:r>
      <w:r w:rsidR="00220E75" w:rsidRPr="001E247B">
        <w:t>s</w:t>
      </w:r>
      <w:r w:rsidR="00E25DAD" w:rsidRPr="001E247B">
        <w:t xml:space="preserve"> of </w:t>
      </w:r>
      <w:r w:rsidR="00AE0FB6" w:rsidRPr="001E247B">
        <w:t>the HSDG</w:t>
      </w:r>
      <w:r w:rsidR="00B03C55" w:rsidRPr="001E247B">
        <w:t xml:space="preserve"> </w:t>
      </w:r>
      <w:r w:rsidR="00E25DAD" w:rsidRPr="001E247B">
        <w:t>per province.</w:t>
      </w:r>
    </w:p>
    <w:p w14:paraId="2009CC2C" w14:textId="77777777" w:rsidR="00220E75" w:rsidRPr="001E247B" w:rsidRDefault="00220E75" w:rsidP="00D5240A">
      <w:pPr>
        <w:spacing w:line="360" w:lineRule="auto"/>
        <w:jc w:val="both"/>
      </w:pPr>
    </w:p>
    <w:p w14:paraId="32EA794B" w14:textId="77777777" w:rsidR="00275BD9" w:rsidRPr="001E247B" w:rsidRDefault="00275BD9" w:rsidP="00D5240A">
      <w:pPr>
        <w:spacing w:line="360" w:lineRule="auto"/>
        <w:jc w:val="both"/>
        <w:rPr>
          <w:b/>
        </w:rPr>
      </w:pPr>
      <w:r w:rsidRPr="001E247B">
        <w:rPr>
          <w:b/>
        </w:rPr>
        <w:t>Table 1: Human Settlement Development Grant allocation to Provinces</w:t>
      </w:r>
      <w:r w:rsidR="00220E75" w:rsidRPr="001E247B">
        <w:rPr>
          <w:b/>
        </w:rPr>
        <w:t xml:space="preserve"> </w:t>
      </w:r>
    </w:p>
    <w:tbl>
      <w:tblPr>
        <w:tblStyle w:val="TableGrid"/>
        <w:tblW w:w="8926" w:type="dxa"/>
        <w:tblLayout w:type="fixed"/>
        <w:tblLook w:val="04A0" w:firstRow="1" w:lastRow="0" w:firstColumn="1" w:lastColumn="0" w:noHBand="0" w:noVBand="1"/>
      </w:tblPr>
      <w:tblGrid>
        <w:gridCol w:w="1271"/>
        <w:gridCol w:w="1134"/>
        <w:gridCol w:w="1134"/>
        <w:gridCol w:w="992"/>
        <w:gridCol w:w="1134"/>
        <w:gridCol w:w="1134"/>
        <w:gridCol w:w="1065"/>
        <w:gridCol w:w="1062"/>
      </w:tblGrid>
      <w:tr w:rsidR="00A83D1E" w:rsidRPr="001E247B" w14:paraId="5EEB0270" w14:textId="77777777" w:rsidTr="004353E4">
        <w:trPr>
          <w:trHeight w:val="2166"/>
        </w:trPr>
        <w:tc>
          <w:tcPr>
            <w:tcW w:w="1271" w:type="dxa"/>
            <w:vMerge w:val="restart"/>
          </w:tcPr>
          <w:p w14:paraId="683C0CC2" w14:textId="77777777" w:rsidR="00275BD9" w:rsidRPr="001E247B" w:rsidRDefault="00275BD9" w:rsidP="00D5240A">
            <w:pPr>
              <w:spacing w:line="360" w:lineRule="auto"/>
              <w:jc w:val="both"/>
              <w:rPr>
                <w:b/>
              </w:rPr>
            </w:pPr>
            <w:r w:rsidRPr="001E247B">
              <w:rPr>
                <w:b/>
              </w:rPr>
              <w:t>Province</w:t>
            </w:r>
          </w:p>
        </w:tc>
        <w:tc>
          <w:tcPr>
            <w:tcW w:w="1134" w:type="dxa"/>
          </w:tcPr>
          <w:p w14:paraId="62C25880" w14:textId="77777777" w:rsidR="00275BD9" w:rsidRPr="001E247B" w:rsidRDefault="00275BD9" w:rsidP="00D5240A">
            <w:pPr>
              <w:spacing w:line="360" w:lineRule="auto"/>
              <w:jc w:val="both"/>
              <w:rPr>
                <w:b/>
              </w:rPr>
            </w:pPr>
            <w:r w:rsidRPr="001E247B">
              <w:rPr>
                <w:b/>
              </w:rPr>
              <w:t>Voted funds</w:t>
            </w:r>
          </w:p>
        </w:tc>
        <w:tc>
          <w:tcPr>
            <w:tcW w:w="1134" w:type="dxa"/>
          </w:tcPr>
          <w:p w14:paraId="54CA012A" w14:textId="77777777" w:rsidR="00275BD9" w:rsidRPr="001E247B" w:rsidRDefault="00275BD9" w:rsidP="00D5240A">
            <w:pPr>
              <w:spacing w:line="360" w:lineRule="auto"/>
              <w:jc w:val="both"/>
              <w:rPr>
                <w:b/>
              </w:rPr>
            </w:pPr>
            <w:r w:rsidRPr="001E247B">
              <w:rPr>
                <w:b/>
              </w:rPr>
              <w:t>Stopped/ realloca</w:t>
            </w:r>
            <w:r w:rsidR="00A83D1E" w:rsidRPr="001E247B">
              <w:rPr>
                <w:b/>
              </w:rPr>
              <w:t>-</w:t>
            </w:r>
            <w:r w:rsidRPr="001E247B">
              <w:rPr>
                <w:b/>
              </w:rPr>
              <w:t>ted funds</w:t>
            </w:r>
          </w:p>
        </w:tc>
        <w:tc>
          <w:tcPr>
            <w:tcW w:w="992" w:type="dxa"/>
          </w:tcPr>
          <w:p w14:paraId="649B79DA" w14:textId="77777777" w:rsidR="00275BD9" w:rsidRPr="001E247B" w:rsidRDefault="00275BD9" w:rsidP="00D5240A">
            <w:pPr>
              <w:spacing w:line="360" w:lineRule="auto"/>
              <w:jc w:val="both"/>
              <w:rPr>
                <w:b/>
              </w:rPr>
            </w:pPr>
            <w:r w:rsidRPr="001E247B">
              <w:rPr>
                <w:b/>
              </w:rPr>
              <w:t>Roll</w:t>
            </w:r>
            <w:r w:rsidR="00754168" w:rsidRPr="001E247B">
              <w:rPr>
                <w:b/>
              </w:rPr>
              <w:t>-</w:t>
            </w:r>
            <w:r w:rsidRPr="001E247B">
              <w:rPr>
                <w:b/>
              </w:rPr>
              <w:t xml:space="preserve">over from 2016/17 </w:t>
            </w:r>
          </w:p>
        </w:tc>
        <w:tc>
          <w:tcPr>
            <w:tcW w:w="1134" w:type="dxa"/>
          </w:tcPr>
          <w:p w14:paraId="3B9E98FB" w14:textId="77777777" w:rsidR="00275BD9" w:rsidRPr="001E247B" w:rsidRDefault="00275BD9" w:rsidP="00D5240A">
            <w:pPr>
              <w:spacing w:line="360" w:lineRule="auto"/>
              <w:jc w:val="both"/>
              <w:rPr>
                <w:b/>
              </w:rPr>
            </w:pPr>
            <w:r w:rsidRPr="001E247B">
              <w:rPr>
                <w:b/>
              </w:rPr>
              <w:t>Total available funds</w:t>
            </w:r>
          </w:p>
        </w:tc>
        <w:tc>
          <w:tcPr>
            <w:tcW w:w="1134" w:type="dxa"/>
          </w:tcPr>
          <w:p w14:paraId="4E5FA787" w14:textId="77777777" w:rsidR="00275BD9" w:rsidRPr="001E247B" w:rsidRDefault="00275BD9" w:rsidP="00D5240A">
            <w:pPr>
              <w:spacing w:line="360" w:lineRule="auto"/>
              <w:jc w:val="both"/>
              <w:rPr>
                <w:b/>
              </w:rPr>
            </w:pPr>
            <w:r w:rsidRPr="001E247B">
              <w:rPr>
                <w:b/>
              </w:rPr>
              <w:t>Funds spent by Province</w:t>
            </w:r>
          </w:p>
        </w:tc>
        <w:tc>
          <w:tcPr>
            <w:tcW w:w="1065" w:type="dxa"/>
          </w:tcPr>
          <w:p w14:paraId="46AAD7C9" w14:textId="77777777" w:rsidR="00275BD9" w:rsidRPr="001E247B" w:rsidRDefault="00275BD9" w:rsidP="00D5240A">
            <w:pPr>
              <w:spacing w:line="360" w:lineRule="auto"/>
              <w:jc w:val="both"/>
              <w:rPr>
                <w:b/>
              </w:rPr>
            </w:pPr>
            <w:r w:rsidRPr="001E247B">
              <w:rPr>
                <w:b/>
              </w:rPr>
              <w:t>Unspent against total available</w:t>
            </w:r>
          </w:p>
        </w:tc>
        <w:tc>
          <w:tcPr>
            <w:tcW w:w="1062" w:type="dxa"/>
          </w:tcPr>
          <w:p w14:paraId="23250985" w14:textId="77777777" w:rsidR="00275BD9" w:rsidRPr="001E247B" w:rsidRDefault="00275BD9" w:rsidP="00D5240A">
            <w:pPr>
              <w:spacing w:line="360" w:lineRule="auto"/>
              <w:jc w:val="both"/>
              <w:rPr>
                <w:b/>
              </w:rPr>
            </w:pPr>
            <w:r w:rsidRPr="001E247B">
              <w:rPr>
                <w:b/>
              </w:rPr>
              <w:t>% spent against total available</w:t>
            </w:r>
          </w:p>
        </w:tc>
      </w:tr>
      <w:tr w:rsidR="00A83D1E" w:rsidRPr="001E247B" w14:paraId="5F1A19BC" w14:textId="77777777" w:rsidTr="004353E4">
        <w:trPr>
          <w:trHeight w:val="113"/>
        </w:trPr>
        <w:tc>
          <w:tcPr>
            <w:tcW w:w="1271" w:type="dxa"/>
            <w:vMerge/>
          </w:tcPr>
          <w:p w14:paraId="78C97BB2" w14:textId="77777777" w:rsidR="00275BD9" w:rsidRPr="001E247B" w:rsidRDefault="00275BD9" w:rsidP="00D5240A">
            <w:pPr>
              <w:spacing w:line="360" w:lineRule="auto"/>
              <w:jc w:val="both"/>
              <w:rPr>
                <w:b/>
              </w:rPr>
            </w:pPr>
          </w:p>
        </w:tc>
        <w:tc>
          <w:tcPr>
            <w:tcW w:w="1134" w:type="dxa"/>
          </w:tcPr>
          <w:p w14:paraId="649B42EA" w14:textId="77777777" w:rsidR="00275BD9" w:rsidRPr="001E247B" w:rsidRDefault="00275BD9" w:rsidP="00D5240A">
            <w:pPr>
              <w:spacing w:line="360" w:lineRule="auto"/>
              <w:jc w:val="both"/>
              <w:rPr>
                <w:b/>
              </w:rPr>
            </w:pPr>
            <w:r w:rsidRPr="001E247B">
              <w:rPr>
                <w:b/>
              </w:rPr>
              <w:t>R’000</w:t>
            </w:r>
          </w:p>
        </w:tc>
        <w:tc>
          <w:tcPr>
            <w:tcW w:w="1134" w:type="dxa"/>
          </w:tcPr>
          <w:p w14:paraId="3362F089" w14:textId="77777777" w:rsidR="00275BD9" w:rsidRPr="001E247B" w:rsidRDefault="00275BD9" w:rsidP="00D5240A">
            <w:pPr>
              <w:spacing w:line="360" w:lineRule="auto"/>
              <w:jc w:val="both"/>
              <w:rPr>
                <w:b/>
              </w:rPr>
            </w:pPr>
            <w:r w:rsidRPr="001E247B">
              <w:rPr>
                <w:b/>
              </w:rPr>
              <w:t>R’000</w:t>
            </w:r>
          </w:p>
        </w:tc>
        <w:tc>
          <w:tcPr>
            <w:tcW w:w="992" w:type="dxa"/>
          </w:tcPr>
          <w:p w14:paraId="75B29653" w14:textId="77777777" w:rsidR="00275BD9" w:rsidRPr="001E247B" w:rsidRDefault="00275BD9" w:rsidP="00D5240A">
            <w:pPr>
              <w:spacing w:line="360" w:lineRule="auto"/>
              <w:jc w:val="both"/>
              <w:rPr>
                <w:b/>
              </w:rPr>
            </w:pPr>
            <w:r w:rsidRPr="001E247B">
              <w:rPr>
                <w:b/>
              </w:rPr>
              <w:t>R’000</w:t>
            </w:r>
          </w:p>
        </w:tc>
        <w:tc>
          <w:tcPr>
            <w:tcW w:w="1134" w:type="dxa"/>
          </w:tcPr>
          <w:p w14:paraId="5F3DF732" w14:textId="77777777" w:rsidR="00275BD9" w:rsidRPr="001E247B" w:rsidRDefault="00275BD9" w:rsidP="00D5240A">
            <w:pPr>
              <w:spacing w:line="360" w:lineRule="auto"/>
              <w:jc w:val="both"/>
              <w:rPr>
                <w:b/>
              </w:rPr>
            </w:pPr>
            <w:r w:rsidRPr="001E247B">
              <w:rPr>
                <w:b/>
              </w:rPr>
              <w:t>R’000</w:t>
            </w:r>
          </w:p>
        </w:tc>
        <w:tc>
          <w:tcPr>
            <w:tcW w:w="1134" w:type="dxa"/>
          </w:tcPr>
          <w:p w14:paraId="67411B8B" w14:textId="77777777" w:rsidR="00275BD9" w:rsidRPr="001E247B" w:rsidRDefault="00275BD9" w:rsidP="00D5240A">
            <w:pPr>
              <w:spacing w:line="360" w:lineRule="auto"/>
              <w:jc w:val="both"/>
              <w:rPr>
                <w:b/>
              </w:rPr>
            </w:pPr>
            <w:r w:rsidRPr="001E247B">
              <w:rPr>
                <w:b/>
              </w:rPr>
              <w:t>R’000</w:t>
            </w:r>
          </w:p>
        </w:tc>
        <w:tc>
          <w:tcPr>
            <w:tcW w:w="1065" w:type="dxa"/>
          </w:tcPr>
          <w:p w14:paraId="47CA904B" w14:textId="77777777" w:rsidR="00275BD9" w:rsidRPr="001E247B" w:rsidRDefault="00275BD9" w:rsidP="00D5240A">
            <w:pPr>
              <w:spacing w:line="360" w:lineRule="auto"/>
              <w:jc w:val="both"/>
              <w:rPr>
                <w:b/>
              </w:rPr>
            </w:pPr>
            <w:r w:rsidRPr="001E247B">
              <w:rPr>
                <w:b/>
              </w:rPr>
              <w:t>R’000</w:t>
            </w:r>
          </w:p>
        </w:tc>
        <w:tc>
          <w:tcPr>
            <w:tcW w:w="1062" w:type="dxa"/>
          </w:tcPr>
          <w:p w14:paraId="410E5D32" w14:textId="77777777" w:rsidR="00275BD9" w:rsidRPr="001E247B" w:rsidRDefault="00275BD9" w:rsidP="00D5240A">
            <w:pPr>
              <w:spacing w:line="360" w:lineRule="auto"/>
              <w:jc w:val="both"/>
              <w:rPr>
                <w:b/>
              </w:rPr>
            </w:pPr>
          </w:p>
        </w:tc>
      </w:tr>
      <w:tr w:rsidR="00A83D1E" w:rsidRPr="001E247B" w14:paraId="7347E053" w14:textId="77777777" w:rsidTr="004353E4">
        <w:tc>
          <w:tcPr>
            <w:tcW w:w="1271" w:type="dxa"/>
          </w:tcPr>
          <w:p w14:paraId="075A2195" w14:textId="77777777" w:rsidR="00275BD9" w:rsidRPr="001E247B" w:rsidRDefault="00275BD9" w:rsidP="00D5240A">
            <w:pPr>
              <w:spacing w:line="360" w:lineRule="auto"/>
              <w:jc w:val="both"/>
            </w:pPr>
            <w:r w:rsidRPr="001E247B">
              <w:t>Eastern Cape</w:t>
            </w:r>
          </w:p>
        </w:tc>
        <w:tc>
          <w:tcPr>
            <w:tcW w:w="1134" w:type="dxa"/>
          </w:tcPr>
          <w:p w14:paraId="27C71444" w14:textId="77777777" w:rsidR="00275BD9" w:rsidRPr="001E247B" w:rsidRDefault="00275BD9" w:rsidP="00335544">
            <w:pPr>
              <w:spacing w:line="360" w:lineRule="auto"/>
              <w:jc w:val="right"/>
            </w:pPr>
            <w:r w:rsidRPr="001E247B">
              <w:t>2 239 316</w:t>
            </w:r>
          </w:p>
        </w:tc>
        <w:tc>
          <w:tcPr>
            <w:tcW w:w="1134" w:type="dxa"/>
          </w:tcPr>
          <w:p w14:paraId="1B6144F4" w14:textId="77777777" w:rsidR="00275BD9" w:rsidRPr="001E247B" w:rsidRDefault="00335544" w:rsidP="00335544">
            <w:pPr>
              <w:spacing w:line="360" w:lineRule="auto"/>
              <w:jc w:val="right"/>
            </w:pPr>
            <w:r w:rsidRPr="001E247B">
              <w:t>100 000</w:t>
            </w:r>
          </w:p>
        </w:tc>
        <w:tc>
          <w:tcPr>
            <w:tcW w:w="992" w:type="dxa"/>
          </w:tcPr>
          <w:p w14:paraId="7D9F0CB8" w14:textId="77777777" w:rsidR="00275BD9" w:rsidRPr="001E247B" w:rsidRDefault="00335544" w:rsidP="00335544">
            <w:pPr>
              <w:spacing w:line="360" w:lineRule="auto"/>
              <w:jc w:val="right"/>
            </w:pPr>
            <w:r w:rsidRPr="001E247B">
              <w:t>-</w:t>
            </w:r>
          </w:p>
        </w:tc>
        <w:tc>
          <w:tcPr>
            <w:tcW w:w="1134" w:type="dxa"/>
          </w:tcPr>
          <w:p w14:paraId="59B7E501" w14:textId="77777777" w:rsidR="00275BD9" w:rsidRPr="001E247B" w:rsidRDefault="00335544" w:rsidP="00335544">
            <w:pPr>
              <w:spacing w:line="360" w:lineRule="auto"/>
              <w:jc w:val="right"/>
            </w:pPr>
            <w:r w:rsidRPr="001E247B">
              <w:t>2 339 316</w:t>
            </w:r>
          </w:p>
        </w:tc>
        <w:tc>
          <w:tcPr>
            <w:tcW w:w="1134" w:type="dxa"/>
          </w:tcPr>
          <w:p w14:paraId="7ED9426F" w14:textId="77777777" w:rsidR="00275BD9" w:rsidRPr="001E247B" w:rsidRDefault="00335544" w:rsidP="00335544">
            <w:pPr>
              <w:spacing w:line="360" w:lineRule="auto"/>
              <w:jc w:val="right"/>
            </w:pPr>
            <w:r w:rsidRPr="001E247B">
              <w:t>2 339 315</w:t>
            </w:r>
          </w:p>
        </w:tc>
        <w:tc>
          <w:tcPr>
            <w:tcW w:w="1065" w:type="dxa"/>
          </w:tcPr>
          <w:p w14:paraId="6FD68BD1" w14:textId="77777777" w:rsidR="00275BD9" w:rsidRPr="001E247B" w:rsidRDefault="00335544" w:rsidP="00335544">
            <w:pPr>
              <w:spacing w:line="360" w:lineRule="auto"/>
              <w:jc w:val="right"/>
            </w:pPr>
            <w:r w:rsidRPr="001E247B">
              <w:t>1</w:t>
            </w:r>
          </w:p>
        </w:tc>
        <w:tc>
          <w:tcPr>
            <w:tcW w:w="1062" w:type="dxa"/>
          </w:tcPr>
          <w:p w14:paraId="14BEB58F" w14:textId="77777777" w:rsidR="00275BD9" w:rsidRPr="001E247B" w:rsidRDefault="00BA45F7" w:rsidP="00335544">
            <w:pPr>
              <w:spacing w:line="360" w:lineRule="auto"/>
              <w:jc w:val="right"/>
            </w:pPr>
            <w:r w:rsidRPr="001E247B">
              <w:t>100</w:t>
            </w:r>
          </w:p>
        </w:tc>
      </w:tr>
      <w:tr w:rsidR="00A83D1E" w:rsidRPr="001E247B" w14:paraId="32F91E3F" w14:textId="77777777" w:rsidTr="004353E4">
        <w:tc>
          <w:tcPr>
            <w:tcW w:w="1271" w:type="dxa"/>
          </w:tcPr>
          <w:p w14:paraId="2775C4E4" w14:textId="77777777" w:rsidR="00275BD9" w:rsidRPr="001E247B" w:rsidRDefault="00275BD9" w:rsidP="00D5240A">
            <w:pPr>
              <w:spacing w:line="360" w:lineRule="auto"/>
              <w:jc w:val="both"/>
            </w:pPr>
            <w:r w:rsidRPr="001E247B">
              <w:t>Free State</w:t>
            </w:r>
          </w:p>
        </w:tc>
        <w:tc>
          <w:tcPr>
            <w:tcW w:w="1134" w:type="dxa"/>
          </w:tcPr>
          <w:p w14:paraId="6C0F38AA" w14:textId="77777777" w:rsidR="00275BD9" w:rsidRPr="001E247B" w:rsidRDefault="00275BD9" w:rsidP="00335544">
            <w:pPr>
              <w:spacing w:line="360" w:lineRule="auto"/>
              <w:jc w:val="right"/>
            </w:pPr>
            <w:r w:rsidRPr="001E247B">
              <w:t>1 193 038</w:t>
            </w:r>
          </w:p>
        </w:tc>
        <w:tc>
          <w:tcPr>
            <w:tcW w:w="1134" w:type="dxa"/>
          </w:tcPr>
          <w:p w14:paraId="1EFDC9CC" w14:textId="77777777" w:rsidR="00275BD9" w:rsidRPr="001E247B" w:rsidRDefault="00335544" w:rsidP="00335544">
            <w:pPr>
              <w:spacing w:line="360" w:lineRule="auto"/>
              <w:jc w:val="right"/>
            </w:pPr>
            <w:r w:rsidRPr="001E247B">
              <w:t>-</w:t>
            </w:r>
          </w:p>
        </w:tc>
        <w:tc>
          <w:tcPr>
            <w:tcW w:w="992" w:type="dxa"/>
          </w:tcPr>
          <w:p w14:paraId="09334A4A" w14:textId="77777777" w:rsidR="00275BD9" w:rsidRPr="001E247B" w:rsidRDefault="00335544" w:rsidP="00335544">
            <w:pPr>
              <w:spacing w:line="360" w:lineRule="auto"/>
              <w:jc w:val="right"/>
            </w:pPr>
            <w:r w:rsidRPr="001E247B">
              <w:t>-</w:t>
            </w:r>
          </w:p>
        </w:tc>
        <w:tc>
          <w:tcPr>
            <w:tcW w:w="1134" w:type="dxa"/>
          </w:tcPr>
          <w:p w14:paraId="0FB5AEAF" w14:textId="77777777" w:rsidR="00275BD9" w:rsidRPr="001E247B" w:rsidRDefault="00335544" w:rsidP="00335544">
            <w:pPr>
              <w:spacing w:line="360" w:lineRule="auto"/>
              <w:jc w:val="right"/>
            </w:pPr>
            <w:r w:rsidRPr="001E247B">
              <w:t>1 193 038</w:t>
            </w:r>
          </w:p>
        </w:tc>
        <w:tc>
          <w:tcPr>
            <w:tcW w:w="1134" w:type="dxa"/>
          </w:tcPr>
          <w:p w14:paraId="47FB3316" w14:textId="77777777" w:rsidR="00275BD9" w:rsidRPr="001E247B" w:rsidRDefault="00335544" w:rsidP="00335544">
            <w:pPr>
              <w:spacing w:line="360" w:lineRule="auto"/>
              <w:jc w:val="right"/>
            </w:pPr>
            <w:r w:rsidRPr="001E247B">
              <w:t>1 192 715</w:t>
            </w:r>
          </w:p>
        </w:tc>
        <w:tc>
          <w:tcPr>
            <w:tcW w:w="1065" w:type="dxa"/>
          </w:tcPr>
          <w:p w14:paraId="0AE39FB9" w14:textId="77777777" w:rsidR="00275BD9" w:rsidRPr="001E247B" w:rsidRDefault="00335544" w:rsidP="00335544">
            <w:pPr>
              <w:spacing w:line="360" w:lineRule="auto"/>
              <w:jc w:val="right"/>
            </w:pPr>
            <w:r w:rsidRPr="001E247B">
              <w:t>323</w:t>
            </w:r>
          </w:p>
        </w:tc>
        <w:tc>
          <w:tcPr>
            <w:tcW w:w="1062" w:type="dxa"/>
          </w:tcPr>
          <w:p w14:paraId="59732FAE" w14:textId="77777777" w:rsidR="00275BD9" w:rsidRPr="001E247B" w:rsidRDefault="00BA45F7" w:rsidP="00335544">
            <w:pPr>
              <w:spacing w:line="360" w:lineRule="auto"/>
              <w:jc w:val="right"/>
            </w:pPr>
            <w:r w:rsidRPr="001E247B">
              <w:t>100</w:t>
            </w:r>
          </w:p>
        </w:tc>
      </w:tr>
      <w:tr w:rsidR="00A83D1E" w:rsidRPr="001E247B" w14:paraId="4C0CF69D" w14:textId="77777777" w:rsidTr="004353E4">
        <w:tc>
          <w:tcPr>
            <w:tcW w:w="1271" w:type="dxa"/>
          </w:tcPr>
          <w:p w14:paraId="1A0A3047" w14:textId="77777777" w:rsidR="00275BD9" w:rsidRPr="001E247B" w:rsidRDefault="00275BD9" w:rsidP="00D5240A">
            <w:pPr>
              <w:spacing w:line="360" w:lineRule="auto"/>
              <w:jc w:val="both"/>
            </w:pPr>
            <w:r w:rsidRPr="001E247B">
              <w:t>Gauteng</w:t>
            </w:r>
          </w:p>
        </w:tc>
        <w:tc>
          <w:tcPr>
            <w:tcW w:w="1134" w:type="dxa"/>
          </w:tcPr>
          <w:p w14:paraId="13EAE205" w14:textId="77777777" w:rsidR="00275BD9" w:rsidRPr="001E247B" w:rsidRDefault="00275BD9" w:rsidP="00335544">
            <w:pPr>
              <w:spacing w:line="360" w:lineRule="auto"/>
              <w:jc w:val="right"/>
            </w:pPr>
            <w:r w:rsidRPr="001E247B">
              <w:t>5 528 050</w:t>
            </w:r>
          </w:p>
        </w:tc>
        <w:tc>
          <w:tcPr>
            <w:tcW w:w="1134" w:type="dxa"/>
          </w:tcPr>
          <w:p w14:paraId="34EDA592" w14:textId="77777777" w:rsidR="00275BD9" w:rsidRPr="001E247B" w:rsidRDefault="00335544" w:rsidP="00335544">
            <w:pPr>
              <w:spacing w:line="360" w:lineRule="auto"/>
              <w:jc w:val="right"/>
            </w:pPr>
            <w:r w:rsidRPr="001E247B">
              <w:t>-150 00</w:t>
            </w:r>
          </w:p>
        </w:tc>
        <w:tc>
          <w:tcPr>
            <w:tcW w:w="992" w:type="dxa"/>
          </w:tcPr>
          <w:p w14:paraId="1BF59E05" w14:textId="77777777" w:rsidR="00275BD9" w:rsidRPr="001E247B" w:rsidRDefault="00335544" w:rsidP="00335544">
            <w:pPr>
              <w:spacing w:line="360" w:lineRule="auto"/>
              <w:jc w:val="right"/>
            </w:pPr>
            <w:r w:rsidRPr="001E247B">
              <w:t>43 705</w:t>
            </w:r>
          </w:p>
        </w:tc>
        <w:tc>
          <w:tcPr>
            <w:tcW w:w="1134" w:type="dxa"/>
          </w:tcPr>
          <w:p w14:paraId="38BBE056" w14:textId="77777777" w:rsidR="00275BD9" w:rsidRPr="001E247B" w:rsidRDefault="00335544" w:rsidP="00335544">
            <w:pPr>
              <w:spacing w:line="360" w:lineRule="auto"/>
              <w:jc w:val="right"/>
            </w:pPr>
            <w:r w:rsidRPr="001E247B">
              <w:t>5 421 755</w:t>
            </w:r>
          </w:p>
        </w:tc>
        <w:tc>
          <w:tcPr>
            <w:tcW w:w="1134" w:type="dxa"/>
          </w:tcPr>
          <w:p w14:paraId="1A9A17C4" w14:textId="77777777" w:rsidR="00275BD9" w:rsidRPr="001E247B" w:rsidRDefault="00335544" w:rsidP="00335544">
            <w:pPr>
              <w:spacing w:line="360" w:lineRule="auto"/>
              <w:jc w:val="right"/>
            </w:pPr>
            <w:r w:rsidRPr="001E247B">
              <w:t>5 302 694</w:t>
            </w:r>
          </w:p>
        </w:tc>
        <w:tc>
          <w:tcPr>
            <w:tcW w:w="1065" w:type="dxa"/>
          </w:tcPr>
          <w:p w14:paraId="248E697C" w14:textId="77777777" w:rsidR="00275BD9" w:rsidRPr="001E247B" w:rsidRDefault="00335544" w:rsidP="00335544">
            <w:pPr>
              <w:spacing w:line="360" w:lineRule="auto"/>
              <w:jc w:val="right"/>
            </w:pPr>
            <w:r w:rsidRPr="001E247B">
              <w:t>119 061</w:t>
            </w:r>
          </w:p>
        </w:tc>
        <w:tc>
          <w:tcPr>
            <w:tcW w:w="1062" w:type="dxa"/>
          </w:tcPr>
          <w:p w14:paraId="06718521" w14:textId="77777777" w:rsidR="00275BD9" w:rsidRPr="001E247B" w:rsidRDefault="00BA45F7" w:rsidP="00335544">
            <w:pPr>
              <w:spacing w:line="360" w:lineRule="auto"/>
              <w:jc w:val="right"/>
            </w:pPr>
            <w:r w:rsidRPr="001E247B">
              <w:t>98</w:t>
            </w:r>
          </w:p>
        </w:tc>
      </w:tr>
      <w:tr w:rsidR="00A83D1E" w:rsidRPr="001E247B" w14:paraId="39E3AD8D" w14:textId="77777777" w:rsidTr="004353E4">
        <w:tc>
          <w:tcPr>
            <w:tcW w:w="1271" w:type="dxa"/>
          </w:tcPr>
          <w:p w14:paraId="285DC4A5" w14:textId="77777777" w:rsidR="00275BD9" w:rsidRPr="001E247B" w:rsidRDefault="00275BD9" w:rsidP="00275BD9">
            <w:pPr>
              <w:spacing w:line="360" w:lineRule="auto"/>
              <w:jc w:val="both"/>
            </w:pPr>
            <w:r w:rsidRPr="001E247B">
              <w:t>KwaZulu-Natal</w:t>
            </w:r>
          </w:p>
        </w:tc>
        <w:tc>
          <w:tcPr>
            <w:tcW w:w="1134" w:type="dxa"/>
          </w:tcPr>
          <w:p w14:paraId="304DBF17" w14:textId="77777777" w:rsidR="00275BD9" w:rsidRPr="001E247B" w:rsidRDefault="00275BD9" w:rsidP="00335544">
            <w:pPr>
              <w:spacing w:line="360" w:lineRule="auto"/>
              <w:jc w:val="right"/>
            </w:pPr>
            <w:r w:rsidRPr="001E247B">
              <w:t>3 477 567</w:t>
            </w:r>
          </w:p>
        </w:tc>
        <w:tc>
          <w:tcPr>
            <w:tcW w:w="1134" w:type="dxa"/>
          </w:tcPr>
          <w:p w14:paraId="31A8A455" w14:textId="77777777" w:rsidR="00275BD9" w:rsidRPr="001E247B" w:rsidRDefault="00335544" w:rsidP="00335544">
            <w:pPr>
              <w:spacing w:line="360" w:lineRule="auto"/>
              <w:jc w:val="right"/>
            </w:pPr>
            <w:r w:rsidRPr="001E247B">
              <w:t>200 000</w:t>
            </w:r>
          </w:p>
        </w:tc>
        <w:tc>
          <w:tcPr>
            <w:tcW w:w="992" w:type="dxa"/>
          </w:tcPr>
          <w:p w14:paraId="2DB51597" w14:textId="77777777" w:rsidR="00275BD9" w:rsidRPr="001E247B" w:rsidRDefault="00335544" w:rsidP="00335544">
            <w:pPr>
              <w:spacing w:line="360" w:lineRule="auto"/>
              <w:jc w:val="right"/>
            </w:pPr>
            <w:r w:rsidRPr="001E247B">
              <w:t>1 372</w:t>
            </w:r>
          </w:p>
        </w:tc>
        <w:tc>
          <w:tcPr>
            <w:tcW w:w="1134" w:type="dxa"/>
          </w:tcPr>
          <w:p w14:paraId="170A0AFD" w14:textId="77777777" w:rsidR="00275BD9" w:rsidRPr="001E247B" w:rsidRDefault="00335544" w:rsidP="00335544">
            <w:pPr>
              <w:spacing w:line="360" w:lineRule="auto"/>
              <w:jc w:val="right"/>
            </w:pPr>
            <w:r w:rsidRPr="001E247B">
              <w:t>3 678 939</w:t>
            </w:r>
          </w:p>
        </w:tc>
        <w:tc>
          <w:tcPr>
            <w:tcW w:w="1134" w:type="dxa"/>
          </w:tcPr>
          <w:p w14:paraId="77544A2C" w14:textId="77777777" w:rsidR="00275BD9" w:rsidRPr="001E247B" w:rsidRDefault="00335544" w:rsidP="00335544">
            <w:pPr>
              <w:spacing w:line="360" w:lineRule="auto"/>
              <w:jc w:val="right"/>
            </w:pPr>
            <w:r w:rsidRPr="001E247B">
              <w:t>3 678 939</w:t>
            </w:r>
          </w:p>
        </w:tc>
        <w:tc>
          <w:tcPr>
            <w:tcW w:w="1065" w:type="dxa"/>
          </w:tcPr>
          <w:p w14:paraId="77AE7803" w14:textId="77777777" w:rsidR="00275BD9" w:rsidRPr="001E247B" w:rsidRDefault="00335544" w:rsidP="00335544">
            <w:pPr>
              <w:spacing w:line="360" w:lineRule="auto"/>
              <w:jc w:val="right"/>
            </w:pPr>
            <w:r w:rsidRPr="001E247B">
              <w:t>-</w:t>
            </w:r>
          </w:p>
        </w:tc>
        <w:tc>
          <w:tcPr>
            <w:tcW w:w="1062" w:type="dxa"/>
          </w:tcPr>
          <w:p w14:paraId="7B3EF902" w14:textId="77777777" w:rsidR="00275BD9" w:rsidRPr="001E247B" w:rsidRDefault="00BA45F7" w:rsidP="00335544">
            <w:pPr>
              <w:spacing w:line="360" w:lineRule="auto"/>
              <w:jc w:val="right"/>
            </w:pPr>
            <w:r w:rsidRPr="001E247B">
              <w:t>100</w:t>
            </w:r>
          </w:p>
        </w:tc>
      </w:tr>
      <w:tr w:rsidR="00A83D1E" w:rsidRPr="001E247B" w14:paraId="68307AAE" w14:textId="77777777" w:rsidTr="004353E4">
        <w:tc>
          <w:tcPr>
            <w:tcW w:w="1271" w:type="dxa"/>
          </w:tcPr>
          <w:p w14:paraId="6E85BC62" w14:textId="77777777" w:rsidR="00275BD9" w:rsidRPr="001E247B" w:rsidRDefault="00275BD9" w:rsidP="00D5240A">
            <w:pPr>
              <w:spacing w:line="360" w:lineRule="auto"/>
              <w:jc w:val="both"/>
            </w:pPr>
            <w:r w:rsidRPr="001E247B">
              <w:t>Limpopo</w:t>
            </w:r>
          </w:p>
        </w:tc>
        <w:tc>
          <w:tcPr>
            <w:tcW w:w="1134" w:type="dxa"/>
          </w:tcPr>
          <w:p w14:paraId="1B98E45B" w14:textId="77777777" w:rsidR="00275BD9" w:rsidRPr="001E247B" w:rsidRDefault="00275BD9" w:rsidP="00335544">
            <w:pPr>
              <w:spacing w:line="360" w:lineRule="auto"/>
              <w:jc w:val="right"/>
            </w:pPr>
            <w:r w:rsidRPr="001E247B">
              <w:t>1 319 493</w:t>
            </w:r>
          </w:p>
        </w:tc>
        <w:tc>
          <w:tcPr>
            <w:tcW w:w="1134" w:type="dxa"/>
          </w:tcPr>
          <w:p w14:paraId="537D2823" w14:textId="77777777" w:rsidR="00275BD9" w:rsidRPr="001E247B" w:rsidRDefault="00335544" w:rsidP="00335544">
            <w:pPr>
              <w:spacing w:line="360" w:lineRule="auto"/>
              <w:jc w:val="right"/>
            </w:pPr>
            <w:r w:rsidRPr="001E247B">
              <w:t>-150 000</w:t>
            </w:r>
          </w:p>
        </w:tc>
        <w:tc>
          <w:tcPr>
            <w:tcW w:w="992" w:type="dxa"/>
          </w:tcPr>
          <w:p w14:paraId="03799F95" w14:textId="77777777" w:rsidR="00275BD9" w:rsidRPr="001E247B" w:rsidRDefault="00335544" w:rsidP="00335544">
            <w:pPr>
              <w:spacing w:line="360" w:lineRule="auto"/>
              <w:jc w:val="right"/>
            </w:pPr>
            <w:r w:rsidRPr="001E247B">
              <w:t>84 968</w:t>
            </w:r>
          </w:p>
        </w:tc>
        <w:tc>
          <w:tcPr>
            <w:tcW w:w="1134" w:type="dxa"/>
          </w:tcPr>
          <w:p w14:paraId="6BEBDAF0" w14:textId="77777777" w:rsidR="00275BD9" w:rsidRPr="001E247B" w:rsidRDefault="00335544" w:rsidP="00335544">
            <w:pPr>
              <w:spacing w:line="360" w:lineRule="auto"/>
              <w:jc w:val="right"/>
            </w:pPr>
            <w:r w:rsidRPr="001E247B">
              <w:t>1 254 461</w:t>
            </w:r>
          </w:p>
        </w:tc>
        <w:tc>
          <w:tcPr>
            <w:tcW w:w="1134" w:type="dxa"/>
          </w:tcPr>
          <w:p w14:paraId="523B11C9" w14:textId="77777777" w:rsidR="00275BD9" w:rsidRPr="001E247B" w:rsidRDefault="00335544" w:rsidP="00335544">
            <w:pPr>
              <w:spacing w:line="360" w:lineRule="auto"/>
              <w:jc w:val="right"/>
            </w:pPr>
            <w:r w:rsidRPr="001E247B">
              <w:t>1 253 839</w:t>
            </w:r>
          </w:p>
        </w:tc>
        <w:tc>
          <w:tcPr>
            <w:tcW w:w="1065" w:type="dxa"/>
          </w:tcPr>
          <w:p w14:paraId="3F263BBD" w14:textId="77777777" w:rsidR="00275BD9" w:rsidRPr="001E247B" w:rsidRDefault="00335544" w:rsidP="00335544">
            <w:pPr>
              <w:spacing w:line="360" w:lineRule="auto"/>
              <w:jc w:val="right"/>
            </w:pPr>
            <w:r w:rsidRPr="001E247B">
              <w:t>622</w:t>
            </w:r>
          </w:p>
        </w:tc>
        <w:tc>
          <w:tcPr>
            <w:tcW w:w="1062" w:type="dxa"/>
          </w:tcPr>
          <w:p w14:paraId="38CE94D5" w14:textId="77777777" w:rsidR="00275BD9" w:rsidRPr="001E247B" w:rsidRDefault="00BA45F7" w:rsidP="00335544">
            <w:pPr>
              <w:spacing w:line="360" w:lineRule="auto"/>
              <w:jc w:val="right"/>
            </w:pPr>
            <w:r w:rsidRPr="001E247B">
              <w:t>100</w:t>
            </w:r>
          </w:p>
        </w:tc>
      </w:tr>
      <w:tr w:rsidR="00A83D1E" w:rsidRPr="001E247B" w14:paraId="7A276087" w14:textId="77777777" w:rsidTr="004353E4">
        <w:tc>
          <w:tcPr>
            <w:tcW w:w="1271" w:type="dxa"/>
          </w:tcPr>
          <w:p w14:paraId="26DF541B" w14:textId="77777777" w:rsidR="00275BD9" w:rsidRPr="001E247B" w:rsidRDefault="00275BD9" w:rsidP="00275BD9">
            <w:pPr>
              <w:spacing w:line="360" w:lineRule="auto"/>
              <w:jc w:val="both"/>
            </w:pPr>
            <w:r w:rsidRPr="001E247B">
              <w:t>Mpuma</w:t>
            </w:r>
            <w:r w:rsidR="00A83D1E" w:rsidRPr="001E247B">
              <w:t>-</w:t>
            </w:r>
            <w:r w:rsidRPr="001E247B">
              <w:t>langa</w:t>
            </w:r>
          </w:p>
        </w:tc>
        <w:tc>
          <w:tcPr>
            <w:tcW w:w="1134" w:type="dxa"/>
          </w:tcPr>
          <w:p w14:paraId="60AA630D" w14:textId="77777777" w:rsidR="00275BD9" w:rsidRPr="001E247B" w:rsidRDefault="00275BD9" w:rsidP="00335544">
            <w:pPr>
              <w:spacing w:line="360" w:lineRule="auto"/>
              <w:jc w:val="right"/>
            </w:pPr>
            <w:r w:rsidRPr="001E247B">
              <w:t>1 395 774</w:t>
            </w:r>
          </w:p>
        </w:tc>
        <w:tc>
          <w:tcPr>
            <w:tcW w:w="1134" w:type="dxa"/>
          </w:tcPr>
          <w:p w14:paraId="03A6E25C" w14:textId="77777777" w:rsidR="00275BD9" w:rsidRPr="001E247B" w:rsidRDefault="00335544" w:rsidP="00335544">
            <w:pPr>
              <w:spacing w:line="360" w:lineRule="auto"/>
              <w:jc w:val="right"/>
            </w:pPr>
            <w:r w:rsidRPr="001E247B">
              <w:t>100 000</w:t>
            </w:r>
          </w:p>
        </w:tc>
        <w:tc>
          <w:tcPr>
            <w:tcW w:w="992" w:type="dxa"/>
          </w:tcPr>
          <w:p w14:paraId="3446A7D5" w14:textId="77777777" w:rsidR="00275BD9" w:rsidRPr="001E247B" w:rsidRDefault="00335544" w:rsidP="00335544">
            <w:pPr>
              <w:spacing w:line="360" w:lineRule="auto"/>
              <w:jc w:val="right"/>
            </w:pPr>
            <w:r w:rsidRPr="001E247B">
              <w:t>11 888</w:t>
            </w:r>
          </w:p>
        </w:tc>
        <w:tc>
          <w:tcPr>
            <w:tcW w:w="1134" w:type="dxa"/>
          </w:tcPr>
          <w:p w14:paraId="15A16A00" w14:textId="77777777" w:rsidR="00275BD9" w:rsidRPr="001E247B" w:rsidRDefault="00335544" w:rsidP="00335544">
            <w:pPr>
              <w:spacing w:line="360" w:lineRule="auto"/>
              <w:jc w:val="right"/>
            </w:pPr>
            <w:r w:rsidRPr="001E247B">
              <w:t>1 507 662</w:t>
            </w:r>
          </w:p>
        </w:tc>
        <w:tc>
          <w:tcPr>
            <w:tcW w:w="1134" w:type="dxa"/>
          </w:tcPr>
          <w:p w14:paraId="6C6C50BF" w14:textId="77777777" w:rsidR="00275BD9" w:rsidRPr="001E247B" w:rsidRDefault="00335544" w:rsidP="00335544">
            <w:pPr>
              <w:spacing w:line="360" w:lineRule="auto"/>
              <w:jc w:val="right"/>
            </w:pPr>
            <w:r w:rsidRPr="001E247B">
              <w:t>1 507 662</w:t>
            </w:r>
          </w:p>
        </w:tc>
        <w:tc>
          <w:tcPr>
            <w:tcW w:w="1065" w:type="dxa"/>
          </w:tcPr>
          <w:p w14:paraId="1262ABEC" w14:textId="77777777" w:rsidR="00275BD9" w:rsidRPr="001E247B" w:rsidRDefault="00335544" w:rsidP="00335544">
            <w:pPr>
              <w:spacing w:line="360" w:lineRule="auto"/>
              <w:jc w:val="right"/>
            </w:pPr>
            <w:r w:rsidRPr="001E247B">
              <w:t>-</w:t>
            </w:r>
          </w:p>
        </w:tc>
        <w:tc>
          <w:tcPr>
            <w:tcW w:w="1062" w:type="dxa"/>
          </w:tcPr>
          <w:p w14:paraId="6E6A2C03" w14:textId="77777777" w:rsidR="00275BD9" w:rsidRPr="001E247B" w:rsidRDefault="00BA45F7" w:rsidP="00335544">
            <w:pPr>
              <w:spacing w:line="360" w:lineRule="auto"/>
              <w:jc w:val="right"/>
            </w:pPr>
            <w:r w:rsidRPr="001E247B">
              <w:t>100</w:t>
            </w:r>
          </w:p>
        </w:tc>
      </w:tr>
      <w:tr w:rsidR="00A83D1E" w:rsidRPr="001E247B" w14:paraId="13A822BD" w14:textId="77777777" w:rsidTr="004353E4">
        <w:tc>
          <w:tcPr>
            <w:tcW w:w="1271" w:type="dxa"/>
          </w:tcPr>
          <w:p w14:paraId="53AF1B8B" w14:textId="77777777" w:rsidR="00275BD9" w:rsidRPr="001E247B" w:rsidRDefault="00275BD9" w:rsidP="00D5240A">
            <w:pPr>
              <w:spacing w:line="360" w:lineRule="auto"/>
              <w:jc w:val="both"/>
            </w:pPr>
            <w:r w:rsidRPr="001E247B">
              <w:t>Northern Cape</w:t>
            </w:r>
          </w:p>
        </w:tc>
        <w:tc>
          <w:tcPr>
            <w:tcW w:w="1134" w:type="dxa"/>
          </w:tcPr>
          <w:p w14:paraId="7FC0911D" w14:textId="77777777" w:rsidR="00275BD9" w:rsidRPr="001E247B" w:rsidRDefault="00275BD9" w:rsidP="00335544">
            <w:pPr>
              <w:spacing w:line="360" w:lineRule="auto"/>
              <w:jc w:val="right"/>
            </w:pPr>
            <w:r w:rsidRPr="001E247B">
              <w:t>402 668</w:t>
            </w:r>
          </w:p>
        </w:tc>
        <w:tc>
          <w:tcPr>
            <w:tcW w:w="1134" w:type="dxa"/>
          </w:tcPr>
          <w:p w14:paraId="198BFBC6" w14:textId="77777777" w:rsidR="00275BD9" w:rsidRPr="001E247B" w:rsidRDefault="00335544" w:rsidP="00335544">
            <w:pPr>
              <w:spacing w:line="360" w:lineRule="auto"/>
              <w:jc w:val="right"/>
            </w:pPr>
            <w:r w:rsidRPr="001E247B">
              <w:t>100 000</w:t>
            </w:r>
          </w:p>
        </w:tc>
        <w:tc>
          <w:tcPr>
            <w:tcW w:w="992" w:type="dxa"/>
          </w:tcPr>
          <w:p w14:paraId="2A46A6AF" w14:textId="77777777" w:rsidR="00275BD9" w:rsidRPr="001E247B" w:rsidRDefault="00335544" w:rsidP="00335544">
            <w:pPr>
              <w:spacing w:line="360" w:lineRule="auto"/>
              <w:jc w:val="right"/>
            </w:pPr>
            <w:r w:rsidRPr="001E247B">
              <w:t>8 973</w:t>
            </w:r>
          </w:p>
        </w:tc>
        <w:tc>
          <w:tcPr>
            <w:tcW w:w="1134" w:type="dxa"/>
          </w:tcPr>
          <w:p w14:paraId="7375538C" w14:textId="77777777" w:rsidR="00275BD9" w:rsidRPr="001E247B" w:rsidRDefault="00335544" w:rsidP="00335544">
            <w:pPr>
              <w:spacing w:line="360" w:lineRule="auto"/>
              <w:jc w:val="right"/>
            </w:pPr>
            <w:r w:rsidRPr="001E247B">
              <w:t>511 641</w:t>
            </w:r>
          </w:p>
        </w:tc>
        <w:tc>
          <w:tcPr>
            <w:tcW w:w="1134" w:type="dxa"/>
          </w:tcPr>
          <w:p w14:paraId="7713291A" w14:textId="77777777" w:rsidR="00275BD9" w:rsidRPr="001E247B" w:rsidRDefault="00335544" w:rsidP="00335544">
            <w:pPr>
              <w:spacing w:line="360" w:lineRule="auto"/>
              <w:jc w:val="right"/>
            </w:pPr>
            <w:r w:rsidRPr="001E247B">
              <w:t>479 239</w:t>
            </w:r>
          </w:p>
        </w:tc>
        <w:tc>
          <w:tcPr>
            <w:tcW w:w="1065" w:type="dxa"/>
          </w:tcPr>
          <w:p w14:paraId="351CC567" w14:textId="77777777" w:rsidR="00275BD9" w:rsidRPr="001E247B" w:rsidRDefault="00335544" w:rsidP="00335544">
            <w:pPr>
              <w:spacing w:line="360" w:lineRule="auto"/>
              <w:jc w:val="right"/>
            </w:pPr>
            <w:r w:rsidRPr="001E247B">
              <w:t>32 402</w:t>
            </w:r>
          </w:p>
        </w:tc>
        <w:tc>
          <w:tcPr>
            <w:tcW w:w="1062" w:type="dxa"/>
          </w:tcPr>
          <w:p w14:paraId="2BCDDD1B" w14:textId="77777777" w:rsidR="00275BD9" w:rsidRPr="001E247B" w:rsidRDefault="00BA45F7" w:rsidP="00335544">
            <w:pPr>
              <w:spacing w:line="360" w:lineRule="auto"/>
              <w:jc w:val="right"/>
            </w:pPr>
            <w:r w:rsidRPr="001E247B">
              <w:t>94</w:t>
            </w:r>
          </w:p>
        </w:tc>
      </w:tr>
      <w:tr w:rsidR="00A83D1E" w:rsidRPr="001E247B" w14:paraId="07BA58F1" w14:textId="77777777" w:rsidTr="004353E4">
        <w:tc>
          <w:tcPr>
            <w:tcW w:w="1271" w:type="dxa"/>
          </w:tcPr>
          <w:p w14:paraId="34495C8A" w14:textId="77777777" w:rsidR="00275BD9" w:rsidRPr="001E247B" w:rsidRDefault="00275BD9" w:rsidP="00D5240A">
            <w:pPr>
              <w:spacing w:line="360" w:lineRule="auto"/>
              <w:jc w:val="both"/>
            </w:pPr>
            <w:r w:rsidRPr="001E247B">
              <w:t>North West</w:t>
            </w:r>
          </w:p>
        </w:tc>
        <w:tc>
          <w:tcPr>
            <w:tcW w:w="1134" w:type="dxa"/>
          </w:tcPr>
          <w:p w14:paraId="7D6FF697" w14:textId="77777777" w:rsidR="00275BD9" w:rsidRPr="001E247B" w:rsidRDefault="00275BD9" w:rsidP="00335544">
            <w:pPr>
              <w:spacing w:line="360" w:lineRule="auto"/>
              <w:jc w:val="right"/>
            </w:pPr>
            <w:r w:rsidRPr="001E247B">
              <w:t>2 186 679</w:t>
            </w:r>
          </w:p>
        </w:tc>
        <w:tc>
          <w:tcPr>
            <w:tcW w:w="1134" w:type="dxa"/>
          </w:tcPr>
          <w:p w14:paraId="4B54049A" w14:textId="77777777" w:rsidR="00275BD9" w:rsidRPr="001E247B" w:rsidRDefault="00335544" w:rsidP="00335544">
            <w:pPr>
              <w:spacing w:line="360" w:lineRule="auto"/>
              <w:jc w:val="right"/>
            </w:pPr>
            <w:r w:rsidRPr="001E247B">
              <w:t>-300 00</w:t>
            </w:r>
          </w:p>
        </w:tc>
        <w:tc>
          <w:tcPr>
            <w:tcW w:w="992" w:type="dxa"/>
          </w:tcPr>
          <w:p w14:paraId="71416AA0" w14:textId="77777777" w:rsidR="00275BD9" w:rsidRPr="001E247B" w:rsidRDefault="00335544" w:rsidP="00335544">
            <w:pPr>
              <w:spacing w:line="360" w:lineRule="auto"/>
              <w:jc w:val="right"/>
            </w:pPr>
            <w:r w:rsidRPr="001E247B">
              <w:t>192 109</w:t>
            </w:r>
          </w:p>
        </w:tc>
        <w:tc>
          <w:tcPr>
            <w:tcW w:w="1134" w:type="dxa"/>
          </w:tcPr>
          <w:p w14:paraId="75A45E6E" w14:textId="77777777" w:rsidR="00275BD9" w:rsidRPr="001E247B" w:rsidRDefault="00335544" w:rsidP="00335544">
            <w:pPr>
              <w:spacing w:line="360" w:lineRule="auto"/>
              <w:jc w:val="right"/>
            </w:pPr>
            <w:r w:rsidRPr="001E247B">
              <w:t>2 078 788</w:t>
            </w:r>
          </w:p>
        </w:tc>
        <w:tc>
          <w:tcPr>
            <w:tcW w:w="1134" w:type="dxa"/>
          </w:tcPr>
          <w:p w14:paraId="3DC787CA" w14:textId="77777777" w:rsidR="00275BD9" w:rsidRPr="001E247B" w:rsidRDefault="00335544" w:rsidP="00335544">
            <w:pPr>
              <w:spacing w:line="360" w:lineRule="auto"/>
              <w:jc w:val="right"/>
            </w:pPr>
            <w:r w:rsidRPr="001E247B">
              <w:t>2 051 947</w:t>
            </w:r>
          </w:p>
        </w:tc>
        <w:tc>
          <w:tcPr>
            <w:tcW w:w="1065" w:type="dxa"/>
          </w:tcPr>
          <w:p w14:paraId="2AB12487" w14:textId="77777777" w:rsidR="00275BD9" w:rsidRPr="001E247B" w:rsidRDefault="00BA45F7" w:rsidP="00335544">
            <w:pPr>
              <w:spacing w:line="360" w:lineRule="auto"/>
              <w:jc w:val="right"/>
            </w:pPr>
            <w:r w:rsidRPr="001E247B">
              <w:t>26 841</w:t>
            </w:r>
          </w:p>
        </w:tc>
        <w:tc>
          <w:tcPr>
            <w:tcW w:w="1062" w:type="dxa"/>
          </w:tcPr>
          <w:p w14:paraId="68D32835" w14:textId="77777777" w:rsidR="00275BD9" w:rsidRPr="001E247B" w:rsidRDefault="00BA45F7" w:rsidP="00335544">
            <w:pPr>
              <w:spacing w:line="360" w:lineRule="auto"/>
              <w:jc w:val="right"/>
            </w:pPr>
            <w:r w:rsidRPr="001E247B">
              <w:t>99</w:t>
            </w:r>
          </w:p>
        </w:tc>
      </w:tr>
      <w:tr w:rsidR="00A83D1E" w:rsidRPr="001E247B" w14:paraId="2CB5DE5E" w14:textId="77777777" w:rsidTr="004353E4">
        <w:tc>
          <w:tcPr>
            <w:tcW w:w="1271" w:type="dxa"/>
          </w:tcPr>
          <w:p w14:paraId="12F2C74E" w14:textId="77777777" w:rsidR="00275BD9" w:rsidRPr="001E247B" w:rsidRDefault="00275BD9" w:rsidP="00D5240A">
            <w:pPr>
              <w:spacing w:line="360" w:lineRule="auto"/>
              <w:jc w:val="both"/>
            </w:pPr>
            <w:r w:rsidRPr="001E247B">
              <w:t>Western Cape</w:t>
            </w:r>
          </w:p>
        </w:tc>
        <w:tc>
          <w:tcPr>
            <w:tcW w:w="1134" w:type="dxa"/>
          </w:tcPr>
          <w:p w14:paraId="06D4C631" w14:textId="77777777" w:rsidR="00275BD9" w:rsidRPr="001E247B" w:rsidRDefault="00275BD9" w:rsidP="00335544">
            <w:pPr>
              <w:spacing w:line="360" w:lineRule="auto"/>
              <w:jc w:val="right"/>
            </w:pPr>
            <w:r w:rsidRPr="001E247B">
              <w:t>2 226 758</w:t>
            </w:r>
          </w:p>
        </w:tc>
        <w:tc>
          <w:tcPr>
            <w:tcW w:w="1134" w:type="dxa"/>
          </w:tcPr>
          <w:p w14:paraId="2BC40AE3" w14:textId="77777777" w:rsidR="00275BD9" w:rsidRPr="001E247B" w:rsidRDefault="00335544" w:rsidP="00335544">
            <w:pPr>
              <w:spacing w:line="360" w:lineRule="auto"/>
              <w:jc w:val="right"/>
            </w:pPr>
            <w:r w:rsidRPr="001E247B">
              <w:t>100 000</w:t>
            </w:r>
          </w:p>
        </w:tc>
        <w:tc>
          <w:tcPr>
            <w:tcW w:w="992" w:type="dxa"/>
          </w:tcPr>
          <w:p w14:paraId="1AE26C13" w14:textId="77777777" w:rsidR="00275BD9" w:rsidRPr="001E247B" w:rsidRDefault="00335544" w:rsidP="00335544">
            <w:pPr>
              <w:spacing w:line="360" w:lineRule="auto"/>
              <w:jc w:val="right"/>
            </w:pPr>
            <w:r w:rsidRPr="001E247B">
              <w:t>-</w:t>
            </w:r>
          </w:p>
        </w:tc>
        <w:tc>
          <w:tcPr>
            <w:tcW w:w="1134" w:type="dxa"/>
          </w:tcPr>
          <w:p w14:paraId="7B58E4EC" w14:textId="77777777" w:rsidR="00275BD9" w:rsidRPr="001E247B" w:rsidRDefault="00335544" w:rsidP="00335544">
            <w:pPr>
              <w:spacing w:line="360" w:lineRule="auto"/>
              <w:jc w:val="right"/>
            </w:pPr>
            <w:r w:rsidRPr="001E247B">
              <w:t>2 326 758</w:t>
            </w:r>
          </w:p>
        </w:tc>
        <w:tc>
          <w:tcPr>
            <w:tcW w:w="1134" w:type="dxa"/>
          </w:tcPr>
          <w:p w14:paraId="1C5331A4" w14:textId="77777777" w:rsidR="00275BD9" w:rsidRPr="001E247B" w:rsidRDefault="00335544" w:rsidP="00335544">
            <w:pPr>
              <w:spacing w:line="360" w:lineRule="auto"/>
              <w:jc w:val="right"/>
            </w:pPr>
            <w:r w:rsidRPr="001E247B">
              <w:t>2 326 758</w:t>
            </w:r>
          </w:p>
        </w:tc>
        <w:tc>
          <w:tcPr>
            <w:tcW w:w="1065" w:type="dxa"/>
          </w:tcPr>
          <w:p w14:paraId="3EA41674" w14:textId="77777777" w:rsidR="00275BD9" w:rsidRPr="001E247B" w:rsidRDefault="00BA45F7" w:rsidP="00335544">
            <w:pPr>
              <w:spacing w:line="360" w:lineRule="auto"/>
              <w:jc w:val="right"/>
            </w:pPr>
            <w:r w:rsidRPr="001E247B">
              <w:t>-</w:t>
            </w:r>
          </w:p>
        </w:tc>
        <w:tc>
          <w:tcPr>
            <w:tcW w:w="1062" w:type="dxa"/>
          </w:tcPr>
          <w:p w14:paraId="37FE2A9F" w14:textId="77777777" w:rsidR="00275BD9" w:rsidRPr="001E247B" w:rsidRDefault="00BA45F7" w:rsidP="00335544">
            <w:pPr>
              <w:spacing w:line="360" w:lineRule="auto"/>
              <w:jc w:val="right"/>
            </w:pPr>
            <w:r w:rsidRPr="001E247B">
              <w:t>100</w:t>
            </w:r>
          </w:p>
        </w:tc>
      </w:tr>
      <w:tr w:rsidR="00A83D1E" w:rsidRPr="001E247B" w14:paraId="2BA89357" w14:textId="77777777" w:rsidTr="004353E4">
        <w:tc>
          <w:tcPr>
            <w:tcW w:w="1271" w:type="dxa"/>
          </w:tcPr>
          <w:p w14:paraId="5820965C" w14:textId="77777777" w:rsidR="00275BD9" w:rsidRPr="001E247B" w:rsidRDefault="00275BD9" w:rsidP="00D5240A">
            <w:pPr>
              <w:spacing w:line="360" w:lineRule="auto"/>
              <w:jc w:val="both"/>
              <w:rPr>
                <w:b/>
              </w:rPr>
            </w:pPr>
            <w:r w:rsidRPr="001E247B">
              <w:rPr>
                <w:b/>
              </w:rPr>
              <w:t>Total</w:t>
            </w:r>
          </w:p>
        </w:tc>
        <w:tc>
          <w:tcPr>
            <w:tcW w:w="1134" w:type="dxa"/>
          </w:tcPr>
          <w:p w14:paraId="75353BEF" w14:textId="77777777" w:rsidR="00275BD9" w:rsidRPr="001E247B" w:rsidRDefault="00275BD9" w:rsidP="00335544">
            <w:pPr>
              <w:spacing w:line="360" w:lineRule="auto"/>
              <w:jc w:val="right"/>
              <w:rPr>
                <w:b/>
              </w:rPr>
            </w:pPr>
            <w:r w:rsidRPr="001E247B">
              <w:rPr>
                <w:b/>
              </w:rPr>
              <w:t>19 969 343</w:t>
            </w:r>
          </w:p>
        </w:tc>
        <w:tc>
          <w:tcPr>
            <w:tcW w:w="1134" w:type="dxa"/>
          </w:tcPr>
          <w:p w14:paraId="16492AF9" w14:textId="77777777" w:rsidR="00275BD9" w:rsidRPr="001E247B" w:rsidRDefault="00275BD9" w:rsidP="00335544">
            <w:pPr>
              <w:spacing w:line="360" w:lineRule="auto"/>
              <w:jc w:val="right"/>
              <w:rPr>
                <w:b/>
              </w:rPr>
            </w:pPr>
          </w:p>
        </w:tc>
        <w:tc>
          <w:tcPr>
            <w:tcW w:w="992" w:type="dxa"/>
          </w:tcPr>
          <w:p w14:paraId="100262B5" w14:textId="77777777" w:rsidR="00275BD9" w:rsidRPr="001E247B" w:rsidRDefault="00335544" w:rsidP="00335544">
            <w:pPr>
              <w:spacing w:line="360" w:lineRule="auto"/>
              <w:jc w:val="right"/>
              <w:rPr>
                <w:b/>
              </w:rPr>
            </w:pPr>
            <w:r w:rsidRPr="001E247B">
              <w:rPr>
                <w:b/>
              </w:rPr>
              <w:t>343 015</w:t>
            </w:r>
          </w:p>
        </w:tc>
        <w:tc>
          <w:tcPr>
            <w:tcW w:w="1134" w:type="dxa"/>
          </w:tcPr>
          <w:p w14:paraId="469181D6" w14:textId="77777777" w:rsidR="00275BD9" w:rsidRPr="001E247B" w:rsidRDefault="00335544" w:rsidP="00335544">
            <w:pPr>
              <w:spacing w:line="360" w:lineRule="auto"/>
              <w:jc w:val="right"/>
              <w:rPr>
                <w:b/>
              </w:rPr>
            </w:pPr>
            <w:r w:rsidRPr="001E247B">
              <w:rPr>
                <w:b/>
              </w:rPr>
              <w:t>20 312 358</w:t>
            </w:r>
          </w:p>
        </w:tc>
        <w:tc>
          <w:tcPr>
            <w:tcW w:w="1134" w:type="dxa"/>
          </w:tcPr>
          <w:p w14:paraId="572EBE8A" w14:textId="77777777" w:rsidR="00275BD9" w:rsidRPr="001E247B" w:rsidRDefault="00335544" w:rsidP="00335544">
            <w:pPr>
              <w:spacing w:line="360" w:lineRule="auto"/>
              <w:jc w:val="right"/>
              <w:rPr>
                <w:b/>
              </w:rPr>
            </w:pPr>
            <w:r w:rsidRPr="001E247B">
              <w:rPr>
                <w:b/>
              </w:rPr>
              <w:t>20 133 109</w:t>
            </w:r>
          </w:p>
        </w:tc>
        <w:tc>
          <w:tcPr>
            <w:tcW w:w="1065" w:type="dxa"/>
          </w:tcPr>
          <w:p w14:paraId="37509F22" w14:textId="77777777" w:rsidR="00275BD9" w:rsidRPr="001E247B" w:rsidRDefault="00BA45F7" w:rsidP="00335544">
            <w:pPr>
              <w:spacing w:line="360" w:lineRule="auto"/>
              <w:jc w:val="right"/>
              <w:rPr>
                <w:b/>
              </w:rPr>
            </w:pPr>
            <w:r w:rsidRPr="001E247B">
              <w:rPr>
                <w:b/>
              </w:rPr>
              <w:t>179 250</w:t>
            </w:r>
          </w:p>
        </w:tc>
        <w:tc>
          <w:tcPr>
            <w:tcW w:w="1062" w:type="dxa"/>
          </w:tcPr>
          <w:p w14:paraId="2AF59D84" w14:textId="77777777" w:rsidR="00275BD9" w:rsidRPr="001E247B" w:rsidRDefault="00BA45F7" w:rsidP="00335544">
            <w:pPr>
              <w:spacing w:line="360" w:lineRule="auto"/>
              <w:jc w:val="right"/>
              <w:rPr>
                <w:b/>
              </w:rPr>
            </w:pPr>
            <w:r w:rsidRPr="001E247B">
              <w:rPr>
                <w:b/>
              </w:rPr>
              <w:t>99</w:t>
            </w:r>
          </w:p>
        </w:tc>
      </w:tr>
    </w:tbl>
    <w:p w14:paraId="7D2947E5" w14:textId="77777777" w:rsidR="00DE6886" w:rsidRPr="001E247B" w:rsidRDefault="001F2E25" w:rsidP="00D5240A">
      <w:pPr>
        <w:spacing w:line="360" w:lineRule="auto"/>
        <w:jc w:val="both"/>
      </w:pPr>
      <w:r w:rsidRPr="001E247B">
        <w:t xml:space="preserve"> </w:t>
      </w:r>
      <w:r w:rsidR="00E25A8E" w:rsidRPr="001E247B">
        <w:t xml:space="preserve">   </w:t>
      </w:r>
      <w:r w:rsidR="006F6250" w:rsidRPr="001E247B">
        <w:t xml:space="preserve">  </w:t>
      </w:r>
      <w:r w:rsidR="003328CC" w:rsidRPr="001E247B">
        <w:t xml:space="preserve"> </w:t>
      </w:r>
      <w:r w:rsidR="003E519F" w:rsidRPr="001E247B">
        <w:t xml:space="preserve"> </w:t>
      </w:r>
      <w:r w:rsidR="00C67ABA" w:rsidRPr="001E247B">
        <w:t xml:space="preserve"> </w:t>
      </w:r>
      <w:r w:rsidR="00DE6886" w:rsidRPr="001E247B">
        <w:t xml:space="preserve"> </w:t>
      </w:r>
    </w:p>
    <w:p w14:paraId="33B80D7C" w14:textId="77777777" w:rsidR="00B03C55" w:rsidRPr="001E247B" w:rsidRDefault="00B03C55" w:rsidP="00D5240A">
      <w:pPr>
        <w:spacing w:line="360" w:lineRule="auto"/>
        <w:jc w:val="both"/>
      </w:pPr>
      <w:r w:rsidRPr="001E247B">
        <w:lastRenderedPageBreak/>
        <w:t>The above table shows that the allocation to provinces</w:t>
      </w:r>
      <w:r w:rsidR="00273845" w:rsidRPr="001E247B">
        <w:t>,</w:t>
      </w:r>
      <w:r w:rsidRPr="001E247B">
        <w:t xml:space="preserve"> including the approved roll-over funds</w:t>
      </w:r>
      <w:r w:rsidR="00273845" w:rsidRPr="001E247B">
        <w:t>,</w:t>
      </w:r>
      <w:r w:rsidRPr="001E247B">
        <w:t xml:space="preserve"> was R20.3 billion. After the reallocations, only three provinces failed to spent 100 percent of the allocated funds. These provinces are Gauteng (98 percent), Northern Cape (94 percent), and North West (99 percent). The allocation</w:t>
      </w:r>
      <w:r w:rsidR="00220696" w:rsidRPr="001E247B">
        <w:t>s</w:t>
      </w:r>
      <w:r w:rsidRPr="001E247B">
        <w:t xml:space="preserve"> above also benefited some mining town</w:t>
      </w:r>
      <w:r w:rsidR="00220696" w:rsidRPr="001E247B">
        <w:t>s</w:t>
      </w:r>
      <w:r w:rsidRPr="001E247B">
        <w:t xml:space="preserve"> where 11 150 </w:t>
      </w:r>
      <w:r w:rsidR="00220696" w:rsidRPr="001E247B">
        <w:t xml:space="preserve">serviced </w:t>
      </w:r>
      <w:r w:rsidRPr="001E247B">
        <w:t xml:space="preserve">sites were </w:t>
      </w:r>
      <w:r w:rsidR="00220696" w:rsidRPr="001E247B">
        <w:t xml:space="preserve">delivered </w:t>
      </w:r>
      <w:r w:rsidRPr="001E247B">
        <w:t>and 5 718 housing units were built.</w:t>
      </w:r>
    </w:p>
    <w:p w14:paraId="36EA1A1A" w14:textId="77777777" w:rsidR="00B03C55" w:rsidRPr="001E247B" w:rsidRDefault="00B03C55" w:rsidP="00D5240A">
      <w:pPr>
        <w:spacing w:line="360" w:lineRule="auto"/>
        <w:jc w:val="both"/>
      </w:pPr>
    </w:p>
    <w:p w14:paraId="4DF818EF" w14:textId="77777777" w:rsidR="00CA4E83" w:rsidRPr="001E247B" w:rsidRDefault="00B03C55" w:rsidP="00D5240A">
      <w:pPr>
        <w:spacing w:line="360" w:lineRule="auto"/>
        <w:jc w:val="both"/>
      </w:pPr>
      <w:r w:rsidRPr="001E247B">
        <w:t>The breakdown, as reported by the D</w:t>
      </w:r>
      <w:r w:rsidR="00273845" w:rsidRPr="001E247B">
        <w:t>HS</w:t>
      </w:r>
      <w:r w:rsidRPr="001E247B">
        <w:t>, of benefit</w:t>
      </w:r>
      <w:r w:rsidR="00EE0B6D" w:rsidRPr="001E247B">
        <w:t>ing</w:t>
      </w:r>
      <w:r w:rsidRPr="001E247B">
        <w:t xml:space="preserve"> mining towns</w:t>
      </w:r>
      <w:r w:rsidR="00964A79" w:rsidRPr="001E247B">
        <w:t xml:space="preserve"> per provinces are: Free State 1 315 </w:t>
      </w:r>
      <w:r w:rsidR="00220696" w:rsidRPr="001E247B">
        <w:t xml:space="preserve">serviced </w:t>
      </w:r>
      <w:r w:rsidR="00964A79" w:rsidRPr="001E247B">
        <w:t xml:space="preserve">sites and 472 housing units </w:t>
      </w:r>
      <w:r w:rsidR="00273845" w:rsidRPr="001E247B">
        <w:t xml:space="preserve">were delivered </w:t>
      </w:r>
      <w:r w:rsidR="00964A79" w:rsidRPr="001E247B">
        <w:t>(Matjhabeng</w:t>
      </w:r>
      <w:r w:rsidR="00853834" w:rsidRPr="001E247B">
        <w:t xml:space="preserve">: </w:t>
      </w:r>
      <w:r w:rsidR="00964A79" w:rsidRPr="001E247B">
        <w:t xml:space="preserve">1 300 </w:t>
      </w:r>
      <w:r w:rsidR="00220696" w:rsidRPr="001E247B">
        <w:t xml:space="preserve">serviced </w:t>
      </w:r>
      <w:r w:rsidR="00964A79" w:rsidRPr="001E247B">
        <w:t>sites and 279 housing units, Moqhaka</w:t>
      </w:r>
      <w:r w:rsidR="00853834" w:rsidRPr="001E247B">
        <w:t>: 1</w:t>
      </w:r>
      <w:r w:rsidR="00964A79" w:rsidRPr="001E247B">
        <w:t xml:space="preserve">5 </w:t>
      </w:r>
      <w:r w:rsidR="00CA4E83" w:rsidRPr="001E247B">
        <w:t xml:space="preserve">serviced </w:t>
      </w:r>
      <w:r w:rsidR="00964A79" w:rsidRPr="001E247B">
        <w:t xml:space="preserve">sites and 193 housing units). </w:t>
      </w:r>
      <w:r w:rsidR="00CA4E83" w:rsidRPr="001E247B">
        <w:t xml:space="preserve">In </w:t>
      </w:r>
      <w:r w:rsidR="00964A79" w:rsidRPr="001E247B">
        <w:t>Gauteng</w:t>
      </w:r>
      <w:r w:rsidR="009C2769" w:rsidRPr="001E247B">
        <w:t xml:space="preserve"> </w:t>
      </w:r>
      <w:r w:rsidR="00964A79" w:rsidRPr="001E247B">
        <w:t xml:space="preserve">2 982 </w:t>
      </w:r>
      <w:r w:rsidR="00CA4E83" w:rsidRPr="001E247B">
        <w:t xml:space="preserve">serviced </w:t>
      </w:r>
      <w:r w:rsidR="00964A79" w:rsidRPr="001E247B">
        <w:t xml:space="preserve">sites and 4 975 housing units </w:t>
      </w:r>
      <w:r w:rsidR="00273845" w:rsidRPr="001E247B">
        <w:t xml:space="preserve">were delivered </w:t>
      </w:r>
      <w:r w:rsidR="00964A79" w:rsidRPr="001E247B">
        <w:t>(Merafong City</w:t>
      </w:r>
      <w:r w:rsidR="00853834" w:rsidRPr="001E247B">
        <w:t>:</w:t>
      </w:r>
      <w:r w:rsidR="00273845" w:rsidRPr="001E247B">
        <w:t xml:space="preserve"> </w:t>
      </w:r>
      <w:r w:rsidR="00964A79" w:rsidRPr="001E247B">
        <w:t>300</w:t>
      </w:r>
      <w:r w:rsidR="00B77CF3" w:rsidRPr="001E247B">
        <w:t xml:space="preserve"> sites</w:t>
      </w:r>
      <w:r w:rsidR="00964A79" w:rsidRPr="001E247B">
        <w:t xml:space="preserve"> and 1 253 housing units, Rand West City</w:t>
      </w:r>
      <w:r w:rsidR="00220E75" w:rsidRPr="001E247B">
        <w:t xml:space="preserve">: </w:t>
      </w:r>
      <w:r w:rsidR="00964A79" w:rsidRPr="001E247B">
        <w:t xml:space="preserve">2 282 </w:t>
      </w:r>
      <w:r w:rsidR="00220E75" w:rsidRPr="001E247B">
        <w:t xml:space="preserve">housing units </w:t>
      </w:r>
      <w:r w:rsidR="00964A79" w:rsidRPr="001E247B">
        <w:t xml:space="preserve">and 1 235 </w:t>
      </w:r>
      <w:r w:rsidR="00CA4E83" w:rsidRPr="001E247B">
        <w:t xml:space="preserve">serviced </w:t>
      </w:r>
      <w:r w:rsidR="00964A79" w:rsidRPr="001E247B">
        <w:t>sit</w:t>
      </w:r>
      <w:r w:rsidR="00B77CF3" w:rsidRPr="001E247B">
        <w:t>e</w:t>
      </w:r>
      <w:r w:rsidR="00964A79" w:rsidRPr="001E247B">
        <w:t>s, Mogale City</w:t>
      </w:r>
      <w:r w:rsidR="00220E75" w:rsidRPr="001E247B">
        <w:t xml:space="preserve">: </w:t>
      </w:r>
      <w:r w:rsidR="00964A79" w:rsidRPr="001E247B">
        <w:t xml:space="preserve">400 </w:t>
      </w:r>
      <w:r w:rsidR="00CA4E83" w:rsidRPr="001E247B">
        <w:t xml:space="preserve">serviced </w:t>
      </w:r>
      <w:r w:rsidR="00964A79" w:rsidRPr="001E247B">
        <w:t>sites and 2</w:t>
      </w:r>
      <w:r w:rsidR="00273845" w:rsidRPr="001E247B">
        <w:t xml:space="preserve"> </w:t>
      </w:r>
      <w:r w:rsidR="00964A79" w:rsidRPr="001E247B">
        <w:t>491</w:t>
      </w:r>
      <w:r w:rsidR="00220E75" w:rsidRPr="001E247B">
        <w:t xml:space="preserve"> </w:t>
      </w:r>
      <w:r w:rsidR="00964A79" w:rsidRPr="001E247B">
        <w:t>housing units). In Limpopo, 1</w:t>
      </w:r>
      <w:r w:rsidR="00B77CF3" w:rsidRPr="001E247B">
        <w:t>6</w:t>
      </w:r>
      <w:r w:rsidR="00273845" w:rsidRPr="001E247B">
        <w:t xml:space="preserve"> </w:t>
      </w:r>
      <w:r w:rsidR="00B77CF3" w:rsidRPr="001E247B">
        <w:t xml:space="preserve">112 </w:t>
      </w:r>
      <w:r w:rsidR="00CA4E83" w:rsidRPr="001E247B">
        <w:t xml:space="preserve">serviced </w:t>
      </w:r>
      <w:r w:rsidR="00B77CF3" w:rsidRPr="001E247B">
        <w:t>sites</w:t>
      </w:r>
      <w:r w:rsidR="00CA4E83" w:rsidRPr="001E247B">
        <w:t xml:space="preserve"> </w:t>
      </w:r>
      <w:r w:rsidR="00B77CF3" w:rsidRPr="001E247B">
        <w:t>and 2</w:t>
      </w:r>
      <w:r w:rsidR="00273845" w:rsidRPr="001E247B">
        <w:t xml:space="preserve"> </w:t>
      </w:r>
      <w:r w:rsidR="00B77CF3" w:rsidRPr="001E247B">
        <w:t xml:space="preserve">124 housing units </w:t>
      </w:r>
      <w:r w:rsidR="00273845" w:rsidRPr="001E247B">
        <w:t xml:space="preserve">were delivered </w:t>
      </w:r>
      <w:r w:rsidR="00B77CF3" w:rsidRPr="001E247B">
        <w:t>(Thabazimbi</w:t>
      </w:r>
      <w:r w:rsidR="00853834" w:rsidRPr="001E247B">
        <w:t>:</w:t>
      </w:r>
      <w:r w:rsidR="00B77CF3" w:rsidRPr="001E247B">
        <w:t xml:space="preserve"> 412 </w:t>
      </w:r>
      <w:r w:rsidR="00CA4E83" w:rsidRPr="001E247B">
        <w:t xml:space="preserve">serviced </w:t>
      </w:r>
      <w:r w:rsidR="00B77CF3" w:rsidRPr="001E247B">
        <w:t xml:space="preserve">sites and 212 </w:t>
      </w:r>
      <w:r w:rsidR="00CA4E83" w:rsidRPr="001E247B">
        <w:t xml:space="preserve">housing units, </w:t>
      </w:r>
      <w:r w:rsidR="00B77CF3" w:rsidRPr="001E247B">
        <w:t>Elias Motsoaledi</w:t>
      </w:r>
      <w:r w:rsidR="00853834" w:rsidRPr="001E247B">
        <w:t>:</w:t>
      </w:r>
      <w:r w:rsidR="00B77CF3" w:rsidRPr="001E247B">
        <w:t xml:space="preserve"> 700 </w:t>
      </w:r>
      <w:r w:rsidR="00CA4E83" w:rsidRPr="001E247B">
        <w:t xml:space="preserve">serviced </w:t>
      </w:r>
      <w:r w:rsidR="00B77CF3" w:rsidRPr="001E247B">
        <w:t>sites</w:t>
      </w:r>
      <w:r w:rsidR="00964A79" w:rsidRPr="001E247B">
        <w:t xml:space="preserve"> </w:t>
      </w:r>
      <w:r w:rsidR="00B77CF3" w:rsidRPr="001E247B">
        <w:t>and 507 housing units, Lephal</w:t>
      </w:r>
      <w:r w:rsidR="00273845" w:rsidRPr="001E247B">
        <w:t>a</w:t>
      </w:r>
      <w:r w:rsidR="00B77CF3" w:rsidRPr="001E247B">
        <w:t>le</w:t>
      </w:r>
      <w:r w:rsidR="00853834" w:rsidRPr="001E247B">
        <w:t>:</w:t>
      </w:r>
      <w:r w:rsidR="00CA4E83" w:rsidRPr="001E247B">
        <w:t xml:space="preserve"> </w:t>
      </w:r>
      <w:r w:rsidR="00B77CF3" w:rsidRPr="001E247B">
        <w:t xml:space="preserve">500 </w:t>
      </w:r>
      <w:r w:rsidR="00CA4E83" w:rsidRPr="001E247B">
        <w:t xml:space="preserve">serviced </w:t>
      </w:r>
      <w:r w:rsidR="00B77CF3" w:rsidRPr="001E247B">
        <w:t>sites and 805 housing units, and LIM 476</w:t>
      </w:r>
      <w:r w:rsidR="00853834" w:rsidRPr="001E247B">
        <w:t>:</w:t>
      </w:r>
      <w:r w:rsidR="00B77CF3" w:rsidRPr="001E247B">
        <w:t xml:space="preserve"> 600 housing units). In Mpumalanga, 1 745 </w:t>
      </w:r>
      <w:r w:rsidR="00CA4E83" w:rsidRPr="001E247B">
        <w:t xml:space="preserve">serviced </w:t>
      </w:r>
      <w:r w:rsidR="00B77CF3" w:rsidRPr="001E247B">
        <w:t>sites</w:t>
      </w:r>
      <w:r w:rsidR="00CA4E83" w:rsidRPr="001E247B">
        <w:t xml:space="preserve"> </w:t>
      </w:r>
      <w:r w:rsidR="00B77CF3" w:rsidRPr="001E247B">
        <w:t xml:space="preserve">and 2 515 housing units </w:t>
      </w:r>
      <w:r w:rsidR="00273845" w:rsidRPr="001E247B">
        <w:t>were delivered</w:t>
      </w:r>
      <w:r w:rsidR="00273845" w:rsidRPr="001E247B" w:rsidDel="00273845">
        <w:t xml:space="preserve"> </w:t>
      </w:r>
      <w:r w:rsidR="00B77CF3" w:rsidRPr="001E247B">
        <w:t>(Emalahleni</w:t>
      </w:r>
      <w:r w:rsidR="00853834" w:rsidRPr="001E247B">
        <w:t>:</w:t>
      </w:r>
      <w:r w:rsidR="00B77CF3" w:rsidRPr="001E247B">
        <w:t xml:space="preserve"> 1</w:t>
      </w:r>
      <w:r w:rsidR="00273845" w:rsidRPr="001E247B">
        <w:t xml:space="preserve"> </w:t>
      </w:r>
      <w:r w:rsidR="00B77CF3" w:rsidRPr="001E247B">
        <w:t xml:space="preserve">500 </w:t>
      </w:r>
      <w:r w:rsidR="00273845" w:rsidRPr="001E247B">
        <w:t xml:space="preserve">serviced </w:t>
      </w:r>
      <w:r w:rsidR="00B77CF3" w:rsidRPr="001E247B">
        <w:t xml:space="preserve">sites </w:t>
      </w:r>
      <w:r w:rsidR="00273845" w:rsidRPr="001E247B">
        <w:t>a</w:t>
      </w:r>
      <w:r w:rsidR="00B77CF3" w:rsidRPr="001E247B">
        <w:t>nd 1 140 housing units, Steve Tshwete</w:t>
      </w:r>
      <w:r w:rsidR="00853834" w:rsidRPr="001E247B">
        <w:t>:</w:t>
      </w:r>
      <w:r w:rsidR="00B77CF3" w:rsidRPr="001E247B">
        <w:t xml:space="preserve"> 245 sites and 565 housing units</w:t>
      </w:r>
      <w:r w:rsidR="00273845" w:rsidRPr="001E247B">
        <w:t xml:space="preserve"> were delivered</w:t>
      </w:r>
      <w:r w:rsidR="00B77CF3" w:rsidRPr="001E247B">
        <w:t>, and in Thaba-Chweu</w:t>
      </w:r>
      <w:r w:rsidR="00853834" w:rsidRPr="001E247B">
        <w:t>:</w:t>
      </w:r>
      <w:r w:rsidR="00B77CF3" w:rsidRPr="001E247B">
        <w:t xml:space="preserve"> 810 housing units were built). </w:t>
      </w:r>
    </w:p>
    <w:p w14:paraId="41E15939" w14:textId="77777777" w:rsidR="00CA4E83" w:rsidRPr="001E247B" w:rsidRDefault="00CA4E83" w:rsidP="00D5240A">
      <w:pPr>
        <w:spacing w:line="360" w:lineRule="auto"/>
        <w:jc w:val="both"/>
      </w:pPr>
    </w:p>
    <w:p w14:paraId="7D28B5B9" w14:textId="77777777" w:rsidR="00DE6886" w:rsidRPr="001E247B" w:rsidRDefault="00B77CF3" w:rsidP="00D5240A">
      <w:pPr>
        <w:spacing w:line="360" w:lineRule="auto"/>
        <w:jc w:val="both"/>
      </w:pPr>
      <w:r w:rsidRPr="001E247B">
        <w:t xml:space="preserve">In the </w:t>
      </w:r>
      <w:r w:rsidR="00853834" w:rsidRPr="001E247B">
        <w:t>Northern</w:t>
      </w:r>
      <w:r w:rsidRPr="001E247B">
        <w:t xml:space="preserve"> Cape Province, 60</w:t>
      </w:r>
      <w:r w:rsidR="003F3F3C" w:rsidRPr="001E247B">
        <w:t>0</w:t>
      </w:r>
      <w:r w:rsidRPr="001E247B">
        <w:t xml:space="preserve"> </w:t>
      </w:r>
      <w:r w:rsidR="00CA4E83" w:rsidRPr="001E247B">
        <w:t xml:space="preserve">serviced </w:t>
      </w:r>
      <w:r w:rsidRPr="001E247B">
        <w:t xml:space="preserve">sites were </w:t>
      </w:r>
      <w:r w:rsidR="00CA4E83" w:rsidRPr="001E247B">
        <w:t xml:space="preserve">delivered </w:t>
      </w:r>
      <w:r w:rsidRPr="001E247B">
        <w:t>and 102 housing units were built (Ga-Segonyana</w:t>
      </w:r>
      <w:r w:rsidR="00853834" w:rsidRPr="001E247B">
        <w:t>:</w:t>
      </w:r>
      <w:r w:rsidR="00CA4E83" w:rsidRPr="001E247B">
        <w:t xml:space="preserve"> </w:t>
      </w:r>
      <w:r w:rsidRPr="001E247B">
        <w:t xml:space="preserve">300 </w:t>
      </w:r>
      <w:r w:rsidR="00CA4E83" w:rsidRPr="001E247B">
        <w:t xml:space="preserve">serviced </w:t>
      </w:r>
      <w:r w:rsidRPr="001E247B">
        <w:t>sites and 102 housing units and Gamagara</w:t>
      </w:r>
      <w:r w:rsidR="00853834" w:rsidRPr="001E247B">
        <w:t>:</w:t>
      </w:r>
      <w:r w:rsidRPr="001E247B">
        <w:t xml:space="preserve"> 300 </w:t>
      </w:r>
      <w:r w:rsidR="00273845" w:rsidRPr="001E247B">
        <w:t xml:space="preserve">serviced </w:t>
      </w:r>
      <w:r w:rsidRPr="001E247B">
        <w:t>sites</w:t>
      </w:r>
      <w:r w:rsidR="003F3F3C" w:rsidRPr="001E247B">
        <w:t xml:space="preserve">). In the North West Province, 2 896 </w:t>
      </w:r>
      <w:r w:rsidR="00CA4E83" w:rsidRPr="001E247B">
        <w:t xml:space="preserve">serviced </w:t>
      </w:r>
      <w:r w:rsidR="003F3F3C" w:rsidRPr="001E247B">
        <w:t xml:space="preserve">sites were </w:t>
      </w:r>
      <w:r w:rsidR="00CA4E83" w:rsidRPr="001E247B">
        <w:t xml:space="preserve">delivered </w:t>
      </w:r>
      <w:r w:rsidR="003F3F3C" w:rsidRPr="001E247B">
        <w:t>and 526 housing units were built (Rustenburg</w:t>
      </w:r>
      <w:r w:rsidR="00853834" w:rsidRPr="001E247B">
        <w:t>:</w:t>
      </w:r>
      <w:r w:rsidR="003F3F3C" w:rsidRPr="001E247B">
        <w:t xml:space="preserve"> 1 433 </w:t>
      </w:r>
      <w:r w:rsidR="00CA4E83" w:rsidRPr="001E247B">
        <w:t xml:space="preserve">serviced </w:t>
      </w:r>
      <w:r w:rsidR="003F3F3C" w:rsidRPr="001E247B">
        <w:t>sites and 1 584 housing units, Madibeng</w:t>
      </w:r>
      <w:r w:rsidR="00853834" w:rsidRPr="001E247B">
        <w:t>:</w:t>
      </w:r>
      <w:r w:rsidR="00BE7E05" w:rsidRPr="001E247B">
        <w:t xml:space="preserve"> </w:t>
      </w:r>
      <w:r w:rsidR="003F3F3C" w:rsidRPr="001E247B">
        <w:t xml:space="preserve">167 </w:t>
      </w:r>
      <w:r w:rsidR="00CA4E83" w:rsidRPr="001E247B">
        <w:t xml:space="preserve">serviced </w:t>
      </w:r>
      <w:r w:rsidR="003F3F3C" w:rsidRPr="001E247B">
        <w:t>sites and 721 housing units, Kgetleng</w:t>
      </w:r>
      <w:r w:rsidR="00853834" w:rsidRPr="001E247B">
        <w:t>:</w:t>
      </w:r>
      <w:r w:rsidR="003F3F3C" w:rsidRPr="001E247B">
        <w:t>414 housing units, Moses Kotane</w:t>
      </w:r>
      <w:r w:rsidR="00853834" w:rsidRPr="001E247B">
        <w:t>:</w:t>
      </w:r>
      <w:r w:rsidR="00CA4E83" w:rsidRPr="001E247B">
        <w:t xml:space="preserve"> </w:t>
      </w:r>
      <w:r w:rsidR="003F3F3C" w:rsidRPr="001E247B">
        <w:t>875 housing units, and City of Matlosana</w:t>
      </w:r>
      <w:r w:rsidR="00853834" w:rsidRPr="001E247B">
        <w:t>:</w:t>
      </w:r>
      <w:r w:rsidR="00273845" w:rsidRPr="001E247B">
        <w:t xml:space="preserve"> 1</w:t>
      </w:r>
      <w:r w:rsidR="003F3F3C" w:rsidRPr="001E247B">
        <w:t xml:space="preserve"> 296 </w:t>
      </w:r>
      <w:r w:rsidR="00CA4E83" w:rsidRPr="001E247B">
        <w:t xml:space="preserve">serviced </w:t>
      </w:r>
      <w:r w:rsidR="003F3F3C" w:rsidRPr="001E247B">
        <w:t xml:space="preserve">sites and 932 housing </w:t>
      </w:r>
      <w:r w:rsidR="00615E81" w:rsidRPr="001E247B">
        <w:t>units</w:t>
      </w:r>
      <w:r w:rsidR="003F3F3C" w:rsidRPr="001E247B">
        <w:t>).</w:t>
      </w:r>
    </w:p>
    <w:p w14:paraId="1DD06821" w14:textId="77777777" w:rsidR="00615E81" w:rsidRPr="001E247B" w:rsidRDefault="00615E81" w:rsidP="00D5240A">
      <w:pPr>
        <w:spacing w:line="360" w:lineRule="auto"/>
        <w:jc w:val="both"/>
      </w:pPr>
    </w:p>
    <w:p w14:paraId="5F377F72" w14:textId="77777777" w:rsidR="00615E81" w:rsidRPr="001E247B" w:rsidRDefault="008160E8" w:rsidP="00D5240A">
      <w:pPr>
        <w:spacing w:line="360" w:lineRule="auto"/>
        <w:jc w:val="both"/>
        <w:rPr>
          <w:b/>
        </w:rPr>
      </w:pPr>
      <w:r w:rsidRPr="001E247B">
        <w:rPr>
          <w:b/>
        </w:rPr>
        <w:t>5</w:t>
      </w:r>
      <w:r w:rsidR="003E7D04" w:rsidRPr="001E247B">
        <w:rPr>
          <w:b/>
        </w:rPr>
        <w:t xml:space="preserve">. </w:t>
      </w:r>
      <w:r w:rsidR="00B55650" w:rsidRPr="001E247B">
        <w:rPr>
          <w:b/>
        </w:rPr>
        <w:t>Submission by the Limpopo Department of Human Settlements</w:t>
      </w:r>
    </w:p>
    <w:p w14:paraId="6F2120DD" w14:textId="77777777" w:rsidR="00FF04F7" w:rsidRPr="001E247B" w:rsidRDefault="00B55650" w:rsidP="00D5240A">
      <w:pPr>
        <w:spacing w:line="360" w:lineRule="auto"/>
        <w:jc w:val="both"/>
      </w:pPr>
      <w:r w:rsidRPr="001E247B">
        <w:t xml:space="preserve">The Limpopo Department of Human Settlements (LDHS) confirmed the accuracy of the financial reports and outputs as submitted by the National Treasury and the </w:t>
      </w:r>
      <w:r w:rsidR="009C0AD0" w:rsidRPr="001E247B">
        <w:t>DHS</w:t>
      </w:r>
      <w:r w:rsidRPr="001E247B">
        <w:t xml:space="preserve">, respectively. </w:t>
      </w:r>
      <w:r w:rsidR="00F76202" w:rsidRPr="001E247B">
        <w:t xml:space="preserve">Under the Military </w:t>
      </w:r>
      <w:r w:rsidR="00FF04F7" w:rsidRPr="001E247B">
        <w:t>V</w:t>
      </w:r>
      <w:r w:rsidR="00F76202" w:rsidRPr="001E247B">
        <w:t>eterans programme, t</w:t>
      </w:r>
      <w:r w:rsidRPr="001E247B">
        <w:t>he LDHS submitted that the</w:t>
      </w:r>
      <w:r w:rsidR="00FF04F7" w:rsidRPr="001E247B">
        <w:t xml:space="preserve">re was </w:t>
      </w:r>
      <w:r w:rsidRPr="001E247B">
        <w:t xml:space="preserve">a backlog of 411 housing units, but in </w:t>
      </w:r>
      <w:r w:rsidR="009C0AD0" w:rsidRPr="001E247B">
        <w:t xml:space="preserve">the </w:t>
      </w:r>
      <w:r w:rsidRPr="001E247B">
        <w:t xml:space="preserve">2017/18 financial year </w:t>
      </w:r>
      <w:r w:rsidR="00F76202" w:rsidRPr="001E247B">
        <w:t xml:space="preserve">only 13 housing units were </w:t>
      </w:r>
      <w:r w:rsidR="00FF04F7" w:rsidRPr="001E247B">
        <w:t>delivered</w:t>
      </w:r>
      <w:r w:rsidR="00F76202" w:rsidRPr="001E247B">
        <w:t xml:space="preserve">, </w:t>
      </w:r>
      <w:r w:rsidR="00FF04F7" w:rsidRPr="001E247B">
        <w:t xml:space="preserve">out of </w:t>
      </w:r>
      <w:r w:rsidR="00F76202" w:rsidRPr="001E247B">
        <w:t xml:space="preserve">a target of 200. </w:t>
      </w:r>
    </w:p>
    <w:p w14:paraId="64F6A011" w14:textId="77777777" w:rsidR="00FF04F7" w:rsidRPr="001E247B" w:rsidRDefault="00FF04F7" w:rsidP="00D5240A">
      <w:pPr>
        <w:spacing w:line="360" w:lineRule="auto"/>
        <w:jc w:val="both"/>
      </w:pPr>
    </w:p>
    <w:p w14:paraId="646787A9" w14:textId="77777777" w:rsidR="00AC6DCC" w:rsidRPr="001E247B" w:rsidRDefault="00FF04F7" w:rsidP="00D5240A">
      <w:pPr>
        <w:spacing w:line="360" w:lineRule="auto"/>
        <w:jc w:val="both"/>
      </w:pPr>
      <w:r w:rsidRPr="001E247B">
        <w:lastRenderedPageBreak/>
        <w:t>The province reported that g</w:t>
      </w:r>
      <w:r w:rsidR="00F76202" w:rsidRPr="001E247B">
        <w:t>ross under</w:t>
      </w:r>
      <w:r w:rsidR="009C0AD0" w:rsidRPr="001E247B">
        <w:t>-</w:t>
      </w:r>
      <w:r w:rsidR="00F76202" w:rsidRPr="001E247B">
        <w:t>performance and attempts to revise the building specifications from 50 square metres</w:t>
      </w:r>
      <w:r w:rsidRPr="001E247B">
        <w:t xml:space="preserve">, a </w:t>
      </w:r>
      <w:r w:rsidR="00F76202" w:rsidRPr="001E247B">
        <w:t>national norm</w:t>
      </w:r>
      <w:r w:rsidRPr="001E247B">
        <w:t xml:space="preserve">, </w:t>
      </w:r>
      <w:r w:rsidR="00F76202" w:rsidRPr="001E247B">
        <w:t>to 75 square metres</w:t>
      </w:r>
      <w:r w:rsidRPr="001E247B">
        <w:t xml:space="preserve"> contributed to poor delivery of targets</w:t>
      </w:r>
      <w:r w:rsidR="00F76202" w:rsidRPr="001E247B">
        <w:t>. The attempt to revise the national norm was not approved</w:t>
      </w:r>
      <w:r w:rsidRPr="001E247B">
        <w:t xml:space="preserve"> by the Minister and a </w:t>
      </w:r>
      <w:r w:rsidR="00F76202" w:rsidRPr="001E247B">
        <w:t xml:space="preserve">directive </w:t>
      </w:r>
      <w:r w:rsidRPr="001E247B">
        <w:t xml:space="preserve">was issued to </w:t>
      </w:r>
      <w:r w:rsidR="00F76202" w:rsidRPr="001E247B">
        <w:t>all provinces</w:t>
      </w:r>
      <w:r w:rsidRPr="001E247B">
        <w:t xml:space="preserve"> informing them to </w:t>
      </w:r>
      <w:r w:rsidR="00F76202" w:rsidRPr="001E247B">
        <w:t>comply with the national policy</w:t>
      </w:r>
      <w:r w:rsidRPr="001E247B">
        <w:t xml:space="preserve"> norms and standards</w:t>
      </w:r>
      <w:r w:rsidR="00F76202" w:rsidRPr="001E247B">
        <w:t xml:space="preserve">. </w:t>
      </w:r>
      <w:r w:rsidR="00AC6DCC" w:rsidRPr="001E247B">
        <w:t xml:space="preserve">To address this housing backlog for Military Veterans, the LDHS reported that </w:t>
      </w:r>
      <w:r w:rsidR="009C2769" w:rsidRPr="001E247B">
        <w:t xml:space="preserve">the </w:t>
      </w:r>
      <w:r w:rsidR="00AC6DCC" w:rsidRPr="001E247B">
        <w:t xml:space="preserve">Housing </w:t>
      </w:r>
      <w:r w:rsidRPr="001E247B">
        <w:t>D</w:t>
      </w:r>
      <w:r w:rsidR="00AC6DCC" w:rsidRPr="001E247B">
        <w:t>evelopment Agency (</w:t>
      </w:r>
      <w:r w:rsidR="00FB7B40" w:rsidRPr="001E247B">
        <w:t>HDA</w:t>
      </w:r>
      <w:r w:rsidR="00AC6DCC" w:rsidRPr="001E247B">
        <w:t xml:space="preserve">) </w:t>
      </w:r>
      <w:r w:rsidRPr="001E247B">
        <w:t xml:space="preserve">was requested to assist and the </w:t>
      </w:r>
      <w:r w:rsidR="00FB7B40" w:rsidRPr="001E247B">
        <w:t>HDA</w:t>
      </w:r>
      <w:r w:rsidRPr="001E247B">
        <w:t xml:space="preserve"> </w:t>
      </w:r>
      <w:r w:rsidR="00AC6DCC" w:rsidRPr="001E247B">
        <w:t xml:space="preserve">has since appointed </w:t>
      </w:r>
      <w:r w:rsidR="00FB7B40" w:rsidRPr="001E247B">
        <w:t xml:space="preserve">five </w:t>
      </w:r>
      <w:r w:rsidR="00AC6DCC" w:rsidRPr="001E247B">
        <w:t>contractors to deliver 235 units</w:t>
      </w:r>
      <w:r w:rsidR="00FB7B40" w:rsidRPr="001E247B">
        <w:t>. Th</w:t>
      </w:r>
      <w:r w:rsidRPr="001E247B">
        <w:t>ese should be delivered</w:t>
      </w:r>
      <w:r w:rsidR="00AC6DCC" w:rsidRPr="001E247B">
        <w:t xml:space="preserve"> before the end of the 2018/19 financial year. </w:t>
      </w:r>
    </w:p>
    <w:p w14:paraId="72CC5647" w14:textId="77777777" w:rsidR="00AC6DCC" w:rsidRPr="001E247B" w:rsidRDefault="00AC6DCC" w:rsidP="00D5240A">
      <w:pPr>
        <w:spacing w:line="360" w:lineRule="auto"/>
        <w:jc w:val="both"/>
      </w:pPr>
    </w:p>
    <w:p w14:paraId="2416D39C" w14:textId="77777777" w:rsidR="0002043D" w:rsidRPr="001E247B" w:rsidRDefault="0002043D" w:rsidP="00D5240A">
      <w:pPr>
        <w:spacing w:line="360" w:lineRule="auto"/>
        <w:jc w:val="both"/>
      </w:pPr>
      <w:r w:rsidRPr="001E247B">
        <w:t>On the challenges that were experienced in the 2017/18 financial year, the L</w:t>
      </w:r>
      <w:r w:rsidR="00FB7B40" w:rsidRPr="001E247B">
        <w:t>DHS</w:t>
      </w:r>
      <w:r w:rsidRPr="001E247B">
        <w:t xml:space="preserve"> reported </w:t>
      </w:r>
      <w:r w:rsidR="009B741E" w:rsidRPr="001E247B">
        <w:t>the following</w:t>
      </w:r>
      <w:r w:rsidRPr="001E247B">
        <w:t xml:space="preserve">: </w:t>
      </w:r>
    </w:p>
    <w:p w14:paraId="1AC0DE37" w14:textId="77777777" w:rsidR="00B55650" w:rsidRPr="001E247B" w:rsidRDefault="0002043D" w:rsidP="0002043D">
      <w:pPr>
        <w:pStyle w:val="ListParagraph"/>
        <w:numPr>
          <w:ilvl w:val="0"/>
          <w:numId w:val="3"/>
        </w:numPr>
        <w:spacing w:line="360" w:lineRule="auto"/>
        <w:jc w:val="both"/>
      </w:pPr>
      <w:r w:rsidRPr="001E247B">
        <w:t>Contractor database with no bias towards built industry prescripts.</w:t>
      </w:r>
    </w:p>
    <w:p w14:paraId="7419B5F3" w14:textId="77777777" w:rsidR="0002043D" w:rsidRPr="001E247B" w:rsidRDefault="0002043D" w:rsidP="0002043D">
      <w:pPr>
        <w:pStyle w:val="ListParagraph"/>
        <w:numPr>
          <w:ilvl w:val="0"/>
          <w:numId w:val="3"/>
        </w:numPr>
        <w:spacing w:line="360" w:lineRule="auto"/>
        <w:jc w:val="both"/>
      </w:pPr>
      <w:r w:rsidRPr="001E247B">
        <w:t>Late appointment of service providers</w:t>
      </w:r>
      <w:r w:rsidR="00A43466" w:rsidRPr="001E247B">
        <w:t>.</w:t>
      </w:r>
    </w:p>
    <w:p w14:paraId="1966208B" w14:textId="77777777" w:rsidR="0002043D" w:rsidRPr="001E247B" w:rsidRDefault="0002043D" w:rsidP="0002043D">
      <w:pPr>
        <w:pStyle w:val="ListParagraph"/>
        <w:numPr>
          <w:ilvl w:val="0"/>
          <w:numId w:val="3"/>
        </w:numPr>
        <w:spacing w:line="360" w:lineRule="auto"/>
        <w:jc w:val="both"/>
      </w:pPr>
      <w:r w:rsidRPr="001E247B">
        <w:t>Late approval of developmental areas.</w:t>
      </w:r>
    </w:p>
    <w:p w14:paraId="7DFB324F" w14:textId="77777777" w:rsidR="0002043D" w:rsidRPr="001E247B" w:rsidRDefault="0002043D" w:rsidP="0002043D">
      <w:pPr>
        <w:pStyle w:val="ListParagraph"/>
        <w:numPr>
          <w:ilvl w:val="0"/>
          <w:numId w:val="3"/>
        </w:numPr>
        <w:spacing w:line="360" w:lineRule="auto"/>
        <w:jc w:val="both"/>
      </w:pPr>
      <w:r w:rsidRPr="001E247B">
        <w:t>Contractor to contractor cessions leading to poor performance.</w:t>
      </w:r>
    </w:p>
    <w:p w14:paraId="28C5FB49" w14:textId="77777777" w:rsidR="0002043D" w:rsidRPr="001E247B" w:rsidRDefault="0002043D" w:rsidP="0002043D">
      <w:pPr>
        <w:pStyle w:val="ListParagraph"/>
        <w:numPr>
          <w:ilvl w:val="0"/>
          <w:numId w:val="3"/>
        </w:numPr>
        <w:spacing w:line="360" w:lineRule="auto"/>
        <w:jc w:val="both"/>
      </w:pPr>
      <w:r w:rsidRPr="001E247B">
        <w:t>Non</w:t>
      </w:r>
      <w:r w:rsidR="00A1652D" w:rsidRPr="001E247B">
        <w:t>-</w:t>
      </w:r>
      <w:r w:rsidRPr="001E247B">
        <w:t>application of consequence management for non</w:t>
      </w:r>
      <w:r w:rsidR="00A1652D" w:rsidRPr="001E247B">
        <w:t>-</w:t>
      </w:r>
      <w:r w:rsidRPr="001E247B">
        <w:t>perform</w:t>
      </w:r>
      <w:r w:rsidR="00A1652D" w:rsidRPr="001E247B">
        <w:t>ing</w:t>
      </w:r>
      <w:r w:rsidRPr="001E247B">
        <w:t xml:space="preserve"> contractors.</w:t>
      </w:r>
    </w:p>
    <w:p w14:paraId="4E45D94A" w14:textId="77777777" w:rsidR="0002043D" w:rsidRPr="001E247B" w:rsidRDefault="0002043D" w:rsidP="0002043D">
      <w:pPr>
        <w:pStyle w:val="ListParagraph"/>
        <w:numPr>
          <w:ilvl w:val="0"/>
          <w:numId w:val="3"/>
        </w:numPr>
        <w:spacing w:line="360" w:lineRule="auto"/>
        <w:jc w:val="both"/>
      </w:pPr>
      <w:r w:rsidRPr="001E247B">
        <w:t xml:space="preserve">Inadequate contract and beneficiary management, </w:t>
      </w:r>
      <w:r w:rsidR="006B4DA7" w:rsidRPr="001E247B">
        <w:t xml:space="preserve">and </w:t>
      </w:r>
      <w:r w:rsidRPr="001E247B">
        <w:t xml:space="preserve">geotechnical planning led to delay of project implementation. </w:t>
      </w:r>
    </w:p>
    <w:p w14:paraId="68ADC771" w14:textId="77777777" w:rsidR="0002043D" w:rsidRPr="001E247B" w:rsidRDefault="0002043D" w:rsidP="0002043D">
      <w:pPr>
        <w:spacing w:line="360" w:lineRule="auto"/>
        <w:jc w:val="both"/>
      </w:pPr>
    </w:p>
    <w:p w14:paraId="6DC938E7" w14:textId="77777777" w:rsidR="00933635" w:rsidRPr="001E247B" w:rsidRDefault="0002043D" w:rsidP="0002043D">
      <w:pPr>
        <w:spacing w:line="360" w:lineRule="auto"/>
        <w:jc w:val="both"/>
      </w:pPr>
      <w:r w:rsidRPr="001E247B">
        <w:t xml:space="preserve">To address the above challenges an intervention and recovery plan has been put </w:t>
      </w:r>
      <w:r w:rsidR="00A43466" w:rsidRPr="001E247B">
        <w:t xml:space="preserve">together </w:t>
      </w:r>
      <w:r w:rsidRPr="001E247B">
        <w:t xml:space="preserve">by the </w:t>
      </w:r>
      <w:r w:rsidR="00332EB7" w:rsidRPr="001E247B">
        <w:t>LDHS, including</w:t>
      </w:r>
      <w:r w:rsidR="00933635" w:rsidRPr="001E247B">
        <w:t xml:space="preserve"> –</w:t>
      </w:r>
    </w:p>
    <w:p w14:paraId="5B98E39D" w14:textId="77777777" w:rsidR="0002043D" w:rsidRPr="001E247B" w:rsidRDefault="0002043D" w:rsidP="0002043D">
      <w:pPr>
        <w:spacing w:line="360" w:lineRule="auto"/>
        <w:jc w:val="both"/>
      </w:pPr>
    </w:p>
    <w:p w14:paraId="1360D4E1" w14:textId="77777777" w:rsidR="0002043D" w:rsidRPr="001E247B" w:rsidRDefault="0002043D" w:rsidP="0002043D">
      <w:pPr>
        <w:pStyle w:val="ListParagraph"/>
        <w:numPr>
          <w:ilvl w:val="0"/>
          <w:numId w:val="4"/>
        </w:numPr>
        <w:spacing w:line="360" w:lineRule="auto"/>
        <w:jc w:val="both"/>
      </w:pPr>
      <w:r w:rsidRPr="001E247B">
        <w:t>Increasing H</w:t>
      </w:r>
      <w:r w:rsidR="004F3A17" w:rsidRPr="001E247B">
        <w:t>SDG</w:t>
      </w:r>
      <w:r w:rsidRPr="001E247B">
        <w:t xml:space="preserve"> expenditure through the appointment of </w:t>
      </w:r>
      <w:r w:rsidR="004F3A17" w:rsidRPr="001E247B">
        <w:t>the HDA</w:t>
      </w:r>
      <w:r w:rsidRPr="001E247B">
        <w:t xml:space="preserve"> to contract high capacity contractors</w:t>
      </w:r>
      <w:r w:rsidR="000D4558" w:rsidRPr="001E247B">
        <w:t>;</w:t>
      </w:r>
    </w:p>
    <w:p w14:paraId="04D38339" w14:textId="77777777" w:rsidR="0002043D" w:rsidRPr="001E247B" w:rsidRDefault="0002043D" w:rsidP="0002043D">
      <w:pPr>
        <w:pStyle w:val="ListParagraph"/>
        <w:numPr>
          <w:ilvl w:val="0"/>
          <w:numId w:val="4"/>
        </w:numPr>
        <w:spacing w:line="360" w:lineRule="auto"/>
        <w:jc w:val="both"/>
      </w:pPr>
      <w:r w:rsidRPr="001E247B">
        <w:t xml:space="preserve">Improving contract management </w:t>
      </w:r>
      <w:r w:rsidR="00397FB6" w:rsidRPr="001E247B">
        <w:t>through Integrated</w:t>
      </w:r>
      <w:r w:rsidR="006823C9" w:rsidRPr="001E247B">
        <w:t xml:space="preserve"> Sustainable Human Settlements p</w:t>
      </w:r>
      <w:r w:rsidR="00397FB6" w:rsidRPr="001E247B">
        <w:t xml:space="preserve">lans </w:t>
      </w:r>
      <w:r w:rsidR="00813E21" w:rsidRPr="001E247B">
        <w:t>that</w:t>
      </w:r>
      <w:r w:rsidR="00397FB6" w:rsidRPr="001E247B">
        <w:t xml:space="preserve"> </w:t>
      </w:r>
      <w:r w:rsidR="00813E21" w:rsidRPr="001E247B">
        <w:t>are</w:t>
      </w:r>
      <w:r w:rsidR="00397FB6" w:rsidRPr="001E247B">
        <w:t xml:space="preserve"> used to assess poor performing contractors and help by addressing </w:t>
      </w:r>
      <w:r w:rsidR="003F4427" w:rsidRPr="001E247B">
        <w:t xml:space="preserve">the </w:t>
      </w:r>
      <w:r w:rsidR="00397FB6" w:rsidRPr="001E247B">
        <w:t>causes, like lack of capacity and resource mobilisation challenges</w:t>
      </w:r>
      <w:r w:rsidR="000D4558" w:rsidRPr="001E247B">
        <w:t>;</w:t>
      </w:r>
    </w:p>
    <w:p w14:paraId="415DE01F" w14:textId="77777777" w:rsidR="00397FB6" w:rsidRPr="001E247B" w:rsidRDefault="00397FB6" w:rsidP="0002043D">
      <w:pPr>
        <w:pStyle w:val="ListParagraph"/>
        <w:numPr>
          <w:ilvl w:val="0"/>
          <w:numId w:val="4"/>
        </w:numPr>
        <w:spacing w:line="360" w:lineRule="auto"/>
        <w:jc w:val="both"/>
      </w:pPr>
      <w:r w:rsidRPr="001E247B">
        <w:t xml:space="preserve">Improving </w:t>
      </w:r>
      <w:r w:rsidR="003F4427" w:rsidRPr="001E247B">
        <w:t>c</w:t>
      </w:r>
      <w:r w:rsidRPr="001E247B">
        <w:t>ontractor performance and applying consequen</w:t>
      </w:r>
      <w:r w:rsidR="003F4427" w:rsidRPr="001E247B">
        <w:t>ce</w:t>
      </w:r>
      <w:r w:rsidRPr="001E247B">
        <w:t xml:space="preserve"> management</w:t>
      </w:r>
      <w:r w:rsidR="000D4558" w:rsidRPr="001E247B">
        <w:t>;</w:t>
      </w:r>
    </w:p>
    <w:p w14:paraId="496BEADD" w14:textId="77777777" w:rsidR="00397FB6" w:rsidRPr="001E247B" w:rsidRDefault="00397FB6" w:rsidP="0002043D">
      <w:pPr>
        <w:pStyle w:val="ListParagraph"/>
        <w:numPr>
          <w:ilvl w:val="0"/>
          <w:numId w:val="4"/>
        </w:numPr>
        <w:spacing w:line="360" w:lineRule="auto"/>
        <w:jc w:val="both"/>
      </w:pPr>
      <w:r w:rsidRPr="001E247B">
        <w:t>Provision of additional capacity and support to specific directorates</w:t>
      </w:r>
      <w:r w:rsidR="000D4558" w:rsidRPr="001E247B">
        <w:t>;</w:t>
      </w:r>
    </w:p>
    <w:p w14:paraId="4C1E05D0" w14:textId="77777777" w:rsidR="00397FB6" w:rsidRPr="001E247B" w:rsidRDefault="00397FB6" w:rsidP="0002043D">
      <w:pPr>
        <w:pStyle w:val="ListParagraph"/>
        <w:numPr>
          <w:ilvl w:val="0"/>
          <w:numId w:val="4"/>
        </w:numPr>
        <w:spacing w:line="360" w:lineRule="auto"/>
        <w:jc w:val="both"/>
      </w:pPr>
      <w:r w:rsidRPr="001E247B">
        <w:t>Accelerating Supply Chain processes</w:t>
      </w:r>
      <w:r w:rsidR="000D4558" w:rsidRPr="001E247B">
        <w:t>;</w:t>
      </w:r>
    </w:p>
    <w:p w14:paraId="36D1DB1F" w14:textId="77777777" w:rsidR="00397FB6" w:rsidRPr="001E247B" w:rsidRDefault="00397FB6" w:rsidP="0002043D">
      <w:pPr>
        <w:pStyle w:val="ListParagraph"/>
        <w:numPr>
          <w:ilvl w:val="0"/>
          <w:numId w:val="4"/>
        </w:numPr>
        <w:spacing w:line="360" w:lineRule="auto"/>
        <w:jc w:val="both"/>
      </w:pPr>
      <w:r w:rsidRPr="001E247B">
        <w:t>Arrang</w:t>
      </w:r>
      <w:r w:rsidR="003F4427" w:rsidRPr="001E247B">
        <w:t>ing</w:t>
      </w:r>
      <w:r w:rsidRPr="001E247B">
        <w:t xml:space="preserve"> meetings with affected municipalities and mak</w:t>
      </w:r>
      <w:r w:rsidR="003F4427" w:rsidRPr="001E247B">
        <w:t>ing</w:t>
      </w:r>
      <w:r w:rsidRPr="001E247B">
        <w:t xml:space="preserve"> follow-up</w:t>
      </w:r>
      <w:r w:rsidR="003F4427" w:rsidRPr="001E247B">
        <w:t>s</w:t>
      </w:r>
      <w:r w:rsidRPr="001E247B">
        <w:t xml:space="preserve"> to get the signed clearance certificates on </w:t>
      </w:r>
      <w:r w:rsidR="00FB6135" w:rsidRPr="001E247B">
        <w:t>t</w:t>
      </w:r>
      <w:r w:rsidRPr="001E247B">
        <w:t xml:space="preserve">itle </w:t>
      </w:r>
      <w:r w:rsidR="00FB6135" w:rsidRPr="001E247B">
        <w:t>d</w:t>
      </w:r>
      <w:r w:rsidRPr="001E247B">
        <w:t>eeds</w:t>
      </w:r>
      <w:r w:rsidR="000D4558" w:rsidRPr="001E247B">
        <w:t>;</w:t>
      </w:r>
      <w:r w:rsidRPr="001E247B">
        <w:t xml:space="preserve"> </w:t>
      </w:r>
    </w:p>
    <w:p w14:paraId="2BD016F2" w14:textId="77777777" w:rsidR="00C81D99" w:rsidRPr="001E247B" w:rsidRDefault="003F4427" w:rsidP="00C81D99">
      <w:pPr>
        <w:pStyle w:val="ListParagraph"/>
        <w:numPr>
          <w:ilvl w:val="0"/>
          <w:numId w:val="4"/>
        </w:numPr>
        <w:spacing w:line="360" w:lineRule="auto"/>
        <w:jc w:val="both"/>
      </w:pPr>
      <w:r w:rsidRPr="001E247B">
        <w:lastRenderedPageBreak/>
        <w:t>Consulting</w:t>
      </w:r>
      <w:r w:rsidR="00397FB6" w:rsidRPr="001E247B">
        <w:t xml:space="preserve"> Ward Councillors and Committees </w:t>
      </w:r>
      <w:r w:rsidR="00C81D99" w:rsidRPr="001E247B">
        <w:t xml:space="preserve">with a view </w:t>
      </w:r>
      <w:r w:rsidRPr="001E247B">
        <w:t>to</w:t>
      </w:r>
      <w:r w:rsidR="00C81D99" w:rsidRPr="001E247B">
        <w:t xml:space="preserve"> assist </w:t>
      </w:r>
      <w:r w:rsidRPr="001E247B">
        <w:t xml:space="preserve">with </w:t>
      </w:r>
      <w:r w:rsidR="00C81D99" w:rsidRPr="001E247B">
        <w:t>trac</w:t>
      </w:r>
      <w:r w:rsidRPr="001E247B">
        <w:t>ing</w:t>
      </w:r>
      <w:r w:rsidR="00C81D99" w:rsidRPr="001E247B">
        <w:t xml:space="preserve"> approved beneficiaries of the Military Veterans programmes</w:t>
      </w:r>
      <w:r w:rsidRPr="001E247B">
        <w:t xml:space="preserve"> and using </w:t>
      </w:r>
      <w:r w:rsidR="00C81D99" w:rsidRPr="001E247B">
        <w:t>radio station</w:t>
      </w:r>
      <w:r w:rsidRPr="001E247B">
        <w:t>s</w:t>
      </w:r>
      <w:r w:rsidR="00C81D99" w:rsidRPr="001E247B">
        <w:t xml:space="preserve"> to call for beneficiaries to come forward</w:t>
      </w:r>
      <w:r w:rsidR="000D4558" w:rsidRPr="001E247B">
        <w:t>;</w:t>
      </w:r>
    </w:p>
    <w:p w14:paraId="690CFDDB" w14:textId="77777777" w:rsidR="00C81D99" w:rsidRPr="001E247B" w:rsidRDefault="003F4427" w:rsidP="00C81D99">
      <w:pPr>
        <w:pStyle w:val="ListParagraph"/>
        <w:numPr>
          <w:ilvl w:val="0"/>
          <w:numId w:val="4"/>
        </w:numPr>
        <w:spacing w:line="360" w:lineRule="auto"/>
        <w:jc w:val="both"/>
      </w:pPr>
      <w:r w:rsidRPr="001E247B">
        <w:t>Arranging m</w:t>
      </w:r>
      <w:r w:rsidR="00C81D99" w:rsidRPr="001E247B">
        <w:t>eetings with affected municipalities to confirm the status of signing of transfer documents before they are submitted to the State Attorney’s Office</w:t>
      </w:r>
      <w:r w:rsidR="000D4558" w:rsidRPr="001E247B">
        <w:t>;</w:t>
      </w:r>
    </w:p>
    <w:p w14:paraId="3273A063" w14:textId="77777777" w:rsidR="00676ADD" w:rsidRPr="001E247B" w:rsidRDefault="00C81D99" w:rsidP="00C81D99">
      <w:pPr>
        <w:pStyle w:val="ListParagraph"/>
        <w:numPr>
          <w:ilvl w:val="0"/>
          <w:numId w:val="4"/>
        </w:numPr>
        <w:spacing w:line="360" w:lineRule="auto"/>
        <w:jc w:val="both"/>
      </w:pPr>
      <w:r w:rsidRPr="001E247B">
        <w:t>C</w:t>
      </w:r>
      <w:r w:rsidR="000D4558" w:rsidRPr="001E247B">
        <w:t>losely assessing c</w:t>
      </w:r>
      <w:r w:rsidRPr="001E247B">
        <w:t xml:space="preserve">ontractor performance and </w:t>
      </w:r>
      <w:r w:rsidR="000D4558" w:rsidRPr="001E247B">
        <w:t xml:space="preserve">arranging one-on-one meetings </w:t>
      </w:r>
      <w:r w:rsidRPr="001E247B">
        <w:t>where under</w:t>
      </w:r>
      <w:r w:rsidR="000D4558" w:rsidRPr="001E247B">
        <w:t>-</w:t>
      </w:r>
      <w:r w:rsidRPr="001E247B">
        <w:t>performance is detected</w:t>
      </w:r>
      <w:r w:rsidR="000D4558" w:rsidRPr="001E247B">
        <w:t>; and</w:t>
      </w:r>
    </w:p>
    <w:p w14:paraId="18DCCA09" w14:textId="77777777" w:rsidR="00397FB6" w:rsidRPr="001E247B" w:rsidRDefault="000D4558" w:rsidP="00C81D99">
      <w:pPr>
        <w:pStyle w:val="ListParagraph"/>
        <w:numPr>
          <w:ilvl w:val="0"/>
          <w:numId w:val="4"/>
        </w:numPr>
        <w:spacing w:line="360" w:lineRule="auto"/>
        <w:jc w:val="both"/>
      </w:pPr>
      <w:r w:rsidRPr="001E247B">
        <w:t>Approaching the Housing Development Agency (HDA) to assist with a</w:t>
      </w:r>
      <w:r w:rsidR="00676ADD" w:rsidRPr="001E247B">
        <w:t>dditional capacity to assist the Department with planning and project pipelining</w:t>
      </w:r>
      <w:r w:rsidR="00B04849" w:rsidRPr="001E247B">
        <w:t xml:space="preserve">. </w:t>
      </w:r>
      <w:r w:rsidRPr="001E247B">
        <w:t>(</w:t>
      </w:r>
      <w:r w:rsidR="00B04849" w:rsidRPr="001E247B">
        <w:t>T</w:t>
      </w:r>
      <w:r w:rsidR="00676ADD" w:rsidRPr="001E247B">
        <w:t>his includes a town planner, a land legal person</w:t>
      </w:r>
      <w:r w:rsidRPr="001E247B">
        <w:t xml:space="preserve"> and</w:t>
      </w:r>
      <w:r w:rsidR="00676ADD" w:rsidRPr="001E247B">
        <w:t xml:space="preserve"> a civil engineer.</w:t>
      </w:r>
      <w:r w:rsidRPr="001E247B">
        <w:t>)</w:t>
      </w:r>
      <w:r w:rsidR="00676ADD" w:rsidRPr="001E247B">
        <w:t xml:space="preserve"> The Service Level Agreement with </w:t>
      </w:r>
      <w:r w:rsidRPr="001E247B">
        <w:t xml:space="preserve">the HDA </w:t>
      </w:r>
      <w:r w:rsidR="00B04849" w:rsidRPr="001E247B">
        <w:t>o</w:t>
      </w:r>
      <w:r w:rsidR="00676ADD" w:rsidRPr="001E247B">
        <w:t xml:space="preserve">n appointment of high performance contractors was finalised by January 2018. </w:t>
      </w:r>
      <w:r w:rsidR="00C81D99" w:rsidRPr="001E247B">
        <w:t xml:space="preserve"> </w:t>
      </w:r>
      <w:r w:rsidR="00397FB6" w:rsidRPr="001E247B">
        <w:t xml:space="preserve">  </w:t>
      </w:r>
    </w:p>
    <w:p w14:paraId="693F8D77" w14:textId="77777777" w:rsidR="003F3F3C" w:rsidRPr="001E247B" w:rsidRDefault="003F3F3C" w:rsidP="00D5240A">
      <w:pPr>
        <w:spacing w:line="360" w:lineRule="auto"/>
        <w:jc w:val="both"/>
      </w:pPr>
    </w:p>
    <w:p w14:paraId="4622F209" w14:textId="77777777" w:rsidR="009C2F6E" w:rsidRPr="001E247B" w:rsidRDefault="00676ADD" w:rsidP="00D5240A">
      <w:pPr>
        <w:spacing w:line="360" w:lineRule="auto"/>
        <w:jc w:val="both"/>
      </w:pPr>
      <w:r w:rsidRPr="001E247B">
        <w:t>The LDHS reported that phase 2 of the strategic intervention plan included establishment of a new multi-layered database of contractors</w:t>
      </w:r>
      <w:r w:rsidR="00B04849" w:rsidRPr="001E247B">
        <w:t xml:space="preserve">, </w:t>
      </w:r>
      <w:r w:rsidRPr="001E247B">
        <w:t xml:space="preserve">incorporating </w:t>
      </w:r>
      <w:r w:rsidR="004D5605" w:rsidRPr="001E247B">
        <w:t xml:space="preserve">the </w:t>
      </w:r>
      <w:r w:rsidRPr="001E247B">
        <w:t>Construction Industry Development Board (CIDB) for grading and</w:t>
      </w:r>
      <w:r w:rsidR="004D5605" w:rsidRPr="001E247B">
        <w:t xml:space="preserve"> the</w:t>
      </w:r>
      <w:r w:rsidRPr="001E247B">
        <w:t xml:space="preserve"> National Home Builders Registration Council </w:t>
      </w:r>
      <w:r w:rsidR="008946AB" w:rsidRPr="001E247B">
        <w:t xml:space="preserve">(NHBRC) </w:t>
      </w:r>
      <w:r w:rsidRPr="001E247B">
        <w:t xml:space="preserve">for registration. The LDHS also </w:t>
      </w:r>
      <w:r w:rsidR="009C2F6E" w:rsidRPr="001E247B">
        <w:t xml:space="preserve">reported that it </w:t>
      </w:r>
      <w:r w:rsidRPr="001E247B">
        <w:t>planned to terminate non</w:t>
      </w:r>
      <w:r w:rsidR="009C2F6E" w:rsidRPr="001E247B">
        <w:t>-</w:t>
      </w:r>
      <w:r w:rsidRPr="001E247B">
        <w:t xml:space="preserve">performing contractors and </w:t>
      </w:r>
      <w:r w:rsidR="004D5605" w:rsidRPr="001E247B">
        <w:t>i</w:t>
      </w:r>
      <w:r w:rsidRPr="001E247B">
        <w:t>ntroduc</w:t>
      </w:r>
      <w:r w:rsidR="004D5605" w:rsidRPr="001E247B">
        <w:t>e</w:t>
      </w:r>
      <w:r w:rsidRPr="001E247B">
        <w:t xml:space="preserve"> </w:t>
      </w:r>
      <w:r w:rsidR="004D5605" w:rsidRPr="001E247B">
        <w:t xml:space="preserve">a </w:t>
      </w:r>
      <w:r w:rsidRPr="001E247B">
        <w:t xml:space="preserve">performance reduction matrix which would be a standard addendum. </w:t>
      </w:r>
    </w:p>
    <w:p w14:paraId="45AC1B03" w14:textId="77777777" w:rsidR="009C2F6E" w:rsidRPr="001E247B" w:rsidRDefault="009C2F6E" w:rsidP="00D5240A">
      <w:pPr>
        <w:spacing w:line="360" w:lineRule="auto"/>
        <w:jc w:val="both"/>
      </w:pPr>
    </w:p>
    <w:p w14:paraId="76951076" w14:textId="77777777" w:rsidR="00B178A2" w:rsidRPr="001E247B" w:rsidRDefault="0087379C" w:rsidP="00D5240A">
      <w:pPr>
        <w:spacing w:line="360" w:lineRule="auto"/>
        <w:jc w:val="both"/>
      </w:pPr>
      <w:r w:rsidRPr="001E247B">
        <w:t xml:space="preserve">Moreover, </w:t>
      </w:r>
      <w:r w:rsidR="009A6114" w:rsidRPr="001E247B">
        <w:t>the LDHS reported that a contract management committee</w:t>
      </w:r>
      <w:r w:rsidR="004D5605" w:rsidRPr="001E247B">
        <w:t>,</w:t>
      </w:r>
      <w:r w:rsidR="009A6114" w:rsidRPr="001E247B">
        <w:t xml:space="preserve"> which w</w:t>
      </w:r>
      <w:r w:rsidR="004D5605" w:rsidRPr="001E247B">
        <w:t>ould</w:t>
      </w:r>
      <w:r w:rsidR="009A6114" w:rsidRPr="001E247B">
        <w:t xml:space="preserve"> evaluate performance of contractors and make necessary recommendations</w:t>
      </w:r>
      <w:r w:rsidR="004D5605" w:rsidRPr="001E247B">
        <w:t>,</w:t>
      </w:r>
      <w:r w:rsidR="009A6114" w:rsidRPr="001E247B">
        <w:t xml:space="preserve"> would be formed</w:t>
      </w:r>
      <w:r w:rsidR="00B178A2" w:rsidRPr="001E247B">
        <w:t xml:space="preserve"> this financial year</w:t>
      </w:r>
      <w:r w:rsidR="009A6114" w:rsidRPr="001E247B">
        <w:t xml:space="preserve">. </w:t>
      </w:r>
      <w:r w:rsidRPr="001E247B">
        <w:t>Other internal arrangements</w:t>
      </w:r>
      <w:r w:rsidR="004D5605" w:rsidRPr="001E247B">
        <w:t xml:space="preserve"> to </w:t>
      </w:r>
      <w:r w:rsidRPr="001E247B">
        <w:t>be undertake</w:t>
      </w:r>
      <w:r w:rsidR="009C2769" w:rsidRPr="001E247B">
        <w:t>n</w:t>
      </w:r>
      <w:r w:rsidR="00B178A2" w:rsidRPr="001E247B">
        <w:t>,</w:t>
      </w:r>
      <w:r w:rsidRPr="001E247B">
        <w:t xml:space="preserve"> includ</w:t>
      </w:r>
      <w:r w:rsidR="004D5605" w:rsidRPr="001E247B">
        <w:t>ed</w:t>
      </w:r>
      <w:r w:rsidRPr="001E247B">
        <w:t xml:space="preserve"> moving officials </w:t>
      </w:r>
      <w:r w:rsidR="00B178A2" w:rsidRPr="001E247B">
        <w:t xml:space="preserve">from provincial head office </w:t>
      </w:r>
      <w:r w:rsidRPr="001E247B">
        <w:t xml:space="preserve">to </w:t>
      </w:r>
      <w:r w:rsidR="00B178A2" w:rsidRPr="001E247B">
        <w:t xml:space="preserve">the </w:t>
      </w:r>
      <w:r w:rsidRPr="001E247B">
        <w:t>district offices</w:t>
      </w:r>
      <w:r w:rsidR="004D5605" w:rsidRPr="001E247B">
        <w:t>;</w:t>
      </w:r>
      <w:r w:rsidRPr="001E247B">
        <w:t xml:space="preserve"> reconstituting supply chain committees and ensuring that appointment of service providers </w:t>
      </w:r>
      <w:r w:rsidR="00B178A2" w:rsidRPr="001E247B">
        <w:t xml:space="preserve">is </w:t>
      </w:r>
      <w:r w:rsidRPr="001E247B">
        <w:t>linked with the financial year. The LDHS added that the roll</w:t>
      </w:r>
      <w:r w:rsidR="00B178A2" w:rsidRPr="001E247B">
        <w:t>-</w:t>
      </w:r>
      <w:r w:rsidRPr="001E247B">
        <w:t xml:space="preserve">out of </w:t>
      </w:r>
      <w:r w:rsidR="004D5605" w:rsidRPr="001E247B">
        <w:t xml:space="preserve">the </w:t>
      </w:r>
      <w:r w:rsidRPr="001E247B">
        <w:t xml:space="preserve">Electronic </w:t>
      </w:r>
      <w:r w:rsidR="00B178A2" w:rsidRPr="001E247B">
        <w:t xml:space="preserve">Payment </w:t>
      </w:r>
      <w:r w:rsidRPr="001E247B">
        <w:t>Management System (EPMS) for effective and efficient project management</w:t>
      </w:r>
      <w:r w:rsidR="004D5605" w:rsidRPr="001E247B">
        <w:t>,</w:t>
      </w:r>
      <w:r w:rsidRPr="001E247B">
        <w:t xml:space="preserve"> would be done by 01 July 2018. </w:t>
      </w:r>
    </w:p>
    <w:p w14:paraId="4FA57EEB" w14:textId="77777777" w:rsidR="00B178A2" w:rsidRPr="001E247B" w:rsidRDefault="00B178A2" w:rsidP="00D5240A">
      <w:pPr>
        <w:spacing w:line="360" w:lineRule="auto"/>
        <w:jc w:val="both"/>
      </w:pPr>
    </w:p>
    <w:p w14:paraId="1B02E78C" w14:textId="77777777" w:rsidR="0087379C" w:rsidRPr="001E247B" w:rsidRDefault="00F72539" w:rsidP="00D5240A">
      <w:pPr>
        <w:spacing w:line="360" w:lineRule="auto"/>
        <w:jc w:val="both"/>
      </w:pPr>
      <w:r w:rsidRPr="001E247B">
        <w:t>The following were a</w:t>
      </w:r>
      <w:r w:rsidR="0087379C" w:rsidRPr="001E247B">
        <w:t>lso reported to be in</w:t>
      </w:r>
      <w:r w:rsidRPr="001E247B">
        <w:t>cluded in</w:t>
      </w:r>
      <w:r w:rsidR="0087379C" w:rsidRPr="001E247B">
        <w:t xml:space="preserve"> phase 2:</w:t>
      </w:r>
    </w:p>
    <w:p w14:paraId="5979A818" w14:textId="77777777" w:rsidR="003E7D04" w:rsidRPr="001E247B" w:rsidRDefault="003E7D04" w:rsidP="003E7D04">
      <w:pPr>
        <w:pStyle w:val="ListParagraph"/>
        <w:numPr>
          <w:ilvl w:val="0"/>
          <w:numId w:val="5"/>
        </w:numPr>
        <w:spacing w:line="360" w:lineRule="auto"/>
        <w:jc w:val="both"/>
      </w:pPr>
      <w:r w:rsidRPr="001E247B">
        <w:t>Non</w:t>
      </w:r>
      <w:r w:rsidR="00F72539" w:rsidRPr="001E247B">
        <w:t>-</w:t>
      </w:r>
      <w:r w:rsidRPr="001E247B">
        <w:t>a</w:t>
      </w:r>
      <w:r w:rsidR="00B178A2" w:rsidRPr="001E247B">
        <w:t xml:space="preserve">pproval </w:t>
      </w:r>
      <w:r w:rsidRPr="001E247B">
        <w:t>of contractor to contractor cessions</w:t>
      </w:r>
      <w:r w:rsidR="00F72539" w:rsidRPr="001E247B">
        <w:t>,</w:t>
      </w:r>
      <w:r w:rsidRPr="001E247B">
        <w:t xml:space="preserve"> </w:t>
      </w:r>
      <w:r w:rsidR="00F72539" w:rsidRPr="001E247B">
        <w:t xml:space="preserve">except </w:t>
      </w:r>
      <w:r w:rsidRPr="001E247B">
        <w:t>for material supply.</w:t>
      </w:r>
    </w:p>
    <w:p w14:paraId="2B329070" w14:textId="77777777" w:rsidR="003E7D04" w:rsidRPr="001E247B" w:rsidRDefault="003E7D04" w:rsidP="003E7D04">
      <w:pPr>
        <w:pStyle w:val="ListParagraph"/>
        <w:numPr>
          <w:ilvl w:val="0"/>
          <w:numId w:val="5"/>
        </w:numPr>
        <w:spacing w:line="360" w:lineRule="auto"/>
        <w:jc w:val="both"/>
      </w:pPr>
      <w:r w:rsidRPr="001E247B">
        <w:t xml:space="preserve">The </w:t>
      </w:r>
      <w:r w:rsidR="00F72539" w:rsidRPr="001E247B">
        <w:t xml:space="preserve">tendency of contractors to </w:t>
      </w:r>
      <w:r w:rsidRPr="001E247B">
        <w:t>prioritis</w:t>
      </w:r>
      <w:r w:rsidR="00F72539" w:rsidRPr="001E247B">
        <w:t>e</w:t>
      </w:r>
      <w:r w:rsidRPr="001E247B">
        <w:t xml:space="preserve"> building foundations and leav</w:t>
      </w:r>
      <w:r w:rsidR="00F72539" w:rsidRPr="001E247B">
        <w:t>ing</w:t>
      </w:r>
      <w:r w:rsidRPr="001E247B">
        <w:t xml:space="preserve"> incomplete </w:t>
      </w:r>
      <w:r w:rsidR="00B178A2" w:rsidRPr="001E247B">
        <w:t xml:space="preserve">housing </w:t>
      </w:r>
      <w:r w:rsidRPr="001E247B">
        <w:t>units would be stopped</w:t>
      </w:r>
      <w:r w:rsidR="00F72539" w:rsidRPr="001E247B">
        <w:t>,</w:t>
      </w:r>
      <w:r w:rsidRPr="001E247B">
        <w:t xml:space="preserve"> or mitigat</w:t>
      </w:r>
      <w:r w:rsidR="00B178A2" w:rsidRPr="001E247B">
        <w:t xml:space="preserve">ed </w:t>
      </w:r>
      <w:r w:rsidRPr="001E247B">
        <w:t>against</w:t>
      </w:r>
      <w:r w:rsidR="00B178A2" w:rsidRPr="001E247B">
        <w:t>,</w:t>
      </w:r>
      <w:r w:rsidRPr="001E247B">
        <w:t xml:space="preserve"> through </w:t>
      </w:r>
      <w:r w:rsidR="00F72539" w:rsidRPr="001E247B">
        <w:t xml:space="preserve">the LDHS only </w:t>
      </w:r>
      <w:r w:rsidR="00F72539" w:rsidRPr="001E247B">
        <w:lastRenderedPageBreak/>
        <w:t xml:space="preserve">releasing a </w:t>
      </w:r>
      <w:r w:rsidRPr="001E247B">
        <w:t>50 percent geotechnical allowance at foundation phase</w:t>
      </w:r>
      <w:r w:rsidR="00F72539" w:rsidRPr="001E247B">
        <w:t>, with</w:t>
      </w:r>
      <w:r w:rsidRPr="001E247B">
        <w:t xml:space="preserve"> the balance </w:t>
      </w:r>
      <w:r w:rsidR="00F72539" w:rsidRPr="001E247B">
        <w:t xml:space="preserve">to </w:t>
      </w:r>
      <w:r w:rsidRPr="001E247B">
        <w:t>be paid on completion of units.</w:t>
      </w:r>
    </w:p>
    <w:p w14:paraId="4DDBEBDB" w14:textId="77777777" w:rsidR="003E7D04" w:rsidRPr="001E247B" w:rsidRDefault="00B178A2" w:rsidP="003E7D04">
      <w:pPr>
        <w:pStyle w:val="ListParagraph"/>
        <w:numPr>
          <w:ilvl w:val="0"/>
          <w:numId w:val="5"/>
        </w:numPr>
        <w:spacing w:line="360" w:lineRule="auto"/>
        <w:jc w:val="both"/>
      </w:pPr>
      <w:r w:rsidRPr="001E247B">
        <w:t xml:space="preserve">Ensuring </w:t>
      </w:r>
      <w:r w:rsidR="003E7D04" w:rsidRPr="001E247B">
        <w:t xml:space="preserve">that there is enough time to develop credible business plans, a project planning cycle to commence in April and be completed in August every year. This will ensure that planning for the 2019/20 financial year is commenced now. </w:t>
      </w:r>
    </w:p>
    <w:p w14:paraId="08F4223A" w14:textId="77777777" w:rsidR="0087379C" w:rsidRPr="001E247B" w:rsidRDefault="0087379C" w:rsidP="00D5240A">
      <w:pPr>
        <w:spacing w:line="360" w:lineRule="auto"/>
        <w:jc w:val="both"/>
      </w:pPr>
      <w:r w:rsidRPr="001E247B">
        <w:t xml:space="preserve"> </w:t>
      </w:r>
    </w:p>
    <w:p w14:paraId="18D1D39B" w14:textId="77777777" w:rsidR="0087379C" w:rsidRPr="001E247B" w:rsidRDefault="008160E8" w:rsidP="00D5240A">
      <w:pPr>
        <w:spacing w:line="360" w:lineRule="auto"/>
        <w:jc w:val="both"/>
        <w:rPr>
          <w:b/>
        </w:rPr>
      </w:pPr>
      <w:r w:rsidRPr="001E247B">
        <w:rPr>
          <w:b/>
        </w:rPr>
        <w:t>6. Submission by the Gauteng Department of Human Settlements</w:t>
      </w:r>
    </w:p>
    <w:p w14:paraId="44AF8E31" w14:textId="77777777" w:rsidR="00FA2F0E" w:rsidRPr="001E247B" w:rsidRDefault="008F346E" w:rsidP="00D5240A">
      <w:pPr>
        <w:spacing w:line="360" w:lineRule="auto"/>
        <w:jc w:val="both"/>
      </w:pPr>
      <w:r w:rsidRPr="001E247B">
        <w:t>Regarding the financial performance, t</w:t>
      </w:r>
      <w:r w:rsidR="00AB29C3" w:rsidRPr="001E247B">
        <w:t>he Gauteng Department of Human Settlements (GDHS) reported that R5</w:t>
      </w:r>
      <w:r w:rsidR="00E73001" w:rsidRPr="001E247B">
        <w:t>.</w:t>
      </w:r>
      <w:r w:rsidR="00AB29C3" w:rsidRPr="001E247B">
        <w:t xml:space="preserve">5 billion </w:t>
      </w:r>
      <w:r w:rsidR="009E2E69" w:rsidRPr="001E247B">
        <w:t>had been</w:t>
      </w:r>
      <w:r w:rsidR="00AB29C3" w:rsidRPr="001E247B">
        <w:t xml:space="preserve"> allocated for the H</w:t>
      </w:r>
      <w:r w:rsidR="009E2E69" w:rsidRPr="001E247B">
        <w:t>SDG</w:t>
      </w:r>
      <w:r w:rsidR="00AB29C3" w:rsidRPr="001E247B">
        <w:t xml:space="preserve"> </w:t>
      </w:r>
      <w:r w:rsidR="009E2E69" w:rsidRPr="001E247B">
        <w:t xml:space="preserve">in the 2017/18 financial year </w:t>
      </w:r>
      <w:r w:rsidR="00AB29C3" w:rsidRPr="001E247B">
        <w:t xml:space="preserve">and </w:t>
      </w:r>
      <w:r w:rsidR="00E73001" w:rsidRPr="001E247B">
        <w:t xml:space="preserve">from that amount, </w:t>
      </w:r>
      <w:r w:rsidR="00AB29C3" w:rsidRPr="001E247B">
        <w:t>R150 million</w:t>
      </w:r>
      <w:r w:rsidR="00E73001" w:rsidRPr="001E247B">
        <w:t xml:space="preserve"> was taken away</w:t>
      </w:r>
      <w:r w:rsidR="00075501" w:rsidRPr="001E247B">
        <w:t xml:space="preserve"> due to under-expenditure</w:t>
      </w:r>
      <w:r w:rsidR="00AB29C3" w:rsidRPr="001E247B">
        <w:t xml:space="preserve">. For the period under review, the GDHS reported that a roll-over of R44 million was </w:t>
      </w:r>
      <w:r w:rsidRPr="001E247B">
        <w:t>approved</w:t>
      </w:r>
      <w:r w:rsidR="00E73001" w:rsidRPr="001E247B">
        <w:t xml:space="preserve"> by the National Treasury</w:t>
      </w:r>
      <w:r w:rsidRPr="001E247B">
        <w:t xml:space="preserve">. The overall expenditure for the </w:t>
      </w:r>
      <w:r w:rsidR="00E73001" w:rsidRPr="001E247B">
        <w:t xml:space="preserve">2017/18 </w:t>
      </w:r>
      <w:r w:rsidRPr="001E247B">
        <w:t>financial year was R5</w:t>
      </w:r>
      <w:r w:rsidR="00E73001" w:rsidRPr="001E247B">
        <w:t>.</w:t>
      </w:r>
      <w:r w:rsidRPr="001E247B">
        <w:t>3 billion</w:t>
      </w:r>
      <w:r w:rsidR="00E73001" w:rsidRPr="001E247B">
        <w:t xml:space="preserve"> (</w:t>
      </w:r>
      <w:r w:rsidRPr="001E247B">
        <w:t>98</w:t>
      </w:r>
      <w:r w:rsidR="00E73001" w:rsidRPr="001E247B">
        <w:t xml:space="preserve"> percent)</w:t>
      </w:r>
      <w:r w:rsidRPr="001E247B">
        <w:t xml:space="preserve">, with a variance of R119 million. </w:t>
      </w:r>
    </w:p>
    <w:p w14:paraId="1DEEC013" w14:textId="77777777" w:rsidR="00FA2F0E" w:rsidRPr="001E247B" w:rsidRDefault="00FA2F0E" w:rsidP="00D5240A">
      <w:pPr>
        <w:spacing w:line="360" w:lineRule="auto"/>
        <w:jc w:val="both"/>
      </w:pPr>
    </w:p>
    <w:p w14:paraId="6B4B5D4F" w14:textId="77777777" w:rsidR="008F346E" w:rsidRPr="001E247B" w:rsidRDefault="00226427" w:rsidP="00D5240A">
      <w:pPr>
        <w:spacing w:line="360" w:lineRule="auto"/>
        <w:jc w:val="both"/>
      </w:pPr>
      <w:r w:rsidRPr="001E247B">
        <w:t xml:space="preserve">The GDHS further reported that </w:t>
      </w:r>
      <w:r w:rsidR="00EB1BB5" w:rsidRPr="001E247B">
        <w:t>R1</w:t>
      </w:r>
      <w:r w:rsidR="00E73001" w:rsidRPr="001E247B">
        <w:t>.</w:t>
      </w:r>
      <w:r w:rsidR="00EB1BB5" w:rsidRPr="001E247B">
        <w:t xml:space="preserve">9 billion was transferred to </w:t>
      </w:r>
      <w:r w:rsidR="00FA2F0E" w:rsidRPr="001E247B">
        <w:t xml:space="preserve">implementing agents. The </w:t>
      </w:r>
      <w:r w:rsidR="003533F7" w:rsidRPr="001E247B">
        <w:t xml:space="preserve">implementing agents that received </w:t>
      </w:r>
      <w:r w:rsidR="00FA2F0E" w:rsidRPr="001E247B">
        <w:t>transfer</w:t>
      </w:r>
      <w:r w:rsidR="003533F7" w:rsidRPr="001E247B">
        <w:t xml:space="preserve">s are </w:t>
      </w:r>
      <w:r w:rsidR="00EB1BB5" w:rsidRPr="001E247B">
        <w:t xml:space="preserve">Gauteng Partnership Fund (R296.6 million), the HDA (R858.4 million) and Gauteng municipalities (R843.6 million). </w:t>
      </w:r>
      <w:r w:rsidR="003533F7" w:rsidRPr="001E247B">
        <w:t xml:space="preserve">Of </w:t>
      </w:r>
      <w:r w:rsidR="00EB1BB5" w:rsidRPr="001E247B">
        <w:t>the transferred funds, only R570 million was spent and R1</w:t>
      </w:r>
      <w:r w:rsidR="003533F7" w:rsidRPr="001E247B">
        <w:t>.</w:t>
      </w:r>
      <w:r w:rsidR="00EB1BB5" w:rsidRPr="001E247B">
        <w:t xml:space="preserve">4 billion had not been spent as at the end of the </w:t>
      </w:r>
      <w:r w:rsidR="00FA2F0E" w:rsidRPr="001E247B">
        <w:t xml:space="preserve">2017/18 </w:t>
      </w:r>
      <w:r w:rsidR="00EB1BB5" w:rsidRPr="001E247B">
        <w:t xml:space="preserve">financial year. </w:t>
      </w:r>
      <w:r w:rsidR="00F11518" w:rsidRPr="001E247B">
        <w:t>The breakdown of transfers to</w:t>
      </w:r>
      <w:r w:rsidR="00EB1BB5" w:rsidRPr="001E247B">
        <w:t xml:space="preserve"> Gauteng </w:t>
      </w:r>
      <w:r w:rsidR="00F11518" w:rsidRPr="001E247B">
        <w:t xml:space="preserve">municipalities </w:t>
      </w:r>
      <w:r w:rsidR="003533F7" w:rsidRPr="001E247B">
        <w:t>is i</w:t>
      </w:r>
      <w:r w:rsidR="00EB1BB5" w:rsidRPr="001E247B">
        <w:t xml:space="preserve">ndicated </w:t>
      </w:r>
      <w:r w:rsidR="00F11518" w:rsidRPr="001E247B">
        <w:t xml:space="preserve">in the table 2 below. </w:t>
      </w:r>
    </w:p>
    <w:p w14:paraId="454799AF" w14:textId="77777777" w:rsidR="00F11518" w:rsidRPr="001E247B" w:rsidRDefault="00F11518" w:rsidP="00D5240A">
      <w:pPr>
        <w:spacing w:line="360" w:lineRule="auto"/>
        <w:jc w:val="both"/>
      </w:pPr>
    </w:p>
    <w:p w14:paraId="66DF9D52" w14:textId="77777777" w:rsidR="008946AB" w:rsidRPr="001E247B" w:rsidRDefault="008946AB" w:rsidP="00D5240A">
      <w:pPr>
        <w:spacing w:line="360" w:lineRule="auto"/>
        <w:jc w:val="both"/>
      </w:pPr>
    </w:p>
    <w:p w14:paraId="2BA34F52" w14:textId="77777777" w:rsidR="008946AB" w:rsidRPr="001E247B" w:rsidRDefault="008946AB" w:rsidP="00D5240A">
      <w:pPr>
        <w:spacing w:line="360" w:lineRule="auto"/>
        <w:jc w:val="both"/>
      </w:pPr>
    </w:p>
    <w:p w14:paraId="3326D249" w14:textId="77777777" w:rsidR="008946AB" w:rsidRPr="001E247B" w:rsidRDefault="008946AB" w:rsidP="00D5240A">
      <w:pPr>
        <w:spacing w:line="360" w:lineRule="auto"/>
        <w:jc w:val="both"/>
      </w:pPr>
    </w:p>
    <w:p w14:paraId="735DF7A9" w14:textId="77777777" w:rsidR="00802F9C" w:rsidRDefault="00802F9C">
      <w:pPr>
        <w:spacing w:after="160" w:line="259" w:lineRule="auto"/>
        <w:rPr>
          <w:b/>
        </w:rPr>
      </w:pPr>
      <w:r>
        <w:rPr>
          <w:b/>
        </w:rPr>
        <w:br w:type="page"/>
      </w:r>
    </w:p>
    <w:p w14:paraId="76F2F09F" w14:textId="77777777" w:rsidR="00EB1BB5" w:rsidRPr="001E247B" w:rsidRDefault="00EB1BB5" w:rsidP="00D5240A">
      <w:pPr>
        <w:spacing w:line="360" w:lineRule="auto"/>
        <w:jc w:val="both"/>
        <w:rPr>
          <w:b/>
        </w:rPr>
      </w:pPr>
      <w:r w:rsidRPr="001E247B">
        <w:rPr>
          <w:b/>
        </w:rPr>
        <w:lastRenderedPageBreak/>
        <w:t>Table 2: Human Settlements Development Grant transfers to Gauteng Municipalities</w:t>
      </w:r>
    </w:p>
    <w:tbl>
      <w:tblPr>
        <w:tblStyle w:val="TableGrid"/>
        <w:tblW w:w="0" w:type="auto"/>
        <w:tblLook w:val="04A0" w:firstRow="1" w:lastRow="0" w:firstColumn="1" w:lastColumn="0" w:noHBand="0" w:noVBand="1"/>
      </w:tblPr>
      <w:tblGrid>
        <w:gridCol w:w="1611"/>
        <w:gridCol w:w="1786"/>
        <w:gridCol w:w="1843"/>
        <w:gridCol w:w="1701"/>
        <w:gridCol w:w="1843"/>
      </w:tblGrid>
      <w:tr w:rsidR="00F11518" w:rsidRPr="001E247B" w14:paraId="5705D109" w14:textId="77777777" w:rsidTr="0013715D">
        <w:tc>
          <w:tcPr>
            <w:tcW w:w="1611" w:type="dxa"/>
          </w:tcPr>
          <w:p w14:paraId="6106090F" w14:textId="77777777" w:rsidR="00F11518" w:rsidRPr="001E247B" w:rsidRDefault="00F11518" w:rsidP="00D5240A">
            <w:pPr>
              <w:spacing w:line="360" w:lineRule="auto"/>
              <w:jc w:val="both"/>
              <w:rPr>
                <w:b/>
              </w:rPr>
            </w:pPr>
            <w:r w:rsidRPr="001E247B">
              <w:rPr>
                <w:b/>
              </w:rPr>
              <w:t>Municipality</w:t>
            </w:r>
          </w:p>
        </w:tc>
        <w:tc>
          <w:tcPr>
            <w:tcW w:w="1786" w:type="dxa"/>
          </w:tcPr>
          <w:p w14:paraId="3F9663AF" w14:textId="77777777" w:rsidR="00F11518" w:rsidRPr="001E247B" w:rsidRDefault="00F11518" w:rsidP="00D5240A">
            <w:pPr>
              <w:spacing w:line="360" w:lineRule="auto"/>
              <w:jc w:val="both"/>
              <w:rPr>
                <w:b/>
              </w:rPr>
            </w:pPr>
            <w:r w:rsidRPr="001E247B">
              <w:rPr>
                <w:b/>
              </w:rPr>
              <w:t>Gazetted funds</w:t>
            </w:r>
          </w:p>
          <w:p w14:paraId="077B053F" w14:textId="77777777" w:rsidR="00F11518" w:rsidRPr="001E247B" w:rsidRDefault="00F11518" w:rsidP="00D5240A">
            <w:pPr>
              <w:spacing w:line="360" w:lineRule="auto"/>
              <w:jc w:val="both"/>
              <w:rPr>
                <w:b/>
              </w:rPr>
            </w:pPr>
            <w:r w:rsidRPr="001E247B">
              <w:rPr>
                <w:b/>
              </w:rPr>
              <w:t>R’000</w:t>
            </w:r>
          </w:p>
        </w:tc>
        <w:tc>
          <w:tcPr>
            <w:tcW w:w="1843" w:type="dxa"/>
          </w:tcPr>
          <w:p w14:paraId="1584FF1B" w14:textId="77777777" w:rsidR="00F11518" w:rsidRPr="001E247B" w:rsidRDefault="00F11518" w:rsidP="00D5240A">
            <w:pPr>
              <w:spacing w:line="360" w:lineRule="auto"/>
              <w:jc w:val="both"/>
              <w:rPr>
                <w:b/>
              </w:rPr>
            </w:pPr>
            <w:r w:rsidRPr="001E247B">
              <w:rPr>
                <w:b/>
              </w:rPr>
              <w:t>Amount transferred</w:t>
            </w:r>
          </w:p>
          <w:p w14:paraId="2A3B71A5" w14:textId="77777777" w:rsidR="00F11518" w:rsidRPr="001E247B" w:rsidRDefault="00F11518" w:rsidP="00D5240A">
            <w:pPr>
              <w:spacing w:line="360" w:lineRule="auto"/>
              <w:jc w:val="both"/>
              <w:rPr>
                <w:b/>
              </w:rPr>
            </w:pPr>
            <w:r w:rsidRPr="001E247B">
              <w:rPr>
                <w:b/>
              </w:rPr>
              <w:t>R’000</w:t>
            </w:r>
          </w:p>
        </w:tc>
        <w:tc>
          <w:tcPr>
            <w:tcW w:w="1701" w:type="dxa"/>
          </w:tcPr>
          <w:p w14:paraId="4583A1AE" w14:textId="77777777" w:rsidR="00F11518" w:rsidRPr="001E247B" w:rsidRDefault="00F11518" w:rsidP="00D5240A">
            <w:pPr>
              <w:spacing w:line="360" w:lineRule="auto"/>
              <w:jc w:val="both"/>
              <w:rPr>
                <w:b/>
              </w:rPr>
            </w:pPr>
            <w:r w:rsidRPr="001E247B">
              <w:rPr>
                <w:b/>
              </w:rPr>
              <w:t>Expenditure</w:t>
            </w:r>
          </w:p>
          <w:p w14:paraId="65DE68C6" w14:textId="77777777" w:rsidR="00F11518" w:rsidRPr="001E247B" w:rsidRDefault="00F11518" w:rsidP="00D5240A">
            <w:pPr>
              <w:spacing w:line="360" w:lineRule="auto"/>
              <w:jc w:val="both"/>
              <w:rPr>
                <w:b/>
              </w:rPr>
            </w:pPr>
          </w:p>
          <w:p w14:paraId="20666898" w14:textId="77777777" w:rsidR="00F11518" w:rsidRPr="001E247B" w:rsidRDefault="00F11518" w:rsidP="00D5240A">
            <w:pPr>
              <w:spacing w:line="360" w:lineRule="auto"/>
              <w:jc w:val="both"/>
              <w:rPr>
                <w:b/>
              </w:rPr>
            </w:pPr>
            <w:r w:rsidRPr="001E247B">
              <w:rPr>
                <w:b/>
              </w:rPr>
              <w:t xml:space="preserve"> R’000</w:t>
            </w:r>
          </w:p>
        </w:tc>
        <w:tc>
          <w:tcPr>
            <w:tcW w:w="1843" w:type="dxa"/>
          </w:tcPr>
          <w:p w14:paraId="13C761F1" w14:textId="77777777" w:rsidR="00F11518" w:rsidRPr="001E247B" w:rsidRDefault="00F11518" w:rsidP="00D5240A">
            <w:pPr>
              <w:spacing w:line="360" w:lineRule="auto"/>
              <w:jc w:val="both"/>
              <w:rPr>
                <w:b/>
              </w:rPr>
            </w:pPr>
            <w:r w:rsidRPr="001E247B">
              <w:rPr>
                <w:b/>
              </w:rPr>
              <w:t>Unspent funds</w:t>
            </w:r>
          </w:p>
          <w:p w14:paraId="63052268" w14:textId="77777777" w:rsidR="00F11518" w:rsidRPr="001E247B" w:rsidRDefault="00F11518" w:rsidP="00D5240A">
            <w:pPr>
              <w:spacing w:line="360" w:lineRule="auto"/>
              <w:jc w:val="both"/>
              <w:rPr>
                <w:b/>
              </w:rPr>
            </w:pPr>
            <w:r w:rsidRPr="001E247B">
              <w:rPr>
                <w:b/>
              </w:rPr>
              <w:t>R’000</w:t>
            </w:r>
          </w:p>
        </w:tc>
      </w:tr>
      <w:tr w:rsidR="00F11518" w:rsidRPr="001E247B" w14:paraId="6BDBF7E1" w14:textId="77777777" w:rsidTr="0013715D">
        <w:tc>
          <w:tcPr>
            <w:tcW w:w="1611" w:type="dxa"/>
          </w:tcPr>
          <w:p w14:paraId="15313DA2" w14:textId="77777777" w:rsidR="00F11518" w:rsidRPr="001E247B" w:rsidRDefault="00F11518" w:rsidP="00D5240A">
            <w:pPr>
              <w:spacing w:line="360" w:lineRule="auto"/>
              <w:jc w:val="both"/>
            </w:pPr>
            <w:r w:rsidRPr="001E247B">
              <w:t xml:space="preserve">City of Johannesburg Metropolitan </w:t>
            </w:r>
          </w:p>
        </w:tc>
        <w:tc>
          <w:tcPr>
            <w:tcW w:w="1786" w:type="dxa"/>
          </w:tcPr>
          <w:p w14:paraId="1D1630E4" w14:textId="77777777" w:rsidR="00F11518" w:rsidRPr="001E247B" w:rsidRDefault="00F11518" w:rsidP="002329EB">
            <w:pPr>
              <w:spacing w:line="360" w:lineRule="auto"/>
              <w:jc w:val="right"/>
            </w:pPr>
            <w:r w:rsidRPr="001E247B">
              <w:t>292 415</w:t>
            </w:r>
          </w:p>
        </w:tc>
        <w:tc>
          <w:tcPr>
            <w:tcW w:w="1843" w:type="dxa"/>
          </w:tcPr>
          <w:p w14:paraId="775E67C7" w14:textId="77777777" w:rsidR="00F11518" w:rsidRPr="001E247B" w:rsidRDefault="002329EB" w:rsidP="002329EB">
            <w:pPr>
              <w:spacing w:line="360" w:lineRule="auto"/>
              <w:jc w:val="right"/>
            </w:pPr>
            <w:r w:rsidRPr="001E247B">
              <w:t>292 315</w:t>
            </w:r>
          </w:p>
        </w:tc>
        <w:tc>
          <w:tcPr>
            <w:tcW w:w="1701" w:type="dxa"/>
          </w:tcPr>
          <w:p w14:paraId="7BC02C09" w14:textId="77777777" w:rsidR="00F11518" w:rsidRPr="001E247B" w:rsidRDefault="002329EB" w:rsidP="002329EB">
            <w:pPr>
              <w:spacing w:line="360" w:lineRule="auto"/>
              <w:jc w:val="right"/>
            </w:pPr>
            <w:r w:rsidRPr="001E247B">
              <w:t>144 956</w:t>
            </w:r>
          </w:p>
        </w:tc>
        <w:tc>
          <w:tcPr>
            <w:tcW w:w="1843" w:type="dxa"/>
          </w:tcPr>
          <w:p w14:paraId="16664118" w14:textId="77777777" w:rsidR="00F11518" w:rsidRPr="001E247B" w:rsidRDefault="002329EB" w:rsidP="002329EB">
            <w:pPr>
              <w:spacing w:line="360" w:lineRule="auto"/>
              <w:jc w:val="right"/>
            </w:pPr>
            <w:r w:rsidRPr="001E247B">
              <w:t>147 359</w:t>
            </w:r>
          </w:p>
        </w:tc>
      </w:tr>
      <w:tr w:rsidR="00F11518" w:rsidRPr="001E247B" w14:paraId="2D308B58" w14:textId="77777777" w:rsidTr="0013715D">
        <w:tc>
          <w:tcPr>
            <w:tcW w:w="1611" w:type="dxa"/>
          </w:tcPr>
          <w:p w14:paraId="70C15B7C" w14:textId="77777777" w:rsidR="00F11518" w:rsidRPr="001E247B" w:rsidRDefault="00F11518" w:rsidP="00D5240A">
            <w:pPr>
              <w:spacing w:line="360" w:lineRule="auto"/>
              <w:jc w:val="both"/>
            </w:pPr>
            <w:r w:rsidRPr="001E247B">
              <w:t>City of Tshwane Metropolitan</w:t>
            </w:r>
          </w:p>
        </w:tc>
        <w:tc>
          <w:tcPr>
            <w:tcW w:w="1786" w:type="dxa"/>
          </w:tcPr>
          <w:p w14:paraId="44DFA1DA" w14:textId="77777777" w:rsidR="00F11518" w:rsidRPr="001E247B" w:rsidRDefault="00F11518" w:rsidP="002329EB">
            <w:pPr>
              <w:spacing w:line="360" w:lineRule="auto"/>
              <w:jc w:val="right"/>
            </w:pPr>
            <w:r w:rsidRPr="001E247B">
              <w:t>185 741</w:t>
            </w:r>
          </w:p>
        </w:tc>
        <w:tc>
          <w:tcPr>
            <w:tcW w:w="1843" w:type="dxa"/>
          </w:tcPr>
          <w:p w14:paraId="52510122" w14:textId="77777777" w:rsidR="00F11518" w:rsidRPr="001E247B" w:rsidRDefault="002329EB" w:rsidP="002329EB">
            <w:pPr>
              <w:spacing w:line="360" w:lineRule="auto"/>
              <w:jc w:val="right"/>
            </w:pPr>
            <w:r w:rsidRPr="001E247B">
              <w:t>1184 102</w:t>
            </w:r>
          </w:p>
        </w:tc>
        <w:tc>
          <w:tcPr>
            <w:tcW w:w="1701" w:type="dxa"/>
          </w:tcPr>
          <w:p w14:paraId="08A5667F" w14:textId="77777777" w:rsidR="00F11518" w:rsidRPr="001E247B" w:rsidRDefault="002329EB" w:rsidP="002329EB">
            <w:pPr>
              <w:spacing w:line="360" w:lineRule="auto"/>
              <w:jc w:val="right"/>
            </w:pPr>
            <w:r w:rsidRPr="001E247B">
              <w:t>72 574</w:t>
            </w:r>
          </w:p>
        </w:tc>
        <w:tc>
          <w:tcPr>
            <w:tcW w:w="1843" w:type="dxa"/>
          </w:tcPr>
          <w:p w14:paraId="4C59D440" w14:textId="77777777" w:rsidR="00F11518" w:rsidRPr="001E247B" w:rsidRDefault="002329EB" w:rsidP="002329EB">
            <w:pPr>
              <w:spacing w:line="360" w:lineRule="auto"/>
              <w:jc w:val="right"/>
            </w:pPr>
            <w:r w:rsidRPr="001E247B">
              <w:t>111 528</w:t>
            </w:r>
          </w:p>
        </w:tc>
      </w:tr>
      <w:tr w:rsidR="00F11518" w:rsidRPr="001E247B" w14:paraId="68B7155D" w14:textId="77777777" w:rsidTr="0013715D">
        <w:tc>
          <w:tcPr>
            <w:tcW w:w="1611" w:type="dxa"/>
          </w:tcPr>
          <w:p w14:paraId="3A5E7E9E" w14:textId="77777777" w:rsidR="00F11518" w:rsidRPr="001E247B" w:rsidRDefault="00F11518" w:rsidP="00D5240A">
            <w:pPr>
              <w:spacing w:line="360" w:lineRule="auto"/>
              <w:jc w:val="both"/>
            </w:pPr>
            <w:r w:rsidRPr="001E247B">
              <w:t>City of Ekurhuleni Metropolitan</w:t>
            </w:r>
          </w:p>
        </w:tc>
        <w:tc>
          <w:tcPr>
            <w:tcW w:w="1786" w:type="dxa"/>
          </w:tcPr>
          <w:p w14:paraId="562C5075" w14:textId="77777777" w:rsidR="00F11518" w:rsidRPr="001E247B" w:rsidRDefault="00F11518" w:rsidP="002329EB">
            <w:pPr>
              <w:spacing w:line="360" w:lineRule="auto"/>
              <w:jc w:val="right"/>
            </w:pPr>
            <w:r w:rsidRPr="001E247B">
              <w:t>51 203</w:t>
            </w:r>
          </w:p>
        </w:tc>
        <w:tc>
          <w:tcPr>
            <w:tcW w:w="1843" w:type="dxa"/>
          </w:tcPr>
          <w:p w14:paraId="7D178945" w14:textId="77777777" w:rsidR="00F11518" w:rsidRPr="001E247B" w:rsidRDefault="002329EB" w:rsidP="002329EB">
            <w:pPr>
              <w:spacing w:line="360" w:lineRule="auto"/>
              <w:jc w:val="right"/>
            </w:pPr>
            <w:r w:rsidRPr="001E247B">
              <w:t>51 203</w:t>
            </w:r>
          </w:p>
        </w:tc>
        <w:tc>
          <w:tcPr>
            <w:tcW w:w="1701" w:type="dxa"/>
          </w:tcPr>
          <w:p w14:paraId="0AFA0412" w14:textId="77777777" w:rsidR="00F11518" w:rsidRPr="001E247B" w:rsidRDefault="002329EB" w:rsidP="002329EB">
            <w:pPr>
              <w:spacing w:line="360" w:lineRule="auto"/>
              <w:jc w:val="right"/>
            </w:pPr>
            <w:r w:rsidRPr="001E247B">
              <w:t>9 460</w:t>
            </w:r>
          </w:p>
        </w:tc>
        <w:tc>
          <w:tcPr>
            <w:tcW w:w="1843" w:type="dxa"/>
          </w:tcPr>
          <w:p w14:paraId="347ADE83" w14:textId="77777777" w:rsidR="00F11518" w:rsidRPr="001E247B" w:rsidRDefault="002329EB" w:rsidP="002329EB">
            <w:pPr>
              <w:spacing w:line="360" w:lineRule="auto"/>
              <w:jc w:val="right"/>
            </w:pPr>
            <w:r w:rsidRPr="001E247B">
              <w:t>41 743</w:t>
            </w:r>
          </w:p>
        </w:tc>
      </w:tr>
      <w:tr w:rsidR="00F11518" w:rsidRPr="001E247B" w14:paraId="3D3E3D03" w14:textId="77777777" w:rsidTr="0013715D">
        <w:tc>
          <w:tcPr>
            <w:tcW w:w="1611" w:type="dxa"/>
          </w:tcPr>
          <w:p w14:paraId="52BB7F74" w14:textId="77777777" w:rsidR="00F11518" w:rsidRPr="001E247B" w:rsidRDefault="00F11518" w:rsidP="00D5240A">
            <w:pPr>
              <w:spacing w:line="360" w:lineRule="auto"/>
              <w:jc w:val="both"/>
            </w:pPr>
            <w:r w:rsidRPr="001E247B">
              <w:t>Mogale City</w:t>
            </w:r>
          </w:p>
        </w:tc>
        <w:tc>
          <w:tcPr>
            <w:tcW w:w="1786" w:type="dxa"/>
          </w:tcPr>
          <w:p w14:paraId="7E1569D7" w14:textId="77777777" w:rsidR="00F11518" w:rsidRPr="001E247B" w:rsidRDefault="00F11518" w:rsidP="002329EB">
            <w:pPr>
              <w:spacing w:line="360" w:lineRule="auto"/>
              <w:jc w:val="right"/>
            </w:pPr>
            <w:r w:rsidRPr="001E247B">
              <w:t>105 269</w:t>
            </w:r>
          </w:p>
        </w:tc>
        <w:tc>
          <w:tcPr>
            <w:tcW w:w="1843" w:type="dxa"/>
          </w:tcPr>
          <w:p w14:paraId="168A621B" w14:textId="77777777" w:rsidR="00F11518" w:rsidRPr="001E247B" w:rsidRDefault="002329EB" w:rsidP="002329EB">
            <w:pPr>
              <w:spacing w:line="360" w:lineRule="auto"/>
              <w:jc w:val="right"/>
            </w:pPr>
            <w:r w:rsidRPr="001E247B">
              <w:t>105 269</w:t>
            </w:r>
          </w:p>
        </w:tc>
        <w:tc>
          <w:tcPr>
            <w:tcW w:w="1701" w:type="dxa"/>
          </w:tcPr>
          <w:p w14:paraId="55E2692B" w14:textId="77777777" w:rsidR="00F11518" w:rsidRPr="001E247B" w:rsidRDefault="002329EB" w:rsidP="002329EB">
            <w:pPr>
              <w:spacing w:line="360" w:lineRule="auto"/>
              <w:jc w:val="right"/>
            </w:pPr>
            <w:r w:rsidRPr="001E247B">
              <w:t>8 068</w:t>
            </w:r>
          </w:p>
        </w:tc>
        <w:tc>
          <w:tcPr>
            <w:tcW w:w="1843" w:type="dxa"/>
          </w:tcPr>
          <w:p w14:paraId="69E97BC6" w14:textId="77777777" w:rsidR="00F11518" w:rsidRPr="001E247B" w:rsidRDefault="002329EB" w:rsidP="002329EB">
            <w:pPr>
              <w:spacing w:line="360" w:lineRule="auto"/>
              <w:jc w:val="right"/>
            </w:pPr>
            <w:r w:rsidRPr="001E247B">
              <w:t>97 201</w:t>
            </w:r>
          </w:p>
        </w:tc>
      </w:tr>
      <w:tr w:rsidR="00F11518" w:rsidRPr="001E247B" w14:paraId="5796A467" w14:textId="77777777" w:rsidTr="0013715D">
        <w:tc>
          <w:tcPr>
            <w:tcW w:w="1611" w:type="dxa"/>
          </w:tcPr>
          <w:p w14:paraId="17B76D04" w14:textId="77777777" w:rsidR="00F11518" w:rsidRPr="001E247B" w:rsidRDefault="00F11518" w:rsidP="00D5240A">
            <w:pPr>
              <w:spacing w:line="360" w:lineRule="auto"/>
              <w:jc w:val="both"/>
            </w:pPr>
            <w:r w:rsidRPr="001E247B">
              <w:t>Merafong City</w:t>
            </w:r>
          </w:p>
        </w:tc>
        <w:tc>
          <w:tcPr>
            <w:tcW w:w="1786" w:type="dxa"/>
          </w:tcPr>
          <w:p w14:paraId="72DDEC85" w14:textId="77777777" w:rsidR="00F11518" w:rsidRPr="001E247B" w:rsidRDefault="00F11518" w:rsidP="002329EB">
            <w:pPr>
              <w:spacing w:line="360" w:lineRule="auto"/>
              <w:jc w:val="right"/>
            </w:pPr>
            <w:r w:rsidRPr="001E247B">
              <w:t>139 702</w:t>
            </w:r>
          </w:p>
        </w:tc>
        <w:tc>
          <w:tcPr>
            <w:tcW w:w="1843" w:type="dxa"/>
          </w:tcPr>
          <w:p w14:paraId="46C7A1C1" w14:textId="77777777" w:rsidR="00F11518" w:rsidRPr="001E247B" w:rsidRDefault="00F11518" w:rsidP="002329EB">
            <w:pPr>
              <w:spacing w:line="360" w:lineRule="auto"/>
              <w:jc w:val="right"/>
            </w:pPr>
            <w:r w:rsidRPr="001E247B">
              <w:t>139 701</w:t>
            </w:r>
          </w:p>
        </w:tc>
        <w:tc>
          <w:tcPr>
            <w:tcW w:w="1701" w:type="dxa"/>
          </w:tcPr>
          <w:p w14:paraId="73953144" w14:textId="77777777" w:rsidR="00F11518" w:rsidRPr="001E247B" w:rsidRDefault="002329EB" w:rsidP="002329EB">
            <w:pPr>
              <w:spacing w:line="360" w:lineRule="auto"/>
              <w:jc w:val="right"/>
            </w:pPr>
            <w:r w:rsidRPr="001E247B">
              <w:t>39 715</w:t>
            </w:r>
          </w:p>
        </w:tc>
        <w:tc>
          <w:tcPr>
            <w:tcW w:w="1843" w:type="dxa"/>
          </w:tcPr>
          <w:p w14:paraId="3D8FFAD5" w14:textId="77777777" w:rsidR="00F11518" w:rsidRPr="001E247B" w:rsidRDefault="002329EB" w:rsidP="002329EB">
            <w:pPr>
              <w:spacing w:line="360" w:lineRule="auto"/>
              <w:jc w:val="right"/>
            </w:pPr>
            <w:r w:rsidRPr="001E247B">
              <w:t>99 986</w:t>
            </w:r>
          </w:p>
        </w:tc>
      </w:tr>
      <w:tr w:rsidR="00F11518" w:rsidRPr="001E247B" w14:paraId="62C167E6" w14:textId="77777777" w:rsidTr="0013715D">
        <w:tc>
          <w:tcPr>
            <w:tcW w:w="1611" w:type="dxa"/>
          </w:tcPr>
          <w:p w14:paraId="492DFA41" w14:textId="77777777" w:rsidR="00F11518" w:rsidRPr="001E247B" w:rsidRDefault="00F11518" w:rsidP="00D5240A">
            <w:pPr>
              <w:spacing w:line="360" w:lineRule="auto"/>
              <w:jc w:val="both"/>
            </w:pPr>
            <w:r w:rsidRPr="001E247B">
              <w:t>Rand West City</w:t>
            </w:r>
          </w:p>
        </w:tc>
        <w:tc>
          <w:tcPr>
            <w:tcW w:w="1786" w:type="dxa"/>
          </w:tcPr>
          <w:p w14:paraId="03E66C9A" w14:textId="77777777" w:rsidR="00F11518" w:rsidRPr="001E247B" w:rsidRDefault="00F11518" w:rsidP="002329EB">
            <w:pPr>
              <w:spacing w:line="360" w:lineRule="auto"/>
              <w:jc w:val="right"/>
            </w:pPr>
            <w:r w:rsidRPr="001E247B">
              <w:t>71 100</w:t>
            </w:r>
          </w:p>
        </w:tc>
        <w:tc>
          <w:tcPr>
            <w:tcW w:w="1843" w:type="dxa"/>
          </w:tcPr>
          <w:p w14:paraId="39E11362" w14:textId="77777777" w:rsidR="00F11518" w:rsidRPr="001E247B" w:rsidRDefault="00F11518" w:rsidP="002329EB">
            <w:pPr>
              <w:spacing w:line="360" w:lineRule="auto"/>
              <w:jc w:val="right"/>
            </w:pPr>
            <w:r w:rsidRPr="001E247B">
              <w:t>71 100</w:t>
            </w:r>
          </w:p>
        </w:tc>
        <w:tc>
          <w:tcPr>
            <w:tcW w:w="1701" w:type="dxa"/>
          </w:tcPr>
          <w:p w14:paraId="0AB15C5D" w14:textId="77777777" w:rsidR="00F11518" w:rsidRPr="001E247B" w:rsidRDefault="002329EB" w:rsidP="002329EB">
            <w:pPr>
              <w:spacing w:line="360" w:lineRule="auto"/>
              <w:jc w:val="right"/>
            </w:pPr>
            <w:r w:rsidRPr="001E247B">
              <w:t>36 633</w:t>
            </w:r>
          </w:p>
        </w:tc>
        <w:tc>
          <w:tcPr>
            <w:tcW w:w="1843" w:type="dxa"/>
          </w:tcPr>
          <w:p w14:paraId="51311362" w14:textId="77777777" w:rsidR="00F11518" w:rsidRPr="001E247B" w:rsidRDefault="002329EB" w:rsidP="002329EB">
            <w:pPr>
              <w:spacing w:line="360" w:lineRule="auto"/>
              <w:jc w:val="right"/>
            </w:pPr>
            <w:r w:rsidRPr="001E247B">
              <w:t>34 467</w:t>
            </w:r>
          </w:p>
        </w:tc>
      </w:tr>
      <w:tr w:rsidR="00F11518" w:rsidRPr="001E247B" w14:paraId="238A41AD" w14:textId="77777777" w:rsidTr="0013715D">
        <w:tc>
          <w:tcPr>
            <w:tcW w:w="1611" w:type="dxa"/>
          </w:tcPr>
          <w:p w14:paraId="30BBBF78" w14:textId="77777777" w:rsidR="00F11518" w:rsidRPr="001E247B" w:rsidRDefault="00F11518" w:rsidP="00D5240A">
            <w:pPr>
              <w:spacing w:line="360" w:lineRule="auto"/>
              <w:jc w:val="both"/>
              <w:rPr>
                <w:b/>
              </w:rPr>
            </w:pPr>
            <w:r w:rsidRPr="001E247B">
              <w:rPr>
                <w:b/>
              </w:rPr>
              <w:t>Total</w:t>
            </w:r>
          </w:p>
        </w:tc>
        <w:tc>
          <w:tcPr>
            <w:tcW w:w="1786" w:type="dxa"/>
          </w:tcPr>
          <w:p w14:paraId="2DAD1B10" w14:textId="77777777" w:rsidR="00F11518" w:rsidRPr="001E247B" w:rsidRDefault="002329EB" w:rsidP="002329EB">
            <w:pPr>
              <w:spacing w:line="360" w:lineRule="auto"/>
              <w:jc w:val="right"/>
              <w:rPr>
                <w:b/>
              </w:rPr>
            </w:pPr>
            <w:r w:rsidRPr="001E247B">
              <w:rPr>
                <w:b/>
              </w:rPr>
              <w:t>845 229</w:t>
            </w:r>
          </w:p>
        </w:tc>
        <w:tc>
          <w:tcPr>
            <w:tcW w:w="1843" w:type="dxa"/>
          </w:tcPr>
          <w:p w14:paraId="64F3FEB1" w14:textId="77777777" w:rsidR="00F11518" w:rsidRPr="001E247B" w:rsidRDefault="002329EB" w:rsidP="002329EB">
            <w:pPr>
              <w:spacing w:line="360" w:lineRule="auto"/>
              <w:jc w:val="right"/>
              <w:rPr>
                <w:b/>
              </w:rPr>
            </w:pPr>
            <w:r w:rsidRPr="001E247B">
              <w:rPr>
                <w:b/>
              </w:rPr>
              <w:t>843 690</w:t>
            </w:r>
          </w:p>
        </w:tc>
        <w:tc>
          <w:tcPr>
            <w:tcW w:w="1701" w:type="dxa"/>
          </w:tcPr>
          <w:p w14:paraId="7F7EA9E2" w14:textId="77777777" w:rsidR="00F11518" w:rsidRPr="001E247B" w:rsidRDefault="002329EB" w:rsidP="002329EB">
            <w:pPr>
              <w:spacing w:line="360" w:lineRule="auto"/>
              <w:jc w:val="right"/>
              <w:rPr>
                <w:b/>
              </w:rPr>
            </w:pPr>
            <w:r w:rsidRPr="001E247B">
              <w:rPr>
                <w:b/>
              </w:rPr>
              <w:t>311 406</w:t>
            </w:r>
          </w:p>
        </w:tc>
        <w:tc>
          <w:tcPr>
            <w:tcW w:w="1843" w:type="dxa"/>
          </w:tcPr>
          <w:p w14:paraId="39483E49" w14:textId="77777777" w:rsidR="00F11518" w:rsidRPr="001E247B" w:rsidRDefault="002329EB" w:rsidP="002329EB">
            <w:pPr>
              <w:spacing w:line="360" w:lineRule="auto"/>
              <w:jc w:val="right"/>
              <w:rPr>
                <w:b/>
              </w:rPr>
            </w:pPr>
            <w:r w:rsidRPr="001E247B">
              <w:rPr>
                <w:b/>
              </w:rPr>
              <w:t>532 284</w:t>
            </w:r>
          </w:p>
        </w:tc>
      </w:tr>
    </w:tbl>
    <w:p w14:paraId="0A064472" w14:textId="77777777" w:rsidR="00F11518" w:rsidRPr="001E247B" w:rsidRDefault="00F11518" w:rsidP="00D5240A">
      <w:pPr>
        <w:spacing w:line="360" w:lineRule="auto"/>
        <w:jc w:val="both"/>
      </w:pPr>
    </w:p>
    <w:p w14:paraId="2D7C7E8A" w14:textId="77777777" w:rsidR="002329EB" w:rsidRPr="001E247B" w:rsidRDefault="002329EB" w:rsidP="00D5240A">
      <w:pPr>
        <w:spacing w:line="360" w:lineRule="auto"/>
        <w:jc w:val="both"/>
      </w:pPr>
    </w:p>
    <w:p w14:paraId="1C0F45A8" w14:textId="77777777" w:rsidR="00FA2F0E" w:rsidRPr="001E247B" w:rsidRDefault="008F346E" w:rsidP="00D5240A">
      <w:pPr>
        <w:spacing w:line="360" w:lineRule="auto"/>
        <w:jc w:val="both"/>
      </w:pPr>
      <w:r w:rsidRPr="001E247B">
        <w:t xml:space="preserve">With respect to non-financial performance, the GDHS reported that </w:t>
      </w:r>
      <w:r w:rsidR="00AB29C3" w:rsidRPr="001E247B">
        <w:t>16 965 stands</w:t>
      </w:r>
      <w:r w:rsidR="003533F7" w:rsidRPr="001E247B">
        <w:t>/sites</w:t>
      </w:r>
      <w:r w:rsidR="00AB29C3" w:rsidRPr="001E247B">
        <w:t xml:space="preserve"> and 32 064 housing units were </w:t>
      </w:r>
      <w:r w:rsidR="00FA2F0E" w:rsidRPr="001E247B">
        <w:t xml:space="preserve">targeted to be delivered in </w:t>
      </w:r>
      <w:r w:rsidR="00AB29C3" w:rsidRPr="001E247B">
        <w:t>the 2017/18 financial year. Of th</w:t>
      </w:r>
      <w:r w:rsidR="003533F7" w:rsidRPr="001E247B">
        <w:t xml:space="preserve">ose </w:t>
      </w:r>
      <w:r w:rsidR="00AB29C3" w:rsidRPr="001E247B">
        <w:t>targets, the GDHS delivered 7 910 stands</w:t>
      </w:r>
      <w:r w:rsidR="003533F7" w:rsidRPr="001E247B">
        <w:t>/sites</w:t>
      </w:r>
      <w:r w:rsidR="00AB29C3" w:rsidRPr="001E247B">
        <w:t xml:space="preserve"> and 17 558 housing units, </w:t>
      </w:r>
      <w:r w:rsidR="00FA2F0E" w:rsidRPr="001E247B">
        <w:t xml:space="preserve">with a </w:t>
      </w:r>
      <w:r w:rsidR="00AB29C3" w:rsidRPr="001E247B">
        <w:t xml:space="preserve">variance </w:t>
      </w:r>
      <w:r w:rsidR="00FA2F0E" w:rsidRPr="001E247B">
        <w:t xml:space="preserve">of </w:t>
      </w:r>
      <w:r w:rsidR="00AB29C3" w:rsidRPr="001E247B">
        <w:t>9</w:t>
      </w:r>
      <w:r w:rsidR="008946AB" w:rsidRPr="001E247B">
        <w:t xml:space="preserve"> </w:t>
      </w:r>
      <w:r w:rsidR="00AB29C3" w:rsidRPr="001E247B">
        <w:t xml:space="preserve">055 stands and 14 506 housing units. </w:t>
      </w:r>
      <w:r w:rsidRPr="001E247B">
        <w:t xml:space="preserve">In total, the housing opportunities </w:t>
      </w:r>
      <w:r w:rsidR="003533F7" w:rsidRPr="001E247B">
        <w:t xml:space="preserve">delivered </w:t>
      </w:r>
      <w:r w:rsidRPr="001E247B">
        <w:t xml:space="preserve">during the 2017/18 financial year were 25 468. </w:t>
      </w:r>
      <w:r w:rsidR="00A15931" w:rsidRPr="001E247B">
        <w:t xml:space="preserve"> </w:t>
      </w:r>
    </w:p>
    <w:p w14:paraId="10F0097D" w14:textId="77777777" w:rsidR="00FA2F0E" w:rsidRPr="001E247B" w:rsidRDefault="00FA2F0E" w:rsidP="00D5240A">
      <w:pPr>
        <w:spacing w:line="360" w:lineRule="auto"/>
        <w:jc w:val="both"/>
      </w:pPr>
    </w:p>
    <w:p w14:paraId="63A8B083" w14:textId="77777777" w:rsidR="008F346E" w:rsidRPr="001E247B" w:rsidRDefault="00A15931" w:rsidP="00D5240A">
      <w:pPr>
        <w:spacing w:line="360" w:lineRule="auto"/>
        <w:jc w:val="both"/>
      </w:pPr>
      <w:r w:rsidRPr="001E247B">
        <w:t>With re</w:t>
      </w:r>
      <w:r w:rsidR="00FA2F0E" w:rsidRPr="001E247B">
        <w:t xml:space="preserve">gard </w:t>
      </w:r>
      <w:r w:rsidRPr="001E247B">
        <w:t xml:space="preserve">to </w:t>
      </w:r>
      <w:r w:rsidR="00FB6135" w:rsidRPr="001E247B">
        <w:t>title deeds</w:t>
      </w:r>
      <w:r w:rsidR="00FB6135" w:rsidRPr="001E247B" w:rsidDel="00FB6135">
        <w:t xml:space="preserve"> </w:t>
      </w:r>
      <w:r w:rsidRPr="001E247B">
        <w:t xml:space="preserve">delivery analysis, the GDHS reported that 55 552 </w:t>
      </w:r>
      <w:r w:rsidR="00FB6135" w:rsidRPr="001E247B">
        <w:t>title deeds</w:t>
      </w:r>
      <w:r w:rsidR="00FB6135" w:rsidRPr="001E247B" w:rsidDel="00FB6135">
        <w:t xml:space="preserve"> </w:t>
      </w:r>
      <w:r w:rsidRPr="001E247B">
        <w:t xml:space="preserve">were targeted to be delivered in the 2017/18 financial year and only 22 334 were </w:t>
      </w:r>
      <w:r w:rsidR="00FA2F0E" w:rsidRPr="001E247B">
        <w:t xml:space="preserve">processed and </w:t>
      </w:r>
      <w:r w:rsidRPr="001E247B">
        <w:t>delivered</w:t>
      </w:r>
      <w:r w:rsidR="00FA2F0E" w:rsidRPr="001E247B">
        <w:t xml:space="preserve"> to beneficiaries</w:t>
      </w:r>
      <w:r w:rsidRPr="001E247B">
        <w:t>. A</w:t>
      </w:r>
      <w:r w:rsidR="008946AB" w:rsidRPr="001E247B">
        <w:t>gainst</w:t>
      </w:r>
      <w:r w:rsidRPr="001E247B">
        <w:t xml:space="preserve"> the backdrop of 54 423 registered title deed</w:t>
      </w:r>
      <w:r w:rsidR="003533F7" w:rsidRPr="001E247B">
        <w:t>s</w:t>
      </w:r>
      <w:r w:rsidRPr="001E247B">
        <w:t xml:space="preserve"> since </w:t>
      </w:r>
      <w:r w:rsidR="008946AB" w:rsidRPr="001E247B">
        <w:t xml:space="preserve">the </w:t>
      </w:r>
      <w:r w:rsidRPr="001E247B">
        <w:t xml:space="preserve">2014/15 financial year, the GDHS reported that at the beginning of </w:t>
      </w:r>
      <w:r w:rsidR="009C2769" w:rsidRPr="001E247B">
        <w:t xml:space="preserve">the </w:t>
      </w:r>
      <w:r w:rsidRPr="001E247B">
        <w:t>2018/19 financial year there was a backlog of 244 779 title deeds. For the 2018/19 financial year</w:t>
      </w:r>
      <w:r w:rsidR="003533F7" w:rsidRPr="001E247B">
        <w:t>,</w:t>
      </w:r>
      <w:r w:rsidRPr="001E247B">
        <w:t xml:space="preserve"> the </w:t>
      </w:r>
      <w:r w:rsidR="003533F7" w:rsidRPr="001E247B">
        <w:t xml:space="preserve">GDHS reported that it targeted to deliver 31 164 </w:t>
      </w:r>
      <w:r w:rsidRPr="001E247B">
        <w:t xml:space="preserve">title deeds </w:t>
      </w:r>
      <w:r w:rsidR="00B638FF" w:rsidRPr="001E247B">
        <w:t xml:space="preserve">to </w:t>
      </w:r>
      <w:r w:rsidR="003533F7" w:rsidRPr="001E247B">
        <w:t xml:space="preserve">the beneficiaries. </w:t>
      </w:r>
      <w:r w:rsidRPr="001E247B">
        <w:t xml:space="preserve">   </w:t>
      </w:r>
    </w:p>
    <w:p w14:paraId="598882F5" w14:textId="77777777" w:rsidR="00E65D2A" w:rsidRPr="001E247B" w:rsidRDefault="00E65D2A" w:rsidP="00D5240A">
      <w:pPr>
        <w:spacing w:line="360" w:lineRule="auto"/>
        <w:jc w:val="both"/>
      </w:pPr>
      <w:r w:rsidRPr="001E247B">
        <w:lastRenderedPageBreak/>
        <w:t>With regard to the action plan to address the departmental challenges, the GDHS</w:t>
      </w:r>
      <w:r w:rsidR="00AB29C3" w:rsidRPr="001E247B">
        <w:t xml:space="preserve"> </w:t>
      </w:r>
      <w:r w:rsidRPr="001E247B">
        <w:t xml:space="preserve">reported that even though there </w:t>
      </w:r>
      <w:r w:rsidR="008946AB" w:rsidRPr="001E247B">
        <w:t>wa</w:t>
      </w:r>
      <w:r w:rsidRPr="001E247B">
        <w:t>s no progress thus far, actions to be taken to address planning for project implementation include</w:t>
      </w:r>
      <w:r w:rsidR="00685CE8" w:rsidRPr="001E247B">
        <w:t>d</w:t>
      </w:r>
      <w:r w:rsidRPr="001E247B">
        <w:t xml:space="preserve"> budget realignment to move funds </w:t>
      </w:r>
      <w:r w:rsidR="00685CE8" w:rsidRPr="001E247B">
        <w:t>from under</w:t>
      </w:r>
      <w:r w:rsidR="008946AB" w:rsidRPr="001E247B">
        <w:t>-</w:t>
      </w:r>
      <w:r w:rsidR="00685CE8" w:rsidRPr="001E247B">
        <w:t xml:space="preserve">performing </w:t>
      </w:r>
      <w:r w:rsidRPr="001E247B">
        <w:t>to performing projects</w:t>
      </w:r>
      <w:r w:rsidR="00685CE8" w:rsidRPr="001E247B">
        <w:t xml:space="preserve">. Secondly, the GDHS </w:t>
      </w:r>
      <w:r w:rsidR="003D39EA" w:rsidRPr="001E247B">
        <w:t>intended</w:t>
      </w:r>
      <w:r w:rsidR="00061009" w:rsidRPr="001E247B">
        <w:t xml:space="preserve"> to </w:t>
      </w:r>
      <w:r w:rsidRPr="001E247B">
        <w:t xml:space="preserve">review </w:t>
      </w:r>
      <w:r w:rsidR="00061009" w:rsidRPr="001E247B">
        <w:t xml:space="preserve">the </w:t>
      </w:r>
      <w:r w:rsidRPr="001E247B">
        <w:t xml:space="preserve">2017/18 </w:t>
      </w:r>
      <w:r w:rsidR="008946AB" w:rsidRPr="001E247B">
        <w:t xml:space="preserve">HSDG </w:t>
      </w:r>
      <w:r w:rsidRPr="001E247B">
        <w:t>Business Plan</w:t>
      </w:r>
      <w:r w:rsidR="00061009" w:rsidRPr="001E247B">
        <w:t xml:space="preserve">. Thirdly, the GDHS intended to </w:t>
      </w:r>
      <w:r w:rsidRPr="001E247B">
        <w:t>ensure better planning for the 2018/19</w:t>
      </w:r>
      <w:r w:rsidR="00061009" w:rsidRPr="001E247B">
        <w:t xml:space="preserve"> financial year. Fourthly, the GDHS intended to seek assistance </w:t>
      </w:r>
      <w:r w:rsidR="008946AB" w:rsidRPr="001E247B">
        <w:t>from the</w:t>
      </w:r>
      <w:r w:rsidR="00061009" w:rsidRPr="001E247B">
        <w:t xml:space="preserve"> </w:t>
      </w:r>
      <w:r w:rsidRPr="001E247B">
        <w:t xml:space="preserve">NHBRC </w:t>
      </w:r>
      <w:r w:rsidR="00061009" w:rsidRPr="001E247B">
        <w:t xml:space="preserve">on </w:t>
      </w:r>
      <w:r w:rsidRPr="001E247B">
        <w:t>project enrolment</w:t>
      </w:r>
      <w:r w:rsidR="00061009" w:rsidRPr="001E247B">
        <w:t xml:space="preserve">. Lastly, the GDHS planned to align </w:t>
      </w:r>
      <w:r w:rsidR="008946AB" w:rsidRPr="001E247B">
        <w:t xml:space="preserve">the </w:t>
      </w:r>
      <w:r w:rsidRPr="001E247B">
        <w:t xml:space="preserve">HSDG and </w:t>
      </w:r>
      <w:r w:rsidR="008946AB" w:rsidRPr="001E247B">
        <w:t xml:space="preserve">the </w:t>
      </w:r>
      <w:r w:rsidRPr="001E247B">
        <w:t>Urban Settlement</w:t>
      </w:r>
      <w:r w:rsidR="00C150B2" w:rsidRPr="001E247B">
        <w:t>s</w:t>
      </w:r>
      <w:r w:rsidRPr="001E247B">
        <w:t xml:space="preserve"> Development Grant and spatial integration programme</w:t>
      </w:r>
      <w:r w:rsidR="00061009" w:rsidRPr="001E247B">
        <w:t xml:space="preserve"> so as to achieve the grants</w:t>
      </w:r>
      <w:r w:rsidR="008946AB" w:rsidRPr="001E247B">
        <w:t>’</w:t>
      </w:r>
      <w:r w:rsidR="00061009" w:rsidRPr="001E247B">
        <w:t xml:space="preserve"> </w:t>
      </w:r>
      <w:r w:rsidRPr="001E247B">
        <w:t>transformation objectives.</w:t>
      </w:r>
    </w:p>
    <w:p w14:paraId="6514C406" w14:textId="77777777" w:rsidR="00E65D2A" w:rsidRPr="001E247B" w:rsidRDefault="00E65D2A" w:rsidP="00D5240A">
      <w:pPr>
        <w:spacing w:line="360" w:lineRule="auto"/>
        <w:jc w:val="both"/>
      </w:pPr>
    </w:p>
    <w:p w14:paraId="68B0FDE8" w14:textId="77777777" w:rsidR="008E60BB" w:rsidRPr="001E247B" w:rsidRDefault="00E65D2A" w:rsidP="00D5240A">
      <w:pPr>
        <w:spacing w:line="360" w:lineRule="auto"/>
        <w:jc w:val="both"/>
      </w:pPr>
      <w:r w:rsidRPr="001E247B">
        <w:t xml:space="preserve">On supply chain management challenges, </w:t>
      </w:r>
      <w:r w:rsidR="00216EA2" w:rsidRPr="001E247B">
        <w:t xml:space="preserve">the GDHS reported that all outstanding supply chain management bids </w:t>
      </w:r>
      <w:r w:rsidR="00364FCD" w:rsidRPr="001E247B">
        <w:t xml:space="preserve">are </w:t>
      </w:r>
      <w:r w:rsidR="00216EA2" w:rsidRPr="001E247B">
        <w:t xml:space="preserve">to be concluded </w:t>
      </w:r>
      <w:r w:rsidR="00364FCD" w:rsidRPr="001E247B">
        <w:t xml:space="preserve">on time, </w:t>
      </w:r>
      <w:r w:rsidR="00061009" w:rsidRPr="001E247B">
        <w:t xml:space="preserve">and </w:t>
      </w:r>
      <w:r w:rsidR="00216EA2" w:rsidRPr="001E247B">
        <w:t xml:space="preserve">contracts and service level agreements </w:t>
      </w:r>
      <w:r w:rsidR="00364FCD" w:rsidRPr="001E247B">
        <w:t xml:space="preserve">are to </w:t>
      </w:r>
      <w:r w:rsidR="00216EA2" w:rsidRPr="001E247B">
        <w:t>be prepared</w:t>
      </w:r>
      <w:r w:rsidR="009225D2" w:rsidRPr="001E247B">
        <w:t xml:space="preserve"> while awaiting the conclusion of the supply chain management</w:t>
      </w:r>
      <w:r w:rsidR="008946AB" w:rsidRPr="001E247B">
        <w:t xml:space="preserve"> process</w:t>
      </w:r>
      <w:r w:rsidR="009225D2" w:rsidRPr="001E247B">
        <w:t xml:space="preserve">. For the 2018/19 financial year projects, procurement would be concluded in the 2017/18 financial year. </w:t>
      </w:r>
      <w:r w:rsidR="008E60BB" w:rsidRPr="001E247B">
        <w:t xml:space="preserve">Moreover, </w:t>
      </w:r>
      <w:r w:rsidR="00061009" w:rsidRPr="001E247B">
        <w:t xml:space="preserve">the GDHS said </w:t>
      </w:r>
      <w:r w:rsidR="008E60BB" w:rsidRPr="001E247B">
        <w:t>all outstanding contracts would be concluded speedily, and they w</w:t>
      </w:r>
      <w:r w:rsidR="008946AB" w:rsidRPr="001E247B">
        <w:t>ould</w:t>
      </w:r>
      <w:r w:rsidR="008E60BB" w:rsidRPr="001E247B">
        <w:t xml:space="preserve"> be enforced. Contractors and consultants not adhering to their contracts would be identified and necessary action would be taken. </w:t>
      </w:r>
    </w:p>
    <w:p w14:paraId="6909A46A" w14:textId="77777777" w:rsidR="008E60BB" w:rsidRPr="001E247B" w:rsidRDefault="008E60BB" w:rsidP="00D5240A">
      <w:pPr>
        <w:spacing w:line="360" w:lineRule="auto"/>
        <w:jc w:val="both"/>
      </w:pPr>
    </w:p>
    <w:p w14:paraId="31F56F5E" w14:textId="77777777" w:rsidR="007B0657" w:rsidRPr="001E247B" w:rsidRDefault="008E60BB" w:rsidP="00D5240A">
      <w:pPr>
        <w:spacing w:line="360" w:lineRule="auto"/>
        <w:jc w:val="both"/>
      </w:pPr>
      <w:r w:rsidRPr="001E247B">
        <w:t xml:space="preserve">With regard to the payment of contractors, the GDHS </w:t>
      </w:r>
      <w:r w:rsidR="007B0657" w:rsidRPr="001E247B">
        <w:t xml:space="preserve">informed the </w:t>
      </w:r>
      <w:r w:rsidRPr="001E247B">
        <w:t>Committee that an internal report on the status of all outstanding invoices would be compiled</w:t>
      </w:r>
      <w:r w:rsidR="00E465CB" w:rsidRPr="001E247B">
        <w:t xml:space="preserve">. This report would help to identify challenges and causes of delays in payment of service providers. </w:t>
      </w:r>
      <w:r w:rsidR="008946AB" w:rsidRPr="001E247B">
        <w:t>Th</w:t>
      </w:r>
      <w:r w:rsidR="00E465CB" w:rsidRPr="001E247B">
        <w:t xml:space="preserve">e GDHS </w:t>
      </w:r>
      <w:r w:rsidR="008946AB" w:rsidRPr="001E247B">
        <w:t>further r</w:t>
      </w:r>
      <w:r w:rsidR="00E465CB" w:rsidRPr="001E247B">
        <w:t>eported that an invoice tracking system</w:t>
      </w:r>
      <w:r w:rsidR="008946AB" w:rsidRPr="001E247B">
        <w:t>,</w:t>
      </w:r>
      <w:r w:rsidR="00E465CB" w:rsidRPr="001E247B">
        <w:t xml:space="preserve"> encompassing the entire value chain from the contractors submitting the</w:t>
      </w:r>
      <w:r w:rsidR="003869DD" w:rsidRPr="001E247B">
        <w:t>ir</w:t>
      </w:r>
      <w:r w:rsidR="00E465CB" w:rsidRPr="001E247B">
        <w:t xml:space="preserve"> invoice</w:t>
      </w:r>
      <w:r w:rsidR="003869DD" w:rsidRPr="001E247B">
        <w:t>s</w:t>
      </w:r>
      <w:r w:rsidR="00E465CB" w:rsidRPr="001E247B">
        <w:t xml:space="preserve"> until payment</w:t>
      </w:r>
      <w:r w:rsidR="003869DD" w:rsidRPr="001E247B">
        <w:t xml:space="preserve">s are </w:t>
      </w:r>
      <w:r w:rsidR="00E465CB" w:rsidRPr="001E247B">
        <w:t>effected</w:t>
      </w:r>
      <w:r w:rsidR="008946AB" w:rsidRPr="001E247B">
        <w:t>,</w:t>
      </w:r>
      <w:r w:rsidR="00E465CB" w:rsidRPr="001E247B">
        <w:t xml:space="preserve"> would be implemented. This would ensure </w:t>
      </w:r>
      <w:r w:rsidR="007B0657" w:rsidRPr="001E247B">
        <w:t xml:space="preserve">that </w:t>
      </w:r>
      <w:r w:rsidR="00E465CB" w:rsidRPr="001E247B">
        <w:t>a 14</w:t>
      </w:r>
      <w:r w:rsidR="007B0657" w:rsidRPr="001E247B">
        <w:t>-</w:t>
      </w:r>
      <w:r w:rsidR="00E465CB" w:rsidRPr="001E247B">
        <w:t>day payment system</w:t>
      </w:r>
      <w:r w:rsidR="003869DD" w:rsidRPr="001E247B">
        <w:t>,</w:t>
      </w:r>
      <w:r w:rsidR="00E465CB" w:rsidRPr="001E247B">
        <w:t xml:space="preserve"> </w:t>
      </w:r>
      <w:r w:rsidR="007B0657" w:rsidRPr="001E247B">
        <w:t xml:space="preserve">from the day </w:t>
      </w:r>
      <w:r w:rsidR="00E465CB" w:rsidRPr="001E247B">
        <w:t>an invoice has been approved</w:t>
      </w:r>
      <w:r w:rsidR="003869DD" w:rsidRPr="001E247B">
        <w:t>, was in place</w:t>
      </w:r>
      <w:r w:rsidR="00E465CB" w:rsidRPr="001E247B">
        <w:t xml:space="preserve">. </w:t>
      </w:r>
    </w:p>
    <w:p w14:paraId="2FBE4277" w14:textId="77777777" w:rsidR="007B0657" w:rsidRPr="001E247B" w:rsidRDefault="007B0657" w:rsidP="00D5240A">
      <w:pPr>
        <w:spacing w:line="360" w:lineRule="auto"/>
        <w:jc w:val="both"/>
      </w:pPr>
    </w:p>
    <w:p w14:paraId="3108967D" w14:textId="77777777" w:rsidR="00CA57C9" w:rsidRPr="001E247B" w:rsidRDefault="00E465CB" w:rsidP="00D5240A">
      <w:pPr>
        <w:spacing w:line="360" w:lineRule="auto"/>
        <w:jc w:val="both"/>
      </w:pPr>
      <w:r w:rsidRPr="001E247B">
        <w:t xml:space="preserve">Due to the above indicated challenges and action plans, the GDHS would beef-up </w:t>
      </w:r>
      <w:r w:rsidR="00FB6135" w:rsidRPr="001E247B">
        <w:t>its</w:t>
      </w:r>
      <w:r w:rsidRPr="001E247B">
        <w:t xml:space="preserve"> in-house project management capacity. This action, according to the GDHS, would guarantee compilation of weekly performance reports per project and per contractor</w:t>
      </w:r>
      <w:r w:rsidR="003869DD" w:rsidRPr="001E247B">
        <w:t xml:space="preserve">. These weekly reports would </w:t>
      </w:r>
      <w:r w:rsidR="00CA57C9" w:rsidRPr="001E247B">
        <w:t>ensure that all service providers adhere to contracts and service level agreements,</w:t>
      </w:r>
      <w:r w:rsidR="003869DD" w:rsidRPr="001E247B">
        <w:t xml:space="preserve"> and they </w:t>
      </w:r>
      <w:r w:rsidR="00CA57C9" w:rsidRPr="001E247B">
        <w:t>would be submitted to the Head of Department</w:t>
      </w:r>
      <w:r w:rsidR="007B0657" w:rsidRPr="001E247B">
        <w:t xml:space="preserve"> for consideration</w:t>
      </w:r>
      <w:r w:rsidR="00CA57C9" w:rsidRPr="001E247B">
        <w:t xml:space="preserve">. </w:t>
      </w:r>
    </w:p>
    <w:p w14:paraId="31820949" w14:textId="77777777" w:rsidR="00CA57C9" w:rsidRPr="001E247B" w:rsidRDefault="00CA57C9" w:rsidP="00D5240A">
      <w:pPr>
        <w:spacing w:line="360" w:lineRule="auto"/>
        <w:jc w:val="both"/>
      </w:pPr>
    </w:p>
    <w:p w14:paraId="64AB011F" w14:textId="77777777" w:rsidR="00C150B2" w:rsidRPr="001E247B" w:rsidRDefault="00CA57C9" w:rsidP="00D5240A">
      <w:pPr>
        <w:spacing w:line="360" w:lineRule="auto"/>
        <w:jc w:val="both"/>
      </w:pPr>
      <w:r w:rsidRPr="001E247B">
        <w:t xml:space="preserve">In response to the service delivery protests, the GDHS reported that it resolved to ensure </w:t>
      </w:r>
      <w:r w:rsidR="00FB6135" w:rsidRPr="001E247B">
        <w:t xml:space="preserve">that </w:t>
      </w:r>
      <w:r w:rsidRPr="001E247B">
        <w:t xml:space="preserve">effective public participation was conducted during the planning phase of each project. This would </w:t>
      </w:r>
      <w:r w:rsidR="00E820A7" w:rsidRPr="001E247B">
        <w:t xml:space="preserve">guarantee </w:t>
      </w:r>
      <w:r w:rsidRPr="001E247B">
        <w:t xml:space="preserve">effective </w:t>
      </w:r>
      <w:r w:rsidR="00E820A7" w:rsidRPr="001E247B">
        <w:t xml:space="preserve">and clear </w:t>
      </w:r>
      <w:r w:rsidRPr="001E247B">
        <w:t xml:space="preserve">communication of delivery targets and achieve </w:t>
      </w:r>
      <w:r w:rsidRPr="001E247B">
        <w:lastRenderedPageBreak/>
        <w:t>community ownership of projects. Furthermore, the GDHS reported that proper and effective project monitoring an</w:t>
      </w:r>
      <w:r w:rsidR="00C150B2" w:rsidRPr="001E247B">
        <w:t>d evaluation systems w</w:t>
      </w:r>
      <w:r w:rsidR="00FB6135" w:rsidRPr="001E247B">
        <w:t>ould</w:t>
      </w:r>
      <w:r w:rsidR="00C150B2" w:rsidRPr="001E247B">
        <w:t xml:space="preserve"> be put in place. This system would ensure</w:t>
      </w:r>
      <w:r w:rsidR="00FB6135" w:rsidRPr="001E247B">
        <w:t xml:space="preserve"> the compilation of w</w:t>
      </w:r>
      <w:r w:rsidR="00C150B2" w:rsidRPr="001E247B">
        <w:t xml:space="preserve">eekly reports on the performance of each region on projects and contractors </w:t>
      </w:r>
      <w:r w:rsidR="003869DD" w:rsidRPr="001E247B">
        <w:t xml:space="preserve">of </w:t>
      </w:r>
      <w:r w:rsidR="00C150B2" w:rsidRPr="001E247B">
        <w:t xml:space="preserve">all </w:t>
      </w:r>
      <w:r w:rsidR="00FB6135" w:rsidRPr="001E247B">
        <w:t xml:space="preserve">HSDG </w:t>
      </w:r>
      <w:r w:rsidR="00C150B2" w:rsidRPr="001E247B">
        <w:t>projects</w:t>
      </w:r>
    </w:p>
    <w:p w14:paraId="0F56E6AB" w14:textId="77777777" w:rsidR="00C150B2" w:rsidRPr="001E247B" w:rsidRDefault="00C150B2" w:rsidP="00D5240A">
      <w:pPr>
        <w:spacing w:line="360" w:lineRule="auto"/>
        <w:jc w:val="both"/>
      </w:pPr>
    </w:p>
    <w:p w14:paraId="13DBF0E3" w14:textId="77777777" w:rsidR="00702060" w:rsidRPr="001E247B" w:rsidRDefault="00702060" w:rsidP="00D5240A">
      <w:pPr>
        <w:spacing w:line="360" w:lineRule="auto"/>
        <w:jc w:val="both"/>
        <w:rPr>
          <w:b/>
        </w:rPr>
      </w:pPr>
      <w:r w:rsidRPr="001E247B">
        <w:rPr>
          <w:b/>
        </w:rPr>
        <w:t>7. Submission by the Western Cape Department of Human Settlements</w:t>
      </w:r>
    </w:p>
    <w:p w14:paraId="77B4E1DE" w14:textId="77777777" w:rsidR="00853834" w:rsidRPr="001E247B" w:rsidRDefault="00853834" w:rsidP="00083B0B">
      <w:pPr>
        <w:pStyle w:val="NormalWeb"/>
        <w:spacing w:before="96" w:beforeAutospacing="0" w:after="0" w:afterAutospacing="0" w:line="360" w:lineRule="auto"/>
        <w:jc w:val="both"/>
        <w:textAlignment w:val="baseline"/>
        <w:rPr>
          <w:rFonts w:eastAsiaTheme="minorEastAsia"/>
          <w:kern w:val="24"/>
          <w:lang w:val="en-US"/>
        </w:rPr>
      </w:pPr>
      <w:r w:rsidRPr="001E247B">
        <w:t>The Western Cape Department of Human Settlements (WCDHS) reported that it had spent 100 percent of its HSDG allocation of R2.3 billion in the 2017/18 financial year. The WCDHS further reported that it had delivered 9 693 (</w:t>
      </w:r>
      <w:r w:rsidRPr="001E247B">
        <w:rPr>
          <w:rFonts w:eastAsiaTheme="minorEastAsia"/>
          <w:bCs/>
          <w:kern w:val="24"/>
          <w:lang w:val="en-US"/>
        </w:rPr>
        <w:t>1</w:t>
      </w:r>
      <w:r w:rsidRPr="001E247B">
        <w:rPr>
          <w:rFonts w:eastAsiaTheme="minorEastAsia"/>
          <w:kern w:val="24"/>
          <w:lang w:val="en-US"/>
        </w:rPr>
        <w:t>23 percent)</w:t>
      </w:r>
      <w:r w:rsidRPr="001E247B">
        <w:t xml:space="preserve"> sites against a business plan target of 7 860</w:t>
      </w:r>
      <w:r w:rsidRPr="001E247B">
        <w:rPr>
          <w:rFonts w:eastAsiaTheme="minorEastAsia"/>
          <w:bCs/>
          <w:kern w:val="24"/>
          <w:lang w:val="en-US"/>
        </w:rPr>
        <w:t>; and 10 265 (</w:t>
      </w:r>
      <w:r w:rsidRPr="001E247B">
        <w:rPr>
          <w:rFonts w:eastAsiaTheme="minorEastAsia"/>
          <w:kern w:val="24"/>
          <w:lang w:val="en-US"/>
        </w:rPr>
        <w:t>93 percent) houses against a target of 11 094. This amounted to a total of 19 958 housing opportunities (105 percent) against a target of 18 954.</w:t>
      </w:r>
    </w:p>
    <w:p w14:paraId="714A04B2" w14:textId="77777777" w:rsidR="00853834" w:rsidRPr="001E247B" w:rsidRDefault="00853834" w:rsidP="00083B0B">
      <w:pPr>
        <w:pStyle w:val="NormalWeb"/>
        <w:spacing w:before="96" w:beforeAutospacing="0" w:after="0" w:afterAutospacing="0" w:line="360" w:lineRule="auto"/>
        <w:jc w:val="both"/>
        <w:textAlignment w:val="baseline"/>
        <w:rPr>
          <w:rFonts w:eastAsiaTheme="minorEastAsia"/>
          <w:kern w:val="24"/>
          <w:lang w:val="en-US"/>
        </w:rPr>
      </w:pPr>
    </w:p>
    <w:p w14:paraId="3FA31507" w14:textId="77777777" w:rsidR="00853834" w:rsidRPr="001E247B" w:rsidRDefault="00853834" w:rsidP="00083B0B">
      <w:pPr>
        <w:pStyle w:val="NormalWeb"/>
        <w:spacing w:before="96" w:beforeAutospacing="0" w:after="0" w:afterAutospacing="0" w:line="360" w:lineRule="auto"/>
        <w:jc w:val="both"/>
        <w:textAlignment w:val="baseline"/>
        <w:rPr>
          <w:rFonts w:eastAsiaTheme="minorEastAsia"/>
          <w:kern w:val="24"/>
          <w:lang w:val="en-US"/>
        </w:rPr>
      </w:pPr>
      <w:r w:rsidRPr="001E247B">
        <w:rPr>
          <w:rFonts w:eastAsiaTheme="minorEastAsia"/>
          <w:kern w:val="24"/>
          <w:lang w:val="en-US"/>
        </w:rPr>
        <w:t>With regard to financial performance in 2017/18, the WCDHS reported under-spending of R3.8 million out of a budget of R1.4 billion on new houses delivered. During the same period the WCDHS had over-spent R4.3 million on its R5.5 million budget for sites delivered, bringing the expenditure on sites to R9.8 million. With regard to specific programmes, the WCDHS had under-spent R15 million out of a budget of R47 million on title deeds for new developments; while at the same time over-spending R2.8 million on its R20 million budget for military veterans.</w:t>
      </w:r>
    </w:p>
    <w:p w14:paraId="6E6A8AD4" w14:textId="77777777" w:rsidR="00853834" w:rsidRPr="001E247B" w:rsidRDefault="00853834" w:rsidP="00083B0B">
      <w:pPr>
        <w:pStyle w:val="NormalWeb"/>
        <w:spacing w:before="96" w:beforeAutospacing="0" w:after="0" w:afterAutospacing="0" w:line="360" w:lineRule="auto"/>
        <w:jc w:val="both"/>
        <w:textAlignment w:val="baseline"/>
      </w:pPr>
    </w:p>
    <w:p w14:paraId="085CC654" w14:textId="77777777" w:rsidR="00853834" w:rsidRPr="001E247B" w:rsidRDefault="00853834" w:rsidP="00083B0B">
      <w:pPr>
        <w:spacing w:before="120" w:line="360" w:lineRule="auto"/>
        <w:jc w:val="both"/>
      </w:pPr>
      <w:r w:rsidRPr="001E247B">
        <w:t>The WCDHS reported challenges in the following areas, including what remedial action the Province had taken and what action was required from the national Department of Human Settlements:</w:t>
      </w:r>
    </w:p>
    <w:p w14:paraId="6A3139CA" w14:textId="77777777" w:rsidR="00853834" w:rsidRPr="001E247B" w:rsidRDefault="00853834" w:rsidP="00083B0B">
      <w:pPr>
        <w:pStyle w:val="ListParagraph"/>
        <w:numPr>
          <w:ilvl w:val="0"/>
          <w:numId w:val="6"/>
        </w:numPr>
        <w:spacing w:line="360" w:lineRule="auto"/>
        <w:jc w:val="both"/>
      </w:pPr>
      <w:r w:rsidRPr="001E247B">
        <w:t xml:space="preserve">Institutional housing: The WCDHS had submitted a policy amendment request in this regard, asking the DHS to amend the </w:t>
      </w:r>
      <w:r w:rsidRPr="001E247B">
        <w:rPr>
          <w:rFonts w:eastAsiaTheme="minorEastAsia"/>
          <w:color w:val="000000" w:themeColor="text1"/>
          <w:kern w:val="24"/>
          <w:lang w:val="en-US"/>
        </w:rPr>
        <w:t>qualification criteria to R7</w:t>
      </w:r>
      <w:r w:rsidR="00FB6135" w:rsidRPr="001E247B">
        <w:rPr>
          <w:rFonts w:eastAsiaTheme="minorEastAsia"/>
          <w:color w:val="000000" w:themeColor="text1"/>
          <w:kern w:val="24"/>
          <w:lang w:val="en-US"/>
        </w:rPr>
        <w:t xml:space="preserve"> </w:t>
      </w:r>
      <w:r w:rsidRPr="001E247B">
        <w:rPr>
          <w:rFonts w:eastAsiaTheme="minorEastAsia"/>
          <w:color w:val="000000" w:themeColor="text1"/>
          <w:kern w:val="24"/>
          <w:lang w:val="en-US"/>
        </w:rPr>
        <w:t>000 per month and to merge the Social and Community Residential Units.</w:t>
      </w:r>
    </w:p>
    <w:p w14:paraId="7D82D9D7" w14:textId="77777777" w:rsidR="00853834" w:rsidRPr="001E247B" w:rsidRDefault="00853834" w:rsidP="00083B0B">
      <w:pPr>
        <w:pStyle w:val="ListParagraph"/>
        <w:numPr>
          <w:ilvl w:val="0"/>
          <w:numId w:val="6"/>
        </w:numPr>
        <w:spacing w:line="360" w:lineRule="auto"/>
        <w:jc w:val="both"/>
      </w:pPr>
      <w:r w:rsidRPr="001E247B">
        <w:rPr>
          <w:lang w:val="en-US"/>
        </w:rPr>
        <w:t>Bulk infrastructure for catalytic p</w:t>
      </w:r>
      <w:r w:rsidRPr="001E247B">
        <w:rPr>
          <w:rFonts w:eastAsiaTheme="minorEastAsia"/>
          <w:lang w:val="en-US"/>
        </w:rPr>
        <w:t>rojects</w:t>
      </w:r>
      <w:r w:rsidRPr="001E247B">
        <w:rPr>
          <w:lang w:val="en-US"/>
        </w:rPr>
        <w:t>: The Province is a</w:t>
      </w:r>
      <w:r w:rsidRPr="001E247B">
        <w:rPr>
          <w:rFonts w:eastAsiaTheme="minorEastAsia"/>
          <w:color w:val="000000" w:themeColor="text1"/>
          <w:kern w:val="24"/>
          <w:lang w:val="en-US"/>
        </w:rPr>
        <w:t>ssisting non-metro municipalities from its own resources and has applied to the City of Cape Town for Urban Settlements Development Grant</w:t>
      </w:r>
      <w:r w:rsidR="00FB6135" w:rsidRPr="001E247B">
        <w:rPr>
          <w:rFonts w:eastAsiaTheme="minorEastAsia"/>
          <w:color w:val="000000" w:themeColor="text1"/>
          <w:kern w:val="24"/>
          <w:lang w:val="en-US"/>
        </w:rPr>
        <w:t xml:space="preserve"> (USDG)</w:t>
      </w:r>
      <w:r w:rsidRPr="001E247B">
        <w:rPr>
          <w:rFonts w:eastAsiaTheme="minorEastAsia"/>
          <w:color w:val="000000" w:themeColor="text1"/>
          <w:kern w:val="24"/>
          <w:lang w:val="en-US"/>
        </w:rPr>
        <w:t xml:space="preserve"> funding. The DHS is requested to make additional funding available for bulk infrastructure and to issue an instruction that the USDG is not available for Breaking New Ground projects, but for all programmes covered by the Housing Code.</w:t>
      </w:r>
    </w:p>
    <w:p w14:paraId="1FEBF6AF" w14:textId="77777777" w:rsidR="00853834" w:rsidRPr="001E247B" w:rsidRDefault="00853834" w:rsidP="00083B0B">
      <w:pPr>
        <w:pStyle w:val="ListParagraph"/>
        <w:numPr>
          <w:ilvl w:val="0"/>
          <w:numId w:val="7"/>
        </w:numPr>
        <w:spacing w:line="360" w:lineRule="auto"/>
        <w:jc w:val="both"/>
      </w:pPr>
      <w:r w:rsidRPr="001E247B">
        <w:rPr>
          <w:rFonts w:eastAsiaTheme="minorEastAsia"/>
          <w:color w:val="000000" w:themeColor="text1"/>
          <w:kern w:val="24"/>
          <w:lang w:val="en-US"/>
        </w:rPr>
        <w:lastRenderedPageBreak/>
        <w:t>Accounting for title deeds issued: The Province has purchased datasets to determine outstanding title deeds, and requested the DHS to provide provinces with the title deeds update reports as had been done in previous years.</w:t>
      </w:r>
    </w:p>
    <w:p w14:paraId="3A634881" w14:textId="77777777" w:rsidR="00702060" w:rsidRPr="001E247B" w:rsidRDefault="00702060" w:rsidP="00083B0B">
      <w:pPr>
        <w:spacing w:line="360" w:lineRule="auto"/>
        <w:jc w:val="both"/>
      </w:pPr>
    </w:p>
    <w:p w14:paraId="0DE147CC" w14:textId="77777777" w:rsidR="00DE6886" w:rsidRPr="001E247B" w:rsidRDefault="00702060" w:rsidP="00083B0B">
      <w:pPr>
        <w:spacing w:line="360" w:lineRule="auto"/>
        <w:jc w:val="both"/>
        <w:rPr>
          <w:b/>
        </w:rPr>
      </w:pPr>
      <w:r w:rsidRPr="001E247B">
        <w:rPr>
          <w:b/>
        </w:rPr>
        <w:t xml:space="preserve">8. </w:t>
      </w:r>
      <w:r w:rsidR="00DE6886" w:rsidRPr="001E247B">
        <w:rPr>
          <w:b/>
        </w:rPr>
        <w:t>Observations</w:t>
      </w:r>
      <w:r w:rsidR="00083B0B" w:rsidRPr="001E247B">
        <w:rPr>
          <w:b/>
        </w:rPr>
        <w:t xml:space="preserve"> </w:t>
      </w:r>
    </w:p>
    <w:p w14:paraId="168C02CD" w14:textId="77777777" w:rsidR="007F5379" w:rsidRPr="001E247B" w:rsidRDefault="007F5379" w:rsidP="00083B0B">
      <w:pPr>
        <w:spacing w:line="360" w:lineRule="auto"/>
        <w:jc w:val="both"/>
      </w:pPr>
      <w:r w:rsidRPr="001E247B">
        <w:t>After having received the submissions from all invited departments, the Select Committee on Appropriations observed th</w:t>
      </w:r>
      <w:r w:rsidR="00FB6135" w:rsidRPr="001E247B">
        <w:t>e following</w:t>
      </w:r>
      <w:r w:rsidRPr="001E247B">
        <w:t xml:space="preserve">:  </w:t>
      </w:r>
    </w:p>
    <w:p w14:paraId="145433F7" w14:textId="77777777" w:rsidR="007F5379" w:rsidRPr="001E247B" w:rsidRDefault="007F5379" w:rsidP="00083B0B">
      <w:pPr>
        <w:spacing w:line="360" w:lineRule="auto"/>
        <w:ind w:left="284" w:hanging="284"/>
        <w:jc w:val="both"/>
      </w:pPr>
      <w:r w:rsidRPr="001E247B">
        <w:t>8.1 On financial expenditure,</w:t>
      </w:r>
      <w:r w:rsidR="00FB6135" w:rsidRPr="001E247B">
        <w:t xml:space="preserve"> 99 percent of the R20.3 billion</w:t>
      </w:r>
      <w:r w:rsidRPr="001E247B">
        <w:t xml:space="preserve"> appropriated H</w:t>
      </w:r>
      <w:r w:rsidR="00FB6135" w:rsidRPr="001E247B">
        <w:t>SDG</w:t>
      </w:r>
      <w:r w:rsidRPr="001E247B">
        <w:t xml:space="preserve"> funds transferred to </w:t>
      </w:r>
      <w:r w:rsidR="009C2769" w:rsidRPr="001E247B">
        <w:t xml:space="preserve">the </w:t>
      </w:r>
      <w:r w:rsidRPr="001E247B">
        <w:t>provinces were reported to have been spent.</w:t>
      </w:r>
    </w:p>
    <w:p w14:paraId="7D5A34C3" w14:textId="77777777" w:rsidR="007F5379" w:rsidRPr="001E247B" w:rsidRDefault="007F5379" w:rsidP="00083B0B">
      <w:pPr>
        <w:spacing w:line="360" w:lineRule="auto"/>
        <w:ind w:left="284" w:hanging="284"/>
        <w:jc w:val="both"/>
      </w:pPr>
      <w:r w:rsidRPr="001E247B">
        <w:t>8.2 The p</w:t>
      </w:r>
      <w:r w:rsidR="00A43466" w:rsidRPr="001E247B">
        <w:t>rovincial departments of Human Settlements transfer</w:t>
      </w:r>
      <w:r w:rsidR="00FF52AC" w:rsidRPr="001E247B">
        <w:t>red</w:t>
      </w:r>
      <w:r w:rsidR="00C64043" w:rsidRPr="001E247B">
        <w:t xml:space="preserve"> significant amounts </w:t>
      </w:r>
      <w:r w:rsidR="00FF52AC" w:rsidRPr="001E247B">
        <w:t xml:space="preserve">of the </w:t>
      </w:r>
      <w:r w:rsidR="00A43466" w:rsidRPr="001E247B">
        <w:t>H</w:t>
      </w:r>
      <w:r w:rsidR="00FB6135" w:rsidRPr="001E247B">
        <w:t>SDG</w:t>
      </w:r>
      <w:r w:rsidR="00A43466" w:rsidRPr="001E247B">
        <w:t xml:space="preserve"> funds to implementing agencies like </w:t>
      </w:r>
      <w:r w:rsidR="00FB6135" w:rsidRPr="001E247B">
        <w:t xml:space="preserve">the </w:t>
      </w:r>
      <w:r w:rsidR="00A43466" w:rsidRPr="001E247B">
        <w:t>H</w:t>
      </w:r>
      <w:r w:rsidR="00FB6135" w:rsidRPr="001E247B">
        <w:t>ousing</w:t>
      </w:r>
      <w:r w:rsidR="00A43466" w:rsidRPr="001E247B">
        <w:t xml:space="preserve"> Development Agency</w:t>
      </w:r>
      <w:r w:rsidR="00FB6135" w:rsidRPr="001E247B">
        <w:t xml:space="preserve"> (HDA)</w:t>
      </w:r>
      <w:r w:rsidR="00FF52AC" w:rsidRPr="001E247B">
        <w:t>, Gauteng Partnership Fund</w:t>
      </w:r>
      <w:r w:rsidR="00A43466" w:rsidRPr="001E247B">
        <w:t xml:space="preserve"> and </w:t>
      </w:r>
      <w:r w:rsidR="00C64043" w:rsidRPr="001E247B">
        <w:t>m</w:t>
      </w:r>
      <w:r w:rsidR="00A43466" w:rsidRPr="001E247B">
        <w:t>unicipalities</w:t>
      </w:r>
      <w:r w:rsidR="00C64043" w:rsidRPr="001E247B">
        <w:t>;</w:t>
      </w:r>
      <w:r w:rsidR="00FF52AC" w:rsidRPr="001E247B">
        <w:t xml:space="preserve"> </w:t>
      </w:r>
      <w:r w:rsidR="00760F8F" w:rsidRPr="001E247B">
        <w:t xml:space="preserve">and </w:t>
      </w:r>
      <w:r w:rsidR="00FF52AC" w:rsidRPr="001E247B">
        <w:t xml:space="preserve">the provinces </w:t>
      </w:r>
      <w:r w:rsidR="00A43466" w:rsidRPr="001E247B">
        <w:t>report</w:t>
      </w:r>
      <w:r w:rsidR="00FF52AC" w:rsidRPr="001E247B">
        <w:t>ed</w:t>
      </w:r>
      <w:r w:rsidR="00A43466" w:rsidRPr="001E247B">
        <w:t xml:space="preserve"> the funds as spent whereas </w:t>
      </w:r>
      <w:r w:rsidR="00FF52AC" w:rsidRPr="001E247B">
        <w:t>in real terms</w:t>
      </w:r>
      <w:r w:rsidR="00C64043" w:rsidRPr="001E247B">
        <w:t xml:space="preserve"> these funds</w:t>
      </w:r>
      <w:r w:rsidR="00FF52AC" w:rsidRPr="001E247B">
        <w:t xml:space="preserve"> w</w:t>
      </w:r>
      <w:r w:rsidR="00C64043" w:rsidRPr="001E247B">
        <w:t>ere</w:t>
      </w:r>
      <w:r w:rsidR="00FF52AC" w:rsidRPr="001E247B">
        <w:t xml:space="preserve"> </w:t>
      </w:r>
      <w:r w:rsidR="00A43466" w:rsidRPr="001E247B">
        <w:t>being held in the account</w:t>
      </w:r>
      <w:r w:rsidR="00C64043" w:rsidRPr="001E247B">
        <w:t>s</w:t>
      </w:r>
      <w:r w:rsidR="00A43466" w:rsidRPr="001E247B">
        <w:t xml:space="preserve"> of these agencies.</w:t>
      </w:r>
      <w:r w:rsidR="00FF52AC" w:rsidRPr="001E247B">
        <w:t xml:space="preserve"> </w:t>
      </w:r>
    </w:p>
    <w:p w14:paraId="08A71939" w14:textId="77777777" w:rsidR="00760F8F" w:rsidRPr="001E247B" w:rsidRDefault="007F5379" w:rsidP="00083B0B">
      <w:pPr>
        <w:spacing w:line="360" w:lineRule="auto"/>
        <w:ind w:left="284" w:hanging="284"/>
        <w:jc w:val="both"/>
      </w:pPr>
      <w:r w:rsidRPr="001E247B">
        <w:t>8.</w:t>
      </w:r>
      <w:r w:rsidR="00FF52AC" w:rsidRPr="001E247B">
        <w:t>3 In March 2018 only,</w:t>
      </w:r>
      <w:r w:rsidR="00760F8F" w:rsidRPr="001E247B">
        <w:t xml:space="preserve"> the last month of the 2017/18 financial year, </w:t>
      </w:r>
      <w:r w:rsidR="00C64043" w:rsidRPr="001E247B">
        <w:t>p</w:t>
      </w:r>
      <w:r w:rsidR="00A43466" w:rsidRPr="001E247B">
        <w:t>rovinces transferred R1.9 billion to the H</w:t>
      </w:r>
      <w:r w:rsidR="00C64043" w:rsidRPr="001E247B">
        <w:t>DA</w:t>
      </w:r>
      <w:r w:rsidR="00760F8F" w:rsidRPr="001E247B">
        <w:t xml:space="preserve">. </w:t>
      </w:r>
      <w:r w:rsidR="00A43466" w:rsidRPr="001E247B">
        <w:t xml:space="preserve">There is no proof that the HDA </w:t>
      </w:r>
      <w:r w:rsidR="00760F8F" w:rsidRPr="001E247B">
        <w:t>had spent these funds, th</w:t>
      </w:r>
      <w:r w:rsidR="00D5123E" w:rsidRPr="001E247B">
        <w:t>r</w:t>
      </w:r>
      <w:r w:rsidR="00760F8F" w:rsidRPr="001E247B">
        <w:t>ough delivering of sites and housing unit projects, before the end of the 2017/18 financial year.</w:t>
      </w:r>
    </w:p>
    <w:p w14:paraId="0D7F6744" w14:textId="77777777" w:rsidR="00C64043" w:rsidRPr="001E247B" w:rsidRDefault="00760F8F" w:rsidP="00083B0B">
      <w:pPr>
        <w:spacing w:line="360" w:lineRule="auto"/>
        <w:ind w:left="284" w:hanging="284"/>
        <w:jc w:val="both"/>
      </w:pPr>
      <w:r w:rsidRPr="001E247B">
        <w:t>8.4</w:t>
      </w:r>
      <w:r w:rsidR="00C64043" w:rsidRPr="001E247B">
        <w:t xml:space="preserve"> Late completion of projects and contractors failing to complete projects, pointed to </w:t>
      </w:r>
      <w:r w:rsidRPr="001E247B">
        <w:t xml:space="preserve">provinces </w:t>
      </w:r>
      <w:r w:rsidR="00C64043" w:rsidRPr="001E247B">
        <w:t xml:space="preserve">experiencing </w:t>
      </w:r>
      <w:r w:rsidRPr="001E247B">
        <w:t>capacity and monitoring challenges.</w:t>
      </w:r>
    </w:p>
    <w:p w14:paraId="6BA96116" w14:textId="77777777" w:rsidR="00760F8F" w:rsidRPr="001E247B" w:rsidRDefault="00760F8F" w:rsidP="00083B0B">
      <w:pPr>
        <w:spacing w:line="360" w:lineRule="auto"/>
        <w:ind w:left="284" w:hanging="284"/>
        <w:jc w:val="both"/>
      </w:pPr>
      <w:r w:rsidRPr="001E247B">
        <w:t xml:space="preserve">8.5 </w:t>
      </w:r>
      <w:r w:rsidR="00DD7EE5" w:rsidRPr="001E247B">
        <w:t>C</w:t>
      </w:r>
      <w:r w:rsidRPr="001E247B">
        <w:t>ontinuous poor performance by contractors</w:t>
      </w:r>
      <w:r w:rsidR="00DD7EE5" w:rsidRPr="001E247B">
        <w:t>;</w:t>
      </w:r>
      <w:r w:rsidRPr="001E247B">
        <w:t xml:space="preserve"> </w:t>
      </w:r>
      <w:r w:rsidR="00DD7EE5" w:rsidRPr="001E247B">
        <w:t xml:space="preserve">failure to </w:t>
      </w:r>
      <w:r w:rsidRPr="001E247B">
        <w:t>achiev</w:t>
      </w:r>
      <w:r w:rsidR="00DD7EE5" w:rsidRPr="001E247B">
        <w:t xml:space="preserve">e </w:t>
      </w:r>
      <w:r w:rsidRPr="001E247B">
        <w:t>targets</w:t>
      </w:r>
      <w:r w:rsidR="00DD7EE5" w:rsidRPr="001E247B">
        <w:t>;</w:t>
      </w:r>
      <w:r w:rsidRPr="001E247B">
        <w:t xml:space="preserve"> and </w:t>
      </w:r>
      <w:r w:rsidR="00DD7EE5" w:rsidRPr="001E247B">
        <w:t xml:space="preserve">the </w:t>
      </w:r>
      <w:r w:rsidRPr="001E247B">
        <w:t>late payment of contractors appear to be contributing to non-completion of H</w:t>
      </w:r>
      <w:r w:rsidR="00DD7EE5" w:rsidRPr="001E247B">
        <w:t xml:space="preserve">SDG </w:t>
      </w:r>
      <w:r w:rsidRPr="001E247B">
        <w:t>projects.</w:t>
      </w:r>
    </w:p>
    <w:p w14:paraId="5BFE6A79" w14:textId="77777777" w:rsidR="00DE6886" w:rsidRPr="001E247B" w:rsidRDefault="00D80908" w:rsidP="00083B0B">
      <w:pPr>
        <w:spacing w:line="360" w:lineRule="auto"/>
        <w:ind w:left="284" w:hanging="284"/>
        <w:jc w:val="both"/>
      </w:pPr>
      <w:r w:rsidRPr="001E247B">
        <w:t xml:space="preserve">8.6 </w:t>
      </w:r>
      <w:r w:rsidR="00DE6886" w:rsidRPr="001E247B">
        <w:t>The</w:t>
      </w:r>
      <w:r w:rsidRPr="001E247B">
        <w:t>re</w:t>
      </w:r>
      <w:r w:rsidR="00DE6886" w:rsidRPr="001E247B">
        <w:t xml:space="preserve"> </w:t>
      </w:r>
      <w:r w:rsidRPr="001E247B">
        <w:t xml:space="preserve">was </w:t>
      </w:r>
      <w:r w:rsidR="00DE6886" w:rsidRPr="001E247B">
        <w:t>poor alignment between cash-flow projections and allocations in the business plans. This resulted in provinces transferring huge cash amounts to the H</w:t>
      </w:r>
      <w:r w:rsidR="00DD7EE5" w:rsidRPr="001E247B">
        <w:t>DA</w:t>
      </w:r>
      <w:r w:rsidR="00DE6886" w:rsidRPr="001E247B">
        <w:t xml:space="preserve"> and report the funds as spent</w:t>
      </w:r>
      <w:r w:rsidR="00DD7EE5" w:rsidRPr="001E247B">
        <w:t>,</w:t>
      </w:r>
      <w:r w:rsidRPr="001E247B">
        <w:t xml:space="preserve"> as observed under 8.2 and 8.3</w:t>
      </w:r>
      <w:r w:rsidR="00DE6886" w:rsidRPr="001E247B">
        <w:t>.</w:t>
      </w:r>
    </w:p>
    <w:p w14:paraId="4A4789EF" w14:textId="77777777" w:rsidR="00A43466" w:rsidRPr="001E247B" w:rsidRDefault="00A43466" w:rsidP="00083B0B">
      <w:pPr>
        <w:spacing w:line="360" w:lineRule="auto"/>
        <w:jc w:val="both"/>
      </w:pPr>
    </w:p>
    <w:p w14:paraId="358377D5" w14:textId="77777777" w:rsidR="00DE73C8" w:rsidRPr="001E247B" w:rsidRDefault="00DE73C8" w:rsidP="00083B0B">
      <w:pPr>
        <w:spacing w:line="360" w:lineRule="auto"/>
        <w:jc w:val="both"/>
      </w:pPr>
    </w:p>
    <w:p w14:paraId="0F98F056" w14:textId="77777777" w:rsidR="00DE73C8" w:rsidRPr="001E247B" w:rsidRDefault="00702060" w:rsidP="00083B0B">
      <w:pPr>
        <w:spacing w:line="360" w:lineRule="auto"/>
        <w:jc w:val="both"/>
        <w:rPr>
          <w:b/>
        </w:rPr>
      </w:pPr>
      <w:r w:rsidRPr="001E247B">
        <w:rPr>
          <w:b/>
        </w:rPr>
        <w:t xml:space="preserve">9. </w:t>
      </w:r>
      <w:r w:rsidR="00DE73C8" w:rsidRPr="001E247B">
        <w:rPr>
          <w:b/>
        </w:rPr>
        <w:t>Recommendation</w:t>
      </w:r>
      <w:r w:rsidR="00DD7EE5" w:rsidRPr="001E247B">
        <w:rPr>
          <w:b/>
        </w:rPr>
        <w:t>s</w:t>
      </w:r>
    </w:p>
    <w:p w14:paraId="7948D16E" w14:textId="77777777" w:rsidR="00D80908" w:rsidRPr="001E247B" w:rsidRDefault="00D80908" w:rsidP="00083B0B">
      <w:pPr>
        <w:spacing w:line="360" w:lineRule="auto"/>
        <w:jc w:val="both"/>
      </w:pPr>
      <w:r w:rsidRPr="001E247B">
        <w:t>Emanating from the above observations, the Committee recommends th</w:t>
      </w:r>
      <w:r w:rsidR="00DD7EE5" w:rsidRPr="001E247B">
        <w:t>e following</w:t>
      </w:r>
      <w:r w:rsidRPr="001E247B">
        <w:t>:</w:t>
      </w:r>
    </w:p>
    <w:p w14:paraId="79976005" w14:textId="77777777" w:rsidR="00D80908" w:rsidRPr="001E247B" w:rsidRDefault="00D80908" w:rsidP="00083B0B">
      <w:pPr>
        <w:spacing w:line="360" w:lineRule="auto"/>
        <w:ind w:left="284" w:hanging="284"/>
        <w:jc w:val="both"/>
      </w:pPr>
      <w:r w:rsidRPr="001E247B">
        <w:t xml:space="preserve">9.1 </w:t>
      </w:r>
      <w:r w:rsidR="00DE73C8" w:rsidRPr="001E247B">
        <w:t xml:space="preserve">The </w:t>
      </w:r>
      <w:r w:rsidR="006944F3" w:rsidRPr="001E247B">
        <w:t>n</w:t>
      </w:r>
      <w:r w:rsidR="00DE73C8" w:rsidRPr="001E247B">
        <w:t xml:space="preserve">ational Department of Human Settlements, </w:t>
      </w:r>
      <w:r w:rsidR="006944F3" w:rsidRPr="001E247B">
        <w:t xml:space="preserve">the </w:t>
      </w:r>
      <w:r w:rsidR="00DE73C8" w:rsidRPr="001E247B">
        <w:t>H</w:t>
      </w:r>
      <w:r w:rsidRPr="001E247B">
        <w:t xml:space="preserve">ousing </w:t>
      </w:r>
      <w:r w:rsidR="00DE73C8" w:rsidRPr="001E247B">
        <w:t>D</w:t>
      </w:r>
      <w:r w:rsidRPr="001E247B">
        <w:t xml:space="preserve">evelopment </w:t>
      </w:r>
      <w:r w:rsidR="00DE73C8" w:rsidRPr="001E247B">
        <w:t>A</w:t>
      </w:r>
      <w:r w:rsidRPr="001E247B">
        <w:t xml:space="preserve">gency, </w:t>
      </w:r>
      <w:r w:rsidR="009C2769" w:rsidRPr="001E247B">
        <w:t xml:space="preserve">the </w:t>
      </w:r>
      <w:r w:rsidRPr="001E247B">
        <w:t>Gauteng Partnership Fund</w:t>
      </w:r>
      <w:r w:rsidR="00DE73C8" w:rsidRPr="001E247B">
        <w:t xml:space="preserve"> and National Treasury should</w:t>
      </w:r>
      <w:r w:rsidRPr="001E247B">
        <w:t>,</w:t>
      </w:r>
      <w:r w:rsidR="00DE73C8" w:rsidRPr="001E247B">
        <w:t xml:space="preserve"> before the tabling of the 2018 Medium Term Budget Policy Statement</w:t>
      </w:r>
      <w:r w:rsidR="00930CBC" w:rsidRPr="001E247B">
        <w:t xml:space="preserve"> (MTBPS)</w:t>
      </w:r>
      <w:r w:rsidRPr="001E247B">
        <w:t>,</w:t>
      </w:r>
      <w:r w:rsidR="00DE73C8" w:rsidRPr="001E247B">
        <w:t xml:space="preserve"> submit to the NCOP </w:t>
      </w:r>
      <w:r w:rsidRPr="001E247B">
        <w:t>financial and/or expenditure reports from all implementing agents that received Human Settlements Development Grant funds appropriated for the 2017/18 financial year.</w:t>
      </w:r>
    </w:p>
    <w:p w14:paraId="3F4B91C8" w14:textId="77777777" w:rsidR="00930CBC" w:rsidRPr="001E247B" w:rsidRDefault="00D80908" w:rsidP="00083B0B">
      <w:pPr>
        <w:spacing w:line="360" w:lineRule="auto"/>
        <w:ind w:left="284" w:hanging="284"/>
        <w:jc w:val="both"/>
      </w:pPr>
      <w:r w:rsidRPr="001E247B">
        <w:t xml:space="preserve">9.2 </w:t>
      </w:r>
      <w:r w:rsidR="00930CBC" w:rsidRPr="001E247B">
        <w:t xml:space="preserve">The National Treasury and the national Department of Human Settlements should submit to the National Council of Provinces, before the tabling of the 2018 MTBPS, the </w:t>
      </w:r>
      <w:r w:rsidR="00930CBC" w:rsidRPr="001E247B">
        <w:lastRenderedPageBreak/>
        <w:t>regulations which g</w:t>
      </w:r>
      <w:r w:rsidR="00463698" w:rsidRPr="001E247B">
        <w:t>a</w:t>
      </w:r>
      <w:r w:rsidR="00930CBC" w:rsidRPr="001E247B">
        <w:t xml:space="preserve">ve the Receiving Authorities </w:t>
      </w:r>
      <w:r w:rsidR="005805D0" w:rsidRPr="001E247B">
        <w:t xml:space="preserve">power </w:t>
      </w:r>
      <w:r w:rsidR="00930CBC" w:rsidRPr="001E247B">
        <w:t xml:space="preserve">to transfer Human Settlements Development Grant funds to implementing agencies instead of surrendering them to the National Revenue Fund. </w:t>
      </w:r>
    </w:p>
    <w:p w14:paraId="51248A22" w14:textId="77777777" w:rsidR="0007770C" w:rsidRPr="001E247B" w:rsidRDefault="00930CBC" w:rsidP="00083B0B">
      <w:pPr>
        <w:spacing w:line="360" w:lineRule="auto"/>
        <w:ind w:left="284" w:hanging="284"/>
        <w:jc w:val="both"/>
      </w:pPr>
      <w:r w:rsidRPr="001E247B">
        <w:t xml:space="preserve">9.3 The national Department of Human Settlements should improve the evaluation of business plans on creation of sustainable and integrated human settlements with the aim </w:t>
      </w:r>
      <w:r w:rsidR="003F6DF2" w:rsidRPr="001E247B">
        <w:t xml:space="preserve">to </w:t>
      </w:r>
      <w:r w:rsidRPr="001E247B">
        <w:t>improv</w:t>
      </w:r>
      <w:r w:rsidR="003F6DF2" w:rsidRPr="001E247B">
        <w:t>e</w:t>
      </w:r>
      <w:r w:rsidRPr="001E247B">
        <w:t xml:space="preserve"> quality of household life and access to basic services. </w:t>
      </w:r>
    </w:p>
    <w:p w14:paraId="01D42A73" w14:textId="77777777" w:rsidR="0007770C" w:rsidRPr="001E247B" w:rsidRDefault="0007770C" w:rsidP="00083B0B">
      <w:pPr>
        <w:spacing w:line="360" w:lineRule="auto"/>
        <w:ind w:left="284" w:hanging="284"/>
        <w:jc w:val="both"/>
      </w:pPr>
      <w:r w:rsidRPr="001E247B">
        <w:t xml:space="preserve">9.4 The national Department of Human Settlements should strive to provide assistance to provinces </w:t>
      </w:r>
      <w:r w:rsidR="003F6DF2" w:rsidRPr="001E247B">
        <w:t xml:space="preserve">who are </w:t>
      </w:r>
      <w:r w:rsidRPr="001E247B">
        <w:t xml:space="preserve">showing signs of lack of capacity and </w:t>
      </w:r>
      <w:r w:rsidR="003F6DF2" w:rsidRPr="001E247B">
        <w:t xml:space="preserve">are </w:t>
      </w:r>
      <w:r w:rsidRPr="001E247B">
        <w:t xml:space="preserve">struggling to monitor conditional grant expenditure and projects.  </w:t>
      </w:r>
      <w:r w:rsidR="009C2769" w:rsidRPr="001E247B">
        <w:t xml:space="preserve">The Department </w:t>
      </w:r>
      <w:r w:rsidR="003F6DF2" w:rsidRPr="001E247B">
        <w:t xml:space="preserve">should </w:t>
      </w:r>
      <w:r w:rsidR="009C2769" w:rsidRPr="001E247B">
        <w:t xml:space="preserve">provide </w:t>
      </w:r>
      <w:r w:rsidR="003F6DF2" w:rsidRPr="001E247B">
        <w:t xml:space="preserve">a </w:t>
      </w:r>
      <w:r w:rsidR="009C2769" w:rsidRPr="001E247B">
        <w:t xml:space="preserve">progress report within </w:t>
      </w:r>
      <w:r w:rsidR="003F6DF2" w:rsidRPr="001E247B">
        <w:t>six</w:t>
      </w:r>
      <w:r w:rsidR="009C2769" w:rsidRPr="001E247B">
        <w:t xml:space="preserve"> months after the adoption of th</w:t>
      </w:r>
      <w:r w:rsidR="003F6DF2" w:rsidRPr="001E247B">
        <w:t>is R</w:t>
      </w:r>
      <w:r w:rsidR="009C2769" w:rsidRPr="001E247B">
        <w:t>eport by the House.</w:t>
      </w:r>
    </w:p>
    <w:p w14:paraId="436D2710" w14:textId="77777777" w:rsidR="0007770C" w:rsidRPr="001E247B" w:rsidRDefault="0007770C" w:rsidP="00083B0B">
      <w:pPr>
        <w:spacing w:line="360" w:lineRule="auto"/>
        <w:ind w:left="284" w:hanging="284"/>
        <w:jc w:val="both"/>
      </w:pPr>
      <w:r w:rsidRPr="001E247B">
        <w:t xml:space="preserve">9.5 The provinces should put measures in place for continuous monitoring of conditional grants. This would ensure that poor performance by contractors, </w:t>
      </w:r>
      <w:r w:rsidR="003F6DF2" w:rsidRPr="001E247B">
        <w:t xml:space="preserve">failure to </w:t>
      </w:r>
      <w:r w:rsidRPr="001E247B">
        <w:t>achiev</w:t>
      </w:r>
      <w:r w:rsidR="003F6DF2" w:rsidRPr="001E247B">
        <w:t>e</w:t>
      </w:r>
      <w:r w:rsidRPr="001E247B">
        <w:t xml:space="preserve"> targets and late payment of contractors </w:t>
      </w:r>
      <w:r w:rsidR="003F6DF2" w:rsidRPr="001E247B">
        <w:t>were addressed and</w:t>
      </w:r>
      <w:r w:rsidRPr="001E247B">
        <w:t xml:space="preserve"> projects completed within the stipulated time</w:t>
      </w:r>
      <w:r w:rsidR="009C2769" w:rsidRPr="001E247B">
        <w:t xml:space="preserve"> </w:t>
      </w:r>
      <w:r w:rsidRPr="001E247B">
        <w:t>frames.</w:t>
      </w:r>
    </w:p>
    <w:p w14:paraId="4D806DE0" w14:textId="77777777" w:rsidR="00791B7B" w:rsidRPr="001E247B" w:rsidRDefault="00791B7B" w:rsidP="00791B7B">
      <w:pPr>
        <w:spacing w:line="360" w:lineRule="auto"/>
        <w:ind w:left="284"/>
        <w:jc w:val="both"/>
      </w:pPr>
      <w:r w:rsidRPr="001E247B">
        <w:t>This is a recurring recommendation across all conditional grants monitored by the Committee.</w:t>
      </w:r>
    </w:p>
    <w:p w14:paraId="53040BC8" w14:textId="77777777" w:rsidR="00083B0B" w:rsidRPr="001E247B" w:rsidRDefault="0007770C" w:rsidP="00083B0B">
      <w:pPr>
        <w:spacing w:line="360" w:lineRule="auto"/>
        <w:ind w:left="284" w:hanging="284"/>
        <w:jc w:val="both"/>
      </w:pPr>
      <w:r w:rsidRPr="001E247B">
        <w:t>9.6 The</w:t>
      </w:r>
      <w:r w:rsidR="00083B0B" w:rsidRPr="001E247B">
        <w:t xml:space="preserve"> provinces </w:t>
      </w:r>
      <w:r w:rsidR="003F6DF2" w:rsidRPr="001E247B">
        <w:t xml:space="preserve">should ensure that </w:t>
      </w:r>
      <w:r w:rsidR="00083B0B" w:rsidRPr="001E247B">
        <w:t xml:space="preserve">cash-flow projections </w:t>
      </w:r>
      <w:r w:rsidR="003F6DF2" w:rsidRPr="001E247B">
        <w:t>are aligned with</w:t>
      </w:r>
      <w:r w:rsidR="00083B0B" w:rsidRPr="001E247B">
        <w:t xml:space="preserve"> their business plans.</w:t>
      </w:r>
    </w:p>
    <w:p w14:paraId="5D44D697" w14:textId="77777777" w:rsidR="003328CC" w:rsidRPr="001E247B" w:rsidRDefault="00083B0B" w:rsidP="00083B0B">
      <w:pPr>
        <w:spacing w:line="360" w:lineRule="auto"/>
        <w:ind w:left="284" w:hanging="284"/>
        <w:jc w:val="both"/>
      </w:pPr>
      <w:r w:rsidRPr="001E247B">
        <w:t xml:space="preserve">9.7 The provinces should strive to plan for the implementation of projects prior to the start of </w:t>
      </w:r>
      <w:r w:rsidR="003F6DF2" w:rsidRPr="001E247B">
        <w:t xml:space="preserve">the </w:t>
      </w:r>
      <w:r w:rsidRPr="001E247B">
        <w:t>financial year. This approach could be achieved easily since the RSA follows the medium term expenditure framework which reflects three year</w:t>
      </w:r>
      <w:r w:rsidR="003F6DF2" w:rsidRPr="001E247B">
        <w:t>-</w:t>
      </w:r>
      <w:r w:rsidRPr="001E247B">
        <w:t xml:space="preserve">allocations. </w:t>
      </w:r>
      <w:r w:rsidR="00DE73C8" w:rsidRPr="001E247B">
        <w:t xml:space="preserve">  </w:t>
      </w:r>
      <w:r w:rsidR="003328CC" w:rsidRPr="001E247B">
        <w:t xml:space="preserve"> </w:t>
      </w:r>
    </w:p>
    <w:p w14:paraId="34E93E04" w14:textId="77777777" w:rsidR="005805D0" w:rsidRPr="001E247B" w:rsidRDefault="005805D0" w:rsidP="00D5240A">
      <w:pPr>
        <w:spacing w:line="360" w:lineRule="auto"/>
        <w:jc w:val="both"/>
      </w:pPr>
    </w:p>
    <w:p w14:paraId="72FCED27" w14:textId="77777777" w:rsidR="00FB4321" w:rsidRDefault="00FB4321" w:rsidP="00FB4321">
      <w:pPr>
        <w:spacing w:line="360" w:lineRule="auto"/>
        <w:ind w:left="426" w:hanging="426"/>
        <w:jc w:val="both"/>
        <w:rPr>
          <w:rFonts w:ascii="Arial" w:hAnsi="Arial" w:cs="Arial"/>
          <w:sz w:val="22"/>
          <w:szCs w:val="22"/>
        </w:rPr>
      </w:pPr>
      <w:r w:rsidRPr="001E247B">
        <w:t xml:space="preserve">Report to be considered. </w:t>
      </w:r>
    </w:p>
    <w:p w14:paraId="6C22D8DE" w14:textId="77777777" w:rsidR="00FB4321" w:rsidRDefault="00FB4321" w:rsidP="001E247B">
      <w:pPr>
        <w:spacing w:line="360" w:lineRule="auto"/>
        <w:ind w:left="426" w:hanging="426"/>
        <w:jc w:val="both"/>
        <w:rPr>
          <w:rFonts w:ascii="Arial" w:hAnsi="Arial" w:cs="Arial"/>
          <w:b/>
          <w:sz w:val="22"/>
          <w:szCs w:val="22"/>
        </w:rPr>
      </w:pPr>
      <w:r>
        <w:rPr>
          <w:rFonts w:ascii="Arial" w:hAnsi="Arial" w:cs="Arial"/>
          <w:sz w:val="22"/>
          <w:szCs w:val="22"/>
        </w:rPr>
        <w:t xml:space="preserve">      </w:t>
      </w:r>
    </w:p>
    <w:p w14:paraId="0FE6A57A" w14:textId="77777777" w:rsidR="00CC7C03" w:rsidRDefault="00CC7C03"/>
    <w:sectPr w:rsidR="00CC7C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BF8A6" w14:textId="77777777" w:rsidR="00CD0768" w:rsidRDefault="00CD0768" w:rsidP="008370B9">
      <w:r>
        <w:separator/>
      </w:r>
    </w:p>
  </w:endnote>
  <w:endnote w:type="continuationSeparator" w:id="0">
    <w:p w14:paraId="1F7226A8" w14:textId="77777777" w:rsidR="00CD0768" w:rsidRDefault="00CD0768" w:rsidP="0083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50889"/>
      <w:docPartObj>
        <w:docPartGallery w:val="Page Numbers (Bottom of Page)"/>
        <w:docPartUnique/>
      </w:docPartObj>
    </w:sdtPr>
    <w:sdtEndPr>
      <w:rPr>
        <w:noProof/>
      </w:rPr>
    </w:sdtEndPr>
    <w:sdtContent>
      <w:p w14:paraId="67F5E137" w14:textId="77777777" w:rsidR="00364FCD" w:rsidRDefault="00364FCD">
        <w:pPr>
          <w:pStyle w:val="Footer"/>
          <w:jc w:val="right"/>
        </w:pPr>
        <w:r>
          <w:fldChar w:fldCharType="begin"/>
        </w:r>
        <w:r>
          <w:instrText xml:space="preserve"> PAGE   \* MERGEFORMAT </w:instrText>
        </w:r>
        <w:r>
          <w:fldChar w:fldCharType="separate"/>
        </w:r>
        <w:r w:rsidR="002D27A0">
          <w:rPr>
            <w:noProof/>
          </w:rPr>
          <w:t>1</w:t>
        </w:r>
        <w:r>
          <w:rPr>
            <w:noProof/>
          </w:rPr>
          <w:fldChar w:fldCharType="end"/>
        </w:r>
      </w:p>
    </w:sdtContent>
  </w:sdt>
  <w:p w14:paraId="5ECDEB99" w14:textId="77777777" w:rsidR="00364FCD" w:rsidRDefault="00364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33DA6" w14:textId="77777777" w:rsidR="00CD0768" w:rsidRDefault="00CD0768" w:rsidP="008370B9">
      <w:r>
        <w:separator/>
      </w:r>
    </w:p>
  </w:footnote>
  <w:footnote w:type="continuationSeparator" w:id="0">
    <w:p w14:paraId="2D4AD21A" w14:textId="77777777" w:rsidR="00CD0768" w:rsidRDefault="00CD0768" w:rsidP="00837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660B"/>
    <w:multiLevelType w:val="hybridMultilevel"/>
    <w:tmpl w:val="2C807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8AC31EC"/>
    <w:multiLevelType w:val="hybridMultilevel"/>
    <w:tmpl w:val="B382F3B0"/>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2">
    <w:nsid w:val="4BA11E74"/>
    <w:multiLevelType w:val="hybridMultilevel"/>
    <w:tmpl w:val="208CE6B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4D0D3DF0"/>
    <w:multiLevelType w:val="hybridMultilevel"/>
    <w:tmpl w:val="E5209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F7748FE"/>
    <w:multiLevelType w:val="hybridMultilevel"/>
    <w:tmpl w:val="1158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B1D04"/>
    <w:multiLevelType w:val="hybridMultilevel"/>
    <w:tmpl w:val="8EC6BA44"/>
    <w:lvl w:ilvl="0" w:tplc="4D8C7DD2">
      <w:start w:val="1"/>
      <w:numFmt w:val="bullet"/>
      <w:lvlText w:val="•"/>
      <w:lvlJc w:val="left"/>
      <w:pPr>
        <w:tabs>
          <w:tab w:val="num" w:pos="720"/>
        </w:tabs>
        <w:ind w:left="720" w:hanging="360"/>
      </w:pPr>
      <w:rPr>
        <w:rFonts w:ascii="Arial" w:hAnsi="Arial" w:hint="default"/>
      </w:rPr>
    </w:lvl>
    <w:lvl w:ilvl="1" w:tplc="7F5A012E" w:tentative="1">
      <w:start w:val="1"/>
      <w:numFmt w:val="bullet"/>
      <w:lvlText w:val="•"/>
      <w:lvlJc w:val="left"/>
      <w:pPr>
        <w:tabs>
          <w:tab w:val="num" w:pos="1440"/>
        </w:tabs>
        <w:ind w:left="1440" w:hanging="360"/>
      </w:pPr>
      <w:rPr>
        <w:rFonts w:ascii="Arial" w:hAnsi="Arial" w:hint="default"/>
      </w:rPr>
    </w:lvl>
    <w:lvl w:ilvl="2" w:tplc="7CF8B2C2" w:tentative="1">
      <w:start w:val="1"/>
      <w:numFmt w:val="bullet"/>
      <w:lvlText w:val="•"/>
      <w:lvlJc w:val="left"/>
      <w:pPr>
        <w:tabs>
          <w:tab w:val="num" w:pos="2160"/>
        </w:tabs>
        <w:ind w:left="2160" w:hanging="360"/>
      </w:pPr>
      <w:rPr>
        <w:rFonts w:ascii="Arial" w:hAnsi="Arial" w:hint="default"/>
      </w:rPr>
    </w:lvl>
    <w:lvl w:ilvl="3" w:tplc="3536BC48" w:tentative="1">
      <w:start w:val="1"/>
      <w:numFmt w:val="bullet"/>
      <w:lvlText w:val="•"/>
      <w:lvlJc w:val="left"/>
      <w:pPr>
        <w:tabs>
          <w:tab w:val="num" w:pos="2880"/>
        </w:tabs>
        <w:ind w:left="2880" w:hanging="360"/>
      </w:pPr>
      <w:rPr>
        <w:rFonts w:ascii="Arial" w:hAnsi="Arial" w:hint="default"/>
      </w:rPr>
    </w:lvl>
    <w:lvl w:ilvl="4" w:tplc="A838055E" w:tentative="1">
      <w:start w:val="1"/>
      <w:numFmt w:val="bullet"/>
      <w:lvlText w:val="•"/>
      <w:lvlJc w:val="left"/>
      <w:pPr>
        <w:tabs>
          <w:tab w:val="num" w:pos="3600"/>
        </w:tabs>
        <w:ind w:left="3600" w:hanging="360"/>
      </w:pPr>
      <w:rPr>
        <w:rFonts w:ascii="Arial" w:hAnsi="Arial" w:hint="default"/>
      </w:rPr>
    </w:lvl>
    <w:lvl w:ilvl="5" w:tplc="22C07754" w:tentative="1">
      <w:start w:val="1"/>
      <w:numFmt w:val="bullet"/>
      <w:lvlText w:val="•"/>
      <w:lvlJc w:val="left"/>
      <w:pPr>
        <w:tabs>
          <w:tab w:val="num" w:pos="4320"/>
        </w:tabs>
        <w:ind w:left="4320" w:hanging="360"/>
      </w:pPr>
      <w:rPr>
        <w:rFonts w:ascii="Arial" w:hAnsi="Arial" w:hint="default"/>
      </w:rPr>
    </w:lvl>
    <w:lvl w:ilvl="6" w:tplc="4B7066FE" w:tentative="1">
      <w:start w:val="1"/>
      <w:numFmt w:val="bullet"/>
      <w:lvlText w:val="•"/>
      <w:lvlJc w:val="left"/>
      <w:pPr>
        <w:tabs>
          <w:tab w:val="num" w:pos="5040"/>
        </w:tabs>
        <w:ind w:left="5040" w:hanging="360"/>
      </w:pPr>
      <w:rPr>
        <w:rFonts w:ascii="Arial" w:hAnsi="Arial" w:hint="default"/>
      </w:rPr>
    </w:lvl>
    <w:lvl w:ilvl="7" w:tplc="93525404" w:tentative="1">
      <w:start w:val="1"/>
      <w:numFmt w:val="bullet"/>
      <w:lvlText w:val="•"/>
      <w:lvlJc w:val="left"/>
      <w:pPr>
        <w:tabs>
          <w:tab w:val="num" w:pos="5760"/>
        </w:tabs>
        <w:ind w:left="5760" w:hanging="360"/>
      </w:pPr>
      <w:rPr>
        <w:rFonts w:ascii="Arial" w:hAnsi="Arial" w:hint="default"/>
      </w:rPr>
    </w:lvl>
    <w:lvl w:ilvl="8" w:tplc="A5286E7A" w:tentative="1">
      <w:start w:val="1"/>
      <w:numFmt w:val="bullet"/>
      <w:lvlText w:val="•"/>
      <w:lvlJc w:val="left"/>
      <w:pPr>
        <w:tabs>
          <w:tab w:val="num" w:pos="6480"/>
        </w:tabs>
        <w:ind w:left="6480" w:hanging="360"/>
      </w:pPr>
      <w:rPr>
        <w:rFonts w:ascii="Arial" w:hAnsi="Arial" w:hint="default"/>
      </w:rPr>
    </w:lvl>
  </w:abstractNum>
  <w:abstractNum w:abstractNumId="6">
    <w:nsid w:val="64334C12"/>
    <w:multiLevelType w:val="hybridMultilevel"/>
    <w:tmpl w:val="33B4F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8216999"/>
    <w:multiLevelType w:val="hybridMultilevel"/>
    <w:tmpl w:val="D2FA3836"/>
    <w:lvl w:ilvl="0" w:tplc="DCC8A928">
      <w:start w:val="1"/>
      <w:numFmt w:val="bullet"/>
      <w:lvlText w:val="•"/>
      <w:lvlJc w:val="left"/>
      <w:pPr>
        <w:tabs>
          <w:tab w:val="num" w:pos="720"/>
        </w:tabs>
        <w:ind w:left="720" w:hanging="360"/>
      </w:pPr>
      <w:rPr>
        <w:rFonts w:ascii="Arial" w:hAnsi="Arial" w:hint="default"/>
      </w:rPr>
    </w:lvl>
    <w:lvl w:ilvl="1" w:tplc="00C62AFC" w:tentative="1">
      <w:start w:val="1"/>
      <w:numFmt w:val="bullet"/>
      <w:lvlText w:val="•"/>
      <w:lvlJc w:val="left"/>
      <w:pPr>
        <w:tabs>
          <w:tab w:val="num" w:pos="1440"/>
        </w:tabs>
        <w:ind w:left="1440" w:hanging="360"/>
      </w:pPr>
      <w:rPr>
        <w:rFonts w:ascii="Arial" w:hAnsi="Arial" w:hint="default"/>
      </w:rPr>
    </w:lvl>
    <w:lvl w:ilvl="2" w:tplc="7F461974" w:tentative="1">
      <w:start w:val="1"/>
      <w:numFmt w:val="bullet"/>
      <w:lvlText w:val="•"/>
      <w:lvlJc w:val="left"/>
      <w:pPr>
        <w:tabs>
          <w:tab w:val="num" w:pos="2160"/>
        </w:tabs>
        <w:ind w:left="2160" w:hanging="360"/>
      </w:pPr>
      <w:rPr>
        <w:rFonts w:ascii="Arial" w:hAnsi="Arial" w:hint="default"/>
      </w:rPr>
    </w:lvl>
    <w:lvl w:ilvl="3" w:tplc="BC6E7518" w:tentative="1">
      <w:start w:val="1"/>
      <w:numFmt w:val="bullet"/>
      <w:lvlText w:val="•"/>
      <w:lvlJc w:val="left"/>
      <w:pPr>
        <w:tabs>
          <w:tab w:val="num" w:pos="2880"/>
        </w:tabs>
        <w:ind w:left="2880" w:hanging="360"/>
      </w:pPr>
      <w:rPr>
        <w:rFonts w:ascii="Arial" w:hAnsi="Arial" w:hint="default"/>
      </w:rPr>
    </w:lvl>
    <w:lvl w:ilvl="4" w:tplc="74484CC2" w:tentative="1">
      <w:start w:val="1"/>
      <w:numFmt w:val="bullet"/>
      <w:lvlText w:val="•"/>
      <w:lvlJc w:val="left"/>
      <w:pPr>
        <w:tabs>
          <w:tab w:val="num" w:pos="3600"/>
        </w:tabs>
        <w:ind w:left="3600" w:hanging="360"/>
      </w:pPr>
      <w:rPr>
        <w:rFonts w:ascii="Arial" w:hAnsi="Arial" w:hint="default"/>
      </w:rPr>
    </w:lvl>
    <w:lvl w:ilvl="5" w:tplc="39782B3C" w:tentative="1">
      <w:start w:val="1"/>
      <w:numFmt w:val="bullet"/>
      <w:lvlText w:val="•"/>
      <w:lvlJc w:val="left"/>
      <w:pPr>
        <w:tabs>
          <w:tab w:val="num" w:pos="4320"/>
        </w:tabs>
        <w:ind w:left="4320" w:hanging="360"/>
      </w:pPr>
      <w:rPr>
        <w:rFonts w:ascii="Arial" w:hAnsi="Arial" w:hint="default"/>
      </w:rPr>
    </w:lvl>
    <w:lvl w:ilvl="6" w:tplc="0ECE599A" w:tentative="1">
      <w:start w:val="1"/>
      <w:numFmt w:val="bullet"/>
      <w:lvlText w:val="•"/>
      <w:lvlJc w:val="left"/>
      <w:pPr>
        <w:tabs>
          <w:tab w:val="num" w:pos="5040"/>
        </w:tabs>
        <w:ind w:left="5040" w:hanging="360"/>
      </w:pPr>
      <w:rPr>
        <w:rFonts w:ascii="Arial" w:hAnsi="Arial" w:hint="default"/>
      </w:rPr>
    </w:lvl>
    <w:lvl w:ilvl="7" w:tplc="D90AE5E2" w:tentative="1">
      <w:start w:val="1"/>
      <w:numFmt w:val="bullet"/>
      <w:lvlText w:val="•"/>
      <w:lvlJc w:val="left"/>
      <w:pPr>
        <w:tabs>
          <w:tab w:val="num" w:pos="5760"/>
        </w:tabs>
        <w:ind w:left="5760" w:hanging="360"/>
      </w:pPr>
      <w:rPr>
        <w:rFonts w:ascii="Arial" w:hAnsi="Arial" w:hint="default"/>
      </w:rPr>
    </w:lvl>
    <w:lvl w:ilvl="8" w:tplc="AE9E6A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C8"/>
    <w:rsid w:val="0000758B"/>
    <w:rsid w:val="0002043D"/>
    <w:rsid w:val="0002641C"/>
    <w:rsid w:val="0004511D"/>
    <w:rsid w:val="00054668"/>
    <w:rsid w:val="00061009"/>
    <w:rsid w:val="00075501"/>
    <w:rsid w:val="0007770C"/>
    <w:rsid w:val="00083B0B"/>
    <w:rsid w:val="00092702"/>
    <w:rsid w:val="000B07FF"/>
    <w:rsid w:val="000B70B7"/>
    <w:rsid w:val="000C3BEA"/>
    <w:rsid w:val="000D4558"/>
    <w:rsid w:val="000D5D6C"/>
    <w:rsid w:val="000D7453"/>
    <w:rsid w:val="00130E98"/>
    <w:rsid w:val="0013715D"/>
    <w:rsid w:val="00173B29"/>
    <w:rsid w:val="001E247B"/>
    <w:rsid w:val="001F2203"/>
    <w:rsid w:val="001F2E25"/>
    <w:rsid w:val="001F404F"/>
    <w:rsid w:val="001F5662"/>
    <w:rsid w:val="002113CD"/>
    <w:rsid w:val="00212731"/>
    <w:rsid w:val="00216EA2"/>
    <w:rsid w:val="00220696"/>
    <w:rsid w:val="00220E75"/>
    <w:rsid w:val="00226427"/>
    <w:rsid w:val="002329EB"/>
    <w:rsid w:val="00273845"/>
    <w:rsid w:val="00275BD9"/>
    <w:rsid w:val="00280D25"/>
    <w:rsid w:val="002847B6"/>
    <w:rsid w:val="002A05AD"/>
    <w:rsid w:val="002D27A0"/>
    <w:rsid w:val="003328CC"/>
    <w:rsid w:val="00332EB7"/>
    <w:rsid w:val="00335544"/>
    <w:rsid w:val="003533F7"/>
    <w:rsid w:val="00360DBC"/>
    <w:rsid w:val="00364FCD"/>
    <w:rsid w:val="00382DED"/>
    <w:rsid w:val="003869DD"/>
    <w:rsid w:val="00397FB6"/>
    <w:rsid w:val="003D39EA"/>
    <w:rsid w:val="003E519F"/>
    <w:rsid w:val="003E7D04"/>
    <w:rsid w:val="003F3F3C"/>
    <w:rsid w:val="003F4427"/>
    <w:rsid w:val="003F6DF2"/>
    <w:rsid w:val="00416A57"/>
    <w:rsid w:val="004178FD"/>
    <w:rsid w:val="004353E4"/>
    <w:rsid w:val="00463698"/>
    <w:rsid w:val="00466767"/>
    <w:rsid w:val="004D5605"/>
    <w:rsid w:val="004E6D4A"/>
    <w:rsid w:val="004F3A17"/>
    <w:rsid w:val="00513D87"/>
    <w:rsid w:val="0052460D"/>
    <w:rsid w:val="005302DB"/>
    <w:rsid w:val="0053103C"/>
    <w:rsid w:val="005805D0"/>
    <w:rsid w:val="005C5ABF"/>
    <w:rsid w:val="005D46EB"/>
    <w:rsid w:val="005D660A"/>
    <w:rsid w:val="00615E81"/>
    <w:rsid w:val="00616F51"/>
    <w:rsid w:val="00676ADD"/>
    <w:rsid w:val="00680A03"/>
    <w:rsid w:val="006817EC"/>
    <w:rsid w:val="00681E60"/>
    <w:rsid w:val="006823C9"/>
    <w:rsid w:val="00685CE8"/>
    <w:rsid w:val="006944F3"/>
    <w:rsid w:val="006B4DA7"/>
    <w:rsid w:val="006B7A28"/>
    <w:rsid w:val="006D45EB"/>
    <w:rsid w:val="006F6250"/>
    <w:rsid w:val="00702060"/>
    <w:rsid w:val="007045D8"/>
    <w:rsid w:val="007047FE"/>
    <w:rsid w:val="00726A6E"/>
    <w:rsid w:val="00754168"/>
    <w:rsid w:val="00760F8F"/>
    <w:rsid w:val="00790401"/>
    <w:rsid w:val="00791B7B"/>
    <w:rsid w:val="007944DE"/>
    <w:rsid w:val="007B0657"/>
    <w:rsid w:val="007B783F"/>
    <w:rsid w:val="007E073F"/>
    <w:rsid w:val="007F5379"/>
    <w:rsid w:val="00802F9C"/>
    <w:rsid w:val="00813E21"/>
    <w:rsid w:val="008160E8"/>
    <w:rsid w:val="008370B9"/>
    <w:rsid w:val="00853834"/>
    <w:rsid w:val="0087379C"/>
    <w:rsid w:val="008846C8"/>
    <w:rsid w:val="008910EB"/>
    <w:rsid w:val="008946AB"/>
    <w:rsid w:val="008B142A"/>
    <w:rsid w:val="008E20BE"/>
    <w:rsid w:val="008E60BB"/>
    <w:rsid w:val="008F346E"/>
    <w:rsid w:val="009012EF"/>
    <w:rsid w:val="0091013B"/>
    <w:rsid w:val="009225D2"/>
    <w:rsid w:val="0092678D"/>
    <w:rsid w:val="0092742A"/>
    <w:rsid w:val="00930CBC"/>
    <w:rsid w:val="00933635"/>
    <w:rsid w:val="00953420"/>
    <w:rsid w:val="00960356"/>
    <w:rsid w:val="00964A79"/>
    <w:rsid w:val="009A6114"/>
    <w:rsid w:val="009B741E"/>
    <w:rsid w:val="009C0AD0"/>
    <w:rsid w:val="009C2769"/>
    <w:rsid w:val="009C2F6E"/>
    <w:rsid w:val="009C4A57"/>
    <w:rsid w:val="009D657F"/>
    <w:rsid w:val="009E2E69"/>
    <w:rsid w:val="009E3FA6"/>
    <w:rsid w:val="00A15931"/>
    <w:rsid w:val="00A1652D"/>
    <w:rsid w:val="00A23EC4"/>
    <w:rsid w:val="00A43466"/>
    <w:rsid w:val="00A55156"/>
    <w:rsid w:val="00A63CAC"/>
    <w:rsid w:val="00A76CAE"/>
    <w:rsid w:val="00A83D1E"/>
    <w:rsid w:val="00AB00A9"/>
    <w:rsid w:val="00AB29C3"/>
    <w:rsid w:val="00AC6DCC"/>
    <w:rsid w:val="00AE0FB6"/>
    <w:rsid w:val="00AE15C9"/>
    <w:rsid w:val="00AF7BC3"/>
    <w:rsid w:val="00B03C55"/>
    <w:rsid w:val="00B04849"/>
    <w:rsid w:val="00B11533"/>
    <w:rsid w:val="00B178A2"/>
    <w:rsid w:val="00B27898"/>
    <w:rsid w:val="00B27967"/>
    <w:rsid w:val="00B369C4"/>
    <w:rsid w:val="00B52DAA"/>
    <w:rsid w:val="00B55650"/>
    <w:rsid w:val="00B638FF"/>
    <w:rsid w:val="00B77CF3"/>
    <w:rsid w:val="00B921FF"/>
    <w:rsid w:val="00BA45F7"/>
    <w:rsid w:val="00BE7E05"/>
    <w:rsid w:val="00BF6275"/>
    <w:rsid w:val="00C04BC5"/>
    <w:rsid w:val="00C150B2"/>
    <w:rsid w:val="00C55C6B"/>
    <w:rsid w:val="00C64043"/>
    <w:rsid w:val="00C67ABA"/>
    <w:rsid w:val="00C81D99"/>
    <w:rsid w:val="00C948C5"/>
    <w:rsid w:val="00CA4E83"/>
    <w:rsid w:val="00CA57C9"/>
    <w:rsid w:val="00CC7C03"/>
    <w:rsid w:val="00CD0768"/>
    <w:rsid w:val="00CE1D00"/>
    <w:rsid w:val="00CE3245"/>
    <w:rsid w:val="00D5123E"/>
    <w:rsid w:val="00D5240A"/>
    <w:rsid w:val="00D63427"/>
    <w:rsid w:val="00D80908"/>
    <w:rsid w:val="00D928AB"/>
    <w:rsid w:val="00DD7EE5"/>
    <w:rsid w:val="00DE6886"/>
    <w:rsid w:val="00DE73C8"/>
    <w:rsid w:val="00E25A8E"/>
    <w:rsid w:val="00E25DAD"/>
    <w:rsid w:val="00E36D21"/>
    <w:rsid w:val="00E465CB"/>
    <w:rsid w:val="00E65D2A"/>
    <w:rsid w:val="00E73001"/>
    <w:rsid w:val="00E75B7F"/>
    <w:rsid w:val="00E820A7"/>
    <w:rsid w:val="00EB1BB5"/>
    <w:rsid w:val="00ED61F5"/>
    <w:rsid w:val="00EE0B6D"/>
    <w:rsid w:val="00EE4B24"/>
    <w:rsid w:val="00F11518"/>
    <w:rsid w:val="00F572CF"/>
    <w:rsid w:val="00F72539"/>
    <w:rsid w:val="00F76202"/>
    <w:rsid w:val="00FA12D9"/>
    <w:rsid w:val="00FA2F0E"/>
    <w:rsid w:val="00FB4321"/>
    <w:rsid w:val="00FB6135"/>
    <w:rsid w:val="00FB7B40"/>
    <w:rsid w:val="00FD20B5"/>
    <w:rsid w:val="00FD3D2C"/>
    <w:rsid w:val="00FF04F7"/>
    <w:rsid w:val="00FF5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3F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C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6C8"/>
    <w:pPr>
      <w:ind w:left="720"/>
      <w:contextualSpacing/>
    </w:pPr>
    <w:rPr>
      <w:lang w:val="en-ZA" w:eastAsia="en-ZA"/>
    </w:rPr>
  </w:style>
  <w:style w:type="paragraph" w:styleId="Header">
    <w:name w:val="header"/>
    <w:basedOn w:val="Normal"/>
    <w:link w:val="HeaderChar"/>
    <w:uiPriority w:val="99"/>
    <w:unhideWhenUsed/>
    <w:rsid w:val="008370B9"/>
    <w:pPr>
      <w:tabs>
        <w:tab w:val="center" w:pos="4513"/>
        <w:tab w:val="right" w:pos="9026"/>
      </w:tabs>
    </w:pPr>
  </w:style>
  <w:style w:type="character" w:customStyle="1" w:styleId="HeaderChar">
    <w:name w:val="Header Char"/>
    <w:basedOn w:val="DefaultParagraphFont"/>
    <w:link w:val="Header"/>
    <w:uiPriority w:val="99"/>
    <w:rsid w:val="008370B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370B9"/>
    <w:pPr>
      <w:tabs>
        <w:tab w:val="center" w:pos="4513"/>
        <w:tab w:val="right" w:pos="9026"/>
      </w:tabs>
    </w:pPr>
  </w:style>
  <w:style w:type="character" w:customStyle="1" w:styleId="FooterChar">
    <w:name w:val="Footer Char"/>
    <w:basedOn w:val="DefaultParagraphFont"/>
    <w:link w:val="Footer"/>
    <w:uiPriority w:val="99"/>
    <w:rsid w:val="008370B9"/>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8E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3834"/>
    <w:pPr>
      <w:spacing w:before="100" w:beforeAutospacing="1" w:after="100" w:afterAutospacing="1"/>
    </w:pPr>
    <w:rPr>
      <w:lang w:val="en-ZA" w:eastAsia="en-ZA"/>
    </w:rPr>
  </w:style>
  <w:style w:type="paragraph" w:styleId="BalloonText">
    <w:name w:val="Balloon Text"/>
    <w:basedOn w:val="Normal"/>
    <w:link w:val="BalloonTextChar"/>
    <w:uiPriority w:val="99"/>
    <w:semiHidden/>
    <w:unhideWhenUsed/>
    <w:rsid w:val="00853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834"/>
    <w:rPr>
      <w:rFonts w:ascii="Segoe UI" w:eastAsia="Times New Roman"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C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6C8"/>
    <w:pPr>
      <w:ind w:left="720"/>
      <w:contextualSpacing/>
    </w:pPr>
    <w:rPr>
      <w:lang w:val="en-ZA" w:eastAsia="en-ZA"/>
    </w:rPr>
  </w:style>
  <w:style w:type="paragraph" w:styleId="Header">
    <w:name w:val="header"/>
    <w:basedOn w:val="Normal"/>
    <w:link w:val="HeaderChar"/>
    <w:uiPriority w:val="99"/>
    <w:unhideWhenUsed/>
    <w:rsid w:val="008370B9"/>
    <w:pPr>
      <w:tabs>
        <w:tab w:val="center" w:pos="4513"/>
        <w:tab w:val="right" w:pos="9026"/>
      </w:tabs>
    </w:pPr>
  </w:style>
  <w:style w:type="character" w:customStyle="1" w:styleId="HeaderChar">
    <w:name w:val="Header Char"/>
    <w:basedOn w:val="DefaultParagraphFont"/>
    <w:link w:val="Header"/>
    <w:uiPriority w:val="99"/>
    <w:rsid w:val="008370B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370B9"/>
    <w:pPr>
      <w:tabs>
        <w:tab w:val="center" w:pos="4513"/>
        <w:tab w:val="right" w:pos="9026"/>
      </w:tabs>
    </w:pPr>
  </w:style>
  <w:style w:type="character" w:customStyle="1" w:styleId="FooterChar">
    <w:name w:val="Footer Char"/>
    <w:basedOn w:val="DefaultParagraphFont"/>
    <w:link w:val="Footer"/>
    <w:uiPriority w:val="99"/>
    <w:rsid w:val="008370B9"/>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8E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3834"/>
    <w:pPr>
      <w:spacing w:before="100" w:beforeAutospacing="1" w:after="100" w:afterAutospacing="1"/>
    </w:pPr>
    <w:rPr>
      <w:lang w:val="en-ZA" w:eastAsia="en-ZA"/>
    </w:rPr>
  </w:style>
  <w:style w:type="paragraph" w:styleId="BalloonText">
    <w:name w:val="Balloon Text"/>
    <w:basedOn w:val="Normal"/>
    <w:link w:val="BalloonTextChar"/>
    <w:uiPriority w:val="99"/>
    <w:semiHidden/>
    <w:unhideWhenUsed/>
    <w:rsid w:val="00853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834"/>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6FDC-804D-46B2-BAC7-38E7019C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3799</Words>
  <Characters>21655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Yandisa Nodada</dc:creator>
  <cp:lastModifiedBy>Asanda</cp:lastModifiedBy>
  <cp:revision>2</cp:revision>
  <cp:lastPrinted>2018-06-14T13:41:00Z</cp:lastPrinted>
  <dcterms:created xsi:type="dcterms:W3CDTF">2018-08-24T08:46:00Z</dcterms:created>
  <dcterms:modified xsi:type="dcterms:W3CDTF">2018-08-24T08:46:00Z</dcterms:modified>
</cp:coreProperties>
</file>