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2D12B" w14:textId="77777777" w:rsidR="007A138D" w:rsidRPr="00855C74" w:rsidRDefault="007A138D" w:rsidP="00D464EE">
      <w:pPr>
        <w:jc w:val="both"/>
        <w:rPr>
          <w:b/>
        </w:rPr>
      </w:pPr>
    </w:p>
    <w:p w14:paraId="70CF0C53" w14:textId="77777777" w:rsidR="007A138D" w:rsidRPr="00855C74" w:rsidRDefault="006D1069">
      <w:pPr>
        <w:spacing w:line="360" w:lineRule="auto"/>
        <w:jc w:val="both"/>
        <w:rPr>
          <w:b/>
        </w:rPr>
      </w:pPr>
      <w:r>
        <w:rPr>
          <w:b/>
        </w:rPr>
        <w:t xml:space="preserve">4. </w:t>
      </w:r>
      <w:r w:rsidR="007A138D" w:rsidRPr="00855C74">
        <w:rPr>
          <w:b/>
        </w:rPr>
        <w:t xml:space="preserve">REPORT OF THE </w:t>
      </w:r>
      <w:r w:rsidR="00244934" w:rsidRPr="00855C74">
        <w:rPr>
          <w:b/>
        </w:rPr>
        <w:t>AD HOC C</w:t>
      </w:r>
      <w:r w:rsidR="007A138D" w:rsidRPr="00855C74">
        <w:rPr>
          <w:b/>
        </w:rPr>
        <w:t xml:space="preserve">OMMITTEE ON </w:t>
      </w:r>
      <w:r w:rsidR="00244934" w:rsidRPr="00855C74">
        <w:rPr>
          <w:b/>
        </w:rPr>
        <w:t xml:space="preserve">THE FUNDING OF POLITICAL PARTIES </w:t>
      </w:r>
      <w:r w:rsidR="007A138D" w:rsidRPr="00855C74">
        <w:rPr>
          <w:b/>
        </w:rPr>
        <w:t xml:space="preserve">ON THE </w:t>
      </w:r>
      <w:r w:rsidR="007A138D" w:rsidRPr="00855C74">
        <w:rPr>
          <w:b/>
          <w:i/>
        </w:rPr>
        <w:t>P</w:t>
      </w:r>
      <w:r w:rsidR="00244934" w:rsidRPr="00855C74">
        <w:rPr>
          <w:b/>
          <w:i/>
        </w:rPr>
        <w:t xml:space="preserve">OLITICAL PARTY FUNDING </w:t>
      </w:r>
      <w:r w:rsidR="007A138D" w:rsidRPr="00855C74">
        <w:rPr>
          <w:b/>
          <w:i/>
        </w:rPr>
        <w:t xml:space="preserve">BILL </w:t>
      </w:r>
      <w:r w:rsidR="007A138D" w:rsidRPr="00855C74">
        <w:rPr>
          <w:b/>
        </w:rPr>
        <w:t>[B3</w:t>
      </w:r>
      <w:r w:rsidR="00244934" w:rsidRPr="00855C74">
        <w:rPr>
          <w:b/>
        </w:rPr>
        <w:t>3</w:t>
      </w:r>
      <w:r w:rsidR="007A138D" w:rsidRPr="00855C74">
        <w:rPr>
          <w:b/>
        </w:rPr>
        <w:t xml:space="preserve"> - 201</w:t>
      </w:r>
      <w:r w:rsidR="00244934" w:rsidRPr="00855C74">
        <w:rPr>
          <w:b/>
        </w:rPr>
        <w:t>7</w:t>
      </w:r>
      <w:r w:rsidR="007A138D" w:rsidRPr="00855C74">
        <w:rPr>
          <w:b/>
        </w:rPr>
        <w:t>] (NATIONAL ASSEMBLY- SECTION 7</w:t>
      </w:r>
      <w:r w:rsidR="00244934" w:rsidRPr="00855C74">
        <w:rPr>
          <w:b/>
        </w:rPr>
        <w:t>5</w:t>
      </w:r>
      <w:r w:rsidR="007A138D" w:rsidRPr="00855C74">
        <w:rPr>
          <w:b/>
        </w:rPr>
        <w:t>), DATED 2</w:t>
      </w:r>
      <w:r w:rsidR="00567642" w:rsidRPr="00855C74">
        <w:rPr>
          <w:b/>
        </w:rPr>
        <w:t>6</w:t>
      </w:r>
      <w:r w:rsidR="007A138D" w:rsidRPr="00855C74">
        <w:rPr>
          <w:b/>
        </w:rPr>
        <w:t xml:space="preserve"> June 2018</w:t>
      </w:r>
      <w:bookmarkStart w:id="0" w:name="_GoBack"/>
      <w:bookmarkEnd w:id="0"/>
    </w:p>
    <w:p w14:paraId="5218C4B6" w14:textId="77777777" w:rsidR="007A138D" w:rsidRPr="00855C74" w:rsidRDefault="007A138D">
      <w:pPr>
        <w:spacing w:line="360" w:lineRule="auto"/>
        <w:jc w:val="both"/>
      </w:pPr>
    </w:p>
    <w:p w14:paraId="1B3F5E00" w14:textId="77777777" w:rsidR="00C11344" w:rsidRPr="00855C74" w:rsidRDefault="007A138D">
      <w:pPr>
        <w:spacing w:line="360" w:lineRule="auto"/>
        <w:jc w:val="both"/>
      </w:pPr>
      <w:r w:rsidRPr="00855C74">
        <w:t xml:space="preserve">The </w:t>
      </w:r>
      <w:r w:rsidR="00C11344" w:rsidRPr="00855C74">
        <w:t xml:space="preserve">Ad Hoc </w:t>
      </w:r>
      <w:r w:rsidRPr="00855C74">
        <w:t xml:space="preserve">Committee on </w:t>
      </w:r>
      <w:r w:rsidR="00C11344" w:rsidRPr="00855C74">
        <w:t>the Funding of Political Parties</w:t>
      </w:r>
      <w:r w:rsidRPr="00855C74">
        <w:t xml:space="preserve">, having considered the </w:t>
      </w:r>
      <w:r w:rsidR="00C11344" w:rsidRPr="00855C74">
        <w:rPr>
          <w:b/>
          <w:i/>
        </w:rPr>
        <w:t xml:space="preserve">Political Party Funding </w:t>
      </w:r>
      <w:r w:rsidRPr="00855C74">
        <w:rPr>
          <w:b/>
          <w:i/>
        </w:rPr>
        <w:t>Bill</w:t>
      </w:r>
      <w:r w:rsidRPr="00855C74">
        <w:rPr>
          <w:b/>
        </w:rPr>
        <w:t xml:space="preserve"> [B</w:t>
      </w:r>
      <w:r w:rsidR="00C11344" w:rsidRPr="00855C74">
        <w:rPr>
          <w:b/>
        </w:rPr>
        <w:t>3</w:t>
      </w:r>
      <w:r w:rsidRPr="00855C74">
        <w:rPr>
          <w:b/>
        </w:rPr>
        <w:t>3 – 201</w:t>
      </w:r>
      <w:r w:rsidR="00C11344" w:rsidRPr="00855C74">
        <w:rPr>
          <w:b/>
        </w:rPr>
        <w:t>7</w:t>
      </w:r>
      <w:r w:rsidRPr="00855C74">
        <w:rPr>
          <w:b/>
        </w:rPr>
        <w:t>],</w:t>
      </w:r>
      <w:r w:rsidRPr="00855C74">
        <w:t xml:space="preserve"> referred to it, and classified by the Joint Tagging Mechanism as a section 7</w:t>
      </w:r>
      <w:r w:rsidR="00C11344" w:rsidRPr="00855C74">
        <w:t>5</w:t>
      </w:r>
      <w:r w:rsidRPr="00855C74">
        <w:t xml:space="preserve"> Bill, reports </w:t>
      </w:r>
      <w:r w:rsidR="00C11344" w:rsidRPr="00855C74">
        <w:t>as follows:</w:t>
      </w:r>
    </w:p>
    <w:p w14:paraId="6905DE58" w14:textId="77777777" w:rsidR="00C11344" w:rsidRPr="00855C74" w:rsidRDefault="00C11344">
      <w:pPr>
        <w:spacing w:line="360" w:lineRule="auto"/>
        <w:jc w:val="both"/>
      </w:pPr>
    </w:p>
    <w:p w14:paraId="212FC697" w14:textId="77777777" w:rsidR="00681595" w:rsidRPr="00855C74" w:rsidRDefault="00681595" w:rsidP="00D464EE">
      <w:pPr>
        <w:pStyle w:val="ListParagraph"/>
        <w:numPr>
          <w:ilvl w:val="0"/>
          <w:numId w:val="1"/>
        </w:numPr>
        <w:spacing w:line="360" w:lineRule="auto"/>
        <w:jc w:val="both"/>
      </w:pPr>
      <w:r w:rsidRPr="00855C74">
        <w:rPr>
          <w:b/>
        </w:rPr>
        <w:t>Introduction</w:t>
      </w:r>
    </w:p>
    <w:p w14:paraId="40E2428E" w14:textId="77777777" w:rsidR="004D0825" w:rsidRPr="00540604" w:rsidRDefault="004D0825" w:rsidP="00580C4C">
      <w:pPr>
        <w:spacing w:line="360" w:lineRule="auto"/>
        <w:jc w:val="both"/>
      </w:pPr>
      <w:r w:rsidRPr="00855C74">
        <w:rPr>
          <w:rFonts w:eastAsiaTheme="minorEastAsia"/>
          <w:color w:val="000000" w:themeColor="text1"/>
          <w:kern w:val="24"/>
        </w:rPr>
        <w:t xml:space="preserve">During 2017 the National Assembly resolved to establish an </w:t>
      </w:r>
      <w:r w:rsidRPr="00855C74">
        <w:rPr>
          <w:rFonts w:eastAsiaTheme="minorEastAsia"/>
          <w:i/>
          <w:iCs/>
          <w:color w:val="000000" w:themeColor="text1"/>
          <w:kern w:val="24"/>
        </w:rPr>
        <w:t xml:space="preserve">ad hoc </w:t>
      </w:r>
      <w:r w:rsidRPr="00855C74">
        <w:rPr>
          <w:rFonts w:eastAsiaTheme="minorEastAsia"/>
          <w:color w:val="000000" w:themeColor="text1"/>
          <w:kern w:val="24"/>
        </w:rPr>
        <w:t>committee to</w:t>
      </w:r>
      <w:r w:rsidR="0076718C" w:rsidRPr="00855C74">
        <w:rPr>
          <w:rFonts w:eastAsiaTheme="minorEastAsia"/>
          <w:color w:val="000000" w:themeColor="text1"/>
          <w:kern w:val="24"/>
        </w:rPr>
        <w:t>,</w:t>
      </w:r>
      <w:r w:rsidRPr="00540604">
        <w:rPr>
          <w:rFonts w:eastAsiaTheme="minorEastAsia"/>
          <w:color w:val="000000" w:themeColor="text1"/>
          <w:kern w:val="24"/>
        </w:rPr>
        <w:t xml:space="preserve"> </w:t>
      </w:r>
      <w:r w:rsidRPr="00540604">
        <w:rPr>
          <w:rFonts w:eastAsiaTheme="minorEastAsia"/>
          <w:i/>
          <w:iCs/>
          <w:color w:val="000000" w:themeColor="text1"/>
          <w:kern w:val="24"/>
        </w:rPr>
        <w:t>inter alia</w:t>
      </w:r>
      <w:r w:rsidR="00855C74" w:rsidRPr="00540604">
        <w:rPr>
          <w:rFonts w:eastAsiaTheme="minorEastAsia"/>
          <w:i/>
          <w:iCs/>
          <w:color w:val="000000" w:themeColor="text1"/>
          <w:kern w:val="24"/>
        </w:rPr>
        <w:t>,</w:t>
      </w:r>
      <w:r w:rsidRPr="00540604">
        <w:rPr>
          <w:rFonts w:eastAsiaTheme="minorEastAsia"/>
          <w:i/>
          <w:iCs/>
          <w:color w:val="000000" w:themeColor="text1"/>
          <w:kern w:val="24"/>
        </w:rPr>
        <w:t xml:space="preserve"> </w:t>
      </w:r>
      <w:r w:rsidRPr="00540604">
        <w:rPr>
          <w:rFonts w:eastAsiaTheme="minorEastAsia"/>
          <w:color w:val="000000" w:themeColor="text1"/>
          <w:kern w:val="24"/>
        </w:rPr>
        <w:t xml:space="preserve">enquire into and make recommendations on funding of political parties in national and provincial legislatures. An extensive public participation process followed, culminating in the passing of the </w:t>
      </w:r>
      <w:r w:rsidRPr="00540604">
        <w:rPr>
          <w:rFonts w:eastAsiaTheme="minorEastAsia"/>
          <w:i/>
          <w:color w:val="000000" w:themeColor="text1"/>
          <w:kern w:val="24"/>
        </w:rPr>
        <w:t xml:space="preserve">Political Party Funding Bill </w:t>
      </w:r>
      <w:r w:rsidRPr="00540604">
        <w:rPr>
          <w:rFonts w:eastAsiaTheme="minorEastAsia"/>
          <w:color w:val="000000" w:themeColor="text1"/>
          <w:kern w:val="24"/>
        </w:rPr>
        <w:t>by the National Assembly on 27 March 2018</w:t>
      </w:r>
      <w:r w:rsidR="00B36E6E" w:rsidRPr="00540604">
        <w:rPr>
          <w:rFonts w:eastAsiaTheme="minorEastAsia"/>
          <w:color w:val="000000" w:themeColor="text1"/>
          <w:kern w:val="24"/>
        </w:rPr>
        <w:t xml:space="preserve"> and the Bill’s transmission </w:t>
      </w:r>
      <w:r w:rsidRPr="00540604">
        <w:rPr>
          <w:rFonts w:eastAsiaTheme="minorEastAsia"/>
          <w:color w:val="000000" w:themeColor="text1"/>
          <w:kern w:val="24"/>
        </w:rPr>
        <w:t xml:space="preserve">to the National Council of Provinces </w:t>
      </w:r>
      <w:r w:rsidR="00641167" w:rsidRPr="00540604">
        <w:rPr>
          <w:rFonts w:eastAsiaTheme="minorEastAsia"/>
          <w:color w:val="000000" w:themeColor="text1"/>
          <w:kern w:val="24"/>
        </w:rPr>
        <w:t xml:space="preserve">(NCOP) </w:t>
      </w:r>
      <w:r w:rsidRPr="00540604">
        <w:rPr>
          <w:rFonts w:eastAsiaTheme="minorEastAsia"/>
          <w:color w:val="000000" w:themeColor="text1"/>
          <w:kern w:val="24"/>
        </w:rPr>
        <w:t>for concurrence.</w:t>
      </w:r>
      <w:r w:rsidR="00B36E6E" w:rsidRPr="00540604">
        <w:rPr>
          <w:rFonts w:eastAsiaTheme="minorEastAsia"/>
          <w:color w:val="000000" w:themeColor="text1"/>
          <w:kern w:val="24"/>
        </w:rPr>
        <w:t xml:space="preserve"> Th</w:t>
      </w:r>
      <w:r w:rsidR="00641167" w:rsidRPr="00540604">
        <w:rPr>
          <w:rFonts w:eastAsiaTheme="minorEastAsia"/>
          <w:color w:val="000000" w:themeColor="text1"/>
          <w:kern w:val="24"/>
        </w:rPr>
        <w:t xml:space="preserve">e NCOP established </w:t>
      </w:r>
      <w:r w:rsidR="0076718C" w:rsidRPr="00540604">
        <w:rPr>
          <w:rFonts w:eastAsiaTheme="minorEastAsia"/>
          <w:color w:val="000000" w:themeColor="text1"/>
          <w:kern w:val="24"/>
        </w:rPr>
        <w:t>an Ad Hoc</w:t>
      </w:r>
      <w:r w:rsidR="00641167" w:rsidRPr="00540604">
        <w:rPr>
          <w:rFonts w:eastAsiaTheme="minorEastAsia"/>
          <w:color w:val="000000" w:themeColor="text1"/>
          <w:kern w:val="24"/>
        </w:rPr>
        <w:t xml:space="preserve"> </w:t>
      </w:r>
      <w:r w:rsidR="00B36E6E" w:rsidRPr="00540604">
        <w:rPr>
          <w:rFonts w:eastAsiaTheme="minorEastAsia"/>
          <w:color w:val="000000" w:themeColor="text1"/>
          <w:kern w:val="24"/>
        </w:rPr>
        <w:t xml:space="preserve">Committee </w:t>
      </w:r>
      <w:r w:rsidR="0076718C" w:rsidRPr="00540604">
        <w:rPr>
          <w:rFonts w:eastAsiaTheme="minorEastAsia"/>
          <w:color w:val="000000" w:themeColor="text1"/>
          <w:kern w:val="24"/>
        </w:rPr>
        <w:t xml:space="preserve">on the Funding of Political Parties, </w:t>
      </w:r>
      <w:r w:rsidR="00B36E6E" w:rsidRPr="00540604">
        <w:rPr>
          <w:rFonts w:eastAsiaTheme="minorEastAsia"/>
          <w:color w:val="000000" w:themeColor="text1"/>
          <w:kern w:val="24"/>
        </w:rPr>
        <w:t xml:space="preserve">on 18 April 2018, and the Bill was referred to </w:t>
      </w:r>
      <w:r w:rsidR="0076718C" w:rsidRPr="00540604">
        <w:rPr>
          <w:rFonts w:eastAsiaTheme="minorEastAsia"/>
          <w:color w:val="000000" w:themeColor="text1"/>
          <w:kern w:val="24"/>
        </w:rPr>
        <w:t xml:space="preserve">the </w:t>
      </w:r>
      <w:r w:rsidR="00855C74" w:rsidRPr="00540604">
        <w:rPr>
          <w:rFonts w:eastAsiaTheme="minorEastAsia"/>
          <w:color w:val="000000" w:themeColor="text1"/>
          <w:kern w:val="24"/>
        </w:rPr>
        <w:t>C</w:t>
      </w:r>
      <w:r w:rsidR="0076718C" w:rsidRPr="00540604">
        <w:rPr>
          <w:rFonts w:eastAsiaTheme="minorEastAsia"/>
          <w:color w:val="000000" w:themeColor="text1"/>
          <w:kern w:val="24"/>
        </w:rPr>
        <w:t>ommittee</w:t>
      </w:r>
      <w:r w:rsidR="00B36E6E" w:rsidRPr="00540604">
        <w:rPr>
          <w:rFonts w:eastAsiaTheme="minorEastAsia"/>
          <w:color w:val="000000" w:themeColor="text1"/>
          <w:kern w:val="24"/>
        </w:rPr>
        <w:t xml:space="preserve"> on 19 April 2018.</w:t>
      </w:r>
    </w:p>
    <w:p w14:paraId="4320282A" w14:textId="77777777" w:rsidR="00681595" w:rsidRPr="00540604" w:rsidRDefault="00681595" w:rsidP="00C766FD">
      <w:pPr>
        <w:spacing w:line="360" w:lineRule="auto"/>
        <w:jc w:val="both"/>
      </w:pPr>
    </w:p>
    <w:p w14:paraId="43B1A049" w14:textId="77777777" w:rsidR="00681595" w:rsidRPr="00540604" w:rsidRDefault="00681595" w:rsidP="00C766FD">
      <w:pPr>
        <w:spacing w:line="360" w:lineRule="auto"/>
        <w:jc w:val="both"/>
        <w:rPr>
          <w:b/>
        </w:rPr>
      </w:pPr>
    </w:p>
    <w:p w14:paraId="105EDFDF" w14:textId="77777777" w:rsidR="008E71B9" w:rsidRPr="00540604" w:rsidRDefault="008E71B9" w:rsidP="00C766FD">
      <w:pPr>
        <w:pStyle w:val="ListParagraph"/>
        <w:numPr>
          <w:ilvl w:val="0"/>
          <w:numId w:val="1"/>
        </w:numPr>
        <w:spacing w:line="360" w:lineRule="auto"/>
        <w:jc w:val="both"/>
        <w:rPr>
          <w:b/>
        </w:rPr>
      </w:pPr>
      <w:r w:rsidRPr="00540604">
        <w:rPr>
          <w:b/>
        </w:rPr>
        <w:t>Process followed</w:t>
      </w:r>
    </w:p>
    <w:p w14:paraId="22BF2F34" w14:textId="77777777" w:rsidR="008E71B9" w:rsidRPr="00540604" w:rsidRDefault="008E71B9" w:rsidP="00C766FD">
      <w:pPr>
        <w:spacing w:line="360" w:lineRule="auto"/>
        <w:jc w:val="both"/>
      </w:pPr>
      <w:r w:rsidRPr="00540604">
        <w:t>The Committee placed advertisements in the print media in all 11 official languages, calling stakeholders and interested parties to comment on the Bill. Eleven written submissions were received, as well as nine requests to make oral presentations. After considering the written submissions, the Committee invited all who requested to make oral presentations to do so</w:t>
      </w:r>
      <w:r w:rsidR="00641167" w:rsidRPr="00540604">
        <w:t>. E</w:t>
      </w:r>
      <w:r w:rsidRPr="00540604">
        <w:t>ight stakeholders</w:t>
      </w:r>
      <w:r w:rsidR="00641167" w:rsidRPr="00540604">
        <w:t xml:space="preserve"> accepted</w:t>
      </w:r>
      <w:r w:rsidRPr="00540604">
        <w:t xml:space="preserve"> </w:t>
      </w:r>
      <w:r w:rsidR="00641167" w:rsidRPr="00540604">
        <w:t xml:space="preserve">the invitation and </w:t>
      </w:r>
      <w:r w:rsidRPr="00540604">
        <w:t xml:space="preserve">subsequently attended a public hearing on 20 June 2018 </w:t>
      </w:r>
      <w:r w:rsidR="00641167" w:rsidRPr="00540604">
        <w:t>to</w:t>
      </w:r>
      <w:r w:rsidRPr="00540604">
        <w:t xml:space="preserve"> ma</w:t>
      </w:r>
      <w:r w:rsidR="00641167" w:rsidRPr="00540604">
        <w:t>k</w:t>
      </w:r>
      <w:r w:rsidRPr="00540604">
        <w:t xml:space="preserve">e oral submissions. In addition to technical briefings by the legal and content advisers, the Committee also invited National Treasury and the Independent Electoral Commission (IEC) to give their views on the Bill during a meeting on 6 June and a follow-up meeting on 13 June 2018.  </w:t>
      </w:r>
    </w:p>
    <w:p w14:paraId="1B82926B" w14:textId="77777777" w:rsidR="00580C4C" w:rsidRDefault="00580C4C" w:rsidP="00C766FD">
      <w:pPr>
        <w:pStyle w:val="ListParagraph"/>
        <w:spacing w:line="360" w:lineRule="auto"/>
        <w:ind w:left="360"/>
        <w:jc w:val="both"/>
        <w:rPr>
          <w:b/>
        </w:rPr>
      </w:pPr>
    </w:p>
    <w:p w14:paraId="7B37D302" w14:textId="77777777" w:rsidR="00B00FB6" w:rsidRPr="00540604" w:rsidRDefault="00B00FB6" w:rsidP="00C766FD">
      <w:pPr>
        <w:pStyle w:val="ListParagraph"/>
        <w:spacing w:line="360" w:lineRule="auto"/>
        <w:ind w:left="360"/>
        <w:jc w:val="both"/>
        <w:rPr>
          <w:b/>
        </w:rPr>
      </w:pPr>
    </w:p>
    <w:p w14:paraId="27A6E026" w14:textId="77777777" w:rsidR="008E71B9" w:rsidRPr="00540604" w:rsidRDefault="00374625" w:rsidP="00C766FD">
      <w:pPr>
        <w:pStyle w:val="ListParagraph"/>
        <w:numPr>
          <w:ilvl w:val="0"/>
          <w:numId w:val="1"/>
        </w:numPr>
        <w:spacing w:line="360" w:lineRule="auto"/>
        <w:jc w:val="both"/>
        <w:rPr>
          <w:b/>
        </w:rPr>
      </w:pPr>
      <w:r w:rsidRPr="00540604">
        <w:rPr>
          <w:b/>
          <w:i/>
        </w:rPr>
        <w:t xml:space="preserve">Political Party Funding Bill </w:t>
      </w:r>
      <w:r w:rsidRPr="00540604">
        <w:rPr>
          <w:b/>
        </w:rPr>
        <w:t>[B33 – 2017]</w:t>
      </w:r>
    </w:p>
    <w:p w14:paraId="47F1E559" w14:textId="77777777" w:rsidR="00374625" w:rsidRPr="00540604" w:rsidRDefault="000B2078" w:rsidP="00C766FD">
      <w:pPr>
        <w:spacing w:line="360" w:lineRule="auto"/>
        <w:jc w:val="both"/>
        <w:rPr>
          <w:rFonts w:eastAsiaTheme="minorEastAsia"/>
          <w:color w:val="000000" w:themeColor="text1"/>
          <w:kern w:val="24"/>
          <w:position w:val="1"/>
        </w:rPr>
      </w:pPr>
      <w:r w:rsidRPr="00540604">
        <w:rPr>
          <w:rFonts w:eastAsiaTheme="minorEastAsia"/>
          <w:color w:val="000000" w:themeColor="text1"/>
          <w:kern w:val="24"/>
        </w:rPr>
        <w:t xml:space="preserve">The </w:t>
      </w:r>
      <w:r w:rsidR="00374625" w:rsidRPr="00540604">
        <w:rPr>
          <w:rFonts w:eastAsiaTheme="minorEastAsia"/>
          <w:color w:val="000000" w:themeColor="text1"/>
          <w:kern w:val="24"/>
          <w:lang w:val="en-GB"/>
        </w:rPr>
        <w:t>Bill retains the existing Represented Political Party Fund</w:t>
      </w:r>
      <w:r w:rsidRPr="00540604">
        <w:rPr>
          <w:rFonts w:eastAsiaTheme="minorEastAsia"/>
          <w:color w:val="000000" w:themeColor="text1"/>
          <w:kern w:val="24"/>
        </w:rPr>
        <w:t>,</w:t>
      </w:r>
      <w:r w:rsidR="00374625" w:rsidRPr="00540604">
        <w:rPr>
          <w:rFonts w:eastAsiaTheme="minorEastAsia"/>
          <w:color w:val="000000" w:themeColor="text1"/>
          <w:kern w:val="24"/>
          <w:lang w:val="en-GB"/>
        </w:rPr>
        <w:t xml:space="preserve"> wh</w:t>
      </w:r>
      <w:r w:rsidRPr="00540604">
        <w:rPr>
          <w:rFonts w:eastAsiaTheme="minorEastAsia"/>
          <w:color w:val="000000" w:themeColor="text1"/>
          <w:kern w:val="24"/>
        </w:rPr>
        <w:t xml:space="preserve">ich is funded from public money, and </w:t>
      </w:r>
      <w:r w:rsidR="00374625" w:rsidRPr="00540604">
        <w:rPr>
          <w:rFonts w:eastAsiaTheme="minorEastAsia"/>
          <w:color w:val="000000" w:themeColor="text1"/>
          <w:kern w:val="24"/>
          <w:lang w:val="en-GB"/>
        </w:rPr>
        <w:t>establishes a new fund, the Multi-Party Democracy Fund</w:t>
      </w:r>
      <w:r w:rsidRPr="00540604">
        <w:rPr>
          <w:rFonts w:eastAsiaTheme="minorEastAsia"/>
          <w:color w:val="000000" w:themeColor="text1"/>
          <w:kern w:val="24"/>
        </w:rPr>
        <w:t>,</w:t>
      </w:r>
      <w:r w:rsidR="00374625" w:rsidRPr="00540604">
        <w:rPr>
          <w:rFonts w:eastAsiaTheme="minorEastAsia"/>
          <w:color w:val="000000" w:themeColor="text1"/>
          <w:kern w:val="24"/>
          <w:lang w:val="en-GB"/>
        </w:rPr>
        <w:t xml:space="preserve"> which is to </w:t>
      </w:r>
      <w:r w:rsidR="007E358C" w:rsidRPr="00540604">
        <w:rPr>
          <w:rFonts w:eastAsiaTheme="minorEastAsia"/>
          <w:color w:val="000000" w:themeColor="text1"/>
          <w:kern w:val="24"/>
        </w:rPr>
        <w:t xml:space="preserve">be </w:t>
      </w:r>
      <w:r w:rsidR="00374625" w:rsidRPr="00540604">
        <w:rPr>
          <w:rFonts w:eastAsiaTheme="minorEastAsia"/>
          <w:color w:val="000000" w:themeColor="text1"/>
          <w:kern w:val="24"/>
          <w:lang w:val="en-GB"/>
        </w:rPr>
        <w:t xml:space="preserve">funded </w:t>
      </w:r>
      <w:r w:rsidR="00374625" w:rsidRPr="00540604">
        <w:rPr>
          <w:rFonts w:eastAsiaTheme="minorEastAsia"/>
          <w:color w:val="000000" w:themeColor="text1"/>
          <w:kern w:val="24"/>
          <w:lang w:val="en-GB"/>
        </w:rPr>
        <w:lastRenderedPageBreak/>
        <w:t>from private sources</w:t>
      </w:r>
      <w:r w:rsidR="00023551" w:rsidRPr="00540604">
        <w:rPr>
          <w:rFonts w:eastAsiaTheme="minorEastAsia"/>
          <w:color w:val="000000" w:themeColor="text1"/>
          <w:kern w:val="24"/>
        </w:rPr>
        <w:t xml:space="preserve">. The funds will be </w:t>
      </w:r>
      <w:r w:rsidR="00374625" w:rsidRPr="00540604">
        <w:rPr>
          <w:rFonts w:eastAsiaTheme="minorEastAsia"/>
          <w:color w:val="000000" w:themeColor="text1"/>
          <w:kern w:val="24"/>
          <w:position w:val="1"/>
          <w:lang w:val="en-GB"/>
        </w:rPr>
        <w:t>administer</w:t>
      </w:r>
      <w:r w:rsidR="00023551" w:rsidRPr="00540604">
        <w:rPr>
          <w:rFonts w:eastAsiaTheme="minorEastAsia"/>
          <w:color w:val="000000" w:themeColor="text1"/>
          <w:kern w:val="24"/>
          <w:position w:val="1"/>
        </w:rPr>
        <w:t xml:space="preserve">ed by the IEC. </w:t>
      </w:r>
      <w:r w:rsidR="00374625" w:rsidRPr="00540604">
        <w:rPr>
          <w:rFonts w:eastAsiaTheme="minorEastAsia"/>
          <w:color w:val="000000" w:themeColor="text1"/>
          <w:kern w:val="24"/>
          <w:lang w:val="en-GB"/>
        </w:rPr>
        <w:t>Most of the provisions regulating</w:t>
      </w:r>
      <w:r w:rsidR="00374625" w:rsidRPr="00540604">
        <w:rPr>
          <w:rFonts w:eastAsiaTheme="minorEastAsia"/>
          <w:color w:val="000000" w:themeColor="text1"/>
          <w:kern w:val="24"/>
          <w:position w:val="1"/>
          <w:lang w:val="en-GB"/>
        </w:rPr>
        <w:t xml:space="preserve"> the </w:t>
      </w:r>
      <w:r w:rsidR="00023551" w:rsidRPr="00540604">
        <w:rPr>
          <w:rFonts w:eastAsiaTheme="minorEastAsia"/>
          <w:color w:val="000000" w:themeColor="text1"/>
          <w:kern w:val="24"/>
          <w:position w:val="1"/>
        </w:rPr>
        <w:t>funds are</w:t>
      </w:r>
      <w:r w:rsidR="00374625" w:rsidRPr="00540604">
        <w:rPr>
          <w:rFonts w:eastAsiaTheme="minorEastAsia"/>
          <w:color w:val="000000" w:themeColor="text1"/>
          <w:kern w:val="24"/>
          <w:position w:val="1"/>
          <w:lang w:val="en-GB"/>
        </w:rPr>
        <w:t xml:space="preserve"> drawn from the Public Funding of Represented Political Parties Act</w:t>
      </w:r>
      <w:r w:rsidR="008F53E6" w:rsidRPr="00540604">
        <w:rPr>
          <w:rFonts w:eastAsiaTheme="minorEastAsia"/>
          <w:color w:val="000000" w:themeColor="text1"/>
          <w:kern w:val="24"/>
          <w:position w:val="1"/>
          <w:lang w:val="en-GB"/>
        </w:rPr>
        <w:t xml:space="preserve"> (Act No 103 o</w:t>
      </w:r>
      <w:r w:rsidR="0076718C" w:rsidRPr="00540604">
        <w:rPr>
          <w:rFonts w:eastAsiaTheme="minorEastAsia"/>
          <w:color w:val="000000" w:themeColor="text1"/>
          <w:kern w:val="24"/>
          <w:position w:val="1"/>
          <w:lang w:val="en-GB"/>
        </w:rPr>
        <w:t>f</w:t>
      </w:r>
      <w:r w:rsidR="008F53E6" w:rsidRPr="00540604">
        <w:rPr>
          <w:rFonts w:eastAsiaTheme="minorEastAsia"/>
          <w:color w:val="000000" w:themeColor="text1"/>
          <w:kern w:val="24"/>
          <w:position w:val="1"/>
          <w:lang w:val="en-GB"/>
        </w:rPr>
        <w:t xml:space="preserve"> 1997).</w:t>
      </w:r>
    </w:p>
    <w:p w14:paraId="25F8757B" w14:textId="77777777" w:rsidR="007E358C" w:rsidRPr="00540604" w:rsidRDefault="007E358C" w:rsidP="00D464EE">
      <w:pPr>
        <w:spacing w:line="360" w:lineRule="auto"/>
        <w:jc w:val="both"/>
        <w:rPr>
          <w:rFonts w:eastAsiaTheme="minorEastAsia"/>
          <w:color w:val="000000" w:themeColor="text1"/>
          <w:kern w:val="24"/>
          <w:position w:val="1"/>
        </w:rPr>
      </w:pPr>
    </w:p>
    <w:p w14:paraId="47BFA39C" w14:textId="77777777" w:rsidR="007E358C" w:rsidRDefault="007E358C" w:rsidP="00D464EE">
      <w:pPr>
        <w:spacing w:line="360" w:lineRule="auto"/>
        <w:jc w:val="both"/>
        <w:rPr>
          <w:rFonts w:eastAsiaTheme="minorEastAsia"/>
          <w:color w:val="000000" w:themeColor="text1"/>
          <w:kern w:val="24"/>
          <w:position w:val="1"/>
        </w:rPr>
      </w:pPr>
      <w:r w:rsidRPr="00540604">
        <w:rPr>
          <w:rFonts w:eastAsiaTheme="minorEastAsia"/>
          <w:color w:val="000000" w:themeColor="text1"/>
          <w:kern w:val="24"/>
          <w:position w:val="1"/>
        </w:rPr>
        <w:t>The B</w:t>
      </w:r>
      <w:r w:rsidRPr="00540604">
        <w:rPr>
          <w:rFonts w:eastAsiaTheme="minorEastAsia"/>
          <w:color w:val="000000" w:themeColor="text1"/>
          <w:kern w:val="24"/>
          <w:lang w:val="en-GB"/>
        </w:rPr>
        <w:t>ill regulates</w:t>
      </w:r>
      <w:r w:rsidRPr="00540604">
        <w:rPr>
          <w:rFonts w:eastAsiaTheme="minorEastAsia"/>
          <w:color w:val="000000" w:themeColor="text1"/>
          <w:kern w:val="24"/>
          <w:position w:val="1"/>
          <w:lang w:val="en-GB"/>
        </w:rPr>
        <w:t xml:space="preserve"> direct private donations to political parties</w:t>
      </w:r>
      <w:r w:rsidRPr="00540604">
        <w:rPr>
          <w:rFonts w:eastAsiaTheme="minorEastAsia"/>
          <w:color w:val="000000" w:themeColor="text1"/>
          <w:kern w:val="24"/>
          <w:position w:val="1"/>
        </w:rPr>
        <w:t xml:space="preserve"> and </w:t>
      </w:r>
      <w:r w:rsidRPr="00540604">
        <w:rPr>
          <w:rFonts w:eastAsiaTheme="minorEastAsia"/>
          <w:color w:val="000000" w:themeColor="text1"/>
          <w:kern w:val="24"/>
          <w:position w:val="1"/>
          <w:lang w:val="en-GB"/>
        </w:rPr>
        <w:t>prohibits donations from</w:t>
      </w:r>
      <w:r w:rsidRPr="00540604">
        <w:rPr>
          <w:rFonts w:eastAsiaTheme="minorEastAsia"/>
          <w:color w:val="000000" w:themeColor="text1"/>
          <w:kern w:val="24"/>
          <w:position w:val="1"/>
        </w:rPr>
        <w:t xml:space="preserve"> –</w:t>
      </w:r>
    </w:p>
    <w:p w14:paraId="1DF46CCB" w14:textId="77777777" w:rsidR="00580C4C" w:rsidRPr="00540604" w:rsidRDefault="00580C4C" w:rsidP="00D464EE">
      <w:pPr>
        <w:spacing w:line="360" w:lineRule="auto"/>
        <w:jc w:val="both"/>
        <w:rPr>
          <w:rFonts w:eastAsiaTheme="minorEastAsia"/>
          <w:color w:val="000000" w:themeColor="text1"/>
          <w:kern w:val="24"/>
          <w:position w:val="1"/>
        </w:rPr>
      </w:pPr>
    </w:p>
    <w:p w14:paraId="44FE6869" w14:textId="77777777" w:rsidR="007E358C" w:rsidRPr="00540604" w:rsidRDefault="0076718C" w:rsidP="00D464EE">
      <w:pPr>
        <w:pStyle w:val="ListParagraph"/>
        <w:numPr>
          <w:ilvl w:val="2"/>
          <w:numId w:val="4"/>
        </w:numPr>
        <w:tabs>
          <w:tab w:val="clear" w:pos="2160"/>
          <w:tab w:val="num" w:pos="851"/>
        </w:tabs>
        <w:spacing w:line="360" w:lineRule="auto"/>
        <w:ind w:left="851" w:hanging="284"/>
        <w:jc w:val="both"/>
      </w:pPr>
      <w:r w:rsidRPr="00540604">
        <w:rPr>
          <w:rFonts w:eastAsiaTheme="minorEastAsia"/>
          <w:color w:val="000000" w:themeColor="text1"/>
          <w:kern w:val="24"/>
        </w:rPr>
        <w:t>F</w:t>
      </w:r>
      <w:r w:rsidR="007E358C" w:rsidRPr="00540604">
        <w:rPr>
          <w:rFonts w:eastAsiaTheme="minorEastAsia"/>
          <w:color w:val="000000" w:themeColor="text1"/>
          <w:kern w:val="24"/>
        </w:rPr>
        <w:t>oreign governments and foreign persons (</w:t>
      </w:r>
      <w:r w:rsidR="007E358C" w:rsidRPr="00540604">
        <w:rPr>
          <w:rFonts w:eastAsiaTheme="minorEastAsia"/>
          <w:color w:val="000000" w:themeColor="text1"/>
          <w:kern w:val="24"/>
          <w:lang w:val="en-GB"/>
        </w:rPr>
        <w:t>except</w:t>
      </w:r>
      <w:r w:rsidR="007E358C" w:rsidRPr="00540604">
        <w:rPr>
          <w:rFonts w:eastAsiaTheme="minorEastAsia"/>
          <w:color w:val="000000" w:themeColor="text1"/>
          <w:kern w:val="24"/>
        </w:rPr>
        <w:t xml:space="preserve"> </w:t>
      </w:r>
      <w:r w:rsidR="007E358C" w:rsidRPr="00540604">
        <w:rPr>
          <w:rFonts w:eastAsiaTheme="minorEastAsia"/>
          <w:color w:val="000000" w:themeColor="text1"/>
          <w:kern w:val="24"/>
          <w:lang w:val="en-GB"/>
        </w:rPr>
        <w:t>for the purpose of training, skills or policy development</w:t>
      </w:r>
      <w:r w:rsidR="007E358C" w:rsidRPr="00540604">
        <w:rPr>
          <w:rFonts w:eastAsiaTheme="minorEastAsia"/>
          <w:color w:val="000000" w:themeColor="text1"/>
          <w:kern w:val="24"/>
        </w:rPr>
        <w:t>);</w:t>
      </w:r>
    </w:p>
    <w:p w14:paraId="6EF8549D" w14:textId="77777777" w:rsidR="007E358C" w:rsidRPr="00540604" w:rsidRDefault="0076718C" w:rsidP="00D464EE">
      <w:pPr>
        <w:pStyle w:val="ListParagraph"/>
        <w:numPr>
          <w:ilvl w:val="2"/>
          <w:numId w:val="4"/>
        </w:numPr>
        <w:spacing w:line="360" w:lineRule="auto"/>
        <w:ind w:left="851" w:hanging="284"/>
        <w:jc w:val="both"/>
      </w:pPr>
      <w:r w:rsidRPr="00540604">
        <w:rPr>
          <w:rFonts w:eastAsiaTheme="minorEastAsia"/>
          <w:color w:val="000000" w:themeColor="text1"/>
          <w:kern w:val="24"/>
        </w:rPr>
        <w:t>S</w:t>
      </w:r>
      <w:r w:rsidR="007E358C" w:rsidRPr="00540604">
        <w:rPr>
          <w:rFonts w:eastAsiaTheme="minorEastAsia"/>
          <w:color w:val="000000" w:themeColor="text1"/>
          <w:kern w:val="24"/>
        </w:rPr>
        <w:t>tate-owned enterprises</w:t>
      </w:r>
      <w:r w:rsidR="00600A37" w:rsidRPr="00540604">
        <w:rPr>
          <w:rFonts w:eastAsiaTheme="minorEastAsia"/>
          <w:color w:val="000000" w:themeColor="text1"/>
          <w:kern w:val="24"/>
        </w:rPr>
        <w:t xml:space="preserve"> (SOEs)</w:t>
      </w:r>
      <w:r w:rsidR="007E358C" w:rsidRPr="00540604">
        <w:rPr>
          <w:rFonts w:eastAsiaTheme="minorEastAsia"/>
          <w:color w:val="000000" w:themeColor="text1"/>
          <w:kern w:val="24"/>
        </w:rPr>
        <w:t>;</w:t>
      </w:r>
    </w:p>
    <w:p w14:paraId="47D30E62" w14:textId="77777777" w:rsidR="007E358C" w:rsidRPr="00540604" w:rsidRDefault="0076718C" w:rsidP="00D464EE">
      <w:pPr>
        <w:pStyle w:val="ListParagraph"/>
        <w:numPr>
          <w:ilvl w:val="2"/>
          <w:numId w:val="4"/>
        </w:numPr>
        <w:spacing w:line="360" w:lineRule="auto"/>
        <w:ind w:left="851" w:hanging="284"/>
        <w:jc w:val="both"/>
      </w:pPr>
      <w:r w:rsidRPr="00540604">
        <w:rPr>
          <w:rFonts w:eastAsiaTheme="minorEastAsia"/>
          <w:color w:val="000000" w:themeColor="text1"/>
          <w:kern w:val="24"/>
        </w:rPr>
        <w:t>O</w:t>
      </w:r>
      <w:r w:rsidR="007E358C" w:rsidRPr="00540604">
        <w:rPr>
          <w:rFonts w:eastAsiaTheme="minorEastAsia"/>
          <w:color w:val="000000" w:themeColor="text1"/>
          <w:kern w:val="24"/>
        </w:rPr>
        <w:t>rgans of state; and</w:t>
      </w:r>
    </w:p>
    <w:p w14:paraId="06DBAF7B" w14:textId="77777777" w:rsidR="007E358C" w:rsidRPr="00540604" w:rsidRDefault="0076718C" w:rsidP="00D464EE">
      <w:pPr>
        <w:pStyle w:val="ListParagraph"/>
        <w:numPr>
          <w:ilvl w:val="2"/>
          <w:numId w:val="4"/>
        </w:numPr>
        <w:spacing w:line="360" w:lineRule="auto"/>
        <w:ind w:left="851" w:hanging="284"/>
        <w:jc w:val="both"/>
      </w:pPr>
      <w:r w:rsidRPr="00540604">
        <w:rPr>
          <w:rFonts w:eastAsiaTheme="minorEastAsia"/>
          <w:color w:val="000000" w:themeColor="text1"/>
          <w:kern w:val="24"/>
        </w:rPr>
        <w:t>P</w:t>
      </w:r>
      <w:r w:rsidR="007E358C" w:rsidRPr="00540604">
        <w:rPr>
          <w:rFonts w:eastAsiaTheme="minorEastAsia"/>
          <w:color w:val="000000" w:themeColor="text1"/>
          <w:kern w:val="24"/>
        </w:rPr>
        <w:t>roceeds of crime.</w:t>
      </w:r>
    </w:p>
    <w:p w14:paraId="34E7A80C" w14:textId="77777777" w:rsidR="00D13911" w:rsidRPr="00540604" w:rsidRDefault="00D13911" w:rsidP="00D464EE">
      <w:pPr>
        <w:pStyle w:val="ListParagraph"/>
        <w:spacing w:line="360" w:lineRule="auto"/>
        <w:ind w:left="2160"/>
        <w:jc w:val="both"/>
      </w:pPr>
    </w:p>
    <w:p w14:paraId="3626AE33" w14:textId="77777777" w:rsidR="00FB4A41" w:rsidRPr="00540604" w:rsidRDefault="00393320" w:rsidP="00D464EE">
      <w:pPr>
        <w:spacing w:line="360" w:lineRule="auto"/>
        <w:jc w:val="both"/>
      </w:pPr>
      <w:r w:rsidRPr="00540604">
        <w:t xml:space="preserve">The Bill </w:t>
      </w:r>
      <w:r w:rsidR="008F53E6" w:rsidRPr="00540604">
        <w:t xml:space="preserve">limits the amount </w:t>
      </w:r>
      <w:r w:rsidR="007E358C" w:rsidRPr="00540604">
        <w:rPr>
          <w:rFonts w:eastAsiaTheme="minorEastAsia"/>
          <w:color w:val="000000" w:themeColor="text1"/>
          <w:kern w:val="24"/>
          <w:position w:val="1"/>
          <w:lang w:val="en-GB"/>
        </w:rPr>
        <w:t xml:space="preserve">any person or entity can donate in a </w:t>
      </w:r>
      <w:r w:rsidR="008F53E6" w:rsidRPr="00540604">
        <w:rPr>
          <w:rFonts w:eastAsiaTheme="minorEastAsia"/>
          <w:color w:val="000000" w:themeColor="text1"/>
          <w:kern w:val="24"/>
          <w:position w:val="1"/>
          <w:lang w:val="en-GB"/>
        </w:rPr>
        <w:t xml:space="preserve">financial </w:t>
      </w:r>
      <w:r w:rsidR="007E358C" w:rsidRPr="00540604">
        <w:rPr>
          <w:rFonts w:eastAsiaTheme="minorEastAsia"/>
          <w:color w:val="000000" w:themeColor="text1"/>
          <w:kern w:val="24"/>
          <w:position w:val="1"/>
          <w:lang w:val="en-GB"/>
        </w:rPr>
        <w:t>year</w:t>
      </w:r>
      <w:r w:rsidR="008F53E6" w:rsidRPr="00540604">
        <w:rPr>
          <w:rFonts w:eastAsiaTheme="minorEastAsia"/>
          <w:color w:val="000000" w:themeColor="text1"/>
          <w:kern w:val="24"/>
          <w:position w:val="1"/>
          <w:lang w:val="en-GB"/>
        </w:rPr>
        <w:t xml:space="preserve"> to R15 million</w:t>
      </w:r>
      <w:r w:rsidR="00D13911" w:rsidRPr="00540604">
        <w:rPr>
          <w:rFonts w:eastAsiaTheme="minorEastAsia"/>
          <w:color w:val="000000" w:themeColor="text1"/>
          <w:kern w:val="24"/>
          <w:position w:val="1"/>
        </w:rPr>
        <w:t>; and p</w:t>
      </w:r>
      <w:r w:rsidR="00D13911" w:rsidRPr="00540604">
        <w:rPr>
          <w:rFonts w:eastAsiaTheme="minorEastAsia"/>
          <w:color w:val="000000" w:themeColor="text1"/>
          <w:kern w:val="24"/>
          <w:position w:val="1"/>
          <w:lang w:val="en-GB"/>
        </w:rPr>
        <w:t>rohibits</w:t>
      </w:r>
      <w:r w:rsidR="007E358C" w:rsidRPr="00540604">
        <w:rPr>
          <w:rFonts w:eastAsiaTheme="minorEastAsia"/>
          <w:color w:val="000000" w:themeColor="text1"/>
          <w:kern w:val="24"/>
          <w:position w:val="1"/>
          <w:lang w:val="en-GB"/>
        </w:rPr>
        <w:t xml:space="preserve"> donations made to a member of a party, except if the donation is </w:t>
      </w:r>
      <w:r w:rsidR="007E358C" w:rsidRPr="00540604">
        <w:rPr>
          <w:rFonts w:eastAsiaTheme="minorEastAsia"/>
          <w:color w:val="000000" w:themeColor="text1"/>
          <w:kern w:val="24"/>
          <w:lang w:val="en-GB"/>
        </w:rPr>
        <w:t>for political party purpose</w:t>
      </w:r>
      <w:r w:rsidR="00D13911" w:rsidRPr="00540604">
        <w:rPr>
          <w:rFonts w:eastAsiaTheme="minorEastAsia"/>
          <w:color w:val="000000" w:themeColor="text1"/>
          <w:kern w:val="24"/>
        </w:rPr>
        <w:t>s</w:t>
      </w:r>
      <w:r w:rsidR="007E358C" w:rsidRPr="00540604">
        <w:rPr>
          <w:rFonts w:eastAsiaTheme="minorEastAsia"/>
          <w:color w:val="000000" w:themeColor="text1"/>
          <w:kern w:val="24"/>
          <w:lang w:val="en-GB"/>
        </w:rPr>
        <w:t xml:space="preserve"> and accepted on </w:t>
      </w:r>
      <w:r w:rsidR="007E358C" w:rsidRPr="00540604">
        <w:rPr>
          <w:rFonts w:eastAsiaTheme="minorEastAsia"/>
          <w:color w:val="000000" w:themeColor="text1"/>
          <w:kern w:val="24"/>
          <w:position w:val="1"/>
          <w:lang w:val="en-GB"/>
        </w:rPr>
        <w:t>behalf of the party.</w:t>
      </w:r>
      <w:r w:rsidR="00D13911" w:rsidRPr="00540604">
        <w:rPr>
          <w:rFonts w:eastAsiaTheme="minorEastAsia"/>
          <w:color w:val="000000" w:themeColor="text1"/>
          <w:kern w:val="24"/>
          <w:position w:val="1"/>
        </w:rPr>
        <w:t xml:space="preserve"> The B</w:t>
      </w:r>
      <w:r w:rsidR="008D7BDA" w:rsidRPr="00540604">
        <w:t xml:space="preserve">ill requires the disclosure of all donations above </w:t>
      </w:r>
      <w:r w:rsidR="008F53E6" w:rsidRPr="00540604">
        <w:t xml:space="preserve">R100 000 </w:t>
      </w:r>
      <w:r w:rsidR="008D7BDA" w:rsidRPr="00540604">
        <w:t>to the IEC by</w:t>
      </w:r>
      <w:r w:rsidR="00D13911" w:rsidRPr="00540604">
        <w:t xml:space="preserve"> </w:t>
      </w:r>
      <w:r w:rsidR="008D7BDA" w:rsidRPr="00540604">
        <w:t>the political party</w:t>
      </w:r>
      <w:r w:rsidR="00D13911" w:rsidRPr="00540604">
        <w:t xml:space="preserve"> and th</w:t>
      </w:r>
      <w:r w:rsidR="008D7BDA" w:rsidRPr="00540604">
        <w:t>e donor</w:t>
      </w:r>
      <w:r w:rsidR="00D13911" w:rsidRPr="00540604">
        <w:t>, and t</w:t>
      </w:r>
      <w:r w:rsidR="008D7BDA" w:rsidRPr="00540604">
        <w:t>he IEC must publish the donations disclosed to it on a quarterly basis.</w:t>
      </w:r>
      <w:r w:rsidR="00D13911" w:rsidRPr="00540604">
        <w:t xml:space="preserve"> </w:t>
      </w:r>
      <w:r w:rsidR="008D7BDA" w:rsidRPr="00540604">
        <w:t>The Bill states that these disclosure requirements do not detract from the right to access to information under the P</w:t>
      </w:r>
      <w:r w:rsidR="00B4631E" w:rsidRPr="00540604">
        <w:t xml:space="preserve">romotion of </w:t>
      </w:r>
      <w:r w:rsidR="008D7BDA" w:rsidRPr="00540604">
        <w:t>A</w:t>
      </w:r>
      <w:r w:rsidR="00B4631E" w:rsidRPr="00540604">
        <w:t xml:space="preserve">ccess to </w:t>
      </w:r>
      <w:r w:rsidR="008D7BDA" w:rsidRPr="00540604">
        <w:t>I</w:t>
      </w:r>
      <w:r w:rsidR="00B4631E" w:rsidRPr="00540604">
        <w:t xml:space="preserve">nformation </w:t>
      </w:r>
      <w:r w:rsidR="008D7BDA" w:rsidRPr="00540604">
        <w:t>A</w:t>
      </w:r>
      <w:r w:rsidR="008F53E6" w:rsidRPr="00540604">
        <w:t>ct (Act No 2 of 2000).</w:t>
      </w:r>
    </w:p>
    <w:p w14:paraId="04F5AC34" w14:textId="77777777" w:rsidR="00D13911" w:rsidRPr="00540604" w:rsidRDefault="00D13911" w:rsidP="00D464EE">
      <w:pPr>
        <w:spacing w:line="360" w:lineRule="auto"/>
        <w:jc w:val="both"/>
      </w:pPr>
    </w:p>
    <w:p w14:paraId="5FDBF9EA" w14:textId="77777777" w:rsidR="00FB4A41" w:rsidRPr="00540604" w:rsidRDefault="00D13911" w:rsidP="00D464EE">
      <w:pPr>
        <w:spacing w:line="360" w:lineRule="auto"/>
        <w:jc w:val="both"/>
      </w:pPr>
      <w:r w:rsidRPr="00540604">
        <w:t xml:space="preserve">The </w:t>
      </w:r>
      <w:r w:rsidR="008D7BDA" w:rsidRPr="00540604">
        <w:t>Bill imposes accounting and reporting obligations</w:t>
      </w:r>
      <w:r w:rsidRPr="00540604">
        <w:t xml:space="preserve"> on political parties and p</w:t>
      </w:r>
      <w:r w:rsidR="008D7BDA" w:rsidRPr="00540604">
        <w:t xml:space="preserve">rovides for unspent money from the </w:t>
      </w:r>
      <w:r w:rsidRPr="00540604">
        <w:t>f</w:t>
      </w:r>
      <w:r w:rsidR="008D7BDA" w:rsidRPr="00540604">
        <w:t>unds at the end of the financial year and if a legislature is dissolved or its terms expired.</w:t>
      </w:r>
    </w:p>
    <w:p w14:paraId="150F7A99" w14:textId="77777777" w:rsidR="00D13911" w:rsidRPr="00540604" w:rsidRDefault="00D13911" w:rsidP="00D464EE">
      <w:pPr>
        <w:spacing w:line="360" w:lineRule="auto"/>
        <w:jc w:val="both"/>
      </w:pPr>
    </w:p>
    <w:p w14:paraId="0DDF0B57" w14:textId="77777777" w:rsidR="00FB4A41" w:rsidRPr="00540604" w:rsidRDefault="00D13911" w:rsidP="00D464EE">
      <w:pPr>
        <w:spacing w:line="360" w:lineRule="auto"/>
        <w:jc w:val="both"/>
      </w:pPr>
      <w:r w:rsidRPr="00540604">
        <w:t>With regard to e</w:t>
      </w:r>
      <w:r w:rsidR="008D7BDA" w:rsidRPr="00540604">
        <w:t>nforcement</w:t>
      </w:r>
      <w:r w:rsidRPr="00540604">
        <w:t>, t</w:t>
      </w:r>
      <w:r w:rsidR="008D7BDA" w:rsidRPr="00540604">
        <w:t>he Bill gives the IEC monitoring and inspection powers and powers to suspend payments of money and recover money irregularly received or spent.</w:t>
      </w:r>
      <w:r w:rsidRPr="00540604">
        <w:t xml:space="preserve"> The </w:t>
      </w:r>
      <w:r w:rsidR="008D7BDA" w:rsidRPr="00540604">
        <w:t xml:space="preserve">Electoral Court </w:t>
      </w:r>
      <w:r w:rsidRPr="00540604">
        <w:t xml:space="preserve">is given </w:t>
      </w:r>
      <w:r w:rsidR="008D7BDA" w:rsidRPr="00540604">
        <w:t>the power to review decisions of the IEC and to impose administrative fines.</w:t>
      </w:r>
    </w:p>
    <w:p w14:paraId="40C2AE38" w14:textId="77777777" w:rsidR="00374625" w:rsidRPr="00540604" w:rsidRDefault="00374625" w:rsidP="00D464EE">
      <w:pPr>
        <w:spacing w:line="360" w:lineRule="auto"/>
        <w:ind w:left="360"/>
        <w:jc w:val="both"/>
        <w:rPr>
          <w:b/>
        </w:rPr>
      </w:pPr>
    </w:p>
    <w:p w14:paraId="07A27B3B" w14:textId="77777777" w:rsidR="00681595" w:rsidRPr="00540604" w:rsidRDefault="00681595" w:rsidP="00D464EE">
      <w:pPr>
        <w:pStyle w:val="ListParagraph"/>
        <w:numPr>
          <w:ilvl w:val="0"/>
          <w:numId w:val="1"/>
        </w:numPr>
        <w:spacing w:line="360" w:lineRule="auto"/>
        <w:jc w:val="both"/>
        <w:rPr>
          <w:b/>
        </w:rPr>
      </w:pPr>
      <w:r w:rsidRPr="00540604">
        <w:rPr>
          <w:b/>
        </w:rPr>
        <w:t>Submissions by stakeholders</w:t>
      </w:r>
    </w:p>
    <w:p w14:paraId="7F5E3496" w14:textId="77777777" w:rsidR="00C42340" w:rsidRPr="00540604" w:rsidRDefault="00C42340" w:rsidP="00D464EE">
      <w:pPr>
        <w:pStyle w:val="ListParagraph"/>
        <w:numPr>
          <w:ilvl w:val="1"/>
          <w:numId w:val="1"/>
        </w:numPr>
        <w:spacing w:line="360" w:lineRule="auto"/>
        <w:jc w:val="both"/>
        <w:rPr>
          <w:b/>
        </w:rPr>
      </w:pPr>
      <w:r w:rsidRPr="00540604">
        <w:rPr>
          <w:b/>
        </w:rPr>
        <w:t xml:space="preserve"> Mr J Powell</w:t>
      </w:r>
    </w:p>
    <w:p w14:paraId="5C145A7F" w14:textId="77777777" w:rsidR="00C42340" w:rsidRPr="00540604" w:rsidRDefault="00C42340" w:rsidP="00D464EE">
      <w:pPr>
        <w:pStyle w:val="ListParagraph"/>
        <w:spacing w:line="360" w:lineRule="auto"/>
        <w:ind w:left="0"/>
        <w:jc w:val="both"/>
      </w:pPr>
      <w:r w:rsidRPr="00540604">
        <w:t xml:space="preserve">Mr Powell proposed that Clause 3(5) be deleted, as in his view, it limited transparency. He further proposed that the requirement that the funds be invested with the Public Investment </w:t>
      </w:r>
      <w:r w:rsidRPr="00540604">
        <w:lastRenderedPageBreak/>
        <w:t xml:space="preserve">Corporation (PIC) be deleted, as this was a risky investment. </w:t>
      </w:r>
      <w:r w:rsidR="00B05661" w:rsidRPr="00540604">
        <w:t xml:space="preserve">With regard to </w:t>
      </w:r>
      <w:r w:rsidRPr="00540604">
        <w:t>Clause 6(1) and (6)</w:t>
      </w:r>
      <w:r w:rsidR="00B05661" w:rsidRPr="00540604">
        <w:t xml:space="preserve">, he proposed </w:t>
      </w:r>
      <w:r w:rsidRPr="00540604">
        <w:t>to change the basis of the allocation of funds to political parties to those represented in national and provincial legislatures to tho</w:t>
      </w:r>
      <w:r w:rsidR="00B05661" w:rsidRPr="00540604">
        <w:t xml:space="preserve">se parties that have collected </w:t>
      </w:r>
      <w:r w:rsidRPr="00540604">
        <w:t>signatures (number to be assessed), which may not be collected by pe</w:t>
      </w:r>
      <w:r w:rsidR="00B05661" w:rsidRPr="00540604">
        <w:t>rsons who are remunerated</w:t>
      </w:r>
      <w:r w:rsidRPr="00540604">
        <w:t xml:space="preserve"> by the party.</w:t>
      </w:r>
    </w:p>
    <w:p w14:paraId="13E0ABA8" w14:textId="77777777" w:rsidR="00B05661" w:rsidRPr="00540604" w:rsidRDefault="00B05661" w:rsidP="00D464EE">
      <w:pPr>
        <w:pStyle w:val="ListParagraph"/>
        <w:spacing w:line="360" w:lineRule="auto"/>
        <w:jc w:val="both"/>
      </w:pPr>
    </w:p>
    <w:p w14:paraId="2D2606A0" w14:textId="77777777" w:rsidR="00C42340" w:rsidRPr="00540604" w:rsidRDefault="00C42340" w:rsidP="00D464EE">
      <w:pPr>
        <w:pStyle w:val="ListParagraph"/>
        <w:numPr>
          <w:ilvl w:val="1"/>
          <w:numId w:val="1"/>
        </w:numPr>
        <w:spacing w:line="360" w:lineRule="auto"/>
        <w:jc w:val="both"/>
        <w:rPr>
          <w:b/>
        </w:rPr>
      </w:pPr>
      <w:r w:rsidRPr="00540604">
        <w:rPr>
          <w:b/>
        </w:rPr>
        <w:t xml:space="preserve"> Mr F Strydom</w:t>
      </w:r>
    </w:p>
    <w:p w14:paraId="26D9039D" w14:textId="77777777" w:rsidR="00C42340" w:rsidRPr="00540604" w:rsidRDefault="00B05661" w:rsidP="00D464EE">
      <w:pPr>
        <w:pStyle w:val="ListParagraph"/>
        <w:spacing w:line="360" w:lineRule="auto"/>
        <w:ind w:left="0"/>
        <w:jc w:val="both"/>
      </w:pPr>
      <w:r w:rsidRPr="00540604">
        <w:t>Mr Strydom was of the opinion that political parties should fundraise on their own and should be transparent on figures, and then budget on how they are going to use</w:t>
      </w:r>
      <w:r w:rsidR="0076718C" w:rsidRPr="00540604">
        <w:t xml:space="preserve"> the</w:t>
      </w:r>
      <w:r w:rsidRPr="00540604">
        <w:t xml:space="preserve"> funds.</w:t>
      </w:r>
    </w:p>
    <w:p w14:paraId="6E6C6F8E" w14:textId="77777777" w:rsidR="00B05661" w:rsidRPr="00540604" w:rsidRDefault="00B05661" w:rsidP="00D464EE">
      <w:pPr>
        <w:pStyle w:val="ListParagraph"/>
        <w:spacing w:line="360" w:lineRule="auto"/>
        <w:jc w:val="both"/>
        <w:rPr>
          <w:b/>
        </w:rPr>
      </w:pPr>
    </w:p>
    <w:p w14:paraId="51008C67" w14:textId="77777777" w:rsidR="00C42340" w:rsidRPr="00540604" w:rsidRDefault="00C42340" w:rsidP="00D464EE">
      <w:pPr>
        <w:pStyle w:val="ListParagraph"/>
        <w:numPr>
          <w:ilvl w:val="1"/>
          <w:numId w:val="1"/>
        </w:numPr>
        <w:spacing w:line="360" w:lineRule="auto"/>
        <w:jc w:val="both"/>
        <w:rPr>
          <w:b/>
        </w:rPr>
      </w:pPr>
      <w:r w:rsidRPr="00540604">
        <w:rPr>
          <w:b/>
        </w:rPr>
        <w:t xml:space="preserve"> Mr S Xaba</w:t>
      </w:r>
    </w:p>
    <w:p w14:paraId="1D1721F6" w14:textId="77777777" w:rsidR="00B05661" w:rsidRPr="00540604" w:rsidRDefault="00B05661" w:rsidP="00D464EE">
      <w:pPr>
        <w:pStyle w:val="BCHCtabletext"/>
        <w:spacing w:line="360" w:lineRule="auto"/>
        <w:jc w:val="both"/>
        <w:rPr>
          <w:rFonts w:ascii="Times New Roman" w:hAnsi="Times New Roman"/>
          <w:sz w:val="24"/>
          <w:szCs w:val="24"/>
          <w:lang w:eastAsia="en-ZA"/>
        </w:rPr>
      </w:pPr>
      <w:r w:rsidRPr="00540604">
        <w:rPr>
          <w:rFonts w:ascii="Times New Roman" w:hAnsi="Times New Roman"/>
          <w:sz w:val="24"/>
          <w:szCs w:val="24"/>
        </w:rPr>
        <w:t>Mr Xaba inquired whether Parliament could help raise funds for disabled students, if they could fund political parties. He was further of the opinion that po</w:t>
      </w:r>
      <w:r w:rsidRPr="00540604">
        <w:rPr>
          <w:rFonts w:ascii="Times New Roman" w:hAnsi="Times New Roman"/>
          <w:sz w:val="24"/>
          <w:szCs w:val="24"/>
          <w:lang w:eastAsia="en-ZA"/>
        </w:rPr>
        <w:t xml:space="preserve">litical parties that excluded the participation of disabled people, through the failure to provide for sign language or Braille, or did not have disabled people as part of their executive and did not support Early Childhood Development for disabled children, should not receive political party funding. </w:t>
      </w:r>
    </w:p>
    <w:p w14:paraId="1B7EAC57" w14:textId="77777777" w:rsidR="00B05661" w:rsidRPr="00540604" w:rsidRDefault="00B05661" w:rsidP="00D464EE">
      <w:pPr>
        <w:pStyle w:val="ListParagraph"/>
        <w:spacing w:line="360" w:lineRule="auto"/>
        <w:jc w:val="both"/>
      </w:pPr>
    </w:p>
    <w:p w14:paraId="65A65481" w14:textId="77777777" w:rsidR="00C42340" w:rsidRPr="00540604" w:rsidRDefault="00C42340" w:rsidP="00D464EE">
      <w:pPr>
        <w:pStyle w:val="ListParagraph"/>
        <w:numPr>
          <w:ilvl w:val="1"/>
          <w:numId w:val="1"/>
        </w:numPr>
        <w:spacing w:line="360" w:lineRule="auto"/>
        <w:jc w:val="both"/>
        <w:rPr>
          <w:b/>
        </w:rPr>
      </w:pPr>
      <w:r w:rsidRPr="00540604">
        <w:rPr>
          <w:b/>
        </w:rPr>
        <w:t xml:space="preserve"> Free Market Foundation</w:t>
      </w:r>
    </w:p>
    <w:p w14:paraId="3904BCF8" w14:textId="77777777" w:rsidR="00B05661" w:rsidRPr="00540604" w:rsidRDefault="005E7C59" w:rsidP="00D464EE">
      <w:pPr>
        <w:spacing w:line="360" w:lineRule="auto"/>
        <w:jc w:val="both"/>
      </w:pPr>
      <w:r w:rsidRPr="00540604">
        <w:t xml:space="preserve">The Free Market Foundation </w:t>
      </w:r>
      <w:r w:rsidR="007030B4" w:rsidRPr="00540604">
        <w:t xml:space="preserve">(FMF) submitted </w:t>
      </w:r>
      <w:r w:rsidRPr="00540604">
        <w:t xml:space="preserve">that the obligation on a political party and donor to disclose donations above a prescribed threshold, </w:t>
      </w:r>
      <w:r w:rsidR="007030B4" w:rsidRPr="00540604">
        <w:t xml:space="preserve">as contained in Clause 9 of the Bill, </w:t>
      </w:r>
      <w:r w:rsidRPr="00540604">
        <w:t>would mean that a donor may be victimised.</w:t>
      </w:r>
      <w:r w:rsidR="007030B4" w:rsidRPr="00540604">
        <w:t xml:space="preserve"> The FMF was of the opinion that whereas the Bill was intended to give voice to international anti-corruption measures agreed to by South Africa, it may have the opposite effect if it was enacted now.</w:t>
      </w:r>
    </w:p>
    <w:p w14:paraId="05D24359" w14:textId="77777777" w:rsidR="00C42340" w:rsidRPr="00540604" w:rsidRDefault="00C42340" w:rsidP="00D464EE">
      <w:pPr>
        <w:pStyle w:val="ListParagraph"/>
        <w:spacing w:line="360" w:lineRule="auto"/>
        <w:jc w:val="both"/>
        <w:rPr>
          <w:b/>
        </w:rPr>
      </w:pPr>
    </w:p>
    <w:p w14:paraId="6E6E6B38" w14:textId="77777777" w:rsidR="00C42340" w:rsidRPr="00540604" w:rsidRDefault="00C42340" w:rsidP="00D464EE">
      <w:pPr>
        <w:pStyle w:val="ListParagraph"/>
        <w:numPr>
          <w:ilvl w:val="1"/>
          <w:numId w:val="1"/>
        </w:numPr>
        <w:spacing w:line="360" w:lineRule="auto"/>
        <w:jc w:val="both"/>
        <w:rPr>
          <w:b/>
        </w:rPr>
      </w:pPr>
      <w:r w:rsidRPr="00540604">
        <w:rPr>
          <w:b/>
        </w:rPr>
        <w:t xml:space="preserve"> CASAC</w:t>
      </w:r>
    </w:p>
    <w:p w14:paraId="1D1444E6" w14:textId="77777777" w:rsidR="005E7C59" w:rsidRPr="00540604" w:rsidRDefault="005E7C59" w:rsidP="00D464EE">
      <w:pPr>
        <w:pStyle w:val="BCHCtabletext"/>
        <w:spacing w:line="360" w:lineRule="auto"/>
        <w:jc w:val="both"/>
        <w:rPr>
          <w:rFonts w:ascii="Times New Roman" w:hAnsi="Times New Roman"/>
          <w:sz w:val="24"/>
          <w:szCs w:val="24"/>
        </w:rPr>
      </w:pPr>
      <w:r w:rsidRPr="00540604">
        <w:rPr>
          <w:rFonts w:ascii="Times New Roman" w:hAnsi="Times New Roman"/>
          <w:sz w:val="24"/>
          <w:szCs w:val="24"/>
        </w:rPr>
        <w:t>The Council for the Advancement of the South African Constitution (CASAC) recognised that the Bill was the product of months of extensive deliberations and wide-ranging public participation and the engagement of experts. CASAC further noted that this process would set South Africa’s political party finance legislation as amongst the most transparent and accountable in the world. The Council urged the NCOP to pass the Bill in its current form to avoid unduly delaying its implementation. However, if the Committee was to propose amendments, CASAC submitted the following three proposed amendments:</w:t>
      </w:r>
    </w:p>
    <w:p w14:paraId="2DA3E148" w14:textId="77777777" w:rsidR="005E7C59" w:rsidRPr="00540604" w:rsidRDefault="005E7C59" w:rsidP="00D464EE">
      <w:pPr>
        <w:pStyle w:val="BCHCtabletext"/>
        <w:numPr>
          <w:ilvl w:val="0"/>
          <w:numId w:val="9"/>
        </w:numPr>
        <w:spacing w:line="360" w:lineRule="auto"/>
        <w:jc w:val="both"/>
        <w:rPr>
          <w:rFonts w:ascii="Times New Roman" w:hAnsi="Times New Roman"/>
          <w:sz w:val="24"/>
          <w:szCs w:val="24"/>
        </w:rPr>
      </w:pPr>
      <w:r w:rsidRPr="00540604">
        <w:rPr>
          <w:rFonts w:ascii="Times New Roman" w:hAnsi="Times New Roman"/>
          <w:sz w:val="24"/>
          <w:szCs w:val="24"/>
        </w:rPr>
        <w:lastRenderedPageBreak/>
        <w:t>With respect to Clause 6, CASAC submitted that the appropriate formula for the distribution of funds under the Multi-Party Democracy Fund, was is 50 percent on the basis of proportionality and 50 percent on the basis of equity, because the new formula may not pass constitutional muster.</w:t>
      </w:r>
    </w:p>
    <w:p w14:paraId="030643B4" w14:textId="77777777" w:rsidR="005E7C59" w:rsidRPr="00540604" w:rsidRDefault="005E7C59" w:rsidP="00D464EE">
      <w:pPr>
        <w:pStyle w:val="BCHCtabletext"/>
        <w:numPr>
          <w:ilvl w:val="0"/>
          <w:numId w:val="9"/>
        </w:numPr>
        <w:spacing w:line="360" w:lineRule="auto"/>
        <w:jc w:val="both"/>
        <w:rPr>
          <w:rFonts w:ascii="Times New Roman" w:hAnsi="Times New Roman"/>
          <w:sz w:val="24"/>
          <w:szCs w:val="24"/>
        </w:rPr>
      </w:pPr>
      <w:r w:rsidRPr="00540604">
        <w:rPr>
          <w:rFonts w:ascii="Times New Roman" w:hAnsi="Times New Roman"/>
          <w:sz w:val="24"/>
          <w:szCs w:val="24"/>
        </w:rPr>
        <w:t xml:space="preserve">With respect to Clause 9, CASAC proposed that </w:t>
      </w:r>
      <w:r w:rsidR="00F70F66" w:rsidRPr="00540604">
        <w:rPr>
          <w:rFonts w:ascii="Times New Roman" w:hAnsi="Times New Roman"/>
          <w:sz w:val="24"/>
          <w:szCs w:val="24"/>
        </w:rPr>
        <w:t>the prescribed threshold in terms of subsection 1(a) should be lowered to R50 000.</w:t>
      </w:r>
    </w:p>
    <w:p w14:paraId="225FFAE1" w14:textId="77777777" w:rsidR="00F70F66" w:rsidRDefault="00F70F66" w:rsidP="00D464EE">
      <w:pPr>
        <w:pStyle w:val="BCHCtabletext"/>
        <w:numPr>
          <w:ilvl w:val="0"/>
          <w:numId w:val="9"/>
        </w:numPr>
        <w:spacing w:line="360" w:lineRule="auto"/>
        <w:jc w:val="both"/>
        <w:rPr>
          <w:rFonts w:ascii="Times New Roman" w:hAnsi="Times New Roman"/>
          <w:sz w:val="24"/>
          <w:szCs w:val="24"/>
        </w:rPr>
      </w:pPr>
      <w:r w:rsidRPr="00540604">
        <w:rPr>
          <w:rFonts w:ascii="Times New Roman" w:hAnsi="Times New Roman"/>
          <w:sz w:val="24"/>
          <w:szCs w:val="24"/>
        </w:rPr>
        <w:t xml:space="preserve">In Clause 10, the Council felt that the wording could be improved to allow for donors to make donations for </w:t>
      </w:r>
      <w:r w:rsidRPr="00540604">
        <w:rPr>
          <w:rFonts w:ascii="Times New Roman" w:hAnsi="Times New Roman"/>
          <w:i/>
          <w:sz w:val="24"/>
          <w:szCs w:val="24"/>
        </w:rPr>
        <w:t>bona fide</w:t>
      </w:r>
      <w:r w:rsidRPr="00540604">
        <w:rPr>
          <w:rFonts w:ascii="Times New Roman" w:hAnsi="Times New Roman"/>
          <w:sz w:val="24"/>
          <w:szCs w:val="24"/>
        </w:rPr>
        <w:t xml:space="preserve"> financial assistance, such as a study bursary.</w:t>
      </w:r>
    </w:p>
    <w:p w14:paraId="57283CD7" w14:textId="77777777" w:rsidR="00C42340" w:rsidRPr="00540604" w:rsidRDefault="00C42340" w:rsidP="00D464EE">
      <w:pPr>
        <w:pStyle w:val="ListParagraph"/>
        <w:numPr>
          <w:ilvl w:val="1"/>
          <w:numId w:val="1"/>
        </w:numPr>
        <w:spacing w:line="360" w:lineRule="auto"/>
        <w:jc w:val="both"/>
        <w:rPr>
          <w:b/>
        </w:rPr>
      </w:pPr>
      <w:r w:rsidRPr="00540604">
        <w:rPr>
          <w:b/>
        </w:rPr>
        <w:t xml:space="preserve"> Auditor-General of South Africa</w:t>
      </w:r>
    </w:p>
    <w:p w14:paraId="3DB2F04D" w14:textId="77777777" w:rsidR="00F70F66" w:rsidRPr="00540604" w:rsidRDefault="00F70F66" w:rsidP="00D464EE">
      <w:pPr>
        <w:spacing w:line="360" w:lineRule="auto"/>
        <w:jc w:val="both"/>
      </w:pPr>
      <w:r w:rsidRPr="00540604">
        <w:t>The Auditor-General of South Africa (AGSA) indicated that it supported the Bill, but was of the view that Clause 12(5) was in conflict with section 188 of the Constitution, because it was not clear whether the funding of political parties from the Represented Political Parties Fund was for a public purpose.  The AGSA further submitted that p</w:t>
      </w:r>
      <w:r w:rsidRPr="00540604">
        <w:rPr>
          <w:color w:val="000000" w:themeColor="text1"/>
        </w:rPr>
        <w:t xml:space="preserve">olitical parties should not audited by the AGSA because they were not accountable to Parliament for their running operations and the spending of their funds. Thirdly, the </w:t>
      </w:r>
      <w:r w:rsidRPr="00540604">
        <w:t>AGSA pointed out that it was in no position to take on more audits.</w:t>
      </w:r>
    </w:p>
    <w:p w14:paraId="14B99EE7" w14:textId="77777777" w:rsidR="00C42340" w:rsidRPr="00540604" w:rsidRDefault="00C42340" w:rsidP="00D464EE">
      <w:pPr>
        <w:pStyle w:val="ListParagraph"/>
        <w:spacing w:line="360" w:lineRule="auto"/>
        <w:jc w:val="both"/>
        <w:rPr>
          <w:b/>
        </w:rPr>
      </w:pPr>
    </w:p>
    <w:p w14:paraId="3011D118" w14:textId="77777777" w:rsidR="00C42340" w:rsidRPr="00540604" w:rsidRDefault="00C42340" w:rsidP="00D464EE">
      <w:pPr>
        <w:pStyle w:val="ListParagraph"/>
        <w:numPr>
          <w:ilvl w:val="1"/>
          <w:numId w:val="1"/>
        </w:numPr>
        <w:spacing w:line="360" w:lineRule="auto"/>
        <w:jc w:val="both"/>
        <w:rPr>
          <w:b/>
        </w:rPr>
      </w:pPr>
      <w:r w:rsidRPr="00540604">
        <w:rPr>
          <w:b/>
        </w:rPr>
        <w:t xml:space="preserve"> COSATU</w:t>
      </w:r>
    </w:p>
    <w:p w14:paraId="368F6301" w14:textId="77777777" w:rsidR="00F70F66" w:rsidRDefault="00F70F66" w:rsidP="00D464EE">
      <w:pPr>
        <w:spacing w:line="360" w:lineRule="auto"/>
        <w:jc w:val="both"/>
        <w:textAlignment w:val="baseline"/>
      </w:pPr>
      <w:r w:rsidRPr="00540604">
        <w:t>The Congress of South African Trade Unions (COSATU)</w:t>
      </w:r>
      <w:r w:rsidR="0064274E" w:rsidRPr="00540604">
        <w:t xml:space="preserve"> welcomed the Bill and its objects, and expressed support specifically for the equitable and proportional representation-based party funding; the prohibition of donations from foreign government and state agencies, South African state organs and SOEs; and proceeds of crime.</w:t>
      </w:r>
      <w:r w:rsidR="00E148C9" w:rsidRPr="00540604">
        <w:t xml:space="preserve"> However, COSATU opposed the principle of expanding public funding of political parties in a climate of austerity</w:t>
      </w:r>
      <w:r w:rsidR="001408C1" w:rsidRPr="00540604">
        <w:rPr>
          <w:rFonts w:eastAsiaTheme="minorEastAsia"/>
          <w:color w:val="000000" w:themeColor="text1"/>
          <w:lang w:val="en-US" w:eastAsia="en-ZA"/>
          <w14:shadow w14:blurRad="38100" w14:dist="38100" w14:dir="2700000" w14:sx="100000" w14:sy="100000" w14:kx="0" w14:ky="0" w14:algn="tl">
            <w14:srgbClr w14:val="000000"/>
          </w14:shadow>
        </w:rPr>
        <w:t>,</w:t>
      </w:r>
      <w:r w:rsidR="00516000" w:rsidRPr="00540604">
        <w:rPr>
          <w:rFonts w:eastAsiaTheme="minorEastAsia"/>
          <w:color w:val="000000" w:themeColor="text1"/>
          <w:lang w:val="en-US" w:eastAsia="en-ZA"/>
          <w14:shadow w14:blurRad="38100" w14:dist="38100" w14:dir="2700000" w14:sx="100000" w14:sy="100000" w14:kx="0" w14:ky="0" w14:algn="tl">
            <w14:srgbClr w14:val="000000"/>
          </w14:shadow>
        </w:rPr>
        <w:t xml:space="preserve"> </w:t>
      </w:r>
      <w:r w:rsidR="00516000" w:rsidRPr="00540604">
        <w:t>poor service delivery and state and SOE job cuts. It further proposed that Clause 9(1)</w:t>
      </w:r>
      <w:r w:rsidRPr="00540604">
        <w:t xml:space="preserve"> be deleted, </w:t>
      </w:r>
      <w:r w:rsidR="00516000" w:rsidRPr="00540604">
        <w:t xml:space="preserve">to enable </w:t>
      </w:r>
      <w:r w:rsidRPr="00540604">
        <w:t xml:space="preserve">full transparency. </w:t>
      </w:r>
      <w:r w:rsidR="00516000" w:rsidRPr="00540604">
        <w:t>It was COSATU’s opinion that a</w:t>
      </w:r>
      <w:r w:rsidRPr="00540604">
        <w:t xml:space="preserve">ny </w:t>
      </w:r>
      <w:r w:rsidR="00516000" w:rsidRPr="00540604">
        <w:t xml:space="preserve">dilution of this principle would </w:t>
      </w:r>
      <w:r w:rsidRPr="00540604">
        <w:t>put the Bill’s progressive objectives at risk.</w:t>
      </w:r>
    </w:p>
    <w:p w14:paraId="35D5FCAC" w14:textId="77777777" w:rsidR="00580C4C" w:rsidRPr="00540604" w:rsidRDefault="00580C4C" w:rsidP="00D464EE">
      <w:pPr>
        <w:spacing w:line="360" w:lineRule="auto"/>
        <w:jc w:val="both"/>
        <w:textAlignment w:val="baseline"/>
        <w:rPr>
          <w:color w:val="FFFFFF"/>
          <w:lang w:eastAsia="en-ZA"/>
        </w:rPr>
      </w:pPr>
    </w:p>
    <w:p w14:paraId="6D4B2E1F" w14:textId="77777777" w:rsidR="00C42340" w:rsidRPr="00540604" w:rsidRDefault="00C42340" w:rsidP="00D464EE">
      <w:pPr>
        <w:pStyle w:val="ListParagraph"/>
        <w:numPr>
          <w:ilvl w:val="1"/>
          <w:numId w:val="1"/>
        </w:numPr>
        <w:spacing w:line="360" w:lineRule="auto"/>
        <w:jc w:val="both"/>
        <w:rPr>
          <w:b/>
        </w:rPr>
      </w:pPr>
      <w:r w:rsidRPr="00540604">
        <w:rPr>
          <w:b/>
        </w:rPr>
        <w:t xml:space="preserve"> My Vote Counts</w:t>
      </w:r>
    </w:p>
    <w:p w14:paraId="78353AB8" w14:textId="77777777" w:rsidR="001D3017" w:rsidRPr="00540604" w:rsidRDefault="00AA63BE" w:rsidP="00D464EE">
      <w:pPr>
        <w:spacing w:line="360" w:lineRule="auto"/>
        <w:jc w:val="both"/>
      </w:pPr>
      <w:r w:rsidRPr="00540604">
        <w:t>My</w:t>
      </w:r>
      <w:r w:rsidR="001639C0" w:rsidRPr="00540604">
        <w:t xml:space="preserve"> Vote Counts </w:t>
      </w:r>
      <w:r w:rsidR="00EF13D3" w:rsidRPr="00540604">
        <w:t xml:space="preserve">(MVC) was of the opinion that the Bill should include public funding for political parties and independent candidates at local government level from the Multi-Party Democracy Fund. </w:t>
      </w:r>
    </w:p>
    <w:p w14:paraId="2D1A8E92" w14:textId="77777777" w:rsidR="001D3017" w:rsidRPr="00540604" w:rsidRDefault="001D3017" w:rsidP="00D464EE">
      <w:pPr>
        <w:spacing w:line="360" w:lineRule="auto"/>
        <w:jc w:val="both"/>
      </w:pPr>
    </w:p>
    <w:p w14:paraId="6EDC35E7" w14:textId="77777777" w:rsidR="00421306" w:rsidRPr="00540604" w:rsidRDefault="00EF13D3" w:rsidP="00D464EE">
      <w:pPr>
        <w:spacing w:line="360" w:lineRule="auto"/>
        <w:jc w:val="both"/>
      </w:pPr>
      <w:r w:rsidRPr="00540604">
        <w:lastRenderedPageBreak/>
        <w:t>MVC further proposed the following amendments:</w:t>
      </w:r>
    </w:p>
    <w:p w14:paraId="110CC7F8" w14:textId="77777777" w:rsidR="00516000" w:rsidRPr="00540604" w:rsidRDefault="00EF13D3" w:rsidP="00D464EE">
      <w:pPr>
        <w:pStyle w:val="ListParagraph"/>
        <w:numPr>
          <w:ilvl w:val="0"/>
          <w:numId w:val="14"/>
        </w:numPr>
        <w:spacing w:line="360" w:lineRule="auto"/>
        <w:jc w:val="both"/>
        <w:rPr>
          <w:b/>
        </w:rPr>
      </w:pPr>
      <w:r w:rsidRPr="00540604">
        <w:t>In Clause 1</w:t>
      </w:r>
      <w:r w:rsidR="00CB4F8A" w:rsidRPr="00540604">
        <w:t>, “voluntary services” should be included in the definition of “donation in kind” and provision should be made to quantify the services for the purposes of the threshold for disclosure. The Bill should also regulate disclosure of political party investment vehicles.</w:t>
      </w:r>
    </w:p>
    <w:p w14:paraId="3260420C" w14:textId="77777777" w:rsidR="00CB4F8A" w:rsidRPr="00540604" w:rsidRDefault="00CB4F8A" w:rsidP="00D464EE">
      <w:pPr>
        <w:pStyle w:val="ListParagraph"/>
        <w:numPr>
          <w:ilvl w:val="0"/>
          <w:numId w:val="14"/>
        </w:numPr>
        <w:spacing w:line="360" w:lineRule="auto"/>
        <w:jc w:val="both"/>
      </w:pPr>
      <w:r w:rsidRPr="00540604">
        <w:t>In Clause 3, MVC proposed the deletion of subsection (5), which allows for a donor to request that their identity or the amount contributed to the Multi-Party Democracy Fund not be disclosed.</w:t>
      </w:r>
    </w:p>
    <w:p w14:paraId="31D28EBE" w14:textId="77777777" w:rsidR="00CB4F8A" w:rsidRPr="00540604" w:rsidRDefault="00F42009" w:rsidP="00D464EE">
      <w:pPr>
        <w:pStyle w:val="ListParagraph"/>
        <w:numPr>
          <w:ilvl w:val="0"/>
          <w:numId w:val="14"/>
        </w:numPr>
        <w:spacing w:line="360" w:lineRule="auto"/>
        <w:jc w:val="both"/>
      </w:pPr>
      <w:r w:rsidRPr="00540604">
        <w:t>In Clause 5, to include a provision for the costs of the administration of the Multi-Party Democracy Fund to be paid for from the moneys deposited in the Fund itself (between 3 and 5 percent).</w:t>
      </w:r>
    </w:p>
    <w:p w14:paraId="75BAD454" w14:textId="77777777" w:rsidR="00F42009" w:rsidRPr="00540604" w:rsidRDefault="00AF6001" w:rsidP="00D464EE">
      <w:pPr>
        <w:pStyle w:val="ListParagraph"/>
        <w:numPr>
          <w:ilvl w:val="0"/>
          <w:numId w:val="14"/>
        </w:numPr>
        <w:spacing w:line="360" w:lineRule="auto"/>
        <w:jc w:val="both"/>
      </w:pPr>
      <w:r w:rsidRPr="00540604">
        <w:t>With regard to Clause 6, MVC submitted that the formula should be 50/50.</w:t>
      </w:r>
    </w:p>
    <w:p w14:paraId="1B709B65" w14:textId="77777777" w:rsidR="00C42340" w:rsidRPr="00540604" w:rsidRDefault="00AF6001" w:rsidP="00D464EE">
      <w:pPr>
        <w:pStyle w:val="ListParagraph"/>
        <w:numPr>
          <w:ilvl w:val="0"/>
          <w:numId w:val="14"/>
        </w:numPr>
        <w:spacing w:line="360" w:lineRule="auto"/>
        <w:jc w:val="both"/>
      </w:pPr>
      <w:r w:rsidRPr="00540604">
        <w:rPr>
          <w:color w:val="000000" w:themeColor="text1"/>
        </w:rPr>
        <w:t>In Clause 7, MVC submitted that the permissible categories of expenditure of moneys allocated from the funds, were vague and open to interpretation.</w:t>
      </w:r>
    </w:p>
    <w:p w14:paraId="4A06355A" w14:textId="77777777" w:rsidR="005953C8" w:rsidRPr="00540604" w:rsidRDefault="005953C8" w:rsidP="00D464EE">
      <w:pPr>
        <w:pStyle w:val="ListParagraph"/>
        <w:numPr>
          <w:ilvl w:val="0"/>
          <w:numId w:val="14"/>
        </w:numPr>
        <w:spacing w:line="360" w:lineRule="auto"/>
        <w:jc w:val="both"/>
      </w:pPr>
      <w:r w:rsidRPr="00540604">
        <w:t xml:space="preserve">With regard to Clause 8, MVC felt that foreign entities should not be allowed to donate to political parties for “policy development” because the term was vague and foreign influence may be dangerous for our democracy. MVC further submitted that donations from companies doing business with the State should be prohibited; and that the </w:t>
      </w:r>
      <w:r w:rsidR="0028036A" w:rsidRPr="00540604">
        <w:t xml:space="preserve">limit that a single donor could </w:t>
      </w:r>
      <w:r w:rsidRPr="00540604">
        <w:t>donate</w:t>
      </w:r>
      <w:r w:rsidR="0028036A" w:rsidRPr="00540604">
        <w:t xml:space="preserve"> should be lowered, as </w:t>
      </w:r>
      <w:r w:rsidRPr="00540604">
        <w:t xml:space="preserve">R15 million </w:t>
      </w:r>
      <w:r w:rsidR="0028036A" w:rsidRPr="00540604">
        <w:t xml:space="preserve">could </w:t>
      </w:r>
      <w:r w:rsidRPr="00540604">
        <w:t xml:space="preserve">make a political party entirely dependent on a single donor. </w:t>
      </w:r>
      <w:r w:rsidR="0028036A" w:rsidRPr="00540604">
        <w:t xml:space="preserve">It was proposed that the </w:t>
      </w:r>
      <w:r w:rsidRPr="00540604">
        <w:t xml:space="preserve">amount should be determined by what an average South African earns </w:t>
      </w:r>
      <w:r w:rsidR="00B162C2" w:rsidRPr="00540604">
        <w:t>in a year</w:t>
      </w:r>
      <w:r w:rsidRPr="00540604">
        <w:t>, na</w:t>
      </w:r>
      <w:r w:rsidR="0028036A" w:rsidRPr="00540604">
        <w:t>m</w:t>
      </w:r>
      <w:r w:rsidRPr="00540604">
        <w:t>ely R34 644 per donor per financial year.</w:t>
      </w:r>
    </w:p>
    <w:p w14:paraId="6B39985B" w14:textId="77777777" w:rsidR="00B162C2" w:rsidRPr="00540604" w:rsidRDefault="00964929" w:rsidP="00D464EE">
      <w:pPr>
        <w:pStyle w:val="ListParagraph"/>
        <w:numPr>
          <w:ilvl w:val="0"/>
          <w:numId w:val="14"/>
        </w:numPr>
        <w:spacing w:line="360" w:lineRule="auto"/>
        <w:jc w:val="both"/>
      </w:pPr>
      <w:r w:rsidRPr="00540604">
        <w:t>Regarding Clause 9, MVC proposed that the prescribed threshold be lowered to R10 000, as R100 000 may be enough to influence a political party. In addition, subsection (3) should state to that the IEC should publish the information on a public platform.</w:t>
      </w:r>
    </w:p>
    <w:p w14:paraId="1B96D305" w14:textId="77777777" w:rsidR="00964929" w:rsidRPr="00540604" w:rsidRDefault="00765152" w:rsidP="00D464EE">
      <w:pPr>
        <w:pStyle w:val="ListParagraph"/>
        <w:numPr>
          <w:ilvl w:val="0"/>
          <w:numId w:val="14"/>
        </w:numPr>
        <w:spacing w:line="360" w:lineRule="auto"/>
        <w:jc w:val="both"/>
      </w:pPr>
      <w:r w:rsidRPr="00540604">
        <w:t>In Clause 10(1), MVC proposed that a member of a political party must not be allowed to accept donations for party political party purposes; and that all donations should go directly through the party.</w:t>
      </w:r>
    </w:p>
    <w:p w14:paraId="042A3951" w14:textId="77777777" w:rsidR="00964929" w:rsidRPr="00540604" w:rsidRDefault="00964929" w:rsidP="00D464EE">
      <w:pPr>
        <w:spacing w:line="360" w:lineRule="auto"/>
        <w:jc w:val="both"/>
      </w:pPr>
    </w:p>
    <w:p w14:paraId="62E58B60" w14:textId="77777777" w:rsidR="00C42340" w:rsidRPr="00540604" w:rsidRDefault="00C42340" w:rsidP="00D464EE">
      <w:pPr>
        <w:pStyle w:val="ListParagraph"/>
        <w:numPr>
          <w:ilvl w:val="1"/>
          <w:numId w:val="1"/>
        </w:numPr>
        <w:spacing w:line="360" w:lineRule="auto"/>
        <w:jc w:val="both"/>
        <w:rPr>
          <w:b/>
        </w:rPr>
      </w:pPr>
      <w:r w:rsidRPr="00540604">
        <w:rPr>
          <w:b/>
        </w:rPr>
        <w:t xml:space="preserve"> Sanef and amaBhungane</w:t>
      </w:r>
    </w:p>
    <w:p w14:paraId="1B20CF7F" w14:textId="77777777" w:rsidR="001D3017" w:rsidRPr="00540604" w:rsidRDefault="00D90ABD" w:rsidP="00D464EE">
      <w:pPr>
        <w:pStyle w:val="BCHCtabletext"/>
        <w:spacing w:line="360" w:lineRule="auto"/>
        <w:jc w:val="both"/>
        <w:rPr>
          <w:rFonts w:ascii="Times New Roman" w:hAnsi="Times New Roman"/>
          <w:sz w:val="24"/>
          <w:szCs w:val="24"/>
        </w:rPr>
      </w:pPr>
      <w:r w:rsidRPr="00540604">
        <w:rPr>
          <w:rFonts w:ascii="Times New Roman" w:hAnsi="Times New Roman"/>
          <w:sz w:val="24"/>
          <w:szCs w:val="24"/>
        </w:rPr>
        <w:t>The South African National Editors’ Forum</w:t>
      </w:r>
      <w:r w:rsidR="001D3017" w:rsidRPr="00540604">
        <w:rPr>
          <w:rFonts w:ascii="Times New Roman" w:hAnsi="Times New Roman"/>
          <w:sz w:val="24"/>
          <w:szCs w:val="24"/>
        </w:rPr>
        <w:t xml:space="preserve"> (Sanef)</w:t>
      </w:r>
      <w:r w:rsidRPr="00540604">
        <w:rPr>
          <w:rFonts w:ascii="Times New Roman" w:hAnsi="Times New Roman"/>
          <w:sz w:val="24"/>
          <w:szCs w:val="24"/>
        </w:rPr>
        <w:t xml:space="preserve">, together with the amaBhungane Centre for Investigative Journalism, </w:t>
      </w:r>
      <w:r w:rsidR="001D3017" w:rsidRPr="00540604">
        <w:rPr>
          <w:rFonts w:ascii="Times New Roman" w:hAnsi="Times New Roman"/>
          <w:sz w:val="24"/>
          <w:szCs w:val="24"/>
        </w:rPr>
        <w:t xml:space="preserve">submitted that the Bill appeared to be silent on dividends or </w:t>
      </w:r>
      <w:r w:rsidR="001D3017" w:rsidRPr="00540604">
        <w:rPr>
          <w:rFonts w:ascii="Times New Roman" w:hAnsi="Times New Roman"/>
          <w:sz w:val="24"/>
          <w:szCs w:val="24"/>
        </w:rPr>
        <w:lastRenderedPageBreak/>
        <w:t>returns that political parties may receive by dint of an ownership stake in a company or any other form of investment. The intention may be for dividends to be treated as donations, in which case they would be subject to disclosure if above the prescribed threshold. However, it appeared that as soon as a party was entitled to benefits by dint of equity it holds or any other investment, it would no longer a donation and would not have to be disclosed. They felt that all dividends and other investment income should be disclosed in sufficient detail to reveal underlying conflicts of interest and for the audited financial statements and opinion to be made public.</w:t>
      </w:r>
    </w:p>
    <w:p w14:paraId="54C50B02" w14:textId="77777777" w:rsidR="001D3017" w:rsidRPr="00540604" w:rsidRDefault="001D3017" w:rsidP="00D464EE">
      <w:pPr>
        <w:spacing w:line="360" w:lineRule="auto"/>
        <w:jc w:val="both"/>
      </w:pPr>
      <w:r w:rsidRPr="00540604">
        <w:t>Sanef and amaBhungane further proposed the following amendments:</w:t>
      </w:r>
    </w:p>
    <w:p w14:paraId="26443DB2" w14:textId="77777777" w:rsidR="007551D6" w:rsidRPr="00540604" w:rsidRDefault="007551D6" w:rsidP="00D464EE">
      <w:pPr>
        <w:numPr>
          <w:ilvl w:val="0"/>
          <w:numId w:val="16"/>
        </w:numPr>
        <w:spacing w:line="360" w:lineRule="auto"/>
        <w:ind w:left="709" w:hanging="283"/>
        <w:contextualSpacing/>
        <w:jc w:val="both"/>
      </w:pPr>
      <w:r w:rsidRPr="00540604">
        <w:t>In Clause 1, “donation in kind” is defined with the effect that such donations are also subject to the transparency provisions of the Bill. However, the definition excludes “personal services provided on a voluntary basis”, meaning that an individual donation of skills will never have to be disclosed regardless of value. In addition, some services ordinarily rendered at a fee</w:t>
      </w:r>
      <w:r w:rsidR="0076718C" w:rsidRPr="00540604">
        <w:t>,</w:t>
      </w:r>
      <w:r w:rsidRPr="00540604">
        <w:t xml:space="preserve"> such as accounting, management consulting, legal or public relations advice may amount to a very substantial benefit if provided voluntarily. Such a benefit should be disclosed if it exceeds the threshold for the disclosure of other donations, as the risk of undue influence is no different whether a donation is in cash or in kind.</w:t>
      </w:r>
      <w:r w:rsidR="00D86F5B" w:rsidRPr="00540604">
        <w:t xml:space="preserve"> They ther</w:t>
      </w:r>
      <w:r w:rsidRPr="00540604">
        <w:t>efore propose</w:t>
      </w:r>
      <w:r w:rsidR="00D86F5B" w:rsidRPr="00540604">
        <w:t xml:space="preserve">d that, after </w:t>
      </w:r>
      <w:r w:rsidR="00D86F5B" w:rsidRPr="00540604">
        <w:rPr>
          <w:i/>
          <w:color w:val="000000" w:themeColor="text1"/>
        </w:rPr>
        <w:t>“</w:t>
      </w:r>
      <w:r w:rsidR="00D86F5B" w:rsidRPr="00540604">
        <w:rPr>
          <w:i/>
          <w:color w:val="000000" w:themeColor="text1"/>
          <w:lang w:val="en-US"/>
        </w:rPr>
        <w:t>(b)</w:t>
      </w:r>
      <w:r w:rsidR="00D86F5B" w:rsidRPr="00540604">
        <w:rPr>
          <w:color w:val="000000" w:themeColor="text1"/>
          <w:lang w:val="en-US"/>
        </w:rPr>
        <w:t xml:space="preserve"> does not include personal services provided on a voluntary basis”, </w:t>
      </w:r>
      <w:r w:rsidR="00D86F5B" w:rsidRPr="00540604">
        <w:t>the following be inserted: “</w:t>
      </w:r>
      <w:r w:rsidRPr="00540604">
        <w:rPr>
          <w:color w:val="000000" w:themeColor="text1"/>
          <w:lang w:val="en-US"/>
        </w:rPr>
        <w:t>except where the cumulative value of such services provided by any person over a twelve-month period exceeds the prescribed threshold referred to in section 9(1)(a);”</w:t>
      </w:r>
      <w:r w:rsidR="00D86F5B" w:rsidRPr="00540604">
        <w:rPr>
          <w:color w:val="000000" w:themeColor="text1"/>
          <w:lang w:val="en-US"/>
        </w:rPr>
        <w:t>.</w:t>
      </w:r>
    </w:p>
    <w:p w14:paraId="22FF93B5" w14:textId="77777777" w:rsidR="00D86F5B" w:rsidRPr="00540604" w:rsidRDefault="00BC027D" w:rsidP="00D464EE">
      <w:pPr>
        <w:numPr>
          <w:ilvl w:val="0"/>
          <w:numId w:val="16"/>
        </w:numPr>
        <w:spacing w:before="120" w:after="120" w:line="360" w:lineRule="auto"/>
        <w:ind w:left="709" w:hanging="283"/>
        <w:contextualSpacing/>
        <w:jc w:val="both"/>
      </w:pPr>
      <w:r w:rsidRPr="00540604">
        <w:t>In Clause 3, subsection (5), they proposed that “</w:t>
      </w:r>
      <w:r w:rsidRPr="00540604">
        <w:rPr>
          <w:color w:val="000000" w:themeColor="text1"/>
          <w:lang w:val="en-US"/>
        </w:rPr>
        <w:t>who contributes below a prescribed threshold” be inserted in line 21, between ”3</w:t>
      </w:r>
      <w:r w:rsidRPr="00540604">
        <w:rPr>
          <w:i/>
          <w:color w:val="000000" w:themeColor="text1"/>
          <w:lang w:val="en-US"/>
        </w:rPr>
        <w:t>(a)</w:t>
      </w:r>
      <w:r w:rsidRPr="00540604">
        <w:rPr>
          <w:color w:val="000000" w:themeColor="text1"/>
          <w:lang w:val="en-US"/>
        </w:rPr>
        <w:t>” and “may request”; and that the following new subsections be added: (6) The Commission must publish all contributions other than details of contributions envisaged in subsection (5) on a quarterly basis in the prescribed form and manner; and (7) The Commission must also publish all such contributions during an election year one month before an election, should it fall on a date other than a quarterly publication.</w:t>
      </w:r>
    </w:p>
    <w:p w14:paraId="41D24984" w14:textId="77777777" w:rsidR="00BC027D" w:rsidRPr="00540604" w:rsidRDefault="00494C7C" w:rsidP="00D464EE">
      <w:pPr>
        <w:numPr>
          <w:ilvl w:val="0"/>
          <w:numId w:val="16"/>
        </w:numPr>
        <w:spacing w:before="120" w:after="120" w:line="360" w:lineRule="auto"/>
        <w:ind w:left="709" w:hanging="283"/>
        <w:contextualSpacing/>
        <w:jc w:val="both"/>
      </w:pPr>
      <w:r w:rsidRPr="00540604">
        <w:t>With regard to Clause 8, they proposed that the definition of “donor” should include the concept of “substantially related sources” including family members, companies, subsidiaries and third parties.</w:t>
      </w:r>
    </w:p>
    <w:p w14:paraId="3B5B20B9" w14:textId="77777777" w:rsidR="00494C7C" w:rsidRPr="00540604" w:rsidRDefault="00494C7C" w:rsidP="00D464EE">
      <w:pPr>
        <w:numPr>
          <w:ilvl w:val="0"/>
          <w:numId w:val="16"/>
        </w:numPr>
        <w:spacing w:before="120" w:after="120" w:line="360" w:lineRule="auto"/>
        <w:ind w:left="709" w:hanging="283"/>
        <w:contextualSpacing/>
        <w:jc w:val="both"/>
      </w:pPr>
      <w:r w:rsidRPr="00540604">
        <w:lastRenderedPageBreak/>
        <w:t>Regarding Clause 9, it was proposed that all donations must be disclosed to the IEC and not just donations above the threshold.</w:t>
      </w:r>
    </w:p>
    <w:p w14:paraId="320335E5" w14:textId="77777777" w:rsidR="00494C7C" w:rsidRPr="00540604" w:rsidRDefault="00494C7C" w:rsidP="00D464EE">
      <w:pPr>
        <w:numPr>
          <w:ilvl w:val="0"/>
          <w:numId w:val="16"/>
        </w:numPr>
        <w:spacing w:before="120" w:after="120" w:line="360" w:lineRule="auto"/>
        <w:ind w:left="709" w:hanging="283"/>
        <w:contextualSpacing/>
        <w:jc w:val="both"/>
      </w:pPr>
      <w:r w:rsidRPr="00540604">
        <w:t>Sanef and amaBhungane submitted that the prohibition on circumventing any provisions of Chapter 3</w:t>
      </w:r>
      <w:r w:rsidR="00AD75E8" w:rsidRPr="00540604">
        <w:t xml:space="preserve">, contained in Clause 10(3), did </w:t>
      </w:r>
      <w:r w:rsidRPr="00540604">
        <w:t xml:space="preserve">not go </w:t>
      </w:r>
      <w:r w:rsidR="00AD75E8" w:rsidRPr="00540604">
        <w:t>far enough; and that i</w:t>
      </w:r>
      <w:r w:rsidRPr="00540604">
        <w:t>t should also apply to the rest of the Bill.</w:t>
      </w:r>
    </w:p>
    <w:p w14:paraId="4037601E" w14:textId="77777777" w:rsidR="00C42340" w:rsidRPr="00540604" w:rsidRDefault="00C42340" w:rsidP="00D464EE">
      <w:pPr>
        <w:spacing w:line="360" w:lineRule="auto"/>
        <w:jc w:val="both"/>
        <w:rPr>
          <w:b/>
        </w:rPr>
      </w:pPr>
    </w:p>
    <w:p w14:paraId="276F3525" w14:textId="77777777" w:rsidR="00C42340" w:rsidRPr="00540604" w:rsidRDefault="00C42340" w:rsidP="00D464EE">
      <w:pPr>
        <w:pStyle w:val="ListParagraph"/>
        <w:numPr>
          <w:ilvl w:val="1"/>
          <w:numId w:val="1"/>
        </w:numPr>
        <w:tabs>
          <w:tab w:val="left" w:pos="851"/>
        </w:tabs>
        <w:spacing w:line="360" w:lineRule="auto"/>
        <w:jc w:val="both"/>
        <w:rPr>
          <w:b/>
        </w:rPr>
      </w:pPr>
      <w:r w:rsidRPr="00540604">
        <w:rPr>
          <w:b/>
        </w:rPr>
        <w:t>Right2Know</w:t>
      </w:r>
    </w:p>
    <w:p w14:paraId="70568289" w14:textId="77777777" w:rsidR="00D4268A" w:rsidRPr="00540604" w:rsidRDefault="00D4268A" w:rsidP="00D464EE">
      <w:pPr>
        <w:tabs>
          <w:tab w:val="left" w:pos="851"/>
        </w:tabs>
        <w:spacing w:line="360" w:lineRule="auto"/>
        <w:jc w:val="both"/>
      </w:pPr>
      <w:r w:rsidRPr="00540604">
        <w:t>Right2Know submitted that political parties should be required to disclose their previous spending on elections. They further proposed the following amendments:</w:t>
      </w:r>
    </w:p>
    <w:p w14:paraId="41DAC784" w14:textId="77777777" w:rsidR="00D4268A" w:rsidRPr="00540604" w:rsidRDefault="00D4268A" w:rsidP="00D464EE">
      <w:pPr>
        <w:pStyle w:val="ListParagraph"/>
        <w:numPr>
          <w:ilvl w:val="0"/>
          <w:numId w:val="20"/>
        </w:numPr>
        <w:tabs>
          <w:tab w:val="left" w:pos="851"/>
        </w:tabs>
        <w:spacing w:line="360" w:lineRule="auto"/>
        <w:jc w:val="both"/>
      </w:pPr>
      <w:r w:rsidRPr="00540604">
        <w:t>With regard to Clause 6, it was proposed that the formula to allocate public funding should be adjusted to promote political diversity, with a greater proportion of funds to be shared equally and a lesser amount to be shared proportionally.</w:t>
      </w:r>
    </w:p>
    <w:p w14:paraId="0124F5A3" w14:textId="77777777" w:rsidR="00D4268A" w:rsidRPr="00540604" w:rsidRDefault="00321149" w:rsidP="00D464EE">
      <w:pPr>
        <w:numPr>
          <w:ilvl w:val="0"/>
          <w:numId w:val="20"/>
        </w:numPr>
        <w:tabs>
          <w:tab w:val="left" w:pos="851"/>
        </w:tabs>
        <w:spacing w:line="360" w:lineRule="auto"/>
        <w:contextualSpacing/>
        <w:jc w:val="both"/>
      </w:pPr>
      <w:r w:rsidRPr="00540604">
        <w:rPr>
          <w:lang w:val="en-US"/>
        </w:rPr>
        <w:t>In Clause 8, a complete ban on donations from private companies doing business with the state</w:t>
      </w:r>
      <w:r w:rsidR="00D77A5E" w:rsidRPr="00540604">
        <w:rPr>
          <w:lang w:val="en-US"/>
        </w:rPr>
        <w:t xml:space="preserve"> was proposed; and they were further of the opinion that the </w:t>
      </w:r>
      <w:r w:rsidRPr="00540604">
        <w:rPr>
          <w:lang w:val="en-US"/>
        </w:rPr>
        <w:t>Bill should prohibit party investment vehicles from doing business with the state.</w:t>
      </w:r>
    </w:p>
    <w:p w14:paraId="01F02A29" w14:textId="77777777" w:rsidR="00D77A5E" w:rsidRPr="00540604" w:rsidRDefault="00D77A5E" w:rsidP="00D464EE">
      <w:pPr>
        <w:numPr>
          <w:ilvl w:val="0"/>
          <w:numId w:val="20"/>
        </w:numPr>
        <w:tabs>
          <w:tab w:val="left" w:pos="851"/>
        </w:tabs>
        <w:spacing w:line="360" w:lineRule="auto"/>
        <w:contextualSpacing/>
        <w:jc w:val="both"/>
      </w:pPr>
      <w:r w:rsidRPr="00540604">
        <w:t>With regard to Clause 9, Right2Know indicated that the prescribed threshold of R100 000 was too high and should be reduced to no higher than the average household’s monthly income. They also submitted that Clause 9(3) was vague; and should state exactly how it should be disclosed.</w:t>
      </w:r>
    </w:p>
    <w:p w14:paraId="758E265B" w14:textId="77777777" w:rsidR="00C42340" w:rsidRPr="00540604" w:rsidRDefault="00C42340" w:rsidP="00D464EE">
      <w:pPr>
        <w:pStyle w:val="ListParagraph"/>
        <w:spacing w:line="360" w:lineRule="auto"/>
        <w:jc w:val="both"/>
        <w:rPr>
          <w:b/>
        </w:rPr>
      </w:pPr>
    </w:p>
    <w:p w14:paraId="696276FD" w14:textId="77777777" w:rsidR="00C42340" w:rsidRPr="00540604" w:rsidRDefault="00C42340" w:rsidP="00D464EE">
      <w:pPr>
        <w:pStyle w:val="ListParagraph"/>
        <w:numPr>
          <w:ilvl w:val="1"/>
          <w:numId w:val="1"/>
        </w:numPr>
        <w:tabs>
          <w:tab w:val="left" w:pos="851"/>
        </w:tabs>
        <w:spacing w:line="360" w:lineRule="auto"/>
        <w:jc w:val="both"/>
        <w:rPr>
          <w:b/>
        </w:rPr>
      </w:pPr>
      <w:r w:rsidRPr="00540604">
        <w:rPr>
          <w:b/>
        </w:rPr>
        <w:t>Corruption Watch</w:t>
      </w:r>
    </w:p>
    <w:p w14:paraId="017BB83B" w14:textId="77777777" w:rsidR="00EB3EFE" w:rsidRPr="00540604" w:rsidRDefault="00EB3EFE" w:rsidP="00D464EE">
      <w:pPr>
        <w:tabs>
          <w:tab w:val="left" w:pos="851"/>
        </w:tabs>
        <w:spacing w:line="360" w:lineRule="auto"/>
        <w:jc w:val="both"/>
      </w:pPr>
      <w:r w:rsidRPr="00540604">
        <w:t xml:space="preserve">Corruption Watch </w:t>
      </w:r>
      <w:r w:rsidR="006433A6" w:rsidRPr="00540604">
        <w:t xml:space="preserve">(CW) </w:t>
      </w:r>
      <w:r w:rsidRPr="00540604">
        <w:t>made the following submissions:</w:t>
      </w:r>
    </w:p>
    <w:p w14:paraId="02576DA1" w14:textId="77777777" w:rsidR="00EB3EFE" w:rsidRPr="00540604" w:rsidRDefault="00EB3EFE" w:rsidP="00D464EE">
      <w:pPr>
        <w:pStyle w:val="BCHCtabletext"/>
        <w:numPr>
          <w:ilvl w:val="0"/>
          <w:numId w:val="22"/>
        </w:numPr>
        <w:spacing w:line="360" w:lineRule="auto"/>
        <w:jc w:val="both"/>
        <w:rPr>
          <w:rFonts w:ascii="Times New Roman" w:hAnsi="Times New Roman"/>
          <w:sz w:val="24"/>
          <w:szCs w:val="24"/>
        </w:rPr>
      </w:pPr>
      <w:r w:rsidRPr="00540604">
        <w:rPr>
          <w:rFonts w:ascii="Times New Roman" w:hAnsi="Times New Roman"/>
          <w:sz w:val="24"/>
          <w:szCs w:val="24"/>
        </w:rPr>
        <w:t>In Clause 1, the definition of “foreign person” needs to be amended to include companies registered in South Africa that are owned or controlled by foreign entities, which could be a loophole to circumvent the prohibitions.</w:t>
      </w:r>
    </w:p>
    <w:p w14:paraId="6F1563D2" w14:textId="77777777" w:rsidR="00EB3EFE" w:rsidRPr="00540604" w:rsidRDefault="006433A6" w:rsidP="00D464EE">
      <w:pPr>
        <w:pStyle w:val="BCHCtabletext"/>
        <w:numPr>
          <w:ilvl w:val="0"/>
          <w:numId w:val="22"/>
        </w:numPr>
        <w:spacing w:line="360" w:lineRule="auto"/>
        <w:jc w:val="both"/>
        <w:rPr>
          <w:rFonts w:ascii="Times New Roman" w:hAnsi="Times New Roman"/>
          <w:sz w:val="24"/>
          <w:szCs w:val="24"/>
        </w:rPr>
      </w:pPr>
      <w:r w:rsidRPr="00540604">
        <w:rPr>
          <w:rFonts w:ascii="Times New Roman" w:hAnsi="Times New Roman"/>
          <w:sz w:val="24"/>
          <w:szCs w:val="24"/>
        </w:rPr>
        <w:t xml:space="preserve">With regard to </w:t>
      </w:r>
      <w:r w:rsidR="00EB3EFE" w:rsidRPr="00540604">
        <w:rPr>
          <w:rFonts w:ascii="Times New Roman" w:hAnsi="Times New Roman"/>
          <w:sz w:val="24"/>
          <w:szCs w:val="24"/>
        </w:rPr>
        <w:t xml:space="preserve">Clause 6, </w:t>
      </w:r>
      <w:r w:rsidRPr="00540604">
        <w:rPr>
          <w:rFonts w:ascii="Times New Roman" w:hAnsi="Times New Roman"/>
          <w:sz w:val="24"/>
          <w:szCs w:val="24"/>
        </w:rPr>
        <w:t>t</w:t>
      </w:r>
      <w:r w:rsidR="00EB3EFE" w:rsidRPr="00540604">
        <w:rPr>
          <w:rFonts w:ascii="Times New Roman" w:hAnsi="Times New Roman"/>
          <w:sz w:val="24"/>
          <w:szCs w:val="24"/>
        </w:rPr>
        <w:t xml:space="preserve">he proposal </w:t>
      </w:r>
      <w:r w:rsidRPr="00540604">
        <w:rPr>
          <w:rFonts w:ascii="Times New Roman" w:hAnsi="Times New Roman"/>
          <w:sz w:val="24"/>
          <w:szCs w:val="24"/>
        </w:rPr>
        <w:t>was</w:t>
      </w:r>
      <w:r w:rsidR="00EB3EFE" w:rsidRPr="00540604">
        <w:rPr>
          <w:rFonts w:ascii="Times New Roman" w:hAnsi="Times New Roman"/>
          <w:sz w:val="24"/>
          <w:szCs w:val="24"/>
        </w:rPr>
        <w:t xml:space="preserve"> that the allocation of funds should be equal amongst all represented political parties.</w:t>
      </w:r>
    </w:p>
    <w:p w14:paraId="22A36CAE" w14:textId="77777777" w:rsidR="006433A6" w:rsidRPr="00540604" w:rsidRDefault="006433A6" w:rsidP="00D464EE">
      <w:pPr>
        <w:pStyle w:val="BCHCtabletext"/>
        <w:numPr>
          <w:ilvl w:val="0"/>
          <w:numId w:val="22"/>
        </w:numPr>
        <w:spacing w:line="360" w:lineRule="auto"/>
        <w:jc w:val="both"/>
        <w:rPr>
          <w:rFonts w:ascii="Times New Roman" w:hAnsi="Times New Roman"/>
          <w:sz w:val="24"/>
          <w:szCs w:val="24"/>
        </w:rPr>
      </w:pPr>
      <w:r w:rsidRPr="00540604">
        <w:rPr>
          <w:rFonts w:ascii="Times New Roman" w:hAnsi="Times New Roman"/>
          <w:sz w:val="24"/>
          <w:szCs w:val="24"/>
        </w:rPr>
        <w:t xml:space="preserve">In Clause 8, CW proposed that all donations from companies that do business with the state should be banned; that the beneficial ownership of investment vehicles owned by political parties that make donations should be made publicly available; and that the exception to the prohibition on foreign funding in respect of political party policy </w:t>
      </w:r>
      <w:r w:rsidRPr="00540604">
        <w:rPr>
          <w:rFonts w:ascii="Times New Roman" w:hAnsi="Times New Roman"/>
          <w:sz w:val="24"/>
          <w:szCs w:val="24"/>
        </w:rPr>
        <w:lastRenderedPageBreak/>
        <w:t>development would lead to foreign influence over the policy of the political parties and must be deleted.</w:t>
      </w:r>
    </w:p>
    <w:p w14:paraId="728D2467" w14:textId="77777777" w:rsidR="006433A6" w:rsidRPr="00540604" w:rsidRDefault="006433A6" w:rsidP="00D464EE">
      <w:pPr>
        <w:pStyle w:val="BCHCtabletext"/>
        <w:numPr>
          <w:ilvl w:val="0"/>
          <w:numId w:val="22"/>
        </w:numPr>
        <w:spacing w:line="360" w:lineRule="auto"/>
        <w:jc w:val="both"/>
        <w:rPr>
          <w:rFonts w:ascii="Times New Roman" w:hAnsi="Times New Roman"/>
          <w:sz w:val="24"/>
          <w:szCs w:val="24"/>
        </w:rPr>
      </w:pPr>
      <w:r w:rsidRPr="00540604">
        <w:rPr>
          <w:rFonts w:ascii="Times New Roman" w:hAnsi="Times New Roman"/>
          <w:sz w:val="24"/>
          <w:szCs w:val="24"/>
        </w:rPr>
        <w:t>CW submitted that the Bill should require Parliament to make public the IEC reports</w:t>
      </w:r>
      <w:r w:rsidR="00BA3C13" w:rsidRPr="00540604">
        <w:rPr>
          <w:rFonts w:ascii="Times New Roman" w:hAnsi="Times New Roman"/>
          <w:sz w:val="24"/>
          <w:szCs w:val="24"/>
        </w:rPr>
        <w:t xml:space="preserve"> </w:t>
      </w:r>
      <w:r w:rsidRPr="00540604">
        <w:rPr>
          <w:rFonts w:ascii="Times New Roman" w:hAnsi="Times New Roman"/>
          <w:sz w:val="24"/>
          <w:szCs w:val="24"/>
        </w:rPr>
        <w:t>submitted to the National Assembly in terms of Clause 22.</w:t>
      </w:r>
    </w:p>
    <w:p w14:paraId="2BBA716A" w14:textId="77777777" w:rsidR="00C42340" w:rsidRPr="00540604" w:rsidRDefault="00C42340" w:rsidP="00D464EE">
      <w:pPr>
        <w:pStyle w:val="ListParagraph"/>
        <w:spacing w:line="360" w:lineRule="auto"/>
        <w:jc w:val="both"/>
        <w:rPr>
          <w:b/>
        </w:rPr>
      </w:pPr>
    </w:p>
    <w:p w14:paraId="2A9DBBDD" w14:textId="77777777" w:rsidR="00C42340" w:rsidRPr="00540604" w:rsidRDefault="00C42340" w:rsidP="00D464EE">
      <w:pPr>
        <w:pStyle w:val="ListParagraph"/>
        <w:numPr>
          <w:ilvl w:val="1"/>
          <w:numId w:val="1"/>
        </w:numPr>
        <w:tabs>
          <w:tab w:val="left" w:pos="851"/>
        </w:tabs>
        <w:spacing w:line="360" w:lineRule="auto"/>
        <w:jc w:val="both"/>
        <w:rPr>
          <w:b/>
        </w:rPr>
      </w:pPr>
      <w:r w:rsidRPr="00540604">
        <w:rPr>
          <w:b/>
        </w:rPr>
        <w:t>EFF</w:t>
      </w:r>
    </w:p>
    <w:p w14:paraId="003CC449" w14:textId="77777777" w:rsidR="00C42340" w:rsidRPr="00540604" w:rsidRDefault="00D82BFB" w:rsidP="00D464EE">
      <w:pPr>
        <w:tabs>
          <w:tab w:val="left" w:pos="851"/>
        </w:tabs>
        <w:spacing w:line="360" w:lineRule="auto"/>
        <w:jc w:val="both"/>
      </w:pPr>
      <w:r w:rsidRPr="00540604">
        <w:t>The Economic Freedom Fighters (EFF) indicated that it welcomed the prohibition of donations from foreign governments or persons, except for skills and policy development; as well as the requirement for all political parties to disclose the donations they received. However, the EFF submitted that the funding mechanisms in the Bill were inadequate; particularly the formula used to determine the equitable and proportional distribution of funds to political parties. In this regard it was proposed that the split between equitable and proportional distribution be done on a 50/50 basis.</w:t>
      </w:r>
    </w:p>
    <w:p w14:paraId="3642E46F" w14:textId="77777777" w:rsidR="00D82BFB" w:rsidRPr="00540604" w:rsidRDefault="00D82BFB" w:rsidP="00D464EE">
      <w:pPr>
        <w:tabs>
          <w:tab w:val="left" w:pos="851"/>
        </w:tabs>
        <w:spacing w:line="360" w:lineRule="auto"/>
        <w:jc w:val="both"/>
      </w:pPr>
    </w:p>
    <w:p w14:paraId="3F424DD8" w14:textId="77777777" w:rsidR="00D82BFB" w:rsidRPr="00540604" w:rsidRDefault="00304E26" w:rsidP="00D464EE">
      <w:pPr>
        <w:tabs>
          <w:tab w:val="left" w:pos="851"/>
        </w:tabs>
        <w:spacing w:line="360" w:lineRule="auto"/>
        <w:jc w:val="both"/>
        <w:rPr>
          <w:b/>
        </w:rPr>
      </w:pPr>
      <w:r w:rsidRPr="00540604">
        <w:t xml:space="preserve">The EFF further indicated that the key reason it rejected the Bill in its current form, was that the wording of Clause 10 would result in the limitation and possible violation of the constitutional right to freedom of association; and would deter people from becoming members of political parties and politically engaged citizens. It therefore proposed the following new wording </w:t>
      </w:r>
      <w:r w:rsidR="00AA59A1" w:rsidRPr="00540604">
        <w:t>for</w:t>
      </w:r>
      <w:r w:rsidRPr="00540604">
        <w:t xml:space="preserve"> Clause 10(1): “No person or entity may deliver a donation for political party purposes, to a member of that political party, other than for the realisation of that </w:t>
      </w:r>
      <w:r w:rsidR="00AA59A1" w:rsidRPr="00540604">
        <w:t>party’s political objectives.</w:t>
      </w:r>
      <w:r w:rsidR="00AD5358" w:rsidRPr="00540604">
        <w:t>”</w:t>
      </w:r>
    </w:p>
    <w:p w14:paraId="6DB11F53" w14:textId="77777777" w:rsidR="00B00FB6" w:rsidRPr="00F223F2" w:rsidRDefault="00B00FB6" w:rsidP="00F223F2">
      <w:pPr>
        <w:jc w:val="both"/>
        <w:rPr>
          <w:b/>
        </w:rPr>
      </w:pPr>
    </w:p>
    <w:p w14:paraId="3F0B9469" w14:textId="77777777" w:rsidR="00681595" w:rsidRPr="00540604" w:rsidRDefault="00681595" w:rsidP="00D464EE">
      <w:pPr>
        <w:jc w:val="both"/>
        <w:rPr>
          <w:b/>
        </w:rPr>
      </w:pPr>
    </w:p>
    <w:p w14:paraId="3A49514B" w14:textId="77777777" w:rsidR="00681595" w:rsidRPr="00540604" w:rsidRDefault="00A050E4" w:rsidP="00540604">
      <w:pPr>
        <w:pStyle w:val="ListParagraph"/>
        <w:numPr>
          <w:ilvl w:val="0"/>
          <w:numId w:val="1"/>
        </w:numPr>
        <w:spacing w:line="360" w:lineRule="auto"/>
        <w:jc w:val="both"/>
        <w:rPr>
          <w:b/>
        </w:rPr>
      </w:pPr>
      <w:r w:rsidRPr="00540604">
        <w:rPr>
          <w:b/>
        </w:rPr>
        <w:t>Observations/</w:t>
      </w:r>
      <w:r w:rsidR="00681595" w:rsidRPr="00540604">
        <w:rPr>
          <w:b/>
        </w:rPr>
        <w:t>Findings</w:t>
      </w:r>
    </w:p>
    <w:p w14:paraId="29C07939" w14:textId="77777777" w:rsidR="00582CEC" w:rsidRPr="00540604" w:rsidRDefault="00582CEC" w:rsidP="00540604">
      <w:pPr>
        <w:spacing w:line="360" w:lineRule="auto"/>
      </w:pPr>
      <w:r w:rsidRPr="00BB0AF9">
        <w:t xml:space="preserve">The Committee noted and deliberated on all the </w:t>
      </w:r>
      <w:r>
        <w:t xml:space="preserve">issues </w:t>
      </w:r>
      <w:r w:rsidRPr="00BB0AF9">
        <w:t xml:space="preserve">raised in the submissions and during the briefings </w:t>
      </w:r>
      <w:r>
        <w:t>and</w:t>
      </w:r>
      <w:r w:rsidRPr="00BB0AF9">
        <w:t xml:space="preserve"> public hearings</w:t>
      </w:r>
      <w:r>
        <w:t>, including the following:</w:t>
      </w:r>
    </w:p>
    <w:p w14:paraId="57F7446A" w14:textId="77777777" w:rsidR="00681595" w:rsidRPr="00540604" w:rsidRDefault="00681595" w:rsidP="00540604">
      <w:pPr>
        <w:spacing w:line="360" w:lineRule="auto"/>
        <w:rPr>
          <w:b/>
        </w:rPr>
      </w:pPr>
    </w:p>
    <w:p w14:paraId="44088600" w14:textId="77777777" w:rsidR="00681595" w:rsidRPr="00540604" w:rsidRDefault="000B20EE" w:rsidP="00540604">
      <w:pPr>
        <w:spacing w:line="360" w:lineRule="auto"/>
        <w:ind w:left="709" w:hanging="709"/>
        <w:jc w:val="both"/>
      </w:pPr>
      <w:r w:rsidRPr="00540604">
        <w:t>5.1</w:t>
      </w:r>
      <w:r w:rsidRPr="00540604">
        <w:tab/>
        <w:t>The</w:t>
      </w:r>
      <w:r w:rsidR="002137BE" w:rsidRPr="00540604">
        <w:t>re is a general acceptance o</w:t>
      </w:r>
      <w:r w:rsidR="00197E94">
        <w:t>f</w:t>
      </w:r>
      <w:r w:rsidR="002137BE" w:rsidRPr="00540604">
        <w:t xml:space="preserve"> the intention of the</w:t>
      </w:r>
      <w:r w:rsidRPr="00540604">
        <w:t xml:space="preserve"> Bill</w:t>
      </w:r>
      <w:r w:rsidR="008804B9">
        <w:t xml:space="preserve"> </w:t>
      </w:r>
      <w:r w:rsidR="002137BE" w:rsidRPr="00540604">
        <w:t>to</w:t>
      </w:r>
      <w:r w:rsidRPr="00540604">
        <w:t xml:space="preserve"> regulate direct private donations to political parties</w:t>
      </w:r>
      <w:r w:rsidR="002137BE" w:rsidRPr="00540604">
        <w:t xml:space="preserve">. </w:t>
      </w:r>
    </w:p>
    <w:p w14:paraId="160992A2" w14:textId="77777777" w:rsidR="00681595" w:rsidRPr="00540604" w:rsidRDefault="002137BE" w:rsidP="00540604">
      <w:pPr>
        <w:spacing w:line="360" w:lineRule="auto"/>
        <w:ind w:left="709" w:hanging="709"/>
        <w:jc w:val="both"/>
      </w:pPr>
      <w:r w:rsidRPr="00540604">
        <w:t>5.2</w:t>
      </w:r>
      <w:r w:rsidRPr="00540604">
        <w:tab/>
        <w:t>There is a general acceptance o</w:t>
      </w:r>
      <w:r w:rsidR="008804B9">
        <w:t>f</w:t>
      </w:r>
      <w:r w:rsidRPr="00540604">
        <w:t xml:space="preserve"> the intention of the Bill</w:t>
      </w:r>
      <w:r w:rsidR="008804B9">
        <w:t xml:space="preserve"> </w:t>
      </w:r>
      <w:r w:rsidRPr="00540604">
        <w:t>to prohibit donations from foreign governments and foreign persons</w:t>
      </w:r>
      <w:r w:rsidR="0076718C" w:rsidRPr="00540604">
        <w:t>,</w:t>
      </w:r>
      <w:r w:rsidRPr="00540604">
        <w:t xml:space="preserve"> except in respect of donations for the purpose of training, skills or policy development</w:t>
      </w:r>
      <w:r w:rsidR="008804B9">
        <w:t xml:space="preserve">; from </w:t>
      </w:r>
      <w:r w:rsidRPr="00540604">
        <w:t>state</w:t>
      </w:r>
      <w:r w:rsidR="008804B9">
        <w:t>-</w:t>
      </w:r>
      <w:r w:rsidRPr="00540604">
        <w:t>owned enterprises</w:t>
      </w:r>
      <w:r w:rsidR="008804B9">
        <w:t>,</w:t>
      </w:r>
      <w:r w:rsidRPr="00540604">
        <w:t xml:space="preserve"> organs of state </w:t>
      </w:r>
      <w:r w:rsidR="008804B9">
        <w:t xml:space="preserve">and </w:t>
      </w:r>
      <w:r w:rsidRPr="00540604">
        <w:t xml:space="preserve">proceeds of crime. </w:t>
      </w:r>
    </w:p>
    <w:p w14:paraId="084B0228" w14:textId="77777777" w:rsidR="002137BE" w:rsidRPr="00540604" w:rsidRDefault="002137BE" w:rsidP="00D464EE">
      <w:pPr>
        <w:spacing w:line="360" w:lineRule="auto"/>
        <w:jc w:val="both"/>
      </w:pPr>
      <w:r w:rsidRPr="00540604">
        <w:lastRenderedPageBreak/>
        <w:t>5.3</w:t>
      </w:r>
      <w:r w:rsidRPr="00540604">
        <w:tab/>
        <w:t>The Bill intends to place a cap on how much any person or entity can donate in a year.</w:t>
      </w:r>
    </w:p>
    <w:p w14:paraId="409E7FF0" w14:textId="77777777" w:rsidR="00681595" w:rsidRPr="00540604" w:rsidRDefault="002137BE" w:rsidP="00855C74">
      <w:pPr>
        <w:spacing w:line="360" w:lineRule="auto"/>
        <w:ind w:left="709"/>
        <w:jc w:val="both"/>
      </w:pPr>
      <w:r w:rsidRPr="00540604">
        <w:t>Further</w:t>
      </w:r>
      <w:r w:rsidR="00566770">
        <w:t>,</w:t>
      </w:r>
      <w:r w:rsidRPr="00540604">
        <w:t xml:space="preserve"> the Bill prohibits donations made to a member of a party, except if the donation is for political party purpose</w:t>
      </w:r>
      <w:r w:rsidR="00566770">
        <w:t>s</w:t>
      </w:r>
      <w:r w:rsidRPr="00540604">
        <w:t xml:space="preserve"> and accepted on behalf of the party.</w:t>
      </w:r>
    </w:p>
    <w:p w14:paraId="1B9EF800" w14:textId="77777777" w:rsidR="00582CEC" w:rsidRDefault="002137BE" w:rsidP="00855C74">
      <w:pPr>
        <w:spacing w:line="360" w:lineRule="auto"/>
        <w:ind w:left="709" w:hanging="709"/>
        <w:jc w:val="both"/>
      </w:pPr>
      <w:r w:rsidRPr="00540604">
        <w:t>5.4</w:t>
      </w:r>
      <w:r w:rsidRPr="00540604">
        <w:tab/>
      </w:r>
      <w:r w:rsidR="0049511D" w:rsidRPr="00540604">
        <w:t>The Bill requires the disclosure of all donations above a prescribed threshold to the IEC by</w:t>
      </w:r>
      <w:r w:rsidR="00566770">
        <w:t xml:space="preserve"> </w:t>
      </w:r>
      <w:r w:rsidR="0049511D" w:rsidRPr="00540604">
        <w:t xml:space="preserve">the political party and the donor. </w:t>
      </w:r>
    </w:p>
    <w:p w14:paraId="3C9CDB5C" w14:textId="77777777" w:rsidR="00582CEC" w:rsidRDefault="00582CEC" w:rsidP="00855C74">
      <w:pPr>
        <w:spacing w:line="360" w:lineRule="auto"/>
        <w:ind w:left="709" w:hanging="709"/>
        <w:jc w:val="both"/>
      </w:pPr>
    </w:p>
    <w:p w14:paraId="68983D93" w14:textId="77777777" w:rsidR="003B2810" w:rsidRDefault="003B2810" w:rsidP="00582CEC">
      <w:pPr>
        <w:spacing w:line="360" w:lineRule="auto"/>
        <w:ind w:left="-284" w:firstLine="1"/>
        <w:jc w:val="both"/>
      </w:pPr>
      <w:r w:rsidRPr="00540604">
        <w:t>The Committee further noted the concer</w:t>
      </w:r>
      <w:r w:rsidR="00DA1763" w:rsidRPr="00540604">
        <w:t>ns raised with regard to the following</w:t>
      </w:r>
      <w:r w:rsidRPr="00540604">
        <w:t xml:space="preserve"> clauses that were</w:t>
      </w:r>
      <w:r w:rsidR="00582CEC">
        <w:t xml:space="preserve"> </w:t>
      </w:r>
      <w:r w:rsidRPr="00540604">
        <w:t xml:space="preserve">perceived </w:t>
      </w:r>
      <w:r w:rsidR="00B00FB6">
        <w:t xml:space="preserve">not </w:t>
      </w:r>
      <w:r w:rsidRPr="00540604">
        <w:t xml:space="preserve">to be </w:t>
      </w:r>
      <w:r w:rsidR="00DA1763" w:rsidRPr="00540604">
        <w:t>in line with the Constitution:</w:t>
      </w:r>
    </w:p>
    <w:p w14:paraId="337F127C" w14:textId="77777777" w:rsidR="00582CEC" w:rsidRPr="00540604" w:rsidRDefault="00582CEC" w:rsidP="00582CEC">
      <w:pPr>
        <w:spacing w:line="360" w:lineRule="auto"/>
        <w:ind w:left="-284" w:firstLine="1"/>
        <w:jc w:val="both"/>
      </w:pPr>
    </w:p>
    <w:p w14:paraId="2CF4EFF9" w14:textId="77777777" w:rsidR="00DA1763" w:rsidRPr="00540604" w:rsidRDefault="00582CEC" w:rsidP="00855C74">
      <w:pPr>
        <w:spacing w:line="360" w:lineRule="auto"/>
        <w:ind w:left="709" w:hanging="709"/>
        <w:jc w:val="both"/>
      </w:pPr>
      <w:r>
        <w:t>5.6</w:t>
      </w:r>
      <w:r w:rsidR="00DA1763" w:rsidRPr="00540604">
        <w:tab/>
      </w:r>
      <w:r w:rsidR="00F223F2">
        <w:t xml:space="preserve">The </w:t>
      </w:r>
      <w:r w:rsidR="00F223F2" w:rsidRPr="00540604">
        <w:t>A</w:t>
      </w:r>
      <w:r w:rsidR="00F223F2">
        <w:t>uditor-General of South Africa (A</w:t>
      </w:r>
      <w:r w:rsidR="00F223F2" w:rsidRPr="00540604">
        <w:t>GSA</w:t>
      </w:r>
      <w:r w:rsidR="00F223F2">
        <w:t>)</w:t>
      </w:r>
      <w:r w:rsidR="00F223F2" w:rsidRPr="00540604">
        <w:t xml:space="preserve"> </w:t>
      </w:r>
      <w:r w:rsidR="00F223F2">
        <w:t xml:space="preserve">submitted that </w:t>
      </w:r>
      <w:r w:rsidR="003134CA" w:rsidRPr="00540604">
        <w:t xml:space="preserve">Clause 12(5) </w:t>
      </w:r>
      <w:r w:rsidR="00F223F2">
        <w:t xml:space="preserve">was </w:t>
      </w:r>
      <w:r w:rsidR="003134CA" w:rsidRPr="00540604">
        <w:t>in conflict with section 188 of the Constitution, because it is not clear whether the funding of political parties from the Represented Political Parties Fund is for a public purpose.</w:t>
      </w:r>
    </w:p>
    <w:p w14:paraId="4BA6DD87" w14:textId="77777777" w:rsidR="003134CA" w:rsidRPr="00540604" w:rsidRDefault="003134CA" w:rsidP="00855C74">
      <w:pPr>
        <w:spacing w:line="360" w:lineRule="auto"/>
        <w:ind w:left="709"/>
        <w:jc w:val="both"/>
      </w:pPr>
      <w:r w:rsidRPr="00540604">
        <w:t>The view of the Committee is that</w:t>
      </w:r>
      <w:r w:rsidR="00FC70CE">
        <w:t xml:space="preserve"> </w:t>
      </w:r>
      <w:r w:rsidR="00566770">
        <w:t>s</w:t>
      </w:r>
      <w:r w:rsidRPr="00540604">
        <w:t xml:space="preserve">ection 188(1) gives the </w:t>
      </w:r>
      <w:r w:rsidR="00F10C17">
        <w:t>AGSA the</w:t>
      </w:r>
      <w:r w:rsidRPr="00540604">
        <w:t xml:space="preserve"> power to audit and report on the accounts and financial statements of “any other institution or accounting entity required by national legislation to be audited by the Auditor-General.” Section 188(2) states that in addition, subject to any legislation, the AG</w:t>
      </w:r>
      <w:r w:rsidR="00F419F7">
        <w:t>SA</w:t>
      </w:r>
      <w:r w:rsidRPr="00540604">
        <w:t xml:space="preserve"> may conduct an audit of “any institution that is authorised in terms of any law to recei</w:t>
      </w:r>
      <w:r w:rsidR="00104A15" w:rsidRPr="00540604">
        <w:t xml:space="preserve">ve money for a public purpose”. </w:t>
      </w:r>
      <w:r w:rsidRPr="00540604">
        <w:t xml:space="preserve">The Bill also makes it discretionary for the AGSA to conduct </w:t>
      </w:r>
      <w:r w:rsidR="00104A15" w:rsidRPr="00540604">
        <w:t xml:space="preserve">an audit in terms clause 12(5). </w:t>
      </w:r>
      <w:r w:rsidRPr="00540604">
        <w:t xml:space="preserve">Both the Preamble and </w:t>
      </w:r>
      <w:r w:rsidR="00F419F7">
        <w:t>C</w:t>
      </w:r>
      <w:r w:rsidRPr="00540604">
        <w:t>lause 7 of the Bill make it quite clear that the funds from the Represented Political Party Fund is to be used for a public purpose. In any event, a political party falls within the ambit of section 188(1)(c) of the Constitution.</w:t>
      </w:r>
    </w:p>
    <w:p w14:paraId="5B8D551D" w14:textId="77777777" w:rsidR="00104A15" w:rsidRPr="00540604" w:rsidRDefault="00104A15" w:rsidP="00855C74">
      <w:pPr>
        <w:spacing w:line="360" w:lineRule="auto"/>
        <w:ind w:left="709"/>
        <w:jc w:val="both"/>
      </w:pPr>
      <w:r w:rsidRPr="00540604">
        <w:t xml:space="preserve">Parliament is mandated in terms of section 236 of the Constitution to regulate the funding of represented political parties and have done so in terms of this Bill, which includes making political parties account to Parliament through the </w:t>
      </w:r>
      <w:r w:rsidR="00F419F7">
        <w:t>IEC</w:t>
      </w:r>
      <w:r w:rsidRPr="00540604">
        <w:t xml:space="preserve">. Further, </w:t>
      </w:r>
      <w:r w:rsidR="00F419F7">
        <w:t>C</w:t>
      </w:r>
      <w:r w:rsidRPr="00540604">
        <w:t>lause 12(5) makes it discretionary for the AGSA to conduct such audits.</w:t>
      </w:r>
    </w:p>
    <w:p w14:paraId="580727E7" w14:textId="77777777" w:rsidR="00DA1763" w:rsidRPr="00540604" w:rsidRDefault="00DA1763" w:rsidP="00855C74">
      <w:pPr>
        <w:spacing w:line="360" w:lineRule="auto"/>
        <w:ind w:left="709" w:hanging="709"/>
        <w:jc w:val="both"/>
      </w:pPr>
      <w:r w:rsidRPr="00540604">
        <w:t>5.</w:t>
      </w:r>
      <w:r w:rsidR="00582CEC">
        <w:t>6</w:t>
      </w:r>
      <w:r w:rsidRPr="00540604">
        <w:tab/>
      </w:r>
      <w:r w:rsidR="001073A1" w:rsidRPr="00540604">
        <w:t>CASAC</w:t>
      </w:r>
      <w:r w:rsidR="008C5AF2">
        <w:t>, My Vote Counts, Corruption Watch and the EFF</w:t>
      </w:r>
      <w:r w:rsidR="001073A1" w:rsidRPr="00540604">
        <w:t xml:space="preserve"> submi</w:t>
      </w:r>
      <w:r w:rsidR="00F419F7">
        <w:t>tted</w:t>
      </w:r>
      <w:r w:rsidR="001073A1" w:rsidRPr="00540604">
        <w:t xml:space="preserve"> that the appropriate formula for the distribution of funds under the M</w:t>
      </w:r>
      <w:r w:rsidR="00F419F7">
        <w:t>ulti-Party Democracy Fund was</w:t>
      </w:r>
      <w:r w:rsidR="001073A1" w:rsidRPr="00540604">
        <w:t xml:space="preserve"> 50</w:t>
      </w:r>
      <w:r w:rsidR="00F419F7">
        <w:t xml:space="preserve"> percent o</w:t>
      </w:r>
      <w:r w:rsidR="001073A1" w:rsidRPr="00540604">
        <w:t>n the basis of proportionality and 50</w:t>
      </w:r>
      <w:r w:rsidR="00F419F7">
        <w:t xml:space="preserve"> percent</w:t>
      </w:r>
      <w:r w:rsidR="001073A1" w:rsidRPr="00540604">
        <w:t xml:space="preserve"> on the basis of equity, because the new formula may not pass constitutional muster.</w:t>
      </w:r>
    </w:p>
    <w:p w14:paraId="2592B81D" w14:textId="77777777" w:rsidR="001073A1" w:rsidRPr="00540604" w:rsidRDefault="001073A1" w:rsidP="00855C74">
      <w:pPr>
        <w:spacing w:line="360" w:lineRule="auto"/>
        <w:ind w:left="709"/>
        <w:jc w:val="both"/>
      </w:pPr>
      <w:r w:rsidRPr="00540604">
        <w:t>The view of the Committee is that the formula is the product of extensive multi-party negotiations and was agreed to by all parties</w:t>
      </w:r>
      <w:r w:rsidR="007776E1">
        <w:t>,</w:t>
      </w:r>
      <w:r w:rsidRPr="00540604">
        <w:t xml:space="preserve"> other than one</w:t>
      </w:r>
      <w:r w:rsidR="007776E1">
        <w:t>,</w:t>
      </w:r>
      <w:r w:rsidRPr="00540604">
        <w:t xml:space="preserve"> in the National Assembly. Further</w:t>
      </w:r>
      <w:r w:rsidR="00BA7817">
        <w:t xml:space="preserve">more, the </w:t>
      </w:r>
      <w:r w:rsidR="00944C28" w:rsidRPr="00540604">
        <w:t>Committee was</w:t>
      </w:r>
      <w:r w:rsidRPr="00540604">
        <w:t xml:space="preserve"> of the view that th</w:t>
      </w:r>
      <w:r w:rsidR="00944C28" w:rsidRPr="00540604">
        <w:t xml:space="preserve">e new formula is in </w:t>
      </w:r>
      <w:r w:rsidR="00944C28" w:rsidRPr="00540604">
        <w:lastRenderedPageBreak/>
        <w:t xml:space="preserve">line with section 236 of </w:t>
      </w:r>
      <w:r w:rsidR="0076718C" w:rsidRPr="00540604">
        <w:t xml:space="preserve">the </w:t>
      </w:r>
      <w:r w:rsidR="00944C28" w:rsidRPr="00540604">
        <w:t>Constitution. This section provides that “To enhance multi-party democracy, national legislation must provide for the funding of political parties participating in national and provincial legislatures on an equitable and proportional basis”.</w:t>
      </w:r>
    </w:p>
    <w:p w14:paraId="08ADF94B" w14:textId="77777777" w:rsidR="00DA1763" w:rsidRPr="00540604" w:rsidRDefault="00DA1763" w:rsidP="00855C74">
      <w:pPr>
        <w:spacing w:line="360" w:lineRule="auto"/>
        <w:ind w:left="709" w:hanging="709"/>
        <w:jc w:val="both"/>
      </w:pPr>
      <w:r w:rsidRPr="00540604">
        <w:t>5.</w:t>
      </w:r>
      <w:r w:rsidR="00582CEC">
        <w:t>7</w:t>
      </w:r>
      <w:r w:rsidRPr="00540604">
        <w:tab/>
      </w:r>
      <w:r w:rsidR="0015079A" w:rsidRPr="00540604">
        <w:t>CASAC</w:t>
      </w:r>
      <w:r w:rsidR="007776E1">
        <w:t xml:space="preserve"> and the EFF</w:t>
      </w:r>
      <w:r w:rsidR="00944C28" w:rsidRPr="00540604">
        <w:t xml:space="preserve"> </w:t>
      </w:r>
      <w:r w:rsidR="00457403">
        <w:t xml:space="preserve">submitted </w:t>
      </w:r>
      <w:r w:rsidR="00944C28" w:rsidRPr="00540604">
        <w:t xml:space="preserve">that the wording of Clause 10 </w:t>
      </w:r>
      <w:r w:rsidR="00F649D5">
        <w:t>c</w:t>
      </w:r>
      <w:r w:rsidR="00944C28" w:rsidRPr="00540604">
        <w:t xml:space="preserve">ould result in the limitation and possible violation of the constitutional right to freedom of association; </w:t>
      </w:r>
      <w:r w:rsidR="00F649D5">
        <w:t>the EFF indicating that it wou</w:t>
      </w:r>
      <w:r w:rsidR="00944C28" w:rsidRPr="00540604">
        <w:t>ld deter people from becoming members of political parties and politically engaged citizens.</w:t>
      </w:r>
    </w:p>
    <w:p w14:paraId="15417409" w14:textId="77777777" w:rsidR="00944C28" w:rsidRPr="00540604" w:rsidRDefault="0015079A" w:rsidP="00855C74">
      <w:pPr>
        <w:spacing w:line="360" w:lineRule="auto"/>
        <w:ind w:left="709"/>
        <w:jc w:val="both"/>
      </w:pPr>
      <w:r w:rsidRPr="00540604">
        <w:t xml:space="preserve">The view of the Committee is that </w:t>
      </w:r>
      <w:r w:rsidR="00457403">
        <w:t>C</w:t>
      </w:r>
      <w:r w:rsidRPr="00540604">
        <w:t>lause 10 is clear</w:t>
      </w:r>
      <w:r w:rsidR="00682283">
        <w:t>: M</w:t>
      </w:r>
      <w:r w:rsidRPr="00540604">
        <w:t xml:space="preserve">embers </w:t>
      </w:r>
      <w:r w:rsidR="00942BD2" w:rsidRPr="00540604">
        <w:t xml:space="preserve">of political parties </w:t>
      </w:r>
      <w:r w:rsidRPr="00540604">
        <w:t>may only receive donations if it is for party political purposes and may only do so on behalf of a political party.</w:t>
      </w:r>
      <w:r w:rsidR="008F0DEA" w:rsidRPr="00540604">
        <w:t xml:space="preserve"> </w:t>
      </w:r>
      <w:r w:rsidRPr="00540604">
        <w:t>Further, there is no possibility that a court would interpret the provision as preventing donations of a bona fide financial assistance to a person who happens to be a member of a political party. Again</w:t>
      </w:r>
      <w:r w:rsidR="008F0DEA" w:rsidRPr="00540604">
        <w:t xml:space="preserve">, when interpreting any legislation, the courts are expected to prefer any reasonable interpretation of the legislation that is consistent with the Constitution over any interpretation that is inconsistent with the Constitution. The same approach is also expressed in </w:t>
      </w:r>
      <w:r w:rsidRPr="00540604">
        <w:t xml:space="preserve">section </w:t>
      </w:r>
      <w:r w:rsidR="00A9076B">
        <w:t>39(2)</w:t>
      </w:r>
      <w:r w:rsidRPr="00540604">
        <w:t xml:space="preserve"> of the Constitution and stipulates ‘Whe</w:t>
      </w:r>
      <w:r w:rsidR="0076718C" w:rsidRPr="00540604">
        <w:t>n</w:t>
      </w:r>
      <w:r w:rsidRPr="00540604">
        <w:t xml:space="preserve"> interpreting any legislation</w:t>
      </w:r>
      <w:r w:rsidR="001D7F2B">
        <w:t xml:space="preserve"> …</w:t>
      </w:r>
      <w:r w:rsidRPr="00540604">
        <w:t xml:space="preserve"> every court</w:t>
      </w:r>
      <w:r w:rsidR="001D7F2B">
        <w:t xml:space="preserve"> …</w:t>
      </w:r>
      <w:r w:rsidR="00A9076B">
        <w:t xml:space="preserve"> must promote the spirit, purport and objects of the Bill of Rights</w:t>
      </w:r>
      <w:r w:rsidRPr="00540604">
        <w:t>’.</w:t>
      </w:r>
    </w:p>
    <w:p w14:paraId="0B0D432E" w14:textId="77777777" w:rsidR="00A96503" w:rsidRPr="00540604" w:rsidRDefault="00A96503" w:rsidP="00855C74">
      <w:pPr>
        <w:spacing w:line="360" w:lineRule="auto"/>
        <w:ind w:left="709" w:hanging="709"/>
        <w:jc w:val="both"/>
      </w:pPr>
      <w:r w:rsidRPr="00540604">
        <w:t>5.</w:t>
      </w:r>
      <w:r w:rsidR="00582CEC">
        <w:t>8</w:t>
      </w:r>
      <w:r w:rsidRPr="00540604">
        <w:tab/>
        <w:t>Despite some of the concerns raised</w:t>
      </w:r>
      <w:r w:rsidR="00735588">
        <w:t>,</w:t>
      </w:r>
      <w:r w:rsidRPr="00540604">
        <w:t xml:space="preserve"> the Committee noted that there </w:t>
      </w:r>
      <w:r w:rsidR="00682283">
        <w:t>wa</w:t>
      </w:r>
      <w:r w:rsidRPr="00540604">
        <w:t>s a high expectation that the Bill be finalised by Parliament and enacted into law before the next general elections.</w:t>
      </w:r>
    </w:p>
    <w:p w14:paraId="16D7013F" w14:textId="77777777" w:rsidR="00681595" w:rsidRPr="00540604" w:rsidRDefault="00681595" w:rsidP="00944C28"/>
    <w:p w14:paraId="515796F1" w14:textId="77777777" w:rsidR="0049511D" w:rsidRPr="00540604" w:rsidRDefault="0049511D" w:rsidP="00D464EE">
      <w:pPr>
        <w:pStyle w:val="ListParagraph"/>
        <w:numPr>
          <w:ilvl w:val="0"/>
          <w:numId w:val="1"/>
        </w:numPr>
        <w:rPr>
          <w:b/>
        </w:rPr>
      </w:pPr>
      <w:r w:rsidRPr="00540604">
        <w:rPr>
          <w:b/>
        </w:rPr>
        <w:t>Conclusion</w:t>
      </w:r>
    </w:p>
    <w:p w14:paraId="28467937" w14:textId="77777777" w:rsidR="00855C74" w:rsidRPr="00540604" w:rsidRDefault="00855C74" w:rsidP="00540604">
      <w:pPr>
        <w:rPr>
          <w:b/>
        </w:rPr>
      </w:pPr>
    </w:p>
    <w:p w14:paraId="32A4E868" w14:textId="77777777" w:rsidR="00855C74" w:rsidRPr="00540604" w:rsidRDefault="00855C74" w:rsidP="00855C74">
      <w:pPr>
        <w:autoSpaceDE w:val="0"/>
        <w:autoSpaceDN w:val="0"/>
        <w:adjustRightInd w:val="0"/>
        <w:spacing w:line="360" w:lineRule="auto"/>
        <w:jc w:val="both"/>
        <w:rPr>
          <w:rFonts w:eastAsiaTheme="minorHAnsi"/>
          <w:lang w:eastAsia="en-US"/>
        </w:rPr>
      </w:pPr>
      <w:r w:rsidRPr="00540604">
        <w:rPr>
          <w:rFonts w:eastAsiaTheme="minorHAnsi"/>
          <w:lang w:eastAsia="en-US"/>
        </w:rPr>
        <w:t xml:space="preserve">Having considered the </w:t>
      </w:r>
      <w:r w:rsidRPr="00540604">
        <w:rPr>
          <w:b/>
          <w:i/>
        </w:rPr>
        <w:t>Political Party Funding Bill</w:t>
      </w:r>
      <w:r w:rsidRPr="00540604">
        <w:rPr>
          <w:b/>
        </w:rPr>
        <w:t xml:space="preserve"> [B33 – 2017]</w:t>
      </w:r>
      <w:r w:rsidRPr="00540604">
        <w:rPr>
          <w:rFonts w:eastAsiaTheme="minorHAnsi"/>
          <w:lang w:eastAsia="en-US"/>
        </w:rPr>
        <w:t xml:space="preserve"> and submissions made by stakeholders, the Committee recommends the adoption of </w:t>
      </w:r>
      <w:r w:rsidRPr="00FC3785">
        <w:rPr>
          <w:rFonts w:eastAsiaTheme="minorHAnsi"/>
          <w:lang w:eastAsia="en-US"/>
        </w:rPr>
        <w:t>the</w:t>
      </w:r>
      <w:r w:rsidRPr="00540604">
        <w:rPr>
          <w:rFonts w:eastAsiaTheme="minorHAnsi"/>
          <w:i/>
          <w:lang w:eastAsia="en-US"/>
        </w:rPr>
        <w:t xml:space="preserve"> </w:t>
      </w:r>
      <w:r w:rsidR="00BE499A" w:rsidRPr="00540604">
        <w:rPr>
          <w:i/>
        </w:rPr>
        <w:t>Political Party Funding Bill</w:t>
      </w:r>
      <w:r w:rsidR="00BE499A" w:rsidRPr="00540604">
        <w:t xml:space="preserve"> [B33 – 2017]</w:t>
      </w:r>
      <w:r w:rsidRPr="00540604">
        <w:rPr>
          <w:rFonts w:eastAsiaTheme="minorHAnsi"/>
          <w:lang w:eastAsia="en-US"/>
        </w:rPr>
        <w:t xml:space="preserve"> without </w:t>
      </w:r>
      <w:r w:rsidR="00BE499A" w:rsidRPr="00540604">
        <w:rPr>
          <w:rFonts w:eastAsiaTheme="minorHAnsi"/>
          <w:lang w:eastAsia="en-US"/>
        </w:rPr>
        <w:t xml:space="preserve">proposed </w:t>
      </w:r>
      <w:r w:rsidRPr="00540604">
        <w:rPr>
          <w:rFonts w:eastAsiaTheme="minorHAnsi"/>
          <w:lang w:eastAsia="en-US"/>
        </w:rPr>
        <w:t>amendments.</w:t>
      </w:r>
    </w:p>
    <w:p w14:paraId="7B74A4CF" w14:textId="77777777" w:rsidR="00855C74" w:rsidRPr="00540604" w:rsidRDefault="00855C74" w:rsidP="00540604">
      <w:pPr>
        <w:rPr>
          <w:b/>
        </w:rPr>
      </w:pPr>
    </w:p>
    <w:p w14:paraId="44E3A0E5" w14:textId="77777777" w:rsidR="007A138D" w:rsidRPr="00540604" w:rsidRDefault="007A138D" w:rsidP="00567642">
      <w:pPr>
        <w:rPr>
          <w:b/>
        </w:rPr>
      </w:pPr>
    </w:p>
    <w:p w14:paraId="6BA0493B" w14:textId="77777777" w:rsidR="007A138D" w:rsidRPr="00540604" w:rsidRDefault="007A138D" w:rsidP="00567642">
      <w:pPr>
        <w:spacing w:line="360" w:lineRule="auto"/>
        <w:jc w:val="both"/>
      </w:pPr>
      <w:r w:rsidRPr="00540604">
        <w:t>Report to be considered.</w:t>
      </w:r>
    </w:p>
    <w:p w14:paraId="7F2646AE" w14:textId="77777777" w:rsidR="007A138D" w:rsidRPr="00540604" w:rsidRDefault="007A138D" w:rsidP="007A138D">
      <w:pPr>
        <w:jc w:val="both"/>
      </w:pPr>
    </w:p>
    <w:p w14:paraId="7A7270ED" w14:textId="77777777" w:rsidR="007A138D" w:rsidRPr="00540604" w:rsidRDefault="007A138D" w:rsidP="007A138D">
      <w:pPr>
        <w:jc w:val="both"/>
      </w:pPr>
    </w:p>
    <w:p w14:paraId="13632DB6" w14:textId="77777777" w:rsidR="007A138D" w:rsidRPr="00540604" w:rsidRDefault="007A138D" w:rsidP="007A138D">
      <w:pPr>
        <w:rPr>
          <w:lang w:val="fr-FR"/>
        </w:rPr>
      </w:pPr>
    </w:p>
    <w:p w14:paraId="5EDD4B19" w14:textId="77777777" w:rsidR="007A138D" w:rsidRPr="00540604" w:rsidRDefault="007A138D" w:rsidP="007A138D">
      <w:pPr>
        <w:rPr>
          <w:lang w:val="fr-FR"/>
        </w:rPr>
      </w:pPr>
    </w:p>
    <w:p w14:paraId="6A96EFD2" w14:textId="77777777" w:rsidR="007A138D" w:rsidRPr="00540604" w:rsidRDefault="007A138D" w:rsidP="007A138D"/>
    <w:p w14:paraId="3B7B4127" w14:textId="77777777" w:rsidR="007A138D" w:rsidRPr="00540604" w:rsidRDefault="007A138D" w:rsidP="007A138D"/>
    <w:p w14:paraId="027F444C" w14:textId="77777777" w:rsidR="00CC7C03" w:rsidRPr="00540604" w:rsidRDefault="00CC7C03"/>
    <w:sectPr w:rsidR="00CC7C03" w:rsidRPr="005406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5AC34" w14:textId="77777777" w:rsidR="00E85CB0" w:rsidRDefault="00E85CB0" w:rsidP="00F70F66">
      <w:r>
        <w:separator/>
      </w:r>
    </w:p>
  </w:endnote>
  <w:endnote w:type="continuationSeparator" w:id="0">
    <w:p w14:paraId="0AB1ECD2" w14:textId="77777777" w:rsidR="00E85CB0" w:rsidRDefault="00E85CB0" w:rsidP="00F7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1658"/>
      <w:docPartObj>
        <w:docPartGallery w:val="Page Numbers (Bottom of Page)"/>
        <w:docPartUnique/>
      </w:docPartObj>
    </w:sdtPr>
    <w:sdtEndPr>
      <w:rPr>
        <w:noProof/>
      </w:rPr>
    </w:sdtEndPr>
    <w:sdtContent>
      <w:p w14:paraId="5E5DB22D" w14:textId="6754B62E" w:rsidR="008F0DEA" w:rsidRDefault="008F0DEA">
        <w:pPr>
          <w:pStyle w:val="Footer"/>
          <w:jc w:val="right"/>
        </w:pPr>
        <w:r>
          <w:fldChar w:fldCharType="begin"/>
        </w:r>
        <w:r>
          <w:instrText xml:space="preserve"> PAGE   \* MERGEFORMAT </w:instrText>
        </w:r>
        <w:r>
          <w:fldChar w:fldCharType="separate"/>
        </w:r>
        <w:r w:rsidR="00CC5324">
          <w:rPr>
            <w:noProof/>
          </w:rPr>
          <w:t>1</w:t>
        </w:r>
        <w:r>
          <w:rPr>
            <w:noProof/>
          </w:rPr>
          <w:fldChar w:fldCharType="end"/>
        </w:r>
      </w:p>
    </w:sdtContent>
  </w:sdt>
  <w:p w14:paraId="4B893F90" w14:textId="77777777" w:rsidR="008F0DEA" w:rsidRDefault="008F0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3F4D9" w14:textId="77777777" w:rsidR="00E85CB0" w:rsidRDefault="00E85CB0" w:rsidP="00F70F66">
      <w:r>
        <w:separator/>
      </w:r>
    </w:p>
  </w:footnote>
  <w:footnote w:type="continuationSeparator" w:id="0">
    <w:p w14:paraId="27E25017" w14:textId="77777777" w:rsidR="00E85CB0" w:rsidRDefault="00E85CB0" w:rsidP="00F7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59"/>
    <w:multiLevelType w:val="hybridMultilevel"/>
    <w:tmpl w:val="A8D8F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5C33CC"/>
    <w:multiLevelType w:val="hybridMultilevel"/>
    <w:tmpl w:val="A7E0B3A8"/>
    <w:lvl w:ilvl="0" w:tplc="CB229002">
      <w:start w:val="1"/>
      <w:numFmt w:val="bullet"/>
      <w:lvlText w:val="•"/>
      <w:lvlJc w:val="left"/>
      <w:pPr>
        <w:tabs>
          <w:tab w:val="num" w:pos="720"/>
        </w:tabs>
        <w:ind w:left="720" w:hanging="360"/>
      </w:pPr>
      <w:rPr>
        <w:rFonts w:ascii="Arial" w:hAnsi="Arial" w:hint="default"/>
      </w:rPr>
    </w:lvl>
    <w:lvl w:ilvl="1" w:tplc="0054F18E">
      <w:numFmt w:val="bullet"/>
      <w:lvlText w:val="–"/>
      <w:lvlJc w:val="left"/>
      <w:pPr>
        <w:tabs>
          <w:tab w:val="num" w:pos="1440"/>
        </w:tabs>
        <w:ind w:left="1440" w:hanging="360"/>
      </w:pPr>
      <w:rPr>
        <w:rFonts w:ascii="Arial" w:hAnsi="Arial" w:hint="default"/>
      </w:rPr>
    </w:lvl>
    <w:lvl w:ilvl="2" w:tplc="6786F0BC" w:tentative="1">
      <w:start w:val="1"/>
      <w:numFmt w:val="bullet"/>
      <w:lvlText w:val="•"/>
      <w:lvlJc w:val="left"/>
      <w:pPr>
        <w:tabs>
          <w:tab w:val="num" w:pos="2160"/>
        </w:tabs>
        <w:ind w:left="2160" w:hanging="360"/>
      </w:pPr>
      <w:rPr>
        <w:rFonts w:ascii="Arial" w:hAnsi="Arial" w:hint="default"/>
      </w:rPr>
    </w:lvl>
    <w:lvl w:ilvl="3" w:tplc="160070D6" w:tentative="1">
      <w:start w:val="1"/>
      <w:numFmt w:val="bullet"/>
      <w:lvlText w:val="•"/>
      <w:lvlJc w:val="left"/>
      <w:pPr>
        <w:tabs>
          <w:tab w:val="num" w:pos="2880"/>
        </w:tabs>
        <w:ind w:left="2880" w:hanging="360"/>
      </w:pPr>
      <w:rPr>
        <w:rFonts w:ascii="Arial" w:hAnsi="Arial" w:hint="default"/>
      </w:rPr>
    </w:lvl>
    <w:lvl w:ilvl="4" w:tplc="431AC1BC" w:tentative="1">
      <w:start w:val="1"/>
      <w:numFmt w:val="bullet"/>
      <w:lvlText w:val="•"/>
      <w:lvlJc w:val="left"/>
      <w:pPr>
        <w:tabs>
          <w:tab w:val="num" w:pos="3600"/>
        </w:tabs>
        <w:ind w:left="3600" w:hanging="360"/>
      </w:pPr>
      <w:rPr>
        <w:rFonts w:ascii="Arial" w:hAnsi="Arial" w:hint="default"/>
      </w:rPr>
    </w:lvl>
    <w:lvl w:ilvl="5" w:tplc="C7C8CA00" w:tentative="1">
      <w:start w:val="1"/>
      <w:numFmt w:val="bullet"/>
      <w:lvlText w:val="•"/>
      <w:lvlJc w:val="left"/>
      <w:pPr>
        <w:tabs>
          <w:tab w:val="num" w:pos="4320"/>
        </w:tabs>
        <w:ind w:left="4320" w:hanging="360"/>
      </w:pPr>
      <w:rPr>
        <w:rFonts w:ascii="Arial" w:hAnsi="Arial" w:hint="default"/>
      </w:rPr>
    </w:lvl>
    <w:lvl w:ilvl="6" w:tplc="D83E4332" w:tentative="1">
      <w:start w:val="1"/>
      <w:numFmt w:val="bullet"/>
      <w:lvlText w:val="•"/>
      <w:lvlJc w:val="left"/>
      <w:pPr>
        <w:tabs>
          <w:tab w:val="num" w:pos="5040"/>
        </w:tabs>
        <w:ind w:left="5040" w:hanging="360"/>
      </w:pPr>
      <w:rPr>
        <w:rFonts w:ascii="Arial" w:hAnsi="Arial" w:hint="default"/>
      </w:rPr>
    </w:lvl>
    <w:lvl w:ilvl="7" w:tplc="3C4489EA" w:tentative="1">
      <w:start w:val="1"/>
      <w:numFmt w:val="bullet"/>
      <w:lvlText w:val="•"/>
      <w:lvlJc w:val="left"/>
      <w:pPr>
        <w:tabs>
          <w:tab w:val="num" w:pos="5760"/>
        </w:tabs>
        <w:ind w:left="5760" w:hanging="360"/>
      </w:pPr>
      <w:rPr>
        <w:rFonts w:ascii="Arial" w:hAnsi="Arial" w:hint="default"/>
      </w:rPr>
    </w:lvl>
    <w:lvl w:ilvl="8" w:tplc="55CE1AEE" w:tentative="1">
      <w:start w:val="1"/>
      <w:numFmt w:val="bullet"/>
      <w:lvlText w:val="•"/>
      <w:lvlJc w:val="left"/>
      <w:pPr>
        <w:tabs>
          <w:tab w:val="num" w:pos="6480"/>
        </w:tabs>
        <w:ind w:left="6480" w:hanging="360"/>
      </w:pPr>
      <w:rPr>
        <w:rFonts w:ascii="Arial" w:hAnsi="Arial" w:hint="default"/>
      </w:rPr>
    </w:lvl>
  </w:abstractNum>
  <w:abstractNum w:abstractNumId="2">
    <w:nsid w:val="2FA502C0"/>
    <w:multiLevelType w:val="hybridMultilevel"/>
    <w:tmpl w:val="3F2CC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03A5DFC"/>
    <w:multiLevelType w:val="hybridMultilevel"/>
    <w:tmpl w:val="9DE26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8677906"/>
    <w:multiLevelType w:val="hybridMultilevel"/>
    <w:tmpl w:val="40A6B23C"/>
    <w:lvl w:ilvl="0" w:tplc="1546A2A2">
      <w:start w:val="1"/>
      <w:numFmt w:val="bullet"/>
      <w:lvlText w:val=""/>
      <w:lvlJc w:val="left"/>
      <w:pPr>
        <w:tabs>
          <w:tab w:val="num" w:pos="720"/>
        </w:tabs>
        <w:ind w:left="720" w:hanging="360"/>
      </w:pPr>
      <w:rPr>
        <w:rFonts w:ascii="Wingdings" w:hAnsi="Wingdings" w:hint="default"/>
      </w:rPr>
    </w:lvl>
    <w:lvl w:ilvl="1" w:tplc="D3B0C5B6" w:tentative="1">
      <w:start w:val="1"/>
      <w:numFmt w:val="bullet"/>
      <w:lvlText w:val=""/>
      <w:lvlJc w:val="left"/>
      <w:pPr>
        <w:tabs>
          <w:tab w:val="num" w:pos="1440"/>
        </w:tabs>
        <w:ind w:left="1440" w:hanging="360"/>
      </w:pPr>
      <w:rPr>
        <w:rFonts w:ascii="Wingdings" w:hAnsi="Wingdings" w:hint="default"/>
      </w:rPr>
    </w:lvl>
    <w:lvl w:ilvl="2" w:tplc="8D7E83E6" w:tentative="1">
      <w:start w:val="1"/>
      <w:numFmt w:val="bullet"/>
      <w:lvlText w:val=""/>
      <w:lvlJc w:val="left"/>
      <w:pPr>
        <w:tabs>
          <w:tab w:val="num" w:pos="2160"/>
        </w:tabs>
        <w:ind w:left="2160" w:hanging="360"/>
      </w:pPr>
      <w:rPr>
        <w:rFonts w:ascii="Wingdings" w:hAnsi="Wingdings" w:hint="default"/>
      </w:rPr>
    </w:lvl>
    <w:lvl w:ilvl="3" w:tplc="B5A61846" w:tentative="1">
      <w:start w:val="1"/>
      <w:numFmt w:val="bullet"/>
      <w:lvlText w:val=""/>
      <w:lvlJc w:val="left"/>
      <w:pPr>
        <w:tabs>
          <w:tab w:val="num" w:pos="2880"/>
        </w:tabs>
        <w:ind w:left="2880" w:hanging="360"/>
      </w:pPr>
      <w:rPr>
        <w:rFonts w:ascii="Wingdings" w:hAnsi="Wingdings" w:hint="default"/>
      </w:rPr>
    </w:lvl>
    <w:lvl w:ilvl="4" w:tplc="B50C11B4" w:tentative="1">
      <w:start w:val="1"/>
      <w:numFmt w:val="bullet"/>
      <w:lvlText w:val=""/>
      <w:lvlJc w:val="left"/>
      <w:pPr>
        <w:tabs>
          <w:tab w:val="num" w:pos="3600"/>
        </w:tabs>
        <w:ind w:left="3600" w:hanging="360"/>
      </w:pPr>
      <w:rPr>
        <w:rFonts w:ascii="Wingdings" w:hAnsi="Wingdings" w:hint="default"/>
      </w:rPr>
    </w:lvl>
    <w:lvl w:ilvl="5" w:tplc="9E9AFF40" w:tentative="1">
      <w:start w:val="1"/>
      <w:numFmt w:val="bullet"/>
      <w:lvlText w:val=""/>
      <w:lvlJc w:val="left"/>
      <w:pPr>
        <w:tabs>
          <w:tab w:val="num" w:pos="4320"/>
        </w:tabs>
        <w:ind w:left="4320" w:hanging="360"/>
      </w:pPr>
      <w:rPr>
        <w:rFonts w:ascii="Wingdings" w:hAnsi="Wingdings" w:hint="default"/>
      </w:rPr>
    </w:lvl>
    <w:lvl w:ilvl="6" w:tplc="FD044340" w:tentative="1">
      <w:start w:val="1"/>
      <w:numFmt w:val="bullet"/>
      <w:lvlText w:val=""/>
      <w:lvlJc w:val="left"/>
      <w:pPr>
        <w:tabs>
          <w:tab w:val="num" w:pos="5040"/>
        </w:tabs>
        <w:ind w:left="5040" w:hanging="360"/>
      </w:pPr>
      <w:rPr>
        <w:rFonts w:ascii="Wingdings" w:hAnsi="Wingdings" w:hint="default"/>
      </w:rPr>
    </w:lvl>
    <w:lvl w:ilvl="7" w:tplc="76A40138" w:tentative="1">
      <w:start w:val="1"/>
      <w:numFmt w:val="bullet"/>
      <w:lvlText w:val=""/>
      <w:lvlJc w:val="left"/>
      <w:pPr>
        <w:tabs>
          <w:tab w:val="num" w:pos="5760"/>
        </w:tabs>
        <w:ind w:left="5760" w:hanging="360"/>
      </w:pPr>
      <w:rPr>
        <w:rFonts w:ascii="Wingdings" w:hAnsi="Wingdings" w:hint="default"/>
      </w:rPr>
    </w:lvl>
    <w:lvl w:ilvl="8" w:tplc="06043938" w:tentative="1">
      <w:start w:val="1"/>
      <w:numFmt w:val="bullet"/>
      <w:lvlText w:val=""/>
      <w:lvlJc w:val="left"/>
      <w:pPr>
        <w:tabs>
          <w:tab w:val="num" w:pos="6480"/>
        </w:tabs>
        <w:ind w:left="6480" w:hanging="360"/>
      </w:pPr>
      <w:rPr>
        <w:rFonts w:ascii="Wingdings" w:hAnsi="Wingdings" w:hint="default"/>
      </w:rPr>
    </w:lvl>
  </w:abstractNum>
  <w:abstractNum w:abstractNumId="5">
    <w:nsid w:val="3A1611B7"/>
    <w:multiLevelType w:val="hybridMultilevel"/>
    <w:tmpl w:val="B630F7F2"/>
    <w:lvl w:ilvl="0" w:tplc="B2B42AD0">
      <w:start w:val="1"/>
      <w:numFmt w:val="bullet"/>
      <w:lvlText w:val="•"/>
      <w:lvlJc w:val="left"/>
      <w:pPr>
        <w:tabs>
          <w:tab w:val="num" w:pos="720"/>
        </w:tabs>
        <w:ind w:left="720" w:hanging="360"/>
      </w:pPr>
      <w:rPr>
        <w:rFonts w:ascii="Arial" w:hAnsi="Arial" w:hint="default"/>
      </w:rPr>
    </w:lvl>
    <w:lvl w:ilvl="1" w:tplc="BE30EAA6">
      <w:numFmt w:val="bullet"/>
      <w:lvlText w:val="–"/>
      <w:lvlJc w:val="left"/>
      <w:pPr>
        <w:tabs>
          <w:tab w:val="num" w:pos="1440"/>
        </w:tabs>
        <w:ind w:left="1440" w:hanging="360"/>
      </w:pPr>
      <w:rPr>
        <w:rFonts w:ascii="Arial" w:hAnsi="Arial" w:hint="default"/>
      </w:rPr>
    </w:lvl>
    <w:lvl w:ilvl="2" w:tplc="721C0C44" w:tentative="1">
      <w:start w:val="1"/>
      <w:numFmt w:val="bullet"/>
      <w:lvlText w:val="•"/>
      <w:lvlJc w:val="left"/>
      <w:pPr>
        <w:tabs>
          <w:tab w:val="num" w:pos="2160"/>
        </w:tabs>
        <w:ind w:left="2160" w:hanging="360"/>
      </w:pPr>
      <w:rPr>
        <w:rFonts w:ascii="Arial" w:hAnsi="Arial" w:hint="default"/>
      </w:rPr>
    </w:lvl>
    <w:lvl w:ilvl="3" w:tplc="DA34817C" w:tentative="1">
      <w:start w:val="1"/>
      <w:numFmt w:val="bullet"/>
      <w:lvlText w:val="•"/>
      <w:lvlJc w:val="left"/>
      <w:pPr>
        <w:tabs>
          <w:tab w:val="num" w:pos="2880"/>
        </w:tabs>
        <w:ind w:left="2880" w:hanging="360"/>
      </w:pPr>
      <w:rPr>
        <w:rFonts w:ascii="Arial" w:hAnsi="Arial" w:hint="default"/>
      </w:rPr>
    </w:lvl>
    <w:lvl w:ilvl="4" w:tplc="FDC4E6CC" w:tentative="1">
      <w:start w:val="1"/>
      <w:numFmt w:val="bullet"/>
      <w:lvlText w:val="•"/>
      <w:lvlJc w:val="left"/>
      <w:pPr>
        <w:tabs>
          <w:tab w:val="num" w:pos="3600"/>
        </w:tabs>
        <w:ind w:left="3600" w:hanging="360"/>
      </w:pPr>
      <w:rPr>
        <w:rFonts w:ascii="Arial" w:hAnsi="Arial" w:hint="default"/>
      </w:rPr>
    </w:lvl>
    <w:lvl w:ilvl="5" w:tplc="BC349A2C" w:tentative="1">
      <w:start w:val="1"/>
      <w:numFmt w:val="bullet"/>
      <w:lvlText w:val="•"/>
      <w:lvlJc w:val="left"/>
      <w:pPr>
        <w:tabs>
          <w:tab w:val="num" w:pos="4320"/>
        </w:tabs>
        <w:ind w:left="4320" w:hanging="360"/>
      </w:pPr>
      <w:rPr>
        <w:rFonts w:ascii="Arial" w:hAnsi="Arial" w:hint="default"/>
      </w:rPr>
    </w:lvl>
    <w:lvl w:ilvl="6" w:tplc="0D6C32B2" w:tentative="1">
      <w:start w:val="1"/>
      <w:numFmt w:val="bullet"/>
      <w:lvlText w:val="•"/>
      <w:lvlJc w:val="left"/>
      <w:pPr>
        <w:tabs>
          <w:tab w:val="num" w:pos="5040"/>
        </w:tabs>
        <w:ind w:left="5040" w:hanging="360"/>
      </w:pPr>
      <w:rPr>
        <w:rFonts w:ascii="Arial" w:hAnsi="Arial" w:hint="default"/>
      </w:rPr>
    </w:lvl>
    <w:lvl w:ilvl="7" w:tplc="3ECC8B16" w:tentative="1">
      <w:start w:val="1"/>
      <w:numFmt w:val="bullet"/>
      <w:lvlText w:val="•"/>
      <w:lvlJc w:val="left"/>
      <w:pPr>
        <w:tabs>
          <w:tab w:val="num" w:pos="5760"/>
        </w:tabs>
        <w:ind w:left="5760" w:hanging="360"/>
      </w:pPr>
      <w:rPr>
        <w:rFonts w:ascii="Arial" w:hAnsi="Arial" w:hint="default"/>
      </w:rPr>
    </w:lvl>
    <w:lvl w:ilvl="8" w:tplc="41DE73D2" w:tentative="1">
      <w:start w:val="1"/>
      <w:numFmt w:val="bullet"/>
      <w:lvlText w:val="•"/>
      <w:lvlJc w:val="left"/>
      <w:pPr>
        <w:tabs>
          <w:tab w:val="num" w:pos="6480"/>
        </w:tabs>
        <w:ind w:left="6480" w:hanging="360"/>
      </w:pPr>
      <w:rPr>
        <w:rFonts w:ascii="Arial" w:hAnsi="Arial" w:hint="default"/>
      </w:rPr>
    </w:lvl>
  </w:abstractNum>
  <w:abstractNum w:abstractNumId="6">
    <w:nsid w:val="415112A8"/>
    <w:multiLevelType w:val="multilevel"/>
    <w:tmpl w:val="AFFE2856"/>
    <w:lvl w:ilvl="0">
      <w:start w:val="1"/>
      <w:numFmt w:val="decimal"/>
      <w:lvlText w:val="%1."/>
      <w:lvlJc w:val="left"/>
      <w:pPr>
        <w:ind w:left="360" w:firstLine="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1523411"/>
    <w:multiLevelType w:val="multilevel"/>
    <w:tmpl w:val="B7582ADA"/>
    <w:lvl w:ilvl="0">
      <w:start w:val="1"/>
      <w:numFmt w:val="decimal"/>
      <w:pStyle w:val="BCHCreporthead1"/>
      <w:lvlText w:val="%1"/>
      <w:lvlJc w:val="left"/>
      <w:pPr>
        <w:ind w:left="709" w:hanging="709"/>
      </w:pPr>
      <w:rPr>
        <w:rFonts w:hint="default"/>
      </w:rPr>
    </w:lvl>
    <w:lvl w:ilvl="1">
      <w:start w:val="1"/>
      <w:numFmt w:val="decimal"/>
      <w:pStyle w:val="BCHCreporthead2"/>
      <w:lvlText w:val="%1.%2"/>
      <w:lvlJc w:val="left"/>
      <w:pPr>
        <w:ind w:left="709" w:hanging="709"/>
      </w:pPr>
      <w:rPr>
        <w:rFonts w:hint="default"/>
      </w:rPr>
    </w:lvl>
    <w:lvl w:ilvl="2">
      <w:start w:val="1"/>
      <w:numFmt w:val="decimal"/>
      <w:pStyle w:val="BCHCreporthead3"/>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8">
    <w:nsid w:val="439315D5"/>
    <w:multiLevelType w:val="hybridMultilevel"/>
    <w:tmpl w:val="8D5A4044"/>
    <w:lvl w:ilvl="0" w:tplc="C1BCF5F8">
      <w:start w:val="1"/>
      <w:numFmt w:val="bullet"/>
      <w:lvlText w:val=""/>
      <w:lvlJc w:val="left"/>
      <w:pPr>
        <w:tabs>
          <w:tab w:val="num" w:pos="720"/>
        </w:tabs>
        <w:ind w:left="720" w:hanging="360"/>
      </w:pPr>
      <w:rPr>
        <w:rFonts w:ascii="Wingdings" w:hAnsi="Wingdings" w:hint="default"/>
      </w:rPr>
    </w:lvl>
    <w:lvl w:ilvl="1" w:tplc="B2DE78BA">
      <w:start w:val="255"/>
      <w:numFmt w:val="bullet"/>
      <w:lvlText w:val="–"/>
      <w:lvlJc w:val="left"/>
      <w:pPr>
        <w:tabs>
          <w:tab w:val="num" w:pos="1440"/>
        </w:tabs>
        <w:ind w:left="1440" w:hanging="360"/>
      </w:pPr>
      <w:rPr>
        <w:rFonts w:ascii="Times New Roman" w:hAnsi="Times New Roman" w:hint="default"/>
      </w:rPr>
    </w:lvl>
    <w:lvl w:ilvl="2" w:tplc="D760234A">
      <w:start w:val="1"/>
      <w:numFmt w:val="bullet"/>
      <w:lvlText w:val=""/>
      <w:lvlJc w:val="left"/>
      <w:pPr>
        <w:tabs>
          <w:tab w:val="num" w:pos="2160"/>
        </w:tabs>
        <w:ind w:left="2160" w:hanging="360"/>
      </w:pPr>
      <w:rPr>
        <w:rFonts w:ascii="Wingdings" w:hAnsi="Wingdings" w:hint="default"/>
      </w:rPr>
    </w:lvl>
    <w:lvl w:ilvl="3" w:tplc="46CA0690" w:tentative="1">
      <w:start w:val="1"/>
      <w:numFmt w:val="bullet"/>
      <w:lvlText w:val=""/>
      <w:lvlJc w:val="left"/>
      <w:pPr>
        <w:tabs>
          <w:tab w:val="num" w:pos="2880"/>
        </w:tabs>
        <w:ind w:left="2880" w:hanging="360"/>
      </w:pPr>
      <w:rPr>
        <w:rFonts w:ascii="Wingdings" w:hAnsi="Wingdings" w:hint="default"/>
      </w:rPr>
    </w:lvl>
    <w:lvl w:ilvl="4" w:tplc="2FDC6DFA" w:tentative="1">
      <w:start w:val="1"/>
      <w:numFmt w:val="bullet"/>
      <w:lvlText w:val=""/>
      <w:lvlJc w:val="left"/>
      <w:pPr>
        <w:tabs>
          <w:tab w:val="num" w:pos="3600"/>
        </w:tabs>
        <w:ind w:left="3600" w:hanging="360"/>
      </w:pPr>
      <w:rPr>
        <w:rFonts w:ascii="Wingdings" w:hAnsi="Wingdings" w:hint="default"/>
      </w:rPr>
    </w:lvl>
    <w:lvl w:ilvl="5" w:tplc="7C9AB3AE" w:tentative="1">
      <w:start w:val="1"/>
      <w:numFmt w:val="bullet"/>
      <w:lvlText w:val=""/>
      <w:lvlJc w:val="left"/>
      <w:pPr>
        <w:tabs>
          <w:tab w:val="num" w:pos="4320"/>
        </w:tabs>
        <w:ind w:left="4320" w:hanging="360"/>
      </w:pPr>
      <w:rPr>
        <w:rFonts w:ascii="Wingdings" w:hAnsi="Wingdings" w:hint="default"/>
      </w:rPr>
    </w:lvl>
    <w:lvl w:ilvl="6" w:tplc="A7C853D4" w:tentative="1">
      <w:start w:val="1"/>
      <w:numFmt w:val="bullet"/>
      <w:lvlText w:val=""/>
      <w:lvlJc w:val="left"/>
      <w:pPr>
        <w:tabs>
          <w:tab w:val="num" w:pos="5040"/>
        </w:tabs>
        <w:ind w:left="5040" w:hanging="360"/>
      </w:pPr>
      <w:rPr>
        <w:rFonts w:ascii="Wingdings" w:hAnsi="Wingdings" w:hint="default"/>
      </w:rPr>
    </w:lvl>
    <w:lvl w:ilvl="7" w:tplc="81E0CD46" w:tentative="1">
      <w:start w:val="1"/>
      <w:numFmt w:val="bullet"/>
      <w:lvlText w:val=""/>
      <w:lvlJc w:val="left"/>
      <w:pPr>
        <w:tabs>
          <w:tab w:val="num" w:pos="5760"/>
        </w:tabs>
        <w:ind w:left="5760" w:hanging="360"/>
      </w:pPr>
      <w:rPr>
        <w:rFonts w:ascii="Wingdings" w:hAnsi="Wingdings" w:hint="default"/>
      </w:rPr>
    </w:lvl>
    <w:lvl w:ilvl="8" w:tplc="A3161CB2" w:tentative="1">
      <w:start w:val="1"/>
      <w:numFmt w:val="bullet"/>
      <w:lvlText w:val=""/>
      <w:lvlJc w:val="left"/>
      <w:pPr>
        <w:tabs>
          <w:tab w:val="num" w:pos="6480"/>
        </w:tabs>
        <w:ind w:left="6480" w:hanging="360"/>
      </w:pPr>
      <w:rPr>
        <w:rFonts w:ascii="Wingdings" w:hAnsi="Wingdings" w:hint="default"/>
      </w:rPr>
    </w:lvl>
  </w:abstractNum>
  <w:abstractNum w:abstractNumId="9">
    <w:nsid w:val="4BEE2161"/>
    <w:multiLevelType w:val="multilevel"/>
    <w:tmpl w:val="D3307AF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decimal"/>
      <w:pStyle w:val="Heading6"/>
      <w:lvlText w:val="%1.%2.%3.%4.%5.%6"/>
      <w:lvlJc w:val="left"/>
      <w:pPr>
        <w:ind w:left="709" w:hanging="709"/>
      </w:pPr>
      <w:rPr>
        <w:rFonts w:hint="default"/>
      </w:rPr>
    </w:lvl>
    <w:lvl w:ilvl="6">
      <w:start w:val="1"/>
      <w:numFmt w:val="decimal"/>
      <w:pStyle w:val="Heading7"/>
      <w:lvlText w:val="%1.%2.%3.%4.%5.%6.%7"/>
      <w:lvlJc w:val="left"/>
      <w:pPr>
        <w:ind w:left="709" w:hanging="709"/>
      </w:pPr>
      <w:rPr>
        <w:rFonts w:hint="default"/>
      </w:rPr>
    </w:lvl>
    <w:lvl w:ilvl="7">
      <w:start w:val="1"/>
      <w:numFmt w:val="decimal"/>
      <w:pStyle w:val="Heading8"/>
      <w:lvlText w:val="%1.%2.%3.%4.%5.%6.%7.%8"/>
      <w:lvlJc w:val="left"/>
      <w:pPr>
        <w:ind w:left="709" w:hanging="709"/>
      </w:pPr>
      <w:rPr>
        <w:rFonts w:hint="default"/>
      </w:rPr>
    </w:lvl>
    <w:lvl w:ilvl="8">
      <w:start w:val="1"/>
      <w:numFmt w:val="decimal"/>
      <w:pStyle w:val="Heading9"/>
      <w:lvlText w:val="%1.%2.%3.%4.%5.%6.%7.%8.%9"/>
      <w:lvlJc w:val="left"/>
      <w:pPr>
        <w:ind w:left="709" w:hanging="709"/>
      </w:pPr>
      <w:rPr>
        <w:rFonts w:hint="default"/>
      </w:rPr>
    </w:lvl>
  </w:abstractNum>
  <w:abstractNum w:abstractNumId="10">
    <w:nsid w:val="540A5DB2"/>
    <w:multiLevelType w:val="multilevel"/>
    <w:tmpl w:val="229E5CB0"/>
    <w:lvl w:ilvl="0">
      <w:start w:val="1"/>
      <w:numFmt w:val="decimal"/>
      <w:pStyle w:val="BCHC1ai"/>
      <w:lvlText w:val="%1"/>
      <w:lvlJc w:val="left"/>
      <w:pPr>
        <w:tabs>
          <w:tab w:val="num" w:pos="567"/>
        </w:tabs>
        <w:ind w:left="567" w:hanging="567"/>
      </w:pPr>
      <w:rPr>
        <w:rFonts w:hint="default"/>
      </w:rPr>
    </w:lvl>
    <w:lvl w:ilvl="1">
      <w:start w:val="1"/>
      <w:numFmt w:val="lowerLetter"/>
      <w:pStyle w:val="BCHC1ai2"/>
      <w:lvlText w:val="(%2)"/>
      <w:lvlJc w:val="left"/>
      <w:pPr>
        <w:tabs>
          <w:tab w:val="num" w:pos="992"/>
        </w:tabs>
        <w:ind w:left="992" w:hanging="425"/>
      </w:pPr>
      <w:rPr>
        <w:rFonts w:hint="default"/>
      </w:rPr>
    </w:lvl>
    <w:lvl w:ilvl="2">
      <w:start w:val="1"/>
      <w:numFmt w:val="lowerRoman"/>
      <w:pStyle w:val="BCHC1ai3"/>
      <w:lvlText w:val="(%3)"/>
      <w:lvlJc w:val="left"/>
      <w:pPr>
        <w:tabs>
          <w:tab w:val="num" w:pos="1418"/>
        </w:tabs>
        <w:ind w:left="1418" w:hanging="426"/>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421705"/>
    <w:multiLevelType w:val="hybridMultilevel"/>
    <w:tmpl w:val="7F5A1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CA156D7"/>
    <w:multiLevelType w:val="hybridMultilevel"/>
    <w:tmpl w:val="44422764"/>
    <w:lvl w:ilvl="0" w:tplc="8B00EF58">
      <w:start w:val="1"/>
      <w:numFmt w:val="decimal"/>
      <w:pStyle w:val="BCHCTablenumbering2"/>
      <w:lvlText w:val="%1."/>
      <w:lvlJc w:val="left"/>
      <w:pPr>
        <w:ind w:left="340" w:hanging="34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F476D04"/>
    <w:multiLevelType w:val="hybridMultilevel"/>
    <w:tmpl w:val="DD324420"/>
    <w:lvl w:ilvl="0" w:tplc="DD0214DC">
      <w:start w:val="1"/>
      <w:numFmt w:val="bullet"/>
      <w:lvlText w:val="•"/>
      <w:lvlJc w:val="left"/>
      <w:pPr>
        <w:tabs>
          <w:tab w:val="num" w:pos="720"/>
        </w:tabs>
        <w:ind w:left="720" w:hanging="360"/>
      </w:pPr>
      <w:rPr>
        <w:rFonts w:ascii="Arial" w:hAnsi="Arial" w:hint="default"/>
      </w:rPr>
    </w:lvl>
    <w:lvl w:ilvl="1" w:tplc="7EB8D00A" w:tentative="1">
      <w:start w:val="1"/>
      <w:numFmt w:val="bullet"/>
      <w:lvlText w:val="•"/>
      <w:lvlJc w:val="left"/>
      <w:pPr>
        <w:tabs>
          <w:tab w:val="num" w:pos="1440"/>
        </w:tabs>
        <w:ind w:left="1440" w:hanging="360"/>
      </w:pPr>
      <w:rPr>
        <w:rFonts w:ascii="Arial" w:hAnsi="Arial" w:hint="default"/>
      </w:rPr>
    </w:lvl>
    <w:lvl w:ilvl="2" w:tplc="B19AD5D2" w:tentative="1">
      <w:start w:val="1"/>
      <w:numFmt w:val="bullet"/>
      <w:lvlText w:val="•"/>
      <w:lvlJc w:val="left"/>
      <w:pPr>
        <w:tabs>
          <w:tab w:val="num" w:pos="2160"/>
        </w:tabs>
        <w:ind w:left="2160" w:hanging="360"/>
      </w:pPr>
      <w:rPr>
        <w:rFonts w:ascii="Arial" w:hAnsi="Arial" w:hint="default"/>
      </w:rPr>
    </w:lvl>
    <w:lvl w:ilvl="3" w:tplc="665659F2" w:tentative="1">
      <w:start w:val="1"/>
      <w:numFmt w:val="bullet"/>
      <w:lvlText w:val="•"/>
      <w:lvlJc w:val="left"/>
      <w:pPr>
        <w:tabs>
          <w:tab w:val="num" w:pos="2880"/>
        </w:tabs>
        <w:ind w:left="2880" w:hanging="360"/>
      </w:pPr>
      <w:rPr>
        <w:rFonts w:ascii="Arial" w:hAnsi="Arial" w:hint="default"/>
      </w:rPr>
    </w:lvl>
    <w:lvl w:ilvl="4" w:tplc="EB9EC4BC" w:tentative="1">
      <w:start w:val="1"/>
      <w:numFmt w:val="bullet"/>
      <w:lvlText w:val="•"/>
      <w:lvlJc w:val="left"/>
      <w:pPr>
        <w:tabs>
          <w:tab w:val="num" w:pos="3600"/>
        </w:tabs>
        <w:ind w:left="3600" w:hanging="360"/>
      </w:pPr>
      <w:rPr>
        <w:rFonts w:ascii="Arial" w:hAnsi="Arial" w:hint="default"/>
      </w:rPr>
    </w:lvl>
    <w:lvl w:ilvl="5" w:tplc="04D0FEE2" w:tentative="1">
      <w:start w:val="1"/>
      <w:numFmt w:val="bullet"/>
      <w:lvlText w:val="•"/>
      <w:lvlJc w:val="left"/>
      <w:pPr>
        <w:tabs>
          <w:tab w:val="num" w:pos="4320"/>
        </w:tabs>
        <w:ind w:left="4320" w:hanging="360"/>
      </w:pPr>
      <w:rPr>
        <w:rFonts w:ascii="Arial" w:hAnsi="Arial" w:hint="default"/>
      </w:rPr>
    </w:lvl>
    <w:lvl w:ilvl="6" w:tplc="C8F4ECF2" w:tentative="1">
      <w:start w:val="1"/>
      <w:numFmt w:val="bullet"/>
      <w:lvlText w:val="•"/>
      <w:lvlJc w:val="left"/>
      <w:pPr>
        <w:tabs>
          <w:tab w:val="num" w:pos="5040"/>
        </w:tabs>
        <w:ind w:left="5040" w:hanging="360"/>
      </w:pPr>
      <w:rPr>
        <w:rFonts w:ascii="Arial" w:hAnsi="Arial" w:hint="default"/>
      </w:rPr>
    </w:lvl>
    <w:lvl w:ilvl="7" w:tplc="8E8C1EA4" w:tentative="1">
      <w:start w:val="1"/>
      <w:numFmt w:val="bullet"/>
      <w:lvlText w:val="•"/>
      <w:lvlJc w:val="left"/>
      <w:pPr>
        <w:tabs>
          <w:tab w:val="num" w:pos="5760"/>
        </w:tabs>
        <w:ind w:left="5760" w:hanging="360"/>
      </w:pPr>
      <w:rPr>
        <w:rFonts w:ascii="Arial" w:hAnsi="Arial" w:hint="default"/>
      </w:rPr>
    </w:lvl>
    <w:lvl w:ilvl="8" w:tplc="D8D40068" w:tentative="1">
      <w:start w:val="1"/>
      <w:numFmt w:val="bullet"/>
      <w:lvlText w:val="•"/>
      <w:lvlJc w:val="left"/>
      <w:pPr>
        <w:tabs>
          <w:tab w:val="num" w:pos="6480"/>
        </w:tabs>
        <w:ind w:left="6480" w:hanging="360"/>
      </w:pPr>
      <w:rPr>
        <w:rFonts w:ascii="Arial" w:hAnsi="Arial" w:hint="default"/>
      </w:rPr>
    </w:lvl>
  </w:abstractNum>
  <w:abstractNum w:abstractNumId="14">
    <w:nsid w:val="64130511"/>
    <w:multiLevelType w:val="hybridMultilevel"/>
    <w:tmpl w:val="416E84C4"/>
    <w:lvl w:ilvl="0" w:tplc="D2189DCE">
      <w:start w:val="1"/>
      <w:numFmt w:val="decimal"/>
      <w:pStyle w:val="BCHCtablenumbers"/>
      <w:lvlText w:val="%1."/>
      <w:lvlJc w:val="left"/>
      <w:pPr>
        <w:ind w:left="340" w:hanging="34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DD04F1"/>
    <w:multiLevelType w:val="hybridMultilevel"/>
    <w:tmpl w:val="7AB03C42"/>
    <w:lvl w:ilvl="0" w:tplc="310E51A2">
      <w:start w:val="1"/>
      <w:numFmt w:val="bullet"/>
      <w:lvlText w:val="•"/>
      <w:lvlJc w:val="left"/>
      <w:pPr>
        <w:tabs>
          <w:tab w:val="num" w:pos="720"/>
        </w:tabs>
        <w:ind w:left="720" w:hanging="360"/>
      </w:pPr>
      <w:rPr>
        <w:rFonts w:ascii="Arial" w:hAnsi="Arial" w:hint="default"/>
      </w:rPr>
    </w:lvl>
    <w:lvl w:ilvl="1" w:tplc="1C7892D0">
      <w:numFmt w:val="bullet"/>
      <w:lvlText w:val="–"/>
      <w:lvlJc w:val="left"/>
      <w:pPr>
        <w:tabs>
          <w:tab w:val="num" w:pos="1440"/>
        </w:tabs>
        <w:ind w:left="1440" w:hanging="360"/>
      </w:pPr>
      <w:rPr>
        <w:rFonts w:ascii="Arial" w:hAnsi="Arial" w:hint="default"/>
      </w:rPr>
    </w:lvl>
    <w:lvl w:ilvl="2" w:tplc="DF487402" w:tentative="1">
      <w:start w:val="1"/>
      <w:numFmt w:val="bullet"/>
      <w:lvlText w:val="•"/>
      <w:lvlJc w:val="left"/>
      <w:pPr>
        <w:tabs>
          <w:tab w:val="num" w:pos="2160"/>
        </w:tabs>
        <w:ind w:left="2160" w:hanging="360"/>
      </w:pPr>
      <w:rPr>
        <w:rFonts w:ascii="Arial" w:hAnsi="Arial" w:hint="default"/>
      </w:rPr>
    </w:lvl>
    <w:lvl w:ilvl="3" w:tplc="02A49594" w:tentative="1">
      <w:start w:val="1"/>
      <w:numFmt w:val="bullet"/>
      <w:lvlText w:val="•"/>
      <w:lvlJc w:val="left"/>
      <w:pPr>
        <w:tabs>
          <w:tab w:val="num" w:pos="2880"/>
        </w:tabs>
        <w:ind w:left="2880" w:hanging="360"/>
      </w:pPr>
      <w:rPr>
        <w:rFonts w:ascii="Arial" w:hAnsi="Arial" w:hint="default"/>
      </w:rPr>
    </w:lvl>
    <w:lvl w:ilvl="4" w:tplc="D66EB4EE" w:tentative="1">
      <w:start w:val="1"/>
      <w:numFmt w:val="bullet"/>
      <w:lvlText w:val="•"/>
      <w:lvlJc w:val="left"/>
      <w:pPr>
        <w:tabs>
          <w:tab w:val="num" w:pos="3600"/>
        </w:tabs>
        <w:ind w:left="3600" w:hanging="360"/>
      </w:pPr>
      <w:rPr>
        <w:rFonts w:ascii="Arial" w:hAnsi="Arial" w:hint="default"/>
      </w:rPr>
    </w:lvl>
    <w:lvl w:ilvl="5" w:tplc="A1F23946" w:tentative="1">
      <w:start w:val="1"/>
      <w:numFmt w:val="bullet"/>
      <w:lvlText w:val="•"/>
      <w:lvlJc w:val="left"/>
      <w:pPr>
        <w:tabs>
          <w:tab w:val="num" w:pos="4320"/>
        </w:tabs>
        <w:ind w:left="4320" w:hanging="360"/>
      </w:pPr>
      <w:rPr>
        <w:rFonts w:ascii="Arial" w:hAnsi="Arial" w:hint="default"/>
      </w:rPr>
    </w:lvl>
    <w:lvl w:ilvl="6" w:tplc="A5ECE02A" w:tentative="1">
      <w:start w:val="1"/>
      <w:numFmt w:val="bullet"/>
      <w:lvlText w:val="•"/>
      <w:lvlJc w:val="left"/>
      <w:pPr>
        <w:tabs>
          <w:tab w:val="num" w:pos="5040"/>
        </w:tabs>
        <w:ind w:left="5040" w:hanging="360"/>
      </w:pPr>
      <w:rPr>
        <w:rFonts w:ascii="Arial" w:hAnsi="Arial" w:hint="default"/>
      </w:rPr>
    </w:lvl>
    <w:lvl w:ilvl="7" w:tplc="2940FDF0" w:tentative="1">
      <w:start w:val="1"/>
      <w:numFmt w:val="bullet"/>
      <w:lvlText w:val="•"/>
      <w:lvlJc w:val="left"/>
      <w:pPr>
        <w:tabs>
          <w:tab w:val="num" w:pos="5760"/>
        </w:tabs>
        <w:ind w:left="5760" w:hanging="360"/>
      </w:pPr>
      <w:rPr>
        <w:rFonts w:ascii="Arial" w:hAnsi="Arial" w:hint="default"/>
      </w:rPr>
    </w:lvl>
    <w:lvl w:ilvl="8" w:tplc="7A50C6FC" w:tentative="1">
      <w:start w:val="1"/>
      <w:numFmt w:val="bullet"/>
      <w:lvlText w:val="•"/>
      <w:lvlJc w:val="left"/>
      <w:pPr>
        <w:tabs>
          <w:tab w:val="num" w:pos="6480"/>
        </w:tabs>
        <w:ind w:left="6480" w:hanging="360"/>
      </w:pPr>
      <w:rPr>
        <w:rFonts w:ascii="Arial" w:hAnsi="Arial" w:hint="default"/>
      </w:rPr>
    </w:lvl>
  </w:abstractNum>
  <w:abstractNum w:abstractNumId="16">
    <w:nsid w:val="6CB3704E"/>
    <w:multiLevelType w:val="hybridMultilevel"/>
    <w:tmpl w:val="7E6C6458"/>
    <w:lvl w:ilvl="0" w:tplc="FD1EEBFE">
      <w:start w:val="1"/>
      <w:numFmt w:val="bullet"/>
      <w:lvlText w:val=""/>
      <w:lvlJc w:val="left"/>
      <w:pPr>
        <w:tabs>
          <w:tab w:val="num" w:pos="720"/>
        </w:tabs>
        <w:ind w:left="720" w:hanging="360"/>
      </w:pPr>
      <w:rPr>
        <w:rFonts w:ascii="Wingdings" w:hAnsi="Wingdings" w:hint="default"/>
      </w:rPr>
    </w:lvl>
    <w:lvl w:ilvl="1" w:tplc="17CC5736" w:tentative="1">
      <w:start w:val="1"/>
      <w:numFmt w:val="bullet"/>
      <w:lvlText w:val=""/>
      <w:lvlJc w:val="left"/>
      <w:pPr>
        <w:tabs>
          <w:tab w:val="num" w:pos="1440"/>
        </w:tabs>
        <w:ind w:left="1440" w:hanging="360"/>
      </w:pPr>
      <w:rPr>
        <w:rFonts w:ascii="Wingdings" w:hAnsi="Wingdings" w:hint="default"/>
      </w:rPr>
    </w:lvl>
    <w:lvl w:ilvl="2" w:tplc="49D6EF9C" w:tentative="1">
      <w:start w:val="1"/>
      <w:numFmt w:val="bullet"/>
      <w:lvlText w:val=""/>
      <w:lvlJc w:val="left"/>
      <w:pPr>
        <w:tabs>
          <w:tab w:val="num" w:pos="2160"/>
        </w:tabs>
        <w:ind w:left="2160" w:hanging="360"/>
      </w:pPr>
      <w:rPr>
        <w:rFonts w:ascii="Wingdings" w:hAnsi="Wingdings" w:hint="default"/>
      </w:rPr>
    </w:lvl>
    <w:lvl w:ilvl="3" w:tplc="F84C363C" w:tentative="1">
      <w:start w:val="1"/>
      <w:numFmt w:val="bullet"/>
      <w:lvlText w:val=""/>
      <w:lvlJc w:val="left"/>
      <w:pPr>
        <w:tabs>
          <w:tab w:val="num" w:pos="2880"/>
        </w:tabs>
        <w:ind w:left="2880" w:hanging="360"/>
      </w:pPr>
      <w:rPr>
        <w:rFonts w:ascii="Wingdings" w:hAnsi="Wingdings" w:hint="default"/>
      </w:rPr>
    </w:lvl>
    <w:lvl w:ilvl="4" w:tplc="18D6230A" w:tentative="1">
      <w:start w:val="1"/>
      <w:numFmt w:val="bullet"/>
      <w:lvlText w:val=""/>
      <w:lvlJc w:val="left"/>
      <w:pPr>
        <w:tabs>
          <w:tab w:val="num" w:pos="3600"/>
        </w:tabs>
        <w:ind w:left="3600" w:hanging="360"/>
      </w:pPr>
      <w:rPr>
        <w:rFonts w:ascii="Wingdings" w:hAnsi="Wingdings" w:hint="default"/>
      </w:rPr>
    </w:lvl>
    <w:lvl w:ilvl="5" w:tplc="A8D8FE82" w:tentative="1">
      <w:start w:val="1"/>
      <w:numFmt w:val="bullet"/>
      <w:lvlText w:val=""/>
      <w:lvlJc w:val="left"/>
      <w:pPr>
        <w:tabs>
          <w:tab w:val="num" w:pos="4320"/>
        </w:tabs>
        <w:ind w:left="4320" w:hanging="360"/>
      </w:pPr>
      <w:rPr>
        <w:rFonts w:ascii="Wingdings" w:hAnsi="Wingdings" w:hint="default"/>
      </w:rPr>
    </w:lvl>
    <w:lvl w:ilvl="6" w:tplc="5F06CB9C" w:tentative="1">
      <w:start w:val="1"/>
      <w:numFmt w:val="bullet"/>
      <w:lvlText w:val=""/>
      <w:lvlJc w:val="left"/>
      <w:pPr>
        <w:tabs>
          <w:tab w:val="num" w:pos="5040"/>
        </w:tabs>
        <w:ind w:left="5040" w:hanging="360"/>
      </w:pPr>
      <w:rPr>
        <w:rFonts w:ascii="Wingdings" w:hAnsi="Wingdings" w:hint="default"/>
      </w:rPr>
    </w:lvl>
    <w:lvl w:ilvl="7" w:tplc="A0F46356" w:tentative="1">
      <w:start w:val="1"/>
      <w:numFmt w:val="bullet"/>
      <w:lvlText w:val=""/>
      <w:lvlJc w:val="left"/>
      <w:pPr>
        <w:tabs>
          <w:tab w:val="num" w:pos="5760"/>
        </w:tabs>
        <w:ind w:left="5760" w:hanging="360"/>
      </w:pPr>
      <w:rPr>
        <w:rFonts w:ascii="Wingdings" w:hAnsi="Wingdings" w:hint="default"/>
      </w:rPr>
    </w:lvl>
    <w:lvl w:ilvl="8" w:tplc="6B06537A" w:tentative="1">
      <w:start w:val="1"/>
      <w:numFmt w:val="bullet"/>
      <w:lvlText w:val=""/>
      <w:lvlJc w:val="left"/>
      <w:pPr>
        <w:tabs>
          <w:tab w:val="num" w:pos="6480"/>
        </w:tabs>
        <w:ind w:left="6480" w:hanging="360"/>
      </w:pPr>
      <w:rPr>
        <w:rFonts w:ascii="Wingdings" w:hAnsi="Wingdings" w:hint="default"/>
      </w:rPr>
    </w:lvl>
  </w:abstractNum>
  <w:abstractNum w:abstractNumId="17">
    <w:nsid w:val="6FB54ED9"/>
    <w:multiLevelType w:val="hybridMultilevel"/>
    <w:tmpl w:val="35CEA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1D84BFD"/>
    <w:multiLevelType w:val="hybridMultilevel"/>
    <w:tmpl w:val="E05484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7CEA0274"/>
    <w:multiLevelType w:val="hybridMultilevel"/>
    <w:tmpl w:val="957EAE08"/>
    <w:lvl w:ilvl="0" w:tplc="F6D29882">
      <w:start w:val="1"/>
      <w:numFmt w:val="bullet"/>
      <w:lvlText w:val=""/>
      <w:lvlJc w:val="left"/>
      <w:pPr>
        <w:tabs>
          <w:tab w:val="num" w:pos="720"/>
        </w:tabs>
        <w:ind w:left="720" w:hanging="360"/>
      </w:pPr>
      <w:rPr>
        <w:rFonts w:ascii="Wingdings" w:hAnsi="Wingdings" w:hint="default"/>
      </w:rPr>
    </w:lvl>
    <w:lvl w:ilvl="1" w:tplc="416E9480">
      <w:start w:val="255"/>
      <w:numFmt w:val="bullet"/>
      <w:lvlText w:val="–"/>
      <w:lvlJc w:val="left"/>
      <w:pPr>
        <w:tabs>
          <w:tab w:val="num" w:pos="1440"/>
        </w:tabs>
        <w:ind w:left="1440" w:hanging="360"/>
      </w:pPr>
      <w:rPr>
        <w:rFonts w:ascii="Times New Roman" w:hAnsi="Times New Roman" w:hint="default"/>
      </w:rPr>
    </w:lvl>
    <w:lvl w:ilvl="2" w:tplc="9BCA3D92">
      <w:numFmt w:val="bullet"/>
      <w:lvlText w:val=""/>
      <w:lvlJc w:val="left"/>
      <w:pPr>
        <w:tabs>
          <w:tab w:val="num" w:pos="2160"/>
        </w:tabs>
        <w:ind w:left="2160" w:hanging="360"/>
      </w:pPr>
      <w:rPr>
        <w:rFonts w:ascii="Wingdings" w:hAnsi="Wingdings" w:hint="default"/>
      </w:rPr>
    </w:lvl>
    <w:lvl w:ilvl="3" w:tplc="9C1E9CF8" w:tentative="1">
      <w:start w:val="1"/>
      <w:numFmt w:val="bullet"/>
      <w:lvlText w:val=""/>
      <w:lvlJc w:val="left"/>
      <w:pPr>
        <w:tabs>
          <w:tab w:val="num" w:pos="2880"/>
        </w:tabs>
        <w:ind w:left="2880" w:hanging="360"/>
      </w:pPr>
      <w:rPr>
        <w:rFonts w:ascii="Wingdings" w:hAnsi="Wingdings" w:hint="default"/>
      </w:rPr>
    </w:lvl>
    <w:lvl w:ilvl="4" w:tplc="62302CC2" w:tentative="1">
      <w:start w:val="1"/>
      <w:numFmt w:val="bullet"/>
      <w:lvlText w:val=""/>
      <w:lvlJc w:val="left"/>
      <w:pPr>
        <w:tabs>
          <w:tab w:val="num" w:pos="3600"/>
        </w:tabs>
        <w:ind w:left="3600" w:hanging="360"/>
      </w:pPr>
      <w:rPr>
        <w:rFonts w:ascii="Wingdings" w:hAnsi="Wingdings" w:hint="default"/>
      </w:rPr>
    </w:lvl>
    <w:lvl w:ilvl="5" w:tplc="60343A00" w:tentative="1">
      <w:start w:val="1"/>
      <w:numFmt w:val="bullet"/>
      <w:lvlText w:val=""/>
      <w:lvlJc w:val="left"/>
      <w:pPr>
        <w:tabs>
          <w:tab w:val="num" w:pos="4320"/>
        </w:tabs>
        <w:ind w:left="4320" w:hanging="360"/>
      </w:pPr>
      <w:rPr>
        <w:rFonts w:ascii="Wingdings" w:hAnsi="Wingdings" w:hint="default"/>
      </w:rPr>
    </w:lvl>
    <w:lvl w:ilvl="6" w:tplc="94224CF8" w:tentative="1">
      <w:start w:val="1"/>
      <w:numFmt w:val="bullet"/>
      <w:lvlText w:val=""/>
      <w:lvlJc w:val="left"/>
      <w:pPr>
        <w:tabs>
          <w:tab w:val="num" w:pos="5040"/>
        </w:tabs>
        <w:ind w:left="5040" w:hanging="360"/>
      </w:pPr>
      <w:rPr>
        <w:rFonts w:ascii="Wingdings" w:hAnsi="Wingdings" w:hint="default"/>
      </w:rPr>
    </w:lvl>
    <w:lvl w:ilvl="7" w:tplc="55308472" w:tentative="1">
      <w:start w:val="1"/>
      <w:numFmt w:val="bullet"/>
      <w:lvlText w:val=""/>
      <w:lvlJc w:val="left"/>
      <w:pPr>
        <w:tabs>
          <w:tab w:val="num" w:pos="5760"/>
        </w:tabs>
        <w:ind w:left="5760" w:hanging="360"/>
      </w:pPr>
      <w:rPr>
        <w:rFonts w:ascii="Wingdings" w:hAnsi="Wingdings" w:hint="default"/>
      </w:rPr>
    </w:lvl>
    <w:lvl w:ilvl="8" w:tplc="AEF2ED50" w:tentative="1">
      <w:start w:val="1"/>
      <w:numFmt w:val="bullet"/>
      <w:lvlText w:val=""/>
      <w:lvlJc w:val="left"/>
      <w:pPr>
        <w:tabs>
          <w:tab w:val="num" w:pos="6480"/>
        </w:tabs>
        <w:ind w:left="6480" w:hanging="360"/>
      </w:pPr>
      <w:rPr>
        <w:rFonts w:ascii="Wingdings" w:hAnsi="Wingdings" w:hint="default"/>
      </w:rPr>
    </w:lvl>
  </w:abstractNum>
  <w:abstractNum w:abstractNumId="20">
    <w:nsid w:val="7F5C3229"/>
    <w:multiLevelType w:val="hybridMultilevel"/>
    <w:tmpl w:val="FCC00F6A"/>
    <w:lvl w:ilvl="0" w:tplc="CD68BAC8">
      <w:start w:val="1"/>
      <w:numFmt w:val="bullet"/>
      <w:lvlText w:val="•"/>
      <w:lvlJc w:val="left"/>
      <w:pPr>
        <w:tabs>
          <w:tab w:val="num" w:pos="720"/>
        </w:tabs>
        <w:ind w:left="720" w:hanging="360"/>
      </w:pPr>
      <w:rPr>
        <w:rFonts w:ascii="Arial" w:hAnsi="Arial" w:hint="default"/>
      </w:rPr>
    </w:lvl>
    <w:lvl w:ilvl="1" w:tplc="3DA8AD56">
      <w:numFmt w:val="bullet"/>
      <w:lvlText w:val="–"/>
      <w:lvlJc w:val="left"/>
      <w:pPr>
        <w:tabs>
          <w:tab w:val="num" w:pos="1440"/>
        </w:tabs>
        <w:ind w:left="1440" w:hanging="360"/>
      </w:pPr>
      <w:rPr>
        <w:rFonts w:ascii="Arial" w:hAnsi="Arial" w:hint="default"/>
      </w:rPr>
    </w:lvl>
    <w:lvl w:ilvl="2" w:tplc="48F0803A">
      <w:numFmt w:val="bullet"/>
      <w:lvlText w:val="•"/>
      <w:lvlJc w:val="left"/>
      <w:pPr>
        <w:tabs>
          <w:tab w:val="num" w:pos="2160"/>
        </w:tabs>
        <w:ind w:left="2160" w:hanging="360"/>
      </w:pPr>
      <w:rPr>
        <w:rFonts w:ascii="Arial" w:hAnsi="Arial" w:hint="default"/>
      </w:rPr>
    </w:lvl>
    <w:lvl w:ilvl="3" w:tplc="C45CAC0E" w:tentative="1">
      <w:start w:val="1"/>
      <w:numFmt w:val="bullet"/>
      <w:lvlText w:val="•"/>
      <w:lvlJc w:val="left"/>
      <w:pPr>
        <w:tabs>
          <w:tab w:val="num" w:pos="2880"/>
        </w:tabs>
        <w:ind w:left="2880" w:hanging="360"/>
      </w:pPr>
      <w:rPr>
        <w:rFonts w:ascii="Arial" w:hAnsi="Arial" w:hint="default"/>
      </w:rPr>
    </w:lvl>
    <w:lvl w:ilvl="4" w:tplc="3CACDE00" w:tentative="1">
      <w:start w:val="1"/>
      <w:numFmt w:val="bullet"/>
      <w:lvlText w:val="•"/>
      <w:lvlJc w:val="left"/>
      <w:pPr>
        <w:tabs>
          <w:tab w:val="num" w:pos="3600"/>
        </w:tabs>
        <w:ind w:left="3600" w:hanging="360"/>
      </w:pPr>
      <w:rPr>
        <w:rFonts w:ascii="Arial" w:hAnsi="Arial" w:hint="default"/>
      </w:rPr>
    </w:lvl>
    <w:lvl w:ilvl="5" w:tplc="419A33DE" w:tentative="1">
      <w:start w:val="1"/>
      <w:numFmt w:val="bullet"/>
      <w:lvlText w:val="•"/>
      <w:lvlJc w:val="left"/>
      <w:pPr>
        <w:tabs>
          <w:tab w:val="num" w:pos="4320"/>
        </w:tabs>
        <w:ind w:left="4320" w:hanging="360"/>
      </w:pPr>
      <w:rPr>
        <w:rFonts w:ascii="Arial" w:hAnsi="Arial" w:hint="default"/>
      </w:rPr>
    </w:lvl>
    <w:lvl w:ilvl="6" w:tplc="28686976" w:tentative="1">
      <w:start w:val="1"/>
      <w:numFmt w:val="bullet"/>
      <w:lvlText w:val="•"/>
      <w:lvlJc w:val="left"/>
      <w:pPr>
        <w:tabs>
          <w:tab w:val="num" w:pos="5040"/>
        </w:tabs>
        <w:ind w:left="5040" w:hanging="360"/>
      </w:pPr>
      <w:rPr>
        <w:rFonts w:ascii="Arial" w:hAnsi="Arial" w:hint="default"/>
      </w:rPr>
    </w:lvl>
    <w:lvl w:ilvl="7" w:tplc="459E46BC" w:tentative="1">
      <w:start w:val="1"/>
      <w:numFmt w:val="bullet"/>
      <w:lvlText w:val="•"/>
      <w:lvlJc w:val="left"/>
      <w:pPr>
        <w:tabs>
          <w:tab w:val="num" w:pos="5760"/>
        </w:tabs>
        <w:ind w:left="5760" w:hanging="360"/>
      </w:pPr>
      <w:rPr>
        <w:rFonts w:ascii="Arial" w:hAnsi="Arial" w:hint="default"/>
      </w:rPr>
    </w:lvl>
    <w:lvl w:ilvl="8" w:tplc="F020BD8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1"/>
  </w:num>
  <w:num w:numId="4">
    <w:abstractNumId w:val="20"/>
  </w:num>
  <w:num w:numId="5">
    <w:abstractNumId w:val="15"/>
  </w:num>
  <w:num w:numId="6">
    <w:abstractNumId w:val="5"/>
  </w:num>
  <w:num w:numId="7">
    <w:abstractNumId w:val="0"/>
  </w:num>
  <w:num w:numId="8">
    <w:abstractNumId w:val="9"/>
  </w:num>
  <w:num w:numId="9">
    <w:abstractNumId w:val="2"/>
  </w:num>
  <w:num w:numId="10">
    <w:abstractNumId w:val="8"/>
  </w:num>
  <w:num w:numId="11">
    <w:abstractNumId w:val="19"/>
  </w:num>
  <w:num w:numId="12">
    <w:abstractNumId w:val="16"/>
  </w:num>
  <w:num w:numId="13">
    <w:abstractNumId w:val="4"/>
  </w:num>
  <w:num w:numId="14">
    <w:abstractNumId w:val="11"/>
  </w:num>
  <w:num w:numId="15">
    <w:abstractNumId w:val="10"/>
  </w:num>
  <w:num w:numId="16">
    <w:abstractNumId w:val="18"/>
  </w:num>
  <w:num w:numId="17">
    <w:abstractNumId w:val="7"/>
  </w:num>
  <w:num w:numId="18">
    <w:abstractNumId w:val="14"/>
  </w:num>
  <w:num w:numId="19">
    <w:abstractNumId w:val="12"/>
  </w:num>
  <w:num w:numId="20">
    <w:abstractNumId w:val="3"/>
  </w:num>
  <w:num w:numId="21">
    <w:abstractNumId w:val="12"/>
    <w:lvlOverride w:ilvl="0">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8D"/>
    <w:rsid w:val="00002659"/>
    <w:rsid w:val="00023551"/>
    <w:rsid w:val="000B2078"/>
    <w:rsid w:val="000B20EE"/>
    <w:rsid w:val="001045B6"/>
    <w:rsid w:val="00104A15"/>
    <w:rsid w:val="001073A1"/>
    <w:rsid w:val="001408C1"/>
    <w:rsid w:val="0015079A"/>
    <w:rsid w:val="001639C0"/>
    <w:rsid w:val="00171BFB"/>
    <w:rsid w:val="00197E94"/>
    <w:rsid w:val="001D3017"/>
    <w:rsid w:val="001D7F2B"/>
    <w:rsid w:val="001F5662"/>
    <w:rsid w:val="002137BE"/>
    <w:rsid w:val="00244934"/>
    <w:rsid w:val="0028036A"/>
    <w:rsid w:val="0029689F"/>
    <w:rsid w:val="002B1AA3"/>
    <w:rsid w:val="002F1604"/>
    <w:rsid w:val="00304E26"/>
    <w:rsid w:val="003134CA"/>
    <w:rsid w:val="00321149"/>
    <w:rsid w:val="00352204"/>
    <w:rsid w:val="00360DBC"/>
    <w:rsid w:val="00374625"/>
    <w:rsid w:val="00393320"/>
    <w:rsid w:val="003B2810"/>
    <w:rsid w:val="003E5ED8"/>
    <w:rsid w:val="003F05AB"/>
    <w:rsid w:val="003F1F33"/>
    <w:rsid w:val="00421306"/>
    <w:rsid w:val="0045342D"/>
    <w:rsid w:val="00457403"/>
    <w:rsid w:val="00481275"/>
    <w:rsid w:val="00494C7C"/>
    <w:rsid w:val="0049511D"/>
    <w:rsid w:val="004D0825"/>
    <w:rsid w:val="00516000"/>
    <w:rsid w:val="00540604"/>
    <w:rsid w:val="00566770"/>
    <w:rsid w:val="00567642"/>
    <w:rsid w:val="00580C4C"/>
    <w:rsid w:val="00582CEC"/>
    <w:rsid w:val="005953C8"/>
    <w:rsid w:val="005B0E8D"/>
    <w:rsid w:val="005D660A"/>
    <w:rsid w:val="005E7C59"/>
    <w:rsid w:val="00600A37"/>
    <w:rsid w:val="00641167"/>
    <w:rsid w:val="0064274E"/>
    <w:rsid w:val="006433A6"/>
    <w:rsid w:val="00681595"/>
    <w:rsid w:val="006817EC"/>
    <w:rsid w:val="00682283"/>
    <w:rsid w:val="006B7A28"/>
    <w:rsid w:val="006D1069"/>
    <w:rsid w:val="007030B4"/>
    <w:rsid w:val="00726646"/>
    <w:rsid w:val="00735588"/>
    <w:rsid w:val="007551D6"/>
    <w:rsid w:val="00762CB8"/>
    <w:rsid w:val="00765152"/>
    <w:rsid w:val="0076718C"/>
    <w:rsid w:val="007776E1"/>
    <w:rsid w:val="007944DE"/>
    <w:rsid w:val="007A138D"/>
    <w:rsid w:val="007C2D4E"/>
    <w:rsid w:val="007C73F5"/>
    <w:rsid w:val="007E358C"/>
    <w:rsid w:val="00855C74"/>
    <w:rsid w:val="008804B9"/>
    <w:rsid w:val="008C5AF2"/>
    <w:rsid w:val="008D5305"/>
    <w:rsid w:val="008D7BDA"/>
    <w:rsid w:val="008E71B9"/>
    <w:rsid w:val="008F0DEA"/>
    <w:rsid w:val="008F53E6"/>
    <w:rsid w:val="009012EF"/>
    <w:rsid w:val="00904391"/>
    <w:rsid w:val="009155E3"/>
    <w:rsid w:val="00942BD2"/>
    <w:rsid w:val="00944C28"/>
    <w:rsid w:val="009502CA"/>
    <w:rsid w:val="009614EA"/>
    <w:rsid w:val="00964929"/>
    <w:rsid w:val="009F1336"/>
    <w:rsid w:val="00A050E4"/>
    <w:rsid w:val="00A20225"/>
    <w:rsid w:val="00A3207D"/>
    <w:rsid w:val="00A9076B"/>
    <w:rsid w:val="00A96503"/>
    <w:rsid w:val="00AA59A1"/>
    <w:rsid w:val="00AA63BE"/>
    <w:rsid w:val="00AB4D73"/>
    <w:rsid w:val="00AD5358"/>
    <w:rsid w:val="00AD75E8"/>
    <w:rsid w:val="00AF6001"/>
    <w:rsid w:val="00B00FB6"/>
    <w:rsid w:val="00B05661"/>
    <w:rsid w:val="00B162C2"/>
    <w:rsid w:val="00B30AB0"/>
    <w:rsid w:val="00B31D7F"/>
    <w:rsid w:val="00B36E6E"/>
    <w:rsid w:val="00B4631E"/>
    <w:rsid w:val="00BA3C13"/>
    <w:rsid w:val="00BA7817"/>
    <w:rsid w:val="00BC027D"/>
    <w:rsid w:val="00BC1B1D"/>
    <w:rsid w:val="00BE499A"/>
    <w:rsid w:val="00C04BC5"/>
    <w:rsid w:val="00C11344"/>
    <w:rsid w:val="00C42340"/>
    <w:rsid w:val="00C56356"/>
    <w:rsid w:val="00C766FD"/>
    <w:rsid w:val="00CB4F8A"/>
    <w:rsid w:val="00CC5324"/>
    <w:rsid w:val="00CC7C03"/>
    <w:rsid w:val="00D13911"/>
    <w:rsid w:val="00D4268A"/>
    <w:rsid w:val="00D464EE"/>
    <w:rsid w:val="00D63427"/>
    <w:rsid w:val="00D657F7"/>
    <w:rsid w:val="00D77A5E"/>
    <w:rsid w:val="00D82BFB"/>
    <w:rsid w:val="00D86F5B"/>
    <w:rsid w:val="00D90ABD"/>
    <w:rsid w:val="00DA1763"/>
    <w:rsid w:val="00DC0F4D"/>
    <w:rsid w:val="00DC5828"/>
    <w:rsid w:val="00E0055D"/>
    <w:rsid w:val="00E148C9"/>
    <w:rsid w:val="00E654C7"/>
    <w:rsid w:val="00E85CB0"/>
    <w:rsid w:val="00EB3EFE"/>
    <w:rsid w:val="00EF13D3"/>
    <w:rsid w:val="00F10C17"/>
    <w:rsid w:val="00F223F2"/>
    <w:rsid w:val="00F419F7"/>
    <w:rsid w:val="00F42009"/>
    <w:rsid w:val="00F649D5"/>
    <w:rsid w:val="00F64DC5"/>
    <w:rsid w:val="00F70F66"/>
    <w:rsid w:val="00F72118"/>
    <w:rsid w:val="00F97C89"/>
    <w:rsid w:val="00FB041F"/>
    <w:rsid w:val="00FB4A41"/>
    <w:rsid w:val="00FC3785"/>
    <w:rsid w:val="00FC65BA"/>
    <w:rsid w:val="00FC70CE"/>
    <w:rsid w:val="00FC7848"/>
    <w:rsid w:val="00FD49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8D"/>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uiPriority w:val="9"/>
    <w:semiHidden/>
    <w:qFormat/>
    <w:rsid w:val="005E7C59"/>
    <w:pPr>
      <w:keepNext/>
      <w:keepLines/>
      <w:numPr>
        <w:ilvl w:val="3"/>
        <w:numId w:val="8"/>
      </w:numPr>
      <w:spacing w:before="200" w:line="360" w:lineRule="auto"/>
      <w:outlineLvl w:val="3"/>
    </w:pPr>
    <w:rPr>
      <w:rFonts w:asciiTheme="majorHAnsi" w:eastAsiaTheme="majorEastAsia" w:hAnsiTheme="majorHAnsi" w:cstheme="majorBidi"/>
      <w:b/>
      <w:bCs/>
      <w:i/>
      <w:iCs/>
      <w:color w:val="5B9BD5" w:themeColor="accent1"/>
      <w:sz w:val="22"/>
      <w:szCs w:val="20"/>
      <w:lang w:eastAsia="en-US"/>
    </w:rPr>
  </w:style>
  <w:style w:type="paragraph" w:styleId="Heading5">
    <w:name w:val="heading 5"/>
    <w:basedOn w:val="Normal"/>
    <w:next w:val="Normal"/>
    <w:link w:val="Heading5Char"/>
    <w:uiPriority w:val="9"/>
    <w:semiHidden/>
    <w:qFormat/>
    <w:rsid w:val="005E7C59"/>
    <w:pPr>
      <w:keepNext/>
      <w:keepLines/>
      <w:numPr>
        <w:ilvl w:val="4"/>
        <w:numId w:val="8"/>
      </w:numPr>
      <w:spacing w:before="200" w:line="360" w:lineRule="auto"/>
      <w:outlineLvl w:val="4"/>
    </w:pPr>
    <w:rPr>
      <w:rFonts w:asciiTheme="majorHAnsi" w:eastAsiaTheme="majorEastAsia" w:hAnsiTheme="majorHAnsi" w:cstheme="majorBidi"/>
      <w:color w:val="1F4D78" w:themeColor="accent1" w:themeShade="7F"/>
      <w:sz w:val="22"/>
      <w:szCs w:val="20"/>
      <w:lang w:eastAsia="en-US"/>
    </w:rPr>
  </w:style>
  <w:style w:type="paragraph" w:styleId="Heading6">
    <w:name w:val="heading 6"/>
    <w:basedOn w:val="Normal"/>
    <w:next w:val="Normal"/>
    <w:link w:val="Heading6Char"/>
    <w:uiPriority w:val="9"/>
    <w:semiHidden/>
    <w:qFormat/>
    <w:rsid w:val="005E7C59"/>
    <w:pPr>
      <w:keepNext/>
      <w:keepLines/>
      <w:numPr>
        <w:ilvl w:val="5"/>
        <w:numId w:val="8"/>
      </w:numPr>
      <w:spacing w:before="200" w:line="360" w:lineRule="auto"/>
      <w:outlineLvl w:val="5"/>
    </w:pPr>
    <w:rPr>
      <w:rFonts w:asciiTheme="majorHAnsi" w:eastAsiaTheme="majorEastAsia" w:hAnsiTheme="majorHAnsi" w:cstheme="majorBidi"/>
      <w:i/>
      <w:iCs/>
      <w:color w:val="1F4D78" w:themeColor="accent1" w:themeShade="7F"/>
      <w:sz w:val="22"/>
      <w:szCs w:val="20"/>
      <w:lang w:eastAsia="en-US"/>
    </w:rPr>
  </w:style>
  <w:style w:type="paragraph" w:styleId="Heading7">
    <w:name w:val="heading 7"/>
    <w:basedOn w:val="Normal"/>
    <w:next w:val="Normal"/>
    <w:link w:val="Heading7Char"/>
    <w:uiPriority w:val="9"/>
    <w:semiHidden/>
    <w:qFormat/>
    <w:rsid w:val="005E7C59"/>
    <w:pPr>
      <w:keepNext/>
      <w:keepLines/>
      <w:numPr>
        <w:ilvl w:val="6"/>
        <w:numId w:val="8"/>
      </w:numPr>
      <w:spacing w:before="200" w:line="360" w:lineRule="auto"/>
      <w:outlineLvl w:val="6"/>
    </w:pPr>
    <w:rPr>
      <w:rFonts w:asciiTheme="majorHAnsi" w:eastAsiaTheme="majorEastAsia" w:hAnsiTheme="majorHAnsi" w:cstheme="majorBidi"/>
      <w:i/>
      <w:iCs/>
      <w:color w:val="404040" w:themeColor="text1" w:themeTint="BF"/>
      <w:sz w:val="22"/>
      <w:szCs w:val="20"/>
      <w:lang w:eastAsia="en-US"/>
    </w:rPr>
  </w:style>
  <w:style w:type="paragraph" w:styleId="Heading8">
    <w:name w:val="heading 8"/>
    <w:basedOn w:val="Normal"/>
    <w:next w:val="Normal"/>
    <w:link w:val="Heading8Char"/>
    <w:uiPriority w:val="9"/>
    <w:semiHidden/>
    <w:qFormat/>
    <w:rsid w:val="005E7C59"/>
    <w:pPr>
      <w:keepNext/>
      <w:keepLines/>
      <w:numPr>
        <w:ilvl w:val="7"/>
        <w:numId w:val="8"/>
      </w:numPr>
      <w:spacing w:before="200" w:line="36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5E7C59"/>
    <w:pPr>
      <w:keepNext/>
      <w:keepLines/>
      <w:numPr>
        <w:ilvl w:val="8"/>
        <w:numId w:val="8"/>
      </w:numPr>
      <w:spacing w:before="20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138D"/>
    <w:rPr>
      <w:sz w:val="16"/>
      <w:szCs w:val="16"/>
    </w:rPr>
  </w:style>
  <w:style w:type="paragraph" w:styleId="CommentText">
    <w:name w:val="annotation text"/>
    <w:basedOn w:val="Normal"/>
    <w:link w:val="CommentTextChar"/>
    <w:uiPriority w:val="99"/>
    <w:semiHidden/>
    <w:unhideWhenUsed/>
    <w:rsid w:val="007A138D"/>
    <w:rPr>
      <w:sz w:val="20"/>
      <w:szCs w:val="20"/>
    </w:rPr>
  </w:style>
  <w:style w:type="character" w:customStyle="1" w:styleId="CommentTextChar">
    <w:name w:val="Comment Text Char"/>
    <w:basedOn w:val="DefaultParagraphFont"/>
    <w:link w:val="CommentText"/>
    <w:uiPriority w:val="99"/>
    <w:semiHidden/>
    <w:rsid w:val="007A138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7A1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38D"/>
    <w:rPr>
      <w:rFonts w:ascii="Segoe UI" w:eastAsia="Times New Roman" w:hAnsi="Segoe UI" w:cs="Segoe UI"/>
      <w:sz w:val="18"/>
      <w:szCs w:val="18"/>
      <w:lang w:val="en-GB" w:eastAsia="en-GB"/>
    </w:rPr>
  </w:style>
  <w:style w:type="paragraph" w:styleId="ListParagraph">
    <w:name w:val="List Paragraph"/>
    <w:basedOn w:val="Normal"/>
    <w:uiPriority w:val="34"/>
    <w:qFormat/>
    <w:rsid w:val="00C11344"/>
    <w:pPr>
      <w:ind w:left="720"/>
      <w:contextualSpacing/>
    </w:pPr>
  </w:style>
  <w:style w:type="paragraph" w:customStyle="1" w:styleId="BCHCtabletext">
    <w:name w:val="BCHC table text"/>
    <w:basedOn w:val="Normal"/>
    <w:uiPriority w:val="4"/>
    <w:qFormat/>
    <w:rsid w:val="00B05661"/>
    <w:pPr>
      <w:spacing w:before="240" w:after="240" w:line="264" w:lineRule="auto"/>
    </w:pPr>
    <w:rPr>
      <w:rFonts w:ascii="Arial" w:eastAsiaTheme="minorHAnsi" w:hAnsi="Arial"/>
      <w:sz w:val="22"/>
      <w:szCs w:val="20"/>
      <w:lang w:eastAsia="en-US"/>
    </w:rPr>
  </w:style>
  <w:style w:type="character" w:customStyle="1" w:styleId="Heading4Char">
    <w:name w:val="Heading 4 Char"/>
    <w:basedOn w:val="DefaultParagraphFont"/>
    <w:link w:val="Heading4"/>
    <w:uiPriority w:val="9"/>
    <w:semiHidden/>
    <w:rsid w:val="005E7C59"/>
    <w:rPr>
      <w:rFonts w:asciiTheme="majorHAnsi" w:eastAsiaTheme="majorEastAsia" w:hAnsiTheme="majorHAnsi" w:cstheme="majorBidi"/>
      <w:b/>
      <w:bCs/>
      <w:i/>
      <w:iCs/>
      <w:color w:val="5B9BD5" w:themeColor="accent1"/>
      <w:szCs w:val="20"/>
    </w:rPr>
  </w:style>
  <w:style w:type="character" w:customStyle="1" w:styleId="Heading5Char">
    <w:name w:val="Heading 5 Char"/>
    <w:basedOn w:val="DefaultParagraphFont"/>
    <w:link w:val="Heading5"/>
    <w:uiPriority w:val="9"/>
    <w:semiHidden/>
    <w:rsid w:val="005E7C59"/>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semiHidden/>
    <w:rsid w:val="005E7C59"/>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semiHidden/>
    <w:rsid w:val="005E7C59"/>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5E7C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7C5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70F66"/>
    <w:pPr>
      <w:tabs>
        <w:tab w:val="center" w:pos="4513"/>
        <w:tab w:val="right" w:pos="9026"/>
      </w:tabs>
    </w:pPr>
  </w:style>
  <w:style w:type="character" w:customStyle="1" w:styleId="HeaderChar">
    <w:name w:val="Header Char"/>
    <w:basedOn w:val="DefaultParagraphFont"/>
    <w:link w:val="Header"/>
    <w:uiPriority w:val="99"/>
    <w:rsid w:val="00F70F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0F66"/>
    <w:pPr>
      <w:tabs>
        <w:tab w:val="center" w:pos="4513"/>
        <w:tab w:val="right" w:pos="9026"/>
      </w:tabs>
    </w:pPr>
  </w:style>
  <w:style w:type="character" w:customStyle="1" w:styleId="FooterChar">
    <w:name w:val="Footer Char"/>
    <w:basedOn w:val="DefaultParagraphFont"/>
    <w:link w:val="Footer"/>
    <w:uiPriority w:val="99"/>
    <w:rsid w:val="00F70F66"/>
    <w:rPr>
      <w:rFonts w:ascii="Times New Roman" w:eastAsia="Times New Roman" w:hAnsi="Times New Roman" w:cs="Times New Roman"/>
      <w:sz w:val="24"/>
      <w:szCs w:val="24"/>
      <w:lang w:eastAsia="en-GB"/>
    </w:rPr>
  </w:style>
  <w:style w:type="paragraph" w:customStyle="1" w:styleId="BCHC1ai">
    <w:name w:val="BCHC 1 a i"/>
    <w:basedOn w:val="Normal"/>
    <w:uiPriority w:val="3"/>
    <w:semiHidden/>
    <w:qFormat/>
    <w:rsid w:val="005953C8"/>
    <w:pPr>
      <w:numPr>
        <w:numId w:val="15"/>
      </w:numPr>
      <w:spacing w:before="120" w:after="120" w:line="360" w:lineRule="auto"/>
      <w:jc w:val="both"/>
    </w:pPr>
    <w:rPr>
      <w:rFonts w:ascii="Arial" w:eastAsiaTheme="minorHAnsi" w:hAnsi="Arial"/>
      <w:sz w:val="22"/>
      <w:szCs w:val="20"/>
      <w:lang w:eastAsia="en-US"/>
    </w:rPr>
  </w:style>
  <w:style w:type="paragraph" w:customStyle="1" w:styleId="BCHC1ai2">
    <w:name w:val="BCHC 1 a i 2"/>
    <w:basedOn w:val="Normal"/>
    <w:uiPriority w:val="3"/>
    <w:semiHidden/>
    <w:rsid w:val="005953C8"/>
    <w:pPr>
      <w:numPr>
        <w:ilvl w:val="1"/>
        <w:numId w:val="15"/>
      </w:numPr>
      <w:spacing w:before="120" w:after="120" w:line="360" w:lineRule="auto"/>
      <w:jc w:val="both"/>
    </w:pPr>
    <w:rPr>
      <w:rFonts w:ascii="Arial" w:eastAsiaTheme="minorHAnsi" w:hAnsi="Arial"/>
      <w:sz w:val="22"/>
      <w:szCs w:val="20"/>
      <w:lang w:eastAsia="en-US"/>
    </w:rPr>
  </w:style>
  <w:style w:type="paragraph" w:customStyle="1" w:styleId="BCHC1ai3">
    <w:name w:val="BCHC 1 a i 3"/>
    <w:basedOn w:val="Normal"/>
    <w:uiPriority w:val="3"/>
    <w:semiHidden/>
    <w:rsid w:val="005953C8"/>
    <w:pPr>
      <w:numPr>
        <w:ilvl w:val="2"/>
        <w:numId w:val="15"/>
      </w:numPr>
      <w:spacing w:before="120" w:after="120" w:line="360" w:lineRule="auto"/>
      <w:jc w:val="both"/>
    </w:pPr>
    <w:rPr>
      <w:rFonts w:ascii="Arial" w:eastAsiaTheme="minorHAnsi" w:hAnsi="Arial"/>
      <w:sz w:val="22"/>
      <w:szCs w:val="20"/>
      <w:lang w:eastAsia="en-US"/>
    </w:rPr>
  </w:style>
  <w:style w:type="paragraph" w:customStyle="1" w:styleId="BCHCtablenumbers">
    <w:name w:val="BCHC table numbers"/>
    <w:basedOn w:val="Normal"/>
    <w:uiPriority w:val="4"/>
    <w:qFormat/>
    <w:rsid w:val="007551D6"/>
    <w:pPr>
      <w:numPr>
        <w:numId w:val="18"/>
      </w:numPr>
      <w:spacing w:before="240" w:after="240" w:line="276" w:lineRule="auto"/>
    </w:pPr>
    <w:rPr>
      <w:rFonts w:ascii="Arial" w:eastAsiaTheme="minorHAnsi" w:hAnsi="Arial"/>
      <w:sz w:val="22"/>
      <w:szCs w:val="20"/>
      <w:lang w:eastAsia="en-US"/>
    </w:rPr>
  </w:style>
  <w:style w:type="paragraph" w:customStyle="1" w:styleId="BCHCreporthead1">
    <w:name w:val="BCHC report head 1"/>
    <w:basedOn w:val="Normal"/>
    <w:next w:val="Normal"/>
    <w:uiPriority w:val="7"/>
    <w:semiHidden/>
    <w:rsid w:val="007551D6"/>
    <w:pPr>
      <w:keepNext/>
      <w:numPr>
        <w:numId w:val="17"/>
      </w:numPr>
      <w:spacing w:before="240" w:after="120" w:line="360" w:lineRule="auto"/>
      <w:outlineLvl w:val="0"/>
    </w:pPr>
    <w:rPr>
      <w:rFonts w:ascii="Arial" w:eastAsiaTheme="minorHAnsi" w:hAnsi="Arial"/>
      <w:b/>
      <w:caps/>
      <w:lang w:eastAsia="en-US"/>
    </w:rPr>
  </w:style>
  <w:style w:type="paragraph" w:customStyle="1" w:styleId="BCHCreporthead2">
    <w:name w:val="BCHC report head 2"/>
    <w:basedOn w:val="Normal"/>
    <w:next w:val="Normal"/>
    <w:uiPriority w:val="7"/>
    <w:semiHidden/>
    <w:rsid w:val="007551D6"/>
    <w:pPr>
      <w:keepNext/>
      <w:numPr>
        <w:ilvl w:val="1"/>
        <w:numId w:val="17"/>
      </w:numPr>
      <w:spacing w:before="240" w:after="120" w:line="360" w:lineRule="auto"/>
      <w:outlineLvl w:val="1"/>
    </w:pPr>
    <w:rPr>
      <w:rFonts w:ascii="Arial" w:eastAsiaTheme="minorHAnsi" w:hAnsi="Arial"/>
      <w:b/>
      <w:lang w:eastAsia="en-US"/>
    </w:rPr>
  </w:style>
  <w:style w:type="paragraph" w:customStyle="1" w:styleId="BCHCreporthead3">
    <w:name w:val="BCHC report head 3"/>
    <w:basedOn w:val="Normal"/>
    <w:next w:val="Normal"/>
    <w:uiPriority w:val="7"/>
    <w:semiHidden/>
    <w:rsid w:val="007551D6"/>
    <w:pPr>
      <w:keepNext/>
      <w:numPr>
        <w:ilvl w:val="2"/>
        <w:numId w:val="17"/>
      </w:numPr>
      <w:spacing w:before="240" w:after="120" w:line="360" w:lineRule="auto"/>
      <w:outlineLvl w:val="2"/>
    </w:pPr>
    <w:rPr>
      <w:rFonts w:ascii="Arial" w:eastAsiaTheme="minorHAnsi" w:hAnsi="Arial"/>
      <w:i/>
      <w:szCs w:val="20"/>
      <w:lang w:eastAsia="en-US"/>
    </w:rPr>
  </w:style>
  <w:style w:type="paragraph" w:customStyle="1" w:styleId="BCHCTablenumbering2">
    <w:name w:val="BCHC Table numbering 2"/>
    <w:basedOn w:val="Normal"/>
    <w:uiPriority w:val="5"/>
    <w:rsid w:val="00BC027D"/>
    <w:pPr>
      <w:numPr>
        <w:numId w:val="19"/>
      </w:numPr>
      <w:spacing w:before="240" w:after="240" w:line="276" w:lineRule="auto"/>
    </w:pPr>
    <w:rPr>
      <w:rFonts w:ascii="Arial" w:eastAsiaTheme="minorHAnsi"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8D"/>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uiPriority w:val="9"/>
    <w:semiHidden/>
    <w:qFormat/>
    <w:rsid w:val="005E7C59"/>
    <w:pPr>
      <w:keepNext/>
      <w:keepLines/>
      <w:numPr>
        <w:ilvl w:val="3"/>
        <w:numId w:val="8"/>
      </w:numPr>
      <w:spacing w:before="200" w:line="360" w:lineRule="auto"/>
      <w:outlineLvl w:val="3"/>
    </w:pPr>
    <w:rPr>
      <w:rFonts w:asciiTheme="majorHAnsi" w:eastAsiaTheme="majorEastAsia" w:hAnsiTheme="majorHAnsi" w:cstheme="majorBidi"/>
      <w:b/>
      <w:bCs/>
      <w:i/>
      <w:iCs/>
      <w:color w:val="5B9BD5" w:themeColor="accent1"/>
      <w:sz w:val="22"/>
      <w:szCs w:val="20"/>
      <w:lang w:eastAsia="en-US"/>
    </w:rPr>
  </w:style>
  <w:style w:type="paragraph" w:styleId="Heading5">
    <w:name w:val="heading 5"/>
    <w:basedOn w:val="Normal"/>
    <w:next w:val="Normal"/>
    <w:link w:val="Heading5Char"/>
    <w:uiPriority w:val="9"/>
    <w:semiHidden/>
    <w:qFormat/>
    <w:rsid w:val="005E7C59"/>
    <w:pPr>
      <w:keepNext/>
      <w:keepLines/>
      <w:numPr>
        <w:ilvl w:val="4"/>
        <w:numId w:val="8"/>
      </w:numPr>
      <w:spacing w:before="200" w:line="360" w:lineRule="auto"/>
      <w:outlineLvl w:val="4"/>
    </w:pPr>
    <w:rPr>
      <w:rFonts w:asciiTheme="majorHAnsi" w:eastAsiaTheme="majorEastAsia" w:hAnsiTheme="majorHAnsi" w:cstheme="majorBidi"/>
      <w:color w:val="1F4D78" w:themeColor="accent1" w:themeShade="7F"/>
      <w:sz w:val="22"/>
      <w:szCs w:val="20"/>
      <w:lang w:eastAsia="en-US"/>
    </w:rPr>
  </w:style>
  <w:style w:type="paragraph" w:styleId="Heading6">
    <w:name w:val="heading 6"/>
    <w:basedOn w:val="Normal"/>
    <w:next w:val="Normal"/>
    <w:link w:val="Heading6Char"/>
    <w:uiPriority w:val="9"/>
    <w:semiHidden/>
    <w:qFormat/>
    <w:rsid w:val="005E7C59"/>
    <w:pPr>
      <w:keepNext/>
      <w:keepLines/>
      <w:numPr>
        <w:ilvl w:val="5"/>
        <w:numId w:val="8"/>
      </w:numPr>
      <w:spacing w:before="200" w:line="360" w:lineRule="auto"/>
      <w:outlineLvl w:val="5"/>
    </w:pPr>
    <w:rPr>
      <w:rFonts w:asciiTheme="majorHAnsi" w:eastAsiaTheme="majorEastAsia" w:hAnsiTheme="majorHAnsi" w:cstheme="majorBidi"/>
      <w:i/>
      <w:iCs/>
      <w:color w:val="1F4D78" w:themeColor="accent1" w:themeShade="7F"/>
      <w:sz w:val="22"/>
      <w:szCs w:val="20"/>
      <w:lang w:eastAsia="en-US"/>
    </w:rPr>
  </w:style>
  <w:style w:type="paragraph" w:styleId="Heading7">
    <w:name w:val="heading 7"/>
    <w:basedOn w:val="Normal"/>
    <w:next w:val="Normal"/>
    <w:link w:val="Heading7Char"/>
    <w:uiPriority w:val="9"/>
    <w:semiHidden/>
    <w:qFormat/>
    <w:rsid w:val="005E7C59"/>
    <w:pPr>
      <w:keepNext/>
      <w:keepLines/>
      <w:numPr>
        <w:ilvl w:val="6"/>
        <w:numId w:val="8"/>
      </w:numPr>
      <w:spacing w:before="200" w:line="360" w:lineRule="auto"/>
      <w:outlineLvl w:val="6"/>
    </w:pPr>
    <w:rPr>
      <w:rFonts w:asciiTheme="majorHAnsi" w:eastAsiaTheme="majorEastAsia" w:hAnsiTheme="majorHAnsi" w:cstheme="majorBidi"/>
      <w:i/>
      <w:iCs/>
      <w:color w:val="404040" w:themeColor="text1" w:themeTint="BF"/>
      <w:sz w:val="22"/>
      <w:szCs w:val="20"/>
      <w:lang w:eastAsia="en-US"/>
    </w:rPr>
  </w:style>
  <w:style w:type="paragraph" w:styleId="Heading8">
    <w:name w:val="heading 8"/>
    <w:basedOn w:val="Normal"/>
    <w:next w:val="Normal"/>
    <w:link w:val="Heading8Char"/>
    <w:uiPriority w:val="9"/>
    <w:semiHidden/>
    <w:qFormat/>
    <w:rsid w:val="005E7C59"/>
    <w:pPr>
      <w:keepNext/>
      <w:keepLines/>
      <w:numPr>
        <w:ilvl w:val="7"/>
        <w:numId w:val="8"/>
      </w:numPr>
      <w:spacing w:before="200" w:line="36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5E7C59"/>
    <w:pPr>
      <w:keepNext/>
      <w:keepLines/>
      <w:numPr>
        <w:ilvl w:val="8"/>
        <w:numId w:val="8"/>
      </w:numPr>
      <w:spacing w:before="20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138D"/>
    <w:rPr>
      <w:sz w:val="16"/>
      <w:szCs w:val="16"/>
    </w:rPr>
  </w:style>
  <w:style w:type="paragraph" w:styleId="CommentText">
    <w:name w:val="annotation text"/>
    <w:basedOn w:val="Normal"/>
    <w:link w:val="CommentTextChar"/>
    <w:uiPriority w:val="99"/>
    <w:semiHidden/>
    <w:unhideWhenUsed/>
    <w:rsid w:val="007A138D"/>
    <w:rPr>
      <w:sz w:val="20"/>
      <w:szCs w:val="20"/>
    </w:rPr>
  </w:style>
  <w:style w:type="character" w:customStyle="1" w:styleId="CommentTextChar">
    <w:name w:val="Comment Text Char"/>
    <w:basedOn w:val="DefaultParagraphFont"/>
    <w:link w:val="CommentText"/>
    <w:uiPriority w:val="99"/>
    <w:semiHidden/>
    <w:rsid w:val="007A138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7A1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38D"/>
    <w:rPr>
      <w:rFonts w:ascii="Segoe UI" w:eastAsia="Times New Roman" w:hAnsi="Segoe UI" w:cs="Segoe UI"/>
      <w:sz w:val="18"/>
      <w:szCs w:val="18"/>
      <w:lang w:val="en-GB" w:eastAsia="en-GB"/>
    </w:rPr>
  </w:style>
  <w:style w:type="paragraph" w:styleId="ListParagraph">
    <w:name w:val="List Paragraph"/>
    <w:basedOn w:val="Normal"/>
    <w:uiPriority w:val="34"/>
    <w:qFormat/>
    <w:rsid w:val="00C11344"/>
    <w:pPr>
      <w:ind w:left="720"/>
      <w:contextualSpacing/>
    </w:pPr>
  </w:style>
  <w:style w:type="paragraph" w:customStyle="1" w:styleId="BCHCtabletext">
    <w:name w:val="BCHC table text"/>
    <w:basedOn w:val="Normal"/>
    <w:uiPriority w:val="4"/>
    <w:qFormat/>
    <w:rsid w:val="00B05661"/>
    <w:pPr>
      <w:spacing w:before="240" w:after="240" w:line="264" w:lineRule="auto"/>
    </w:pPr>
    <w:rPr>
      <w:rFonts w:ascii="Arial" w:eastAsiaTheme="minorHAnsi" w:hAnsi="Arial"/>
      <w:sz w:val="22"/>
      <w:szCs w:val="20"/>
      <w:lang w:eastAsia="en-US"/>
    </w:rPr>
  </w:style>
  <w:style w:type="character" w:customStyle="1" w:styleId="Heading4Char">
    <w:name w:val="Heading 4 Char"/>
    <w:basedOn w:val="DefaultParagraphFont"/>
    <w:link w:val="Heading4"/>
    <w:uiPriority w:val="9"/>
    <w:semiHidden/>
    <w:rsid w:val="005E7C59"/>
    <w:rPr>
      <w:rFonts w:asciiTheme="majorHAnsi" w:eastAsiaTheme="majorEastAsia" w:hAnsiTheme="majorHAnsi" w:cstheme="majorBidi"/>
      <w:b/>
      <w:bCs/>
      <w:i/>
      <w:iCs/>
      <w:color w:val="5B9BD5" w:themeColor="accent1"/>
      <w:szCs w:val="20"/>
    </w:rPr>
  </w:style>
  <w:style w:type="character" w:customStyle="1" w:styleId="Heading5Char">
    <w:name w:val="Heading 5 Char"/>
    <w:basedOn w:val="DefaultParagraphFont"/>
    <w:link w:val="Heading5"/>
    <w:uiPriority w:val="9"/>
    <w:semiHidden/>
    <w:rsid w:val="005E7C59"/>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
    <w:semiHidden/>
    <w:rsid w:val="005E7C59"/>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
    <w:semiHidden/>
    <w:rsid w:val="005E7C59"/>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5E7C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7C5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70F66"/>
    <w:pPr>
      <w:tabs>
        <w:tab w:val="center" w:pos="4513"/>
        <w:tab w:val="right" w:pos="9026"/>
      </w:tabs>
    </w:pPr>
  </w:style>
  <w:style w:type="character" w:customStyle="1" w:styleId="HeaderChar">
    <w:name w:val="Header Char"/>
    <w:basedOn w:val="DefaultParagraphFont"/>
    <w:link w:val="Header"/>
    <w:uiPriority w:val="99"/>
    <w:rsid w:val="00F70F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0F66"/>
    <w:pPr>
      <w:tabs>
        <w:tab w:val="center" w:pos="4513"/>
        <w:tab w:val="right" w:pos="9026"/>
      </w:tabs>
    </w:pPr>
  </w:style>
  <w:style w:type="character" w:customStyle="1" w:styleId="FooterChar">
    <w:name w:val="Footer Char"/>
    <w:basedOn w:val="DefaultParagraphFont"/>
    <w:link w:val="Footer"/>
    <w:uiPriority w:val="99"/>
    <w:rsid w:val="00F70F66"/>
    <w:rPr>
      <w:rFonts w:ascii="Times New Roman" w:eastAsia="Times New Roman" w:hAnsi="Times New Roman" w:cs="Times New Roman"/>
      <w:sz w:val="24"/>
      <w:szCs w:val="24"/>
      <w:lang w:eastAsia="en-GB"/>
    </w:rPr>
  </w:style>
  <w:style w:type="paragraph" w:customStyle="1" w:styleId="BCHC1ai">
    <w:name w:val="BCHC 1 a i"/>
    <w:basedOn w:val="Normal"/>
    <w:uiPriority w:val="3"/>
    <w:semiHidden/>
    <w:qFormat/>
    <w:rsid w:val="005953C8"/>
    <w:pPr>
      <w:numPr>
        <w:numId w:val="15"/>
      </w:numPr>
      <w:spacing w:before="120" w:after="120" w:line="360" w:lineRule="auto"/>
      <w:jc w:val="both"/>
    </w:pPr>
    <w:rPr>
      <w:rFonts w:ascii="Arial" w:eastAsiaTheme="minorHAnsi" w:hAnsi="Arial"/>
      <w:sz w:val="22"/>
      <w:szCs w:val="20"/>
      <w:lang w:eastAsia="en-US"/>
    </w:rPr>
  </w:style>
  <w:style w:type="paragraph" w:customStyle="1" w:styleId="BCHC1ai2">
    <w:name w:val="BCHC 1 a i 2"/>
    <w:basedOn w:val="Normal"/>
    <w:uiPriority w:val="3"/>
    <w:semiHidden/>
    <w:rsid w:val="005953C8"/>
    <w:pPr>
      <w:numPr>
        <w:ilvl w:val="1"/>
        <w:numId w:val="15"/>
      </w:numPr>
      <w:spacing w:before="120" w:after="120" w:line="360" w:lineRule="auto"/>
      <w:jc w:val="both"/>
    </w:pPr>
    <w:rPr>
      <w:rFonts w:ascii="Arial" w:eastAsiaTheme="minorHAnsi" w:hAnsi="Arial"/>
      <w:sz w:val="22"/>
      <w:szCs w:val="20"/>
      <w:lang w:eastAsia="en-US"/>
    </w:rPr>
  </w:style>
  <w:style w:type="paragraph" w:customStyle="1" w:styleId="BCHC1ai3">
    <w:name w:val="BCHC 1 a i 3"/>
    <w:basedOn w:val="Normal"/>
    <w:uiPriority w:val="3"/>
    <w:semiHidden/>
    <w:rsid w:val="005953C8"/>
    <w:pPr>
      <w:numPr>
        <w:ilvl w:val="2"/>
        <w:numId w:val="15"/>
      </w:numPr>
      <w:spacing w:before="120" w:after="120" w:line="360" w:lineRule="auto"/>
      <w:jc w:val="both"/>
    </w:pPr>
    <w:rPr>
      <w:rFonts w:ascii="Arial" w:eastAsiaTheme="minorHAnsi" w:hAnsi="Arial"/>
      <w:sz w:val="22"/>
      <w:szCs w:val="20"/>
      <w:lang w:eastAsia="en-US"/>
    </w:rPr>
  </w:style>
  <w:style w:type="paragraph" w:customStyle="1" w:styleId="BCHCtablenumbers">
    <w:name w:val="BCHC table numbers"/>
    <w:basedOn w:val="Normal"/>
    <w:uiPriority w:val="4"/>
    <w:qFormat/>
    <w:rsid w:val="007551D6"/>
    <w:pPr>
      <w:numPr>
        <w:numId w:val="18"/>
      </w:numPr>
      <w:spacing w:before="240" w:after="240" w:line="276" w:lineRule="auto"/>
    </w:pPr>
    <w:rPr>
      <w:rFonts w:ascii="Arial" w:eastAsiaTheme="minorHAnsi" w:hAnsi="Arial"/>
      <w:sz w:val="22"/>
      <w:szCs w:val="20"/>
      <w:lang w:eastAsia="en-US"/>
    </w:rPr>
  </w:style>
  <w:style w:type="paragraph" w:customStyle="1" w:styleId="BCHCreporthead1">
    <w:name w:val="BCHC report head 1"/>
    <w:basedOn w:val="Normal"/>
    <w:next w:val="Normal"/>
    <w:uiPriority w:val="7"/>
    <w:semiHidden/>
    <w:rsid w:val="007551D6"/>
    <w:pPr>
      <w:keepNext/>
      <w:numPr>
        <w:numId w:val="17"/>
      </w:numPr>
      <w:spacing w:before="240" w:after="120" w:line="360" w:lineRule="auto"/>
      <w:outlineLvl w:val="0"/>
    </w:pPr>
    <w:rPr>
      <w:rFonts w:ascii="Arial" w:eastAsiaTheme="minorHAnsi" w:hAnsi="Arial"/>
      <w:b/>
      <w:caps/>
      <w:lang w:eastAsia="en-US"/>
    </w:rPr>
  </w:style>
  <w:style w:type="paragraph" w:customStyle="1" w:styleId="BCHCreporthead2">
    <w:name w:val="BCHC report head 2"/>
    <w:basedOn w:val="Normal"/>
    <w:next w:val="Normal"/>
    <w:uiPriority w:val="7"/>
    <w:semiHidden/>
    <w:rsid w:val="007551D6"/>
    <w:pPr>
      <w:keepNext/>
      <w:numPr>
        <w:ilvl w:val="1"/>
        <w:numId w:val="17"/>
      </w:numPr>
      <w:spacing w:before="240" w:after="120" w:line="360" w:lineRule="auto"/>
      <w:outlineLvl w:val="1"/>
    </w:pPr>
    <w:rPr>
      <w:rFonts w:ascii="Arial" w:eastAsiaTheme="minorHAnsi" w:hAnsi="Arial"/>
      <w:b/>
      <w:lang w:eastAsia="en-US"/>
    </w:rPr>
  </w:style>
  <w:style w:type="paragraph" w:customStyle="1" w:styleId="BCHCreporthead3">
    <w:name w:val="BCHC report head 3"/>
    <w:basedOn w:val="Normal"/>
    <w:next w:val="Normal"/>
    <w:uiPriority w:val="7"/>
    <w:semiHidden/>
    <w:rsid w:val="007551D6"/>
    <w:pPr>
      <w:keepNext/>
      <w:numPr>
        <w:ilvl w:val="2"/>
        <w:numId w:val="17"/>
      </w:numPr>
      <w:spacing w:before="240" w:after="120" w:line="360" w:lineRule="auto"/>
      <w:outlineLvl w:val="2"/>
    </w:pPr>
    <w:rPr>
      <w:rFonts w:ascii="Arial" w:eastAsiaTheme="minorHAnsi" w:hAnsi="Arial"/>
      <w:i/>
      <w:szCs w:val="20"/>
      <w:lang w:eastAsia="en-US"/>
    </w:rPr>
  </w:style>
  <w:style w:type="paragraph" w:customStyle="1" w:styleId="BCHCTablenumbering2">
    <w:name w:val="BCHC Table numbering 2"/>
    <w:basedOn w:val="Normal"/>
    <w:uiPriority w:val="5"/>
    <w:rsid w:val="00BC027D"/>
    <w:pPr>
      <w:numPr>
        <w:numId w:val="19"/>
      </w:numPr>
      <w:spacing w:before="240" w:after="240" w:line="276" w:lineRule="auto"/>
    </w:pPr>
    <w:rPr>
      <w:rFonts w:ascii="Arial" w:eastAsiaTheme="minorHAnsi"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2683">
      <w:bodyDiv w:val="1"/>
      <w:marLeft w:val="0"/>
      <w:marRight w:val="0"/>
      <w:marTop w:val="0"/>
      <w:marBottom w:val="0"/>
      <w:divBdr>
        <w:top w:val="none" w:sz="0" w:space="0" w:color="auto"/>
        <w:left w:val="none" w:sz="0" w:space="0" w:color="auto"/>
        <w:bottom w:val="none" w:sz="0" w:space="0" w:color="auto"/>
        <w:right w:val="none" w:sz="0" w:space="0" w:color="auto"/>
      </w:divBdr>
      <w:divsChild>
        <w:div w:id="319427435">
          <w:marLeft w:val="547"/>
          <w:marRight w:val="0"/>
          <w:marTop w:val="154"/>
          <w:marBottom w:val="0"/>
          <w:divBdr>
            <w:top w:val="none" w:sz="0" w:space="0" w:color="auto"/>
            <w:left w:val="none" w:sz="0" w:space="0" w:color="auto"/>
            <w:bottom w:val="none" w:sz="0" w:space="0" w:color="auto"/>
            <w:right w:val="none" w:sz="0" w:space="0" w:color="auto"/>
          </w:divBdr>
        </w:div>
        <w:div w:id="199242376">
          <w:marLeft w:val="1166"/>
          <w:marRight w:val="0"/>
          <w:marTop w:val="134"/>
          <w:marBottom w:val="0"/>
          <w:divBdr>
            <w:top w:val="none" w:sz="0" w:space="0" w:color="auto"/>
            <w:left w:val="none" w:sz="0" w:space="0" w:color="auto"/>
            <w:bottom w:val="none" w:sz="0" w:space="0" w:color="auto"/>
            <w:right w:val="none" w:sz="0" w:space="0" w:color="auto"/>
          </w:divBdr>
        </w:div>
        <w:div w:id="1492789909">
          <w:marLeft w:val="1166"/>
          <w:marRight w:val="0"/>
          <w:marTop w:val="134"/>
          <w:marBottom w:val="0"/>
          <w:divBdr>
            <w:top w:val="none" w:sz="0" w:space="0" w:color="auto"/>
            <w:left w:val="none" w:sz="0" w:space="0" w:color="auto"/>
            <w:bottom w:val="none" w:sz="0" w:space="0" w:color="auto"/>
            <w:right w:val="none" w:sz="0" w:space="0" w:color="auto"/>
          </w:divBdr>
        </w:div>
        <w:div w:id="840851729">
          <w:marLeft w:val="547"/>
          <w:marRight w:val="0"/>
          <w:marTop w:val="154"/>
          <w:marBottom w:val="0"/>
          <w:divBdr>
            <w:top w:val="none" w:sz="0" w:space="0" w:color="auto"/>
            <w:left w:val="none" w:sz="0" w:space="0" w:color="auto"/>
            <w:bottom w:val="none" w:sz="0" w:space="0" w:color="auto"/>
            <w:right w:val="none" w:sz="0" w:space="0" w:color="auto"/>
          </w:divBdr>
        </w:div>
        <w:div w:id="1946378943">
          <w:marLeft w:val="1166"/>
          <w:marRight w:val="0"/>
          <w:marTop w:val="134"/>
          <w:marBottom w:val="0"/>
          <w:divBdr>
            <w:top w:val="none" w:sz="0" w:space="0" w:color="auto"/>
            <w:left w:val="none" w:sz="0" w:space="0" w:color="auto"/>
            <w:bottom w:val="none" w:sz="0" w:space="0" w:color="auto"/>
            <w:right w:val="none" w:sz="0" w:space="0" w:color="auto"/>
          </w:divBdr>
        </w:div>
        <w:div w:id="1827625971">
          <w:marLeft w:val="1166"/>
          <w:marRight w:val="0"/>
          <w:marTop w:val="134"/>
          <w:marBottom w:val="0"/>
          <w:divBdr>
            <w:top w:val="none" w:sz="0" w:space="0" w:color="auto"/>
            <w:left w:val="none" w:sz="0" w:space="0" w:color="auto"/>
            <w:bottom w:val="none" w:sz="0" w:space="0" w:color="auto"/>
            <w:right w:val="none" w:sz="0" w:space="0" w:color="auto"/>
          </w:divBdr>
        </w:div>
      </w:divsChild>
    </w:div>
    <w:div w:id="332026045">
      <w:bodyDiv w:val="1"/>
      <w:marLeft w:val="0"/>
      <w:marRight w:val="0"/>
      <w:marTop w:val="0"/>
      <w:marBottom w:val="0"/>
      <w:divBdr>
        <w:top w:val="none" w:sz="0" w:space="0" w:color="auto"/>
        <w:left w:val="none" w:sz="0" w:space="0" w:color="auto"/>
        <w:bottom w:val="none" w:sz="0" w:space="0" w:color="auto"/>
        <w:right w:val="none" w:sz="0" w:space="0" w:color="auto"/>
      </w:divBdr>
      <w:divsChild>
        <w:div w:id="337659312">
          <w:marLeft w:val="360"/>
          <w:marRight w:val="0"/>
          <w:marTop w:val="200"/>
          <w:marBottom w:val="0"/>
          <w:divBdr>
            <w:top w:val="none" w:sz="0" w:space="0" w:color="auto"/>
            <w:left w:val="none" w:sz="0" w:space="0" w:color="auto"/>
            <w:bottom w:val="none" w:sz="0" w:space="0" w:color="auto"/>
            <w:right w:val="none" w:sz="0" w:space="0" w:color="auto"/>
          </w:divBdr>
        </w:div>
        <w:div w:id="1913543573">
          <w:marLeft w:val="360"/>
          <w:marRight w:val="0"/>
          <w:marTop w:val="200"/>
          <w:marBottom w:val="0"/>
          <w:divBdr>
            <w:top w:val="none" w:sz="0" w:space="0" w:color="auto"/>
            <w:left w:val="none" w:sz="0" w:space="0" w:color="auto"/>
            <w:bottom w:val="none" w:sz="0" w:space="0" w:color="auto"/>
            <w:right w:val="none" w:sz="0" w:space="0" w:color="auto"/>
          </w:divBdr>
        </w:div>
        <w:div w:id="1690839097">
          <w:marLeft w:val="360"/>
          <w:marRight w:val="0"/>
          <w:marTop w:val="200"/>
          <w:marBottom w:val="0"/>
          <w:divBdr>
            <w:top w:val="none" w:sz="0" w:space="0" w:color="auto"/>
            <w:left w:val="none" w:sz="0" w:space="0" w:color="auto"/>
            <w:bottom w:val="none" w:sz="0" w:space="0" w:color="auto"/>
            <w:right w:val="none" w:sz="0" w:space="0" w:color="auto"/>
          </w:divBdr>
        </w:div>
      </w:divsChild>
    </w:div>
    <w:div w:id="575365306">
      <w:bodyDiv w:val="1"/>
      <w:marLeft w:val="0"/>
      <w:marRight w:val="0"/>
      <w:marTop w:val="0"/>
      <w:marBottom w:val="0"/>
      <w:divBdr>
        <w:top w:val="none" w:sz="0" w:space="0" w:color="auto"/>
        <w:left w:val="none" w:sz="0" w:space="0" w:color="auto"/>
        <w:bottom w:val="none" w:sz="0" w:space="0" w:color="auto"/>
        <w:right w:val="none" w:sz="0" w:space="0" w:color="auto"/>
      </w:divBdr>
      <w:divsChild>
        <w:div w:id="2012487042">
          <w:marLeft w:val="907"/>
          <w:marRight w:val="0"/>
          <w:marTop w:val="154"/>
          <w:marBottom w:val="0"/>
          <w:divBdr>
            <w:top w:val="none" w:sz="0" w:space="0" w:color="auto"/>
            <w:left w:val="none" w:sz="0" w:space="0" w:color="auto"/>
            <w:bottom w:val="none" w:sz="0" w:space="0" w:color="auto"/>
            <w:right w:val="none" w:sz="0" w:space="0" w:color="auto"/>
          </w:divBdr>
        </w:div>
      </w:divsChild>
    </w:div>
    <w:div w:id="735399513">
      <w:bodyDiv w:val="1"/>
      <w:marLeft w:val="0"/>
      <w:marRight w:val="0"/>
      <w:marTop w:val="0"/>
      <w:marBottom w:val="0"/>
      <w:divBdr>
        <w:top w:val="none" w:sz="0" w:space="0" w:color="auto"/>
        <w:left w:val="none" w:sz="0" w:space="0" w:color="auto"/>
        <w:bottom w:val="none" w:sz="0" w:space="0" w:color="auto"/>
        <w:right w:val="none" w:sz="0" w:space="0" w:color="auto"/>
      </w:divBdr>
      <w:divsChild>
        <w:div w:id="538905985">
          <w:marLeft w:val="907"/>
          <w:marRight w:val="0"/>
          <w:marTop w:val="154"/>
          <w:marBottom w:val="0"/>
          <w:divBdr>
            <w:top w:val="none" w:sz="0" w:space="0" w:color="auto"/>
            <w:left w:val="none" w:sz="0" w:space="0" w:color="auto"/>
            <w:bottom w:val="none" w:sz="0" w:space="0" w:color="auto"/>
            <w:right w:val="none" w:sz="0" w:space="0" w:color="auto"/>
          </w:divBdr>
        </w:div>
      </w:divsChild>
    </w:div>
    <w:div w:id="738598091">
      <w:bodyDiv w:val="1"/>
      <w:marLeft w:val="0"/>
      <w:marRight w:val="0"/>
      <w:marTop w:val="0"/>
      <w:marBottom w:val="0"/>
      <w:divBdr>
        <w:top w:val="none" w:sz="0" w:space="0" w:color="auto"/>
        <w:left w:val="none" w:sz="0" w:space="0" w:color="auto"/>
        <w:bottom w:val="none" w:sz="0" w:space="0" w:color="auto"/>
        <w:right w:val="none" w:sz="0" w:space="0" w:color="auto"/>
      </w:divBdr>
      <w:divsChild>
        <w:div w:id="1598974916">
          <w:marLeft w:val="547"/>
          <w:marRight w:val="0"/>
          <w:marTop w:val="154"/>
          <w:marBottom w:val="0"/>
          <w:divBdr>
            <w:top w:val="none" w:sz="0" w:space="0" w:color="auto"/>
            <w:left w:val="none" w:sz="0" w:space="0" w:color="auto"/>
            <w:bottom w:val="none" w:sz="0" w:space="0" w:color="auto"/>
            <w:right w:val="none" w:sz="0" w:space="0" w:color="auto"/>
          </w:divBdr>
        </w:div>
        <w:div w:id="1792700823">
          <w:marLeft w:val="547"/>
          <w:marRight w:val="0"/>
          <w:marTop w:val="154"/>
          <w:marBottom w:val="0"/>
          <w:divBdr>
            <w:top w:val="none" w:sz="0" w:space="0" w:color="auto"/>
            <w:left w:val="none" w:sz="0" w:space="0" w:color="auto"/>
            <w:bottom w:val="none" w:sz="0" w:space="0" w:color="auto"/>
            <w:right w:val="none" w:sz="0" w:space="0" w:color="auto"/>
          </w:divBdr>
        </w:div>
        <w:div w:id="826092131">
          <w:marLeft w:val="1166"/>
          <w:marRight w:val="0"/>
          <w:marTop w:val="134"/>
          <w:marBottom w:val="0"/>
          <w:divBdr>
            <w:top w:val="none" w:sz="0" w:space="0" w:color="auto"/>
            <w:left w:val="none" w:sz="0" w:space="0" w:color="auto"/>
            <w:bottom w:val="none" w:sz="0" w:space="0" w:color="auto"/>
            <w:right w:val="none" w:sz="0" w:space="0" w:color="auto"/>
          </w:divBdr>
        </w:div>
        <w:div w:id="1957130858">
          <w:marLeft w:val="1166"/>
          <w:marRight w:val="0"/>
          <w:marTop w:val="134"/>
          <w:marBottom w:val="0"/>
          <w:divBdr>
            <w:top w:val="none" w:sz="0" w:space="0" w:color="auto"/>
            <w:left w:val="none" w:sz="0" w:space="0" w:color="auto"/>
            <w:bottom w:val="none" w:sz="0" w:space="0" w:color="auto"/>
            <w:right w:val="none" w:sz="0" w:space="0" w:color="auto"/>
          </w:divBdr>
        </w:div>
        <w:div w:id="362245010">
          <w:marLeft w:val="1166"/>
          <w:marRight w:val="0"/>
          <w:marTop w:val="134"/>
          <w:marBottom w:val="0"/>
          <w:divBdr>
            <w:top w:val="none" w:sz="0" w:space="0" w:color="auto"/>
            <w:left w:val="none" w:sz="0" w:space="0" w:color="auto"/>
            <w:bottom w:val="none" w:sz="0" w:space="0" w:color="auto"/>
            <w:right w:val="none" w:sz="0" w:space="0" w:color="auto"/>
          </w:divBdr>
        </w:div>
        <w:div w:id="1268461431">
          <w:marLeft w:val="1166"/>
          <w:marRight w:val="0"/>
          <w:marTop w:val="134"/>
          <w:marBottom w:val="0"/>
          <w:divBdr>
            <w:top w:val="none" w:sz="0" w:space="0" w:color="auto"/>
            <w:left w:val="none" w:sz="0" w:space="0" w:color="auto"/>
            <w:bottom w:val="none" w:sz="0" w:space="0" w:color="auto"/>
            <w:right w:val="none" w:sz="0" w:space="0" w:color="auto"/>
          </w:divBdr>
        </w:div>
        <w:div w:id="439178170">
          <w:marLeft w:val="1800"/>
          <w:marRight w:val="0"/>
          <w:marTop w:val="115"/>
          <w:marBottom w:val="0"/>
          <w:divBdr>
            <w:top w:val="none" w:sz="0" w:space="0" w:color="auto"/>
            <w:left w:val="none" w:sz="0" w:space="0" w:color="auto"/>
            <w:bottom w:val="none" w:sz="0" w:space="0" w:color="auto"/>
            <w:right w:val="none" w:sz="0" w:space="0" w:color="auto"/>
          </w:divBdr>
        </w:div>
      </w:divsChild>
    </w:div>
    <w:div w:id="888881794">
      <w:bodyDiv w:val="1"/>
      <w:marLeft w:val="0"/>
      <w:marRight w:val="0"/>
      <w:marTop w:val="0"/>
      <w:marBottom w:val="0"/>
      <w:divBdr>
        <w:top w:val="none" w:sz="0" w:space="0" w:color="auto"/>
        <w:left w:val="none" w:sz="0" w:space="0" w:color="auto"/>
        <w:bottom w:val="none" w:sz="0" w:space="0" w:color="auto"/>
        <w:right w:val="none" w:sz="0" w:space="0" w:color="auto"/>
      </w:divBdr>
      <w:divsChild>
        <w:div w:id="207256948">
          <w:marLeft w:val="547"/>
          <w:marRight w:val="0"/>
          <w:marTop w:val="130"/>
          <w:marBottom w:val="0"/>
          <w:divBdr>
            <w:top w:val="none" w:sz="0" w:space="0" w:color="auto"/>
            <w:left w:val="none" w:sz="0" w:space="0" w:color="auto"/>
            <w:bottom w:val="none" w:sz="0" w:space="0" w:color="auto"/>
            <w:right w:val="none" w:sz="0" w:space="0" w:color="auto"/>
          </w:divBdr>
        </w:div>
        <w:div w:id="783422606">
          <w:marLeft w:val="547"/>
          <w:marRight w:val="0"/>
          <w:marTop w:val="130"/>
          <w:marBottom w:val="0"/>
          <w:divBdr>
            <w:top w:val="none" w:sz="0" w:space="0" w:color="auto"/>
            <w:left w:val="none" w:sz="0" w:space="0" w:color="auto"/>
            <w:bottom w:val="none" w:sz="0" w:space="0" w:color="auto"/>
            <w:right w:val="none" w:sz="0" w:space="0" w:color="auto"/>
          </w:divBdr>
        </w:div>
        <w:div w:id="2097549605">
          <w:marLeft w:val="1166"/>
          <w:marRight w:val="0"/>
          <w:marTop w:val="115"/>
          <w:marBottom w:val="0"/>
          <w:divBdr>
            <w:top w:val="none" w:sz="0" w:space="0" w:color="auto"/>
            <w:left w:val="none" w:sz="0" w:space="0" w:color="auto"/>
            <w:bottom w:val="none" w:sz="0" w:space="0" w:color="auto"/>
            <w:right w:val="none" w:sz="0" w:space="0" w:color="auto"/>
          </w:divBdr>
        </w:div>
        <w:div w:id="1275789695">
          <w:marLeft w:val="1800"/>
          <w:marRight w:val="0"/>
          <w:marTop w:val="96"/>
          <w:marBottom w:val="0"/>
          <w:divBdr>
            <w:top w:val="none" w:sz="0" w:space="0" w:color="auto"/>
            <w:left w:val="none" w:sz="0" w:space="0" w:color="auto"/>
            <w:bottom w:val="none" w:sz="0" w:space="0" w:color="auto"/>
            <w:right w:val="none" w:sz="0" w:space="0" w:color="auto"/>
          </w:divBdr>
        </w:div>
        <w:div w:id="147017883">
          <w:marLeft w:val="1166"/>
          <w:marRight w:val="0"/>
          <w:marTop w:val="115"/>
          <w:marBottom w:val="0"/>
          <w:divBdr>
            <w:top w:val="none" w:sz="0" w:space="0" w:color="auto"/>
            <w:left w:val="none" w:sz="0" w:space="0" w:color="auto"/>
            <w:bottom w:val="none" w:sz="0" w:space="0" w:color="auto"/>
            <w:right w:val="none" w:sz="0" w:space="0" w:color="auto"/>
          </w:divBdr>
        </w:div>
        <w:div w:id="731542600">
          <w:marLeft w:val="1166"/>
          <w:marRight w:val="0"/>
          <w:marTop w:val="115"/>
          <w:marBottom w:val="0"/>
          <w:divBdr>
            <w:top w:val="none" w:sz="0" w:space="0" w:color="auto"/>
            <w:left w:val="none" w:sz="0" w:space="0" w:color="auto"/>
            <w:bottom w:val="none" w:sz="0" w:space="0" w:color="auto"/>
            <w:right w:val="none" w:sz="0" w:space="0" w:color="auto"/>
          </w:divBdr>
        </w:div>
        <w:div w:id="1791779178">
          <w:marLeft w:val="1166"/>
          <w:marRight w:val="0"/>
          <w:marTop w:val="115"/>
          <w:marBottom w:val="0"/>
          <w:divBdr>
            <w:top w:val="none" w:sz="0" w:space="0" w:color="auto"/>
            <w:left w:val="none" w:sz="0" w:space="0" w:color="auto"/>
            <w:bottom w:val="none" w:sz="0" w:space="0" w:color="auto"/>
            <w:right w:val="none" w:sz="0" w:space="0" w:color="auto"/>
          </w:divBdr>
        </w:div>
        <w:div w:id="1778216697">
          <w:marLeft w:val="547"/>
          <w:marRight w:val="0"/>
          <w:marTop w:val="130"/>
          <w:marBottom w:val="0"/>
          <w:divBdr>
            <w:top w:val="none" w:sz="0" w:space="0" w:color="auto"/>
            <w:left w:val="none" w:sz="0" w:space="0" w:color="auto"/>
            <w:bottom w:val="none" w:sz="0" w:space="0" w:color="auto"/>
            <w:right w:val="none" w:sz="0" w:space="0" w:color="auto"/>
          </w:divBdr>
        </w:div>
        <w:div w:id="496725878">
          <w:marLeft w:val="547"/>
          <w:marRight w:val="0"/>
          <w:marTop w:val="130"/>
          <w:marBottom w:val="0"/>
          <w:divBdr>
            <w:top w:val="none" w:sz="0" w:space="0" w:color="auto"/>
            <w:left w:val="none" w:sz="0" w:space="0" w:color="auto"/>
            <w:bottom w:val="none" w:sz="0" w:space="0" w:color="auto"/>
            <w:right w:val="none" w:sz="0" w:space="0" w:color="auto"/>
          </w:divBdr>
        </w:div>
      </w:divsChild>
    </w:div>
    <w:div w:id="1115632474">
      <w:bodyDiv w:val="1"/>
      <w:marLeft w:val="0"/>
      <w:marRight w:val="0"/>
      <w:marTop w:val="0"/>
      <w:marBottom w:val="0"/>
      <w:divBdr>
        <w:top w:val="none" w:sz="0" w:space="0" w:color="auto"/>
        <w:left w:val="none" w:sz="0" w:space="0" w:color="auto"/>
        <w:bottom w:val="none" w:sz="0" w:space="0" w:color="auto"/>
        <w:right w:val="none" w:sz="0" w:space="0" w:color="auto"/>
      </w:divBdr>
      <w:divsChild>
        <w:div w:id="73865616">
          <w:marLeft w:val="547"/>
          <w:marRight w:val="0"/>
          <w:marTop w:val="154"/>
          <w:marBottom w:val="0"/>
          <w:divBdr>
            <w:top w:val="none" w:sz="0" w:space="0" w:color="auto"/>
            <w:left w:val="none" w:sz="0" w:space="0" w:color="auto"/>
            <w:bottom w:val="none" w:sz="0" w:space="0" w:color="auto"/>
            <w:right w:val="none" w:sz="0" w:space="0" w:color="auto"/>
          </w:divBdr>
        </w:div>
        <w:div w:id="1510214695">
          <w:marLeft w:val="1166"/>
          <w:marRight w:val="0"/>
          <w:marTop w:val="134"/>
          <w:marBottom w:val="0"/>
          <w:divBdr>
            <w:top w:val="none" w:sz="0" w:space="0" w:color="auto"/>
            <w:left w:val="none" w:sz="0" w:space="0" w:color="auto"/>
            <w:bottom w:val="none" w:sz="0" w:space="0" w:color="auto"/>
            <w:right w:val="none" w:sz="0" w:space="0" w:color="auto"/>
          </w:divBdr>
        </w:div>
        <w:div w:id="785388681">
          <w:marLeft w:val="1166"/>
          <w:marRight w:val="0"/>
          <w:marTop w:val="134"/>
          <w:marBottom w:val="0"/>
          <w:divBdr>
            <w:top w:val="none" w:sz="0" w:space="0" w:color="auto"/>
            <w:left w:val="none" w:sz="0" w:space="0" w:color="auto"/>
            <w:bottom w:val="none" w:sz="0" w:space="0" w:color="auto"/>
            <w:right w:val="none" w:sz="0" w:space="0" w:color="auto"/>
          </w:divBdr>
        </w:div>
        <w:div w:id="871184913">
          <w:marLeft w:val="547"/>
          <w:marRight w:val="0"/>
          <w:marTop w:val="154"/>
          <w:marBottom w:val="0"/>
          <w:divBdr>
            <w:top w:val="none" w:sz="0" w:space="0" w:color="auto"/>
            <w:left w:val="none" w:sz="0" w:space="0" w:color="auto"/>
            <w:bottom w:val="none" w:sz="0" w:space="0" w:color="auto"/>
            <w:right w:val="none" w:sz="0" w:space="0" w:color="auto"/>
          </w:divBdr>
        </w:div>
        <w:div w:id="594750132">
          <w:marLeft w:val="547"/>
          <w:marRight w:val="0"/>
          <w:marTop w:val="154"/>
          <w:marBottom w:val="0"/>
          <w:divBdr>
            <w:top w:val="none" w:sz="0" w:space="0" w:color="auto"/>
            <w:left w:val="none" w:sz="0" w:space="0" w:color="auto"/>
            <w:bottom w:val="none" w:sz="0" w:space="0" w:color="auto"/>
            <w:right w:val="none" w:sz="0" w:space="0" w:color="auto"/>
          </w:divBdr>
        </w:div>
      </w:divsChild>
    </w:div>
    <w:div w:id="1173110730">
      <w:bodyDiv w:val="1"/>
      <w:marLeft w:val="0"/>
      <w:marRight w:val="0"/>
      <w:marTop w:val="0"/>
      <w:marBottom w:val="0"/>
      <w:divBdr>
        <w:top w:val="none" w:sz="0" w:space="0" w:color="auto"/>
        <w:left w:val="none" w:sz="0" w:space="0" w:color="auto"/>
        <w:bottom w:val="none" w:sz="0" w:space="0" w:color="auto"/>
        <w:right w:val="none" w:sz="0" w:space="0" w:color="auto"/>
      </w:divBdr>
      <w:divsChild>
        <w:div w:id="15154497">
          <w:marLeft w:val="547"/>
          <w:marRight w:val="0"/>
          <w:marTop w:val="154"/>
          <w:marBottom w:val="0"/>
          <w:divBdr>
            <w:top w:val="none" w:sz="0" w:space="0" w:color="auto"/>
            <w:left w:val="none" w:sz="0" w:space="0" w:color="auto"/>
            <w:bottom w:val="none" w:sz="0" w:space="0" w:color="auto"/>
            <w:right w:val="none" w:sz="0" w:space="0" w:color="auto"/>
          </w:divBdr>
        </w:div>
        <w:div w:id="2064715707">
          <w:marLeft w:val="547"/>
          <w:marRight w:val="0"/>
          <w:marTop w:val="154"/>
          <w:marBottom w:val="0"/>
          <w:divBdr>
            <w:top w:val="none" w:sz="0" w:space="0" w:color="auto"/>
            <w:left w:val="none" w:sz="0" w:space="0" w:color="auto"/>
            <w:bottom w:val="none" w:sz="0" w:space="0" w:color="auto"/>
            <w:right w:val="none" w:sz="0" w:space="0" w:color="auto"/>
          </w:divBdr>
        </w:div>
        <w:div w:id="946348098">
          <w:marLeft w:val="1166"/>
          <w:marRight w:val="0"/>
          <w:marTop w:val="134"/>
          <w:marBottom w:val="0"/>
          <w:divBdr>
            <w:top w:val="none" w:sz="0" w:space="0" w:color="auto"/>
            <w:left w:val="none" w:sz="0" w:space="0" w:color="auto"/>
            <w:bottom w:val="none" w:sz="0" w:space="0" w:color="auto"/>
            <w:right w:val="none" w:sz="0" w:space="0" w:color="auto"/>
          </w:divBdr>
        </w:div>
        <w:div w:id="1297561025">
          <w:marLeft w:val="1166"/>
          <w:marRight w:val="0"/>
          <w:marTop w:val="134"/>
          <w:marBottom w:val="0"/>
          <w:divBdr>
            <w:top w:val="none" w:sz="0" w:space="0" w:color="auto"/>
            <w:left w:val="none" w:sz="0" w:space="0" w:color="auto"/>
            <w:bottom w:val="none" w:sz="0" w:space="0" w:color="auto"/>
            <w:right w:val="none" w:sz="0" w:space="0" w:color="auto"/>
          </w:divBdr>
        </w:div>
        <w:div w:id="10375319">
          <w:marLeft w:val="1166"/>
          <w:marRight w:val="0"/>
          <w:marTop w:val="134"/>
          <w:marBottom w:val="0"/>
          <w:divBdr>
            <w:top w:val="none" w:sz="0" w:space="0" w:color="auto"/>
            <w:left w:val="none" w:sz="0" w:space="0" w:color="auto"/>
            <w:bottom w:val="none" w:sz="0" w:space="0" w:color="auto"/>
            <w:right w:val="none" w:sz="0" w:space="0" w:color="auto"/>
          </w:divBdr>
        </w:div>
      </w:divsChild>
    </w:div>
    <w:div w:id="1313170848">
      <w:bodyDiv w:val="1"/>
      <w:marLeft w:val="0"/>
      <w:marRight w:val="0"/>
      <w:marTop w:val="0"/>
      <w:marBottom w:val="0"/>
      <w:divBdr>
        <w:top w:val="none" w:sz="0" w:space="0" w:color="auto"/>
        <w:left w:val="none" w:sz="0" w:space="0" w:color="auto"/>
        <w:bottom w:val="none" w:sz="0" w:space="0" w:color="auto"/>
        <w:right w:val="none" w:sz="0" w:space="0" w:color="auto"/>
      </w:divBdr>
      <w:divsChild>
        <w:div w:id="378671681">
          <w:marLeft w:val="547"/>
          <w:marRight w:val="0"/>
          <w:marTop w:val="154"/>
          <w:marBottom w:val="0"/>
          <w:divBdr>
            <w:top w:val="none" w:sz="0" w:space="0" w:color="auto"/>
            <w:left w:val="none" w:sz="0" w:space="0" w:color="auto"/>
            <w:bottom w:val="none" w:sz="0" w:space="0" w:color="auto"/>
            <w:right w:val="none" w:sz="0" w:space="0" w:color="auto"/>
          </w:divBdr>
        </w:div>
        <w:div w:id="295451494">
          <w:marLeft w:val="1166"/>
          <w:marRight w:val="0"/>
          <w:marTop w:val="134"/>
          <w:marBottom w:val="0"/>
          <w:divBdr>
            <w:top w:val="none" w:sz="0" w:space="0" w:color="auto"/>
            <w:left w:val="none" w:sz="0" w:space="0" w:color="auto"/>
            <w:bottom w:val="none" w:sz="0" w:space="0" w:color="auto"/>
            <w:right w:val="none" w:sz="0" w:space="0" w:color="auto"/>
          </w:divBdr>
        </w:div>
        <w:div w:id="903904725">
          <w:marLeft w:val="1166"/>
          <w:marRight w:val="0"/>
          <w:marTop w:val="134"/>
          <w:marBottom w:val="0"/>
          <w:divBdr>
            <w:top w:val="none" w:sz="0" w:space="0" w:color="auto"/>
            <w:left w:val="none" w:sz="0" w:space="0" w:color="auto"/>
            <w:bottom w:val="none" w:sz="0" w:space="0" w:color="auto"/>
            <w:right w:val="none" w:sz="0" w:space="0" w:color="auto"/>
          </w:divBdr>
        </w:div>
        <w:div w:id="1743870348">
          <w:marLeft w:val="547"/>
          <w:marRight w:val="0"/>
          <w:marTop w:val="154"/>
          <w:marBottom w:val="0"/>
          <w:divBdr>
            <w:top w:val="none" w:sz="0" w:space="0" w:color="auto"/>
            <w:left w:val="none" w:sz="0" w:space="0" w:color="auto"/>
            <w:bottom w:val="none" w:sz="0" w:space="0" w:color="auto"/>
            <w:right w:val="none" w:sz="0" w:space="0" w:color="auto"/>
          </w:divBdr>
        </w:div>
        <w:div w:id="1193805776">
          <w:marLeft w:val="1166"/>
          <w:marRight w:val="0"/>
          <w:marTop w:val="134"/>
          <w:marBottom w:val="0"/>
          <w:divBdr>
            <w:top w:val="none" w:sz="0" w:space="0" w:color="auto"/>
            <w:left w:val="none" w:sz="0" w:space="0" w:color="auto"/>
            <w:bottom w:val="none" w:sz="0" w:space="0" w:color="auto"/>
            <w:right w:val="none" w:sz="0" w:space="0" w:color="auto"/>
          </w:divBdr>
        </w:div>
        <w:div w:id="189045254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A635-52DC-4204-A913-6794DE98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3153</Words>
  <Characters>17976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Yandisa Nodada</dc:creator>
  <cp:lastModifiedBy>Asanda</cp:lastModifiedBy>
  <cp:revision>2</cp:revision>
  <cp:lastPrinted>2018-06-25T07:36:00Z</cp:lastPrinted>
  <dcterms:created xsi:type="dcterms:W3CDTF">2018-06-27T10:27:00Z</dcterms:created>
  <dcterms:modified xsi:type="dcterms:W3CDTF">2018-06-27T10:27:00Z</dcterms:modified>
</cp:coreProperties>
</file>