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8" w:rsidRPr="000725A8" w:rsidRDefault="00821A48" w:rsidP="00821A4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821A48" w:rsidRPr="000725A8" w:rsidRDefault="00821A48" w:rsidP="00821A4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A48" w:rsidRPr="00821A48" w:rsidRDefault="00821A48" w:rsidP="00821A4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21A48" w:rsidRPr="00821A48" w:rsidRDefault="00821A48" w:rsidP="00821A4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1A48">
        <w:rPr>
          <w:rFonts w:ascii="Arial" w:hAnsi="Arial" w:cs="Arial"/>
          <w:b/>
          <w:bCs/>
          <w:sz w:val="22"/>
          <w:szCs w:val="22"/>
        </w:rPr>
        <w:t>GOVERNMENT NOTICE</w:t>
      </w:r>
    </w:p>
    <w:p w:rsidR="00821A48" w:rsidRPr="00821A48" w:rsidRDefault="00821A48" w:rsidP="00821A4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1A48">
        <w:rPr>
          <w:rFonts w:ascii="Arial" w:hAnsi="Arial" w:cs="Arial"/>
          <w:b/>
          <w:bCs/>
          <w:sz w:val="22"/>
          <w:szCs w:val="22"/>
        </w:rPr>
        <w:t>DEPARTMENT OF JUSTICE AND CONSTITUTIONAL DEVELOPMENT</w:t>
      </w:r>
    </w:p>
    <w:p w:rsidR="00821A48" w:rsidRPr="00821A48" w:rsidRDefault="00821A48" w:rsidP="00821A4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0-0-0-16656"/>
      <w:bookmarkEnd w:id="1"/>
    </w:p>
    <w:p w:rsidR="00821A48" w:rsidRPr="00821A48" w:rsidRDefault="0082735E" w:rsidP="00821A4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No.  R.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</w:t>
      </w:r>
      <w:r w:rsidR="000376D3">
        <w:rPr>
          <w:rFonts w:ascii="Arial" w:hAnsi="Arial" w:cs="Arial"/>
          <w:bCs/>
          <w:sz w:val="22"/>
          <w:szCs w:val="22"/>
        </w:rPr>
        <w:t>8</w:t>
      </w:r>
    </w:p>
    <w:p w:rsidR="00BD0C16" w:rsidRPr="00821A48" w:rsidRDefault="00BD0C16" w:rsidP="00821A48">
      <w:pPr>
        <w:spacing w:line="276" w:lineRule="auto"/>
        <w:rPr>
          <w:rFonts w:ascii="Arial" w:hAnsi="Arial" w:cs="Arial"/>
          <w:sz w:val="22"/>
          <w:szCs w:val="22"/>
        </w:rPr>
      </w:pPr>
    </w:p>
    <w:p w:rsidR="00821A48" w:rsidRDefault="0082735E" w:rsidP="00821A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PROTECTED DISCLOSURES ACT, 2000 (ACT NO. 26 OF 2000)</w:t>
      </w:r>
    </w:p>
    <w:p w:rsidR="0082735E" w:rsidRPr="00821A48" w:rsidRDefault="0082735E" w:rsidP="00821A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REGULATIONS RELATING TO PROTECTED DISCLOSURES, 2017</w:t>
      </w:r>
    </w:p>
    <w:p w:rsidR="00821A48" w:rsidRDefault="00821A48" w:rsidP="00821A48">
      <w:pPr>
        <w:spacing w:line="276" w:lineRule="auto"/>
        <w:rPr>
          <w:rFonts w:ascii="Arial" w:hAnsi="Arial" w:cs="Arial"/>
          <w:sz w:val="22"/>
          <w:szCs w:val="22"/>
        </w:rPr>
      </w:pPr>
    </w:p>
    <w:p w:rsidR="00821A48" w:rsidRPr="00821A48" w:rsidRDefault="00A24A2E" w:rsidP="009F73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proofErr w:type="spellStart"/>
      <w:r w:rsidRPr="00A24A2E">
        <w:rPr>
          <w:rFonts w:ascii="Arial" w:hAnsi="Arial" w:cs="Arial"/>
          <w:sz w:val="22"/>
          <w:szCs w:val="22"/>
        </w:rPr>
        <w:t>Tshililo</w:t>
      </w:r>
      <w:proofErr w:type="spellEnd"/>
      <w:r w:rsidRPr="00A24A2E">
        <w:rPr>
          <w:rFonts w:ascii="Arial" w:hAnsi="Arial" w:cs="Arial"/>
          <w:sz w:val="22"/>
          <w:szCs w:val="22"/>
        </w:rPr>
        <w:t xml:space="preserve"> Michael </w:t>
      </w:r>
      <w:proofErr w:type="spellStart"/>
      <w:r w:rsidRPr="00A24A2E">
        <w:rPr>
          <w:rFonts w:ascii="Arial" w:hAnsi="Arial" w:cs="Arial"/>
          <w:sz w:val="22"/>
          <w:szCs w:val="22"/>
        </w:rPr>
        <w:t>Masutha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24A2E">
        <w:rPr>
          <w:rFonts w:ascii="Arial" w:hAnsi="Arial" w:cs="Arial"/>
          <w:sz w:val="22"/>
          <w:szCs w:val="22"/>
        </w:rPr>
        <w:t xml:space="preserve"> </w:t>
      </w:r>
      <w:r w:rsidR="00821A48" w:rsidRPr="00821A48">
        <w:rPr>
          <w:rFonts w:ascii="Arial" w:hAnsi="Arial" w:cs="Arial"/>
          <w:sz w:val="22"/>
          <w:szCs w:val="22"/>
        </w:rPr>
        <w:t>Minister of Ju</w:t>
      </w:r>
      <w:r w:rsidR="00821A48">
        <w:rPr>
          <w:rFonts w:ascii="Arial" w:hAnsi="Arial" w:cs="Arial"/>
          <w:sz w:val="22"/>
          <w:szCs w:val="22"/>
        </w:rPr>
        <w:t>stice and Correctional Services</w:t>
      </w:r>
      <w:r w:rsidR="000376D3">
        <w:rPr>
          <w:rFonts w:ascii="Arial" w:hAnsi="Arial" w:cs="Arial"/>
          <w:sz w:val="22"/>
          <w:szCs w:val="22"/>
        </w:rPr>
        <w:t>,</w:t>
      </w:r>
      <w:r w:rsidR="00821A48" w:rsidRPr="00821A48">
        <w:rPr>
          <w:rFonts w:ascii="Arial" w:hAnsi="Arial" w:cs="Arial"/>
          <w:sz w:val="22"/>
          <w:szCs w:val="22"/>
        </w:rPr>
        <w:t xml:space="preserve"> </w:t>
      </w:r>
      <w:r w:rsidR="000376D3">
        <w:rPr>
          <w:rFonts w:ascii="Arial" w:hAnsi="Arial" w:cs="Arial"/>
          <w:sz w:val="22"/>
          <w:szCs w:val="22"/>
        </w:rPr>
        <w:t>have</w:t>
      </w:r>
      <w:r w:rsidR="00821A48">
        <w:rPr>
          <w:rFonts w:ascii="Arial" w:hAnsi="Arial" w:cs="Arial"/>
          <w:sz w:val="22"/>
          <w:szCs w:val="22"/>
        </w:rPr>
        <w:t xml:space="preserve"> </w:t>
      </w:r>
      <w:r w:rsidR="0082735E">
        <w:rPr>
          <w:rFonts w:ascii="Arial" w:hAnsi="Arial" w:cs="Arial"/>
          <w:sz w:val="22"/>
          <w:szCs w:val="22"/>
        </w:rPr>
        <w:t>under section 10</w:t>
      </w:r>
      <w:r w:rsidR="00821A48" w:rsidRPr="00821A48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 xml:space="preserve"> Protected Disclosures Act, 2000 (Act No. 26 of 2000) and</w:t>
      </w:r>
      <w:r w:rsidR="00821A48" w:rsidRPr="00821A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after consultation with the Minister for the Public Service and Administration, </w:t>
      </w:r>
      <w:r w:rsidR="00821A48" w:rsidRPr="00821A48">
        <w:rPr>
          <w:rFonts w:ascii="Arial" w:hAnsi="Arial" w:cs="Arial"/>
          <w:sz w:val="22"/>
          <w:szCs w:val="22"/>
        </w:rPr>
        <w:t>made the regulations in the Schedule.</w:t>
      </w:r>
    </w:p>
    <w:p w:rsidR="00821A48" w:rsidRPr="00821A48" w:rsidRDefault="00821A48" w:rsidP="00821A48">
      <w:pPr>
        <w:spacing w:line="276" w:lineRule="auto"/>
        <w:rPr>
          <w:rFonts w:ascii="Arial" w:hAnsi="Arial" w:cs="Arial"/>
          <w:sz w:val="22"/>
          <w:szCs w:val="22"/>
        </w:rPr>
      </w:pPr>
    </w:p>
    <w:p w:rsidR="00821A48" w:rsidRPr="00821A48" w:rsidRDefault="00821A48" w:rsidP="00821A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1A48">
        <w:rPr>
          <w:rFonts w:ascii="Arial" w:hAnsi="Arial" w:cs="Arial"/>
          <w:b/>
          <w:sz w:val="22"/>
          <w:szCs w:val="22"/>
        </w:rPr>
        <w:t>SCHEDULE</w:t>
      </w:r>
    </w:p>
    <w:p w:rsidR="00821A48" w:rsidRDefault="00821A48" w:rsidP="00821A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1A48">
        <w:rPr>
          <w:rFonts w:ascii="Arial" w:hAnsi="Arial" w:cs="Arial"/>
          <w:b/>
          <w:sz w:val="22"/>
          <w:szCs w:val="22"/>
        </w:rPr>
        <w:t>Definitions</w:t>
      </w:r>
    </w:p>
    <w:p w:rsidR="00821A48" w:rsidRPr="00821A48" w:rsidRDefault="00821A48" w:rsidP="00821A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21A48" w:rsidRDefault="00821A48" w:rsidP="00821A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B71AA">
        <w:rPr>
          <w:rFonts w:ascii="Arial" w:hAnsi="Arial" w:cs="Arial"/>
          <w:b/>
          <w:sz w:val="22"/>
          <w:szCs w:val="22"/>
        </w:rPr>
        <w:t>1.</w:t>
      </w:r>
      <w:r w:rsidRPr="00821A48">
        <w:rPr>
          <w:rFonts w:ascii="Arial" w:hAnsi="Arial" w:cs="Arial"/>
          <w:sz w:val="22"/>
          <w:szCs w:val="22"/>
        </w:rPr>
        <w:tab/>
      </w:r>
      <w:r w:rsidR="00412394" w:rsidRPr="00412394">
        <w:rPr>
          <w:rFonts w:ascii="Arial" w:hAnsi="Arial" w:cs="Arial"/>
          <w:sz w:val="22"/>
          <w:szCs w:val="22"/>
        </w:rPr>
        <w:t>In these regulations any word or expression to which a meaning has been assigned in the Act has the meaning so assigned to it and, unless the context otherwise indicates—</w:t>
      </w:r>
    </w:p>
    <w:p w:rsidR="00412394" w:rsidRDefault="00412394" w:rsidP="0041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394">
        <w:rPr>
          <w:rFonts w:ascii="Arial" w:hAnsi="Arial" w:cs="Arial"/>
          <w:b/>
          <w:sz w:val="22"/>
          <w:szCs w:val="22"/>
        </w:rPr>
        <w:t>"</w:t>
      </w:r>
      <w:proofErr w:type="gramStart"/>
      <w:r w:rsidRPr="00412394">
        <w:rPr>
          <w:rFonts w:ascii="Arial" w:hAnsi="Arial" w:cs="Arial"/>
          <w:b/>
          <w:sz w:val="22"/>
          <w:szCs w:val="22"/>
        </w:rPr>
        <w:t>the</w:t>
      </w:r>
      <w:proofErr w:type="gramEnd"/>
      <w:r w:rsidRPr="00412394">
        <w:rPr>
          <w:rFonts w:ascii="Arial" w:hAnsi="Arial" w:cs="Arial"/>
          <w:b/>
          <w:sz w:val="22"/>
          <w:szCs w:val="22"/>
        </w:rPr>
        <w:t xml:space="preserve"> Act"</w:t>
      </w:r>
      <w:r>
        <w:rPr>
          <w:rFonts w:ascii="Arial" w:hAnsi="Arial" w:cs="Arial"/>
          <w:sz w:val="22"/>
          <w:szCs w:val="22"/>
        </w:rPr>
        <w:t xml:space="preserve"> means the Protected Disclosures Act, 2000 (Act No. 26 of 2000)</w:t>
      </w:r>
      <w:r w:rsidR="009C08FD">
        <w:rPr>
          <w:rFonts w:ascii="Arial" w:hAnsi="Arial" w:cs="Arial"/>
          <w:sz w:val="22"/>
          <w:szCs w:val="22"/>
        </w:rPr>
        <w:t>.</w:t>
      </w:r>
    </w:p>
    <w:p w:rsidR="00412394" w:rsidRDefault="00412394" w:rsidP="0041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2394" w:rsidRPr="00412394" w:rsidRDefault="00412394" w:rsidP="0041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2394">
        <w:rPr>
          <w:rFonts w:ascii="Arial" w:hAnsi="Arial" w:cs="Arial"/>
          <w:b/>
          <w:sz w:val="22"/>
          <w:szCs w:val="22"/>
        </w:rPr>
        <w:t>Protected disclosures to certain persons and bodies</w:t>
      </w:r>
    </w:p>
    <w:p w:rsidR="00412394" w:rsidRDefault="00412394" w:rsidP="0041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0EBC" w:rsidRDefault="00412394" w:rsidP="0041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12394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16969">
        <w:rPr>
          <w:rFonts w:ascii="Arial" w:hAnsi="Arial" w:cs="Arial"/>
          <w:sz w:val="22"/>
          <w:szCs w:val="22"/>
        </w:rPr>
        <w:t>(1)</w:t>
      </w:r>
      <w:r w:rsidR="00616969">
        <w:rPr>
          <w:rFonts w:ascii="Arial" w:hAnsi="Arial" w:cs="Arial"/>
          <w:sz w:val="22"/>
          <w:szCs w:val="22"/>
        </w:rPr>
        <w:tab/>
      </w:r>
      <w:r w:rsidR="009C08F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disclosure contemplated in section 1 of the Act, </w:t>
      </w:r>
      <w:r w:rsidR="009C08FD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</w:t>
      </w:r>
      <w:r w:rsidR="00560EBC">
        <w:rPr>
          <w:rFonts w:ascii="Arial" w:hAnsi="Arial" w:cs="Arial"/>
          <w:sz w:val="22"/>
          <w:szCs w:val="22"/>
        </w:rPr>
        <w:t xml:space="preserve">be made to the persons or bodies contemplated in section </w:t>
      </w:r>
      <w:r w:rsidR="00560EBC" w:rsidRPr="00560EBC">
        <w:rPr>
          <w:rFonts w:ascii="Arial" w:hAnsi="Arial" w:cs="Arial"/>
          <w:sz w:val="22"/>
          <w:szCs w:val="22"/>
        </w:rPr>
        <w:t>8(1)</w:t>
      </w:r>
      <w:r w:rsidR="00560EBC" w:rsidRPr="00560EBC">
        <w:rPr>
          <w:rFonts w:ascii="Arial" w:hAnsi="Arial" w:cs="Arial"/>
          <w:i/>
          <w:sz w:val="22"/>
          <w:szCs w:val="22"/>
        </w:rPr>
        <w:t>(a)</w:t>
      </w:r>
      <w:r w:rsidR="000376D3">
        <w:rPr>
          <w:rFonts w:ascii="Arial" w:hAnsi="Arial" w:cs="Arial"/>
          <w:i/>
          <w:sz w:val="22"/>
          <w:szCs w:val="22"/>
        </w:rPr>
        <w:t>, (</w:t>
      </w:r>
      <w:proofErr w:type="spellStart"/>
      <w:r w:rsidR="000376D3">
        <w:rPr>
          <w:rFonts w:ascii="Arial" w:hAnsi="Arial" w:cs="Arial"/>
          <w:i/>
          <w:sz w:val="22"/>
          <w:szCs w:val="22"/>
        </w:rPr>
        <w:t>aA</w:t>
      </w:r>
      <w:proofErr w:type="spellEnd"/>
      <w:r w:rsidR="000376D3">
        <w:rPr>
          <w:rFonts w:ascii="Arial" w:hAnsi="Arial" w:cs="Arial"/>
          <w:i/>
          <w:sz w:val="22"/>
          <w:szCs w:val="22"/>
        </w:rPr>
        <w:t>),</w:t>
      </w:r>
      <w:r w:rsidR="003636EA">
        <w:rPr>
          <w:rFonts w:ascii="Arial" w:hAnsi="Arial" w:cs="Arial"/>
          <w:i/>
          <w:sz w:val="22"/>
          <w:szCs w:val="22"/>
        </w:rPr>
        <w:t xml:space="preserve"> </w:t>
      </w:r>
      <w:r w:rsidR="000376D3">
        <w:rPr>
          <w:rFonts w:ascii="Arial" w:hAnsi="Arial" w:cs="Arial"/>
          <w:i/>
          <w:sz w:val="22"/>
          <w:szCs w:val="22"/>
        </w:rPr>
        <w:t>(</w:t>
      </w:r>
      <w:proofErr w:type="spellStart"/>
      <w:r w:rsidR="000376D3">
        <w:rPr>
          <w:rFonts w:ascii="Arial" w:hAnsi="Arial" w:cs="Arial"/>
          <w:i/>
          <w:sz w:val="22"/>
          <w:szCs w:val="22"/>
        </w:rPr>
        <w:t>aB</w:t>
      </w:r>
      <w:proofErr w:type="spellEnd"/>
      <w:r w:rsidR="000376D3">
        <w:rPr>
          <w:rFonts w:ascii="Arial" w:hAnsi="Arial" w:cs="Arial"/>
          <w:i/>
          <w:sz w:val="22"/>
          <w:szCs w:val="22"/>
        </w:rPr>
        <w:t>), (</w:t>
      </w:r>
      <w:proofErr w:type="spellStart"/>
      <w:r w:rsidR="000376D3">
        <w:rPr>
          <w:rFonts w:ascii="Arial" w:hAnsi="Arial" w:cs="Arial"/>
          <w:i/>
          <w:sz w:val="22"/>
          <w:szCs w:val="22"/>
        </w:rPr>
        <w:t>aC</w:t>
      </w:r>
      <w:proofErr w:type="spellEnd"/>
      <w:r w:rsidR="000376D3">
        <w:rPr>
          <w:rFonts w:ascii="Arial" w:hAnsi="Arial" w:cs="Arial"/>
          <w:i/>
          <w:sz w:val="22"/>
          <w:szCs w:val="22"/>
        </w:rPr>
        <w:t>), (</w:t>
      </w:r>
      <w:proofErr w:type="spellStart"/>
      <w:r w:rsidR="000376D3">
        <w:rPr>
          <w:rFonts w:ascii="Arial" w:hAnsi="Arial" w:cs="Arial"/>
          <w:i/>
          <w:sz w:val="22"/>
          <w:szCs w:val="22"/>
        </w:rPr>
        <w:t>aD</w:t>
      </w:r>
      <w:proofErr w:type="spellEnd"/>
      <w:r w:rsidR="000376D3">
        <w:rPr>
          <w:rFonts w:ascii="Arial" w:hAnsi="Arial" w:cs="Arial"/>
          <w:i/>
          <w:sz w:val="22"/>
          <w:szCs w:val="22"/>
        </w:rPr>
        <w:t xml:space="preserve">), </w:t>
      </w:r>
      <w:r w:rsidR="000376D3">
        <w:rPr>
          <w:rFonts w:ascii="Arial" w:hAnsi="Arial" w:cs="Arial"/>
          <w:sz w:val="22"/>
          <w:szCs w:val="22"/>
        </w:rPr>
        <w:t xml:space="preserve">and </w:t>
      </w:r>
      <w:r w:rsidR="00560EBC" w:rsidRPr="00560EBC">
        <w:rPr>
          <w:rFonts w:ascii="Arial" w:hAnsi="Arial" w:cs="Arial"/>
          <w:i/>
          <w:sz w:val="22"/>
          <w:szCs w:val="22"/>
        </w:rPr>
        <w:t>(b)</w:t>
      </w:r>
      <w:r w:rsidR="00560EBC" w:rsidRPr="00560EBC">
        <w:rPr>
          <w:rFonts w:ascii="Arial" w:hAnsi="Arial" w:cs="Arial"/>
          <w:sz w:val="22"/>
          <w:szCs w:val="22"/>
        </w:rPr>
        <w:t xml:space="preserve"> of the Ac</w:t>
      </w:r>
      <w:r w:rsidR="00560EBC">
        <w:rPr>
          <w:rFonts w:ascii="Arial" w:hAnsi="Arial" w:cs="Arial"/>
          <w:sz w:val="22"/>
          <w:szCs w:val="22"/>
        </w:rPr>
        <w:t>t,</w:t>
      </w:r>
      <w:r w:rsidR="00C76734">
        <w:rPr>
          <w:rFonts w:ascii="Arial" w:hAnsi="Arial" w:cs="Arial"/>
          <w:sz w:val="22"/>
          <w:szCs w:val="22"/>
        </w:rPr>
        <w:t xml:space="preserve"> listed in Column </w:t>
      </w:r>
      <w:r w:rsidR="00AC302F">
        <w:rPr>
          <w:rFonts w:ascii="Arial" w:hAnsi="Arial" w:cs="Arial"/>
          <w:sz w:val="22"/>
          <w:szCs w:val="22"/>
        </w:rPr>
        <w:t>1</w:t>
      </w:r>
      <w:r w:rsidR="00C76734">
        <w:rPr>
          <w:rFonts w:ascii="Arial" w:hAnsi="Arial" w:cs="Arial"/>
          <w:sz w:val="22"/>
          <w:szCs w:val="22"/>
        </w:rPr>
        <w:t xml:space="preserve"> of Annexure A to these Regulations,</w:t>
      </w:r>
      <w:r w:rsidR="00560EBC">
        <w:rPr>
          <w:rFonts w:ascii="Arial" w:hAnsi="Arial" w:cs="Arial"/>
          <w:sz w:val="22"/>
          <w:szCs w:val="22"/>
        </w:rPr>
        <w:t xml:space="preserve"> </w:t>
      </w:r>
      <w:r w:rsidR="000376D3">
        <w:rPr>
          <w:rFonts w:ascii="Arial" w:hAnsi="Arial" w:cs="Arial"/>
          <w:sz w:val="22"/>
          <w:szCs w:val="22"/>
        </w:rPr>
        <w:t xml:space="preserve">in respect of conduct </w:t>
      </w:r>
      <w:r w:rsidR="00560EBC">
        <w:rPr>
          <w:rFonts w:ascii="Arial" w:hAnsi="Arial" w:cs="Arial"/>
          <w:sz w:val="22"/>
          <w:szCs w:val="22"/>
        </w:rPr>
        <w:t xml:space="preserve">set out in </w:t>
      </w:r>
      <w:r w:rsidR="00C76734">
        <w:rPr>
          <w:rFonts w:ascii="Arial" w:hAnsi="Arial" w:cs="Arial"/>
          <w:sz w:val="22"/>
          <w:szCs w:val="22"/>
        </w:rPr>
        <w:t xml:space="preserve">Column 2 of </w:t>
      </w:r>
      <w:r w:rsidR="00560EBC">
        <w:rPr>
          <w:rFonts w:ascii="Arial" w:hAnsi="Arial" w:cs="Arial"/>
          <w:sz w:val="22"/>
          <w:szCs w:val="22"/>
        </w:rPr>
        <w:t xml:space="preserve">Annexure </w:t>
      </w:r>
      <w:r w:rsidR="00AC302F">
        <w:rPr>
          <w:rFonts w:ascii="Arial" w:hAnsi="Arial" w:cs="Arial"/>
          <w:sz w:val="22"/>
          <w:szCs w:val="22"/>
        </w:rPr>
        <w:t>A</w:t>
      </w:r>
      <w:r w:rsidR="00560EBC">
        <w:rPr>
          <w:rFonts w:ascii="Arial" w:hAnsi="Arial" w:cs="Arial"/>
          <w:sz w:val="22"/>
          <w:szCs w:val="22"/>
        </w:rPr>
        <w:t xml:space="preserve"> to these Regulations</w:t>
      </w:r>
      <w:r w:rsidR="000376D3">
        <w:rPr>
          <w:rFonts w:ascii="Arial" w:hAnsi="Arial" w:cs="Arial"/>
          <w:sz w:val="22"/>
          <w:szCs w:val="22"/>
        </w:rPr>
        <w:t xml:space="preserve">.  </w:t>
      </w:r>
    </w:p>
    <w:p w:rsidR="00C76734" w:rsidRPr="007E0CDB" w:rsidRDefault="00560EBC" w:rsidP="007E0CDB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AC302F">
        <w:rPr>
          <w:rFonts w:ascii="Arial" w:hAnsi="Arial" w:cs="Arial"/>
          <w:sz w:val="22"/>
          <w:szCs w:val="22"/>
        </w:rPr>
        <w:t xml:space="preserve">A </w:t>
      </w:r>
      <w:r w:rsidRPr="00560EBC">
        <w:rPr>
          <w:rFonts w:ascii="Arial" w:hAnsi="Arial" w:cs="Arial"/>
          <w:sz w:val="22"/>
          <w:szCs w:val="22"/>
        </w:rPr>
        <w:t xml:space="preserve">disclosure contemplated in section 1 of the Act, </w:t>
      </w:r>
      <w:r w:rsidR="00B95910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>,</w:t>
      </w:r>
      <w:r w:rsidRPr="00560EBC">
        <w:rPr>
          <w:rFonts w:ascii="Arial" w:hAnsi="Arial" w:cs="Arial"/>
          <w:sz w:val="22"/>
          <w:szCs w:val="22"/>
        </w:rPr>
        <w:t xml:space="preserve"> </w:t>
      </w:r>
      <w:r w:rsidR="00412394">
        <w:rPr>
          <w:rFonts w:ascii="Arial" w:hAnsi="Arial" w:cs="Arial"/>
          <w:sz w:val="22"/>
          <w:szCs w:val="22"/>
        </w:rPr>
        <w:t>in addition to the persons and bodies listed in section 8(1</w:t>
      </w:r>
      <w:proofErr w:type="gramStart"/>
      <w:r w:rsidR="00412394">
        <w:rPr>
          <w:rFonts w:ascii="Arial" w:hAnsi="Arial" w:cs="Arial"/>
          <w:sz w:val="22"/>
          <w:szCs w:val="22"/>
        </w:rPr>
        <w:t>)</w:t>
      </w:r>
      <w:r w:rsidR="00412394" w:rsidRPr="00412394">
        <w:rPr>
          <w:rFonts w:ascii="Arial" w:hAnsi="Arial" w:cs="Arial"/>
          <w:i/>
          <w:sz w:val="22"/>
          <w:szCs w:val="22"/>
        </w:rPr>
        <w:t>(</w:t>
      </w:r>
      <w:proofErr w:type="gramEnd"/>
      <w:r w:rsidR="00412394" w:rsidRPr="00412394">
        <w:rPr>
          <w:rFonts w:ascii="Arial" w:hAnsi="Arial" w:cs="Arial"/>
          <w:i/>
          <w:sz w:val="22"/>
          <w:szCs w:val="22"/>
        </w:rPr>
        <w:t>a)</w:t>
      </w:r>
      <w:r w:rsidR="00D067EB">
        <w:rPr>
          <w:rFonts w:ascii="Arial" w:hAnsi="Arial" w:cs="Arial"/>
          <w:i/>
          <w:sz w:val="22"/>
          <w:szCs w:val="22"/>
        </w:rPr>
        <w:t>, (</w:t>
      </w:r>
      <w:proofErr w:type="spellStart"/>
      <w:r w:rsidR="00D067EB">
        <w:rPr>
          <w:rFonts w:ascii="Arial" w:hAnsi="Arial" w:cs="Arial"/>
          <w:i/>
          <w:sz w:val="22"/>
          <w:szCs w:val="22"/>
        </w:rPr>
        <w:t>aA</w:t>
      </w:r>
      <w:proofErr w:type="spellEnd"/>
      <w:r w:rsidR="00D067EB">
        <w:rPr>
          <w:rFonts w:ascii="Arial" w:hAnsi="Arial" w:cs="Arial"/>
          <w:i/>
          <w:sz w:val="22"/>
          <w:szCs w:val="22"/>
        </w:rPr>
        <w:t>), (</w:t>
      </w:r>
      <w:proofErr w:type="spellStart"/>
      <w:r w:rsidR="00D067EB">
        <w:rPr>
          <w:rFonts w:ascii="Arial" w:hAnsi="Arial" w:cs="Arial"/>
          <w:i/>
          <w:sz w:val="22"/>
          <w:szCs w:val="22"/>
        </w:rPr>
        <w:t>aB</w:t>
      </w:r>
      <w:proofErr w:type="spellEnd"/>
      <w:r w:rsidR="00D067EB">
        <w:rPr>
          <w:rFonts w:ascii="Arial" w:hAnsi="Arial" w:cs="Arial"/>
          <w:i/>
          <w:sz w:val="22"/>
          <w:szCs w:val="22"/>
        </w:rPr>
        <w:t>), (</w:t>
      </w:r>
      <w:proofErr w:type="spellStart"/>
      <w:r w:rsidR="00D067EB">
        <w:rPr>
          <w:rFonts w:ascii="Arial" w:hAnsi="Arial" w:cs="Arial"/>
          <w:i/>
          <w:sz w:val="22"/>
          <w:szCs w:val="22"/>
        </w:rPr>
        <w:t>aC</w:t>
      </w:r>
      <w:proofErr w:type="spellEnd"/>
      <w:r w:rsidR="00D067EB">
        <w:rPr>
          <w:rFonts w:ascii="Arial" w:hAnsi="Arial" w:cs="Arial"/>
          <w:i/>
          <w:sz w:val="22"/>
          <w:szCs w:val="22"/>
        </w:rPr>
        <w:t>), (</w:t>
      </w:r>
      <w:proofErr w:type="spellStart"/>
      <w:r w:rsidR="00D067EB">
        <w:rPr>
          <w:rFonts w:ascii="Arial" w:hAnsi="Arial" w:cs="Arial"/>
          <w:i/>
          <w:sz w:val="22"/>
          <w:szCs w:val="22"/>
        </w:rPr>
        <w:t>aD</w:t>
      </w:r>
      <w:proofErr w:type="spellEnd"/>
      <w:r w:rsidR="00D067EB">
        <w:rPr>
          <w:rFonts w:ascii="Arial" w:hAnsi="Arial" w:cs="Arial"/>
          <w:i/>
          <w:sz w:val="22"/>
          <w:szCs w:val="22"/>
        </w:rPr>
        <w:t xml:space="preserve">) </w:t>
      </w:r>
      <w:r w:rsidR="00D067EB" w:rsidRPr="009C08FD">
        <w:rPr>
          <w:rFonts w:ascii="Arial" w:hAnsi="Arial" w:cs="Arial"/>
          <w:sz w:val="22"/>
          <w:szCs w:val="22"/>
        </w:rPr>
        <w:t>and</w:t>
      </w:r>
      <w:r w:rsidR="00D067EB">
        <w:rPr>
          <w:rFonts w:ascii="Arial" w:hAnsi="Arial" w:cs="Arial"/>
          <w:i/>
          <w:sz w:val="22"/>
          <w:szCs w:val="22"/>
        </w:rPr>
        <w:t xml:space="preserve"> </w:t>
      </w:r>
      <w:r w:rsidR="00412394" w:rsidRPr="00412394">
        <w:rPr>
          <w:rFonts w:ascii="Arial" w:hAnsi="Arial" w:cs="Arial"/>
          <w:i/>
          <w:sz w:val="22"/>
          <w:szCs w:val="22"/>
        </w:rPr>
        <w:t>(b)</w:t>
      </w:r>
      <w:r w:rsidR="00980478">
        <w:rPr>
          <w:rFonts w:ascii="Arial" w:hAnsi="Arial" w:cs="Arial"/>
          <w:sz w:val="22"/>
          <w:szCs w:val="22"/>
        </w:rPr>
        <w:t xml:space="preserve"> of the Act</w:t>
      </w:r>
      <w:r w:rsidR="00412394" w:rsidRPr="00412394">
        <w:rPr>
          <w:rFonts w:ascii="Arial" w:hAnsi="Arial" w:cs="Arial"/>
          <w:sz w:val="22"/>
          <w:szCs w:val="22"/>
        </w:rPr>
        <w:t>, also</w:t>
      </w:r>
      <w:r w:rsidR="00412394">
        <w:rPr>
          <w:rFonts w:ascii="Arial" w:hAnsi="Arial" w:cs="Arial"/>
          <w:sz w:val="22"/>
          <w:szCs w:val="22"/>
        </w:rPr>
        <w:t xml:space="preserve"> be made to the persons or bod</w:t>
      </w:r>
      <w:r w:rsidR="007C3408">
        <w:rPr>
          <w:rFonts w:ascii="Arial" w:hAnsi="Arial" w:cs="Arial"/>
          <w:sz w:val="22"/>
          <w:szCs w:val="22"/>
        </w:rPr>
        <w:t xml:space="preserve">ies listed </w:t>
      </w:r>
      <w:r w:rsidR="00C76734">
        <w:rPr>
          <w:rFonts w:ascii="Arial" w:hAnsi="Arial" w:cs="Arial"/>
          <w:sz w:val="22"/>
          <w:szCs w:val="22"/>
        </w:rPr>
        <w:t>in Column 1 of Annexure B</w:t>
      </w:r>
      <w:r w:rsidR="00C76734" w:rsidRPr="00C76734">
        <w:rPr>
          <w:rFonts w:ascii="Arial" w:hAnsi="Arial" w:cs="Arial"/>
          <w:sz w:val="22"/>
          <w:szCs w:val="22"/>
        </w:rPr>
        <w:t xml:space="preserve"> to these Regulations,</w:t>
      </w:r>
      <w:r w:rsidR="00C76734">
        <w:rPr>
          <w:rFonts w:ascii="Arial" w:hAnsi="Arial" w:cs="Arial"/>
          <w:sz w:val="22"/>
          <w:szCs w:val="22"/>
        </w:rPr>
        <w:t xml:space="preserve"> </w:t>
      </w:r>
      <w:r w:rsidR="00D067EB">
        <w:rPr>
          <w:rFonts w:ascii="Arial" w:hAnsi="Arial" w:cs="Arial"/>
          <w:sz w:val="22"/>
          <w:szCs w:val="22"/>
        </w:rPr>
        <w:t xml:space="preserve">in respect of conduct </w:t>
      </w:r>
      <w:r w:rsidR="007C3408">
        <w:rPr>
          <w:rFonts w:ascii="Arial" w:hAnsi="Arial" w:cs="Arial"/>
          <w:sz w:val="22"/>
          <w:szCs w:val="22"/>
        </w:rPr>
        <w:t xml:space="preserve">set out in </w:t>
      </w:r>
      <w:r w:rsidR="007E0CDB">
        <w:rPr>
          <w:rFonts w:ascii="Arial" w:hAnsi="Arial" w:cs="Arial"/>
          <w:sz w:val="22"/>
          <w:szCs w:val="22"/>
        </w:rPr>
        <w:t>Column 2</w:t>
      </w:r>
      <w:r w:rsidR="00C76734">
        <w:rPr>
          <w:rFonts w:ascii="Arial" w:hAnsi="Arial" w:cs="Arial"/>
          <w:sz w:val="22"/>
          <w:szCs w:val="22"/>
        </w:rPr>
        <w:t xml:space="preserve"> of </w:t>
      </w:r>
      <w:r w:rsidR="007C3408">
        <w:rPr>
          <w:rFonts w:ascii="Arial" w:hAnsi="Arial" w:cs="Arial"/>
          <w:sz w:val="22"/>
          <w:szCs w:val="22"/>
        </w:rPr>
        <w:t>Annexure B</w:t>
      </w:r>
      <w:r w:rsidR="00980478">
        <w:rPr>
          <w:rFonts w:ascii="Arial" w:hAnsi="Arial" w:cs="Arial"/>
          <w:sz w:val="22"/>
          <w:szCs w:val="22"/>
        </w:rPr>
        <w:t xml:space="preserve"> to these</w:t>
      </w:r>
      <w:r w:rsidR="00412394">
        <w:rPr>
          <w:rFonts w:ascii="Arial" w:hAnsi="Arial" w:cs="Arial"/>
          <w:sz w:val="22"/>
          <w:szCs w:val="22"/>
        </w:rPr>
        <w:t xml:space="preserve"> Regulations</w:t>
      </w:r>
      <w:r w:rsidR="00D067EB">
        <w:rPr>
          <w:rFonts w:ascii="Arial" w:hAnsi="Arial" w:cs="Arial"/>
          <w:sz w:val="22"/>
          <w:szCs w:val="22"/>
        </w:rPr>
        <w:t xml:space="preserve">. </w:t>
      </w:r>
    </w:p>
    <w:p w:rsidR="00616969" w:rsidRDefault="00616969" w:rsidP="000F2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3408" w:rsidRPr="002605CE">
        <w:rPr>
          <w:rFonts w:ascii="Arial" w:hAnsi="Arial" w:cs="Arial"/>
          <w:sz w:val="22"/>
          <w:szCs w:val="22"/>
        </w:rPr>
        <w:t>(3</w:t>
      </w:r>
      <w:r w:rsidRPr="002605CE">
        <w:rPr>
          <w:rFonts w:ascii="Arial" w:hAnsi="Arial" w:cs="Arial"/>
          <w:sz w:val="22"/>
          <w:szCs w:val="22"/>
        </w:rPr>
        <w:t>)</w:t>
      </w:r>
      <w:r w:rsidRPr="002605CE">
        <w:rPr>
          <w:rFonts w:ascii="Arial" w:hAnsi="Arial" w:cs="Arial"/>
          <w:sz w:val="22"/>
          <w:szCs w:val="22"/>
        </w:rPr>
        <w:tab/>
      </w:r>
      <w:r w:rsidR="00D70560" w:rsidRPr="002605CE">
        <w:rPr>
          <w:rFonts w:ascii="Arial" w:hAnsi="Arial" w:cs="Arial"/>
          <w:sz w:val="22"/>
          <w:szCs w:val="22"/>
        </w:rPr>
        <w:t xml:space="preserve">If an employee or worker intends to make a disclosure of a matter which is based upon the same facts to two or more bodies referred to in </w:t>
      </w:r>
      <w:proofErr w:type="spellStart"/>
      <w:r w:rsidR="00D70560" w:rsidRPr="002605CE">
        <w:rPr>
          <w:rFonts w:ascii="Arial" w:hAnsi="Arial" w:cs="Arial"/>
          <w:sz w:val="22"/>
          <w:szCs w:val="22"/>
        </w:rPr>
        <w:t>subregulation</w:t>
      </w:r>
      <w:proofErr w:type="spellEnd"/>
      <w:r w:rsidR="00D70560" w:rsidRPr="002605CE">
        <w:rPr>
          <w:rFonts w:ascii="Arial" w:hAnsi="Arial" w:cs="Arial"/>
          <w:sz w:val="22"/>
          <w:szCs w:val="22"/>
        </w:rPr>
        <w:t xml:space="preserve"> (1) or (2) he or she must inform each </w:t>
      </w:r>
      <w:r w:rsidR="00D067EB" w:rsidRPr="002605CE">
        <w:rPr>
          <w:rFonts w:ascii="Arial" w:hAnsi="Arial" w:cs="Arial"/>
          <w:sz w:val="22"/>
          <w:szCs w:val="22"/>
        </w:rPr>
        <w:t xml:space="preserve">person or </w:t>
      </w:r>
      <w:r w:rsidR="00D70560" w:rsidRPr="002605CE">
        <w:rPr>
          <w:rFonts w:ascii="Arial" w:hAnsi="Arial" w:cs="Arial"/>
          <w:sz w:val="22"/>
          <w:szCs w:val="22"/>
        </w:rPr>
        <w:t>body to whom such a disclosure is made of that fact</w:t>
      </w:r>
      <w:r w:rsidR="000F2C5E" w:rsidRPr="002605CE">
        <w:rPr>
          <w:rFonts w:ascii="Arial" w:hAnsi="Arial" w:cs="Arial"/>
          <w:sz w:val="22"/>
          <w:szCs w:val="22"/>
        </w:rPr>
        <w:t>.</w:t>
      </w:r>
    </w:p>
    <w:p w:rsidR="00D70560" w:rsidRDefault="00D70560" w:rsidP="000F2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0560" w:rsidRPr="009F73B1" w:rsidRDefault="00D70560" w:rsidP="000F2C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73B1">
        <w:rPr>
          <w:rFonts w:ascii="Arial" w:hAnsi="Arial" w:cs="Arial"/>
          <w:b/>
          <w:sz w:val="22"/>
          <w:szCs w:val="22"/>
        </w:rPr>
        <w:t>Short title</w:t>
      </w:r>
    </w:p>
    <w:p w:rsidR="00D70560" w:rsidRDefault="00D70560" w:rsidP="000F2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0560" w:rsidRDefault="00D70560" w:rsidP="000F2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F73B1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These regulations are called the Regulations Relating to Protected Disclosures, 201</w:t>
      </w:r>
      <w:r w:rsidR="000376D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412394" w:rsidRDefault="00412394" w:rsidP="00E25AC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980478">
        <w:rPr>
          <w:rFonts w:ascii="Arial" w:hAnsi="Arial" w:cs="Arial"/>
          <w:b/>
          <w:sz w:val="22"/>
          <w:szCs w:val="22"/>
        </w:rPr>
        <w:lastRenderedPageBreak/>
        <w:t>ANNEXURE A</w:t>
      </w:r>
    </w:p>
    <w:p w:rsidR="00560EBC" w:rsidRDefault="00560EBC" w:rsidP="00980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0EBC" w:rsidTr="002A073F"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560EBC" w:rsidRPr="00980478" w:rsidRDefault="00560EBC" w:rsidP="002A07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COLUMN 1</w:t>
            </w:r>
          </w:p>
          <w:p w:rsidR="00560EBC" w:rsidRPr="00980478" w:rsidRDefault="00636314" w:rsidP="002A07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Person or body to whom or which disclosure can be made</w:t>
            </w: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560EBC" w:rsidRPr="00980478" w:rsidRDefault="00560EBC" w:rsidP="002A07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COLUMN 2</w:t>
            </w:r>
          </w:p>
          <w:p w:rsidR="00636314" w:rsidRDefault="00636314" w:rsidP="002A07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Conduct being disclosed</w:t>
            </w:r>
          </w:p>
          <w:p w:rsidR="00560EBC" w:rsidRPr="00980478" w:rsidRDefault="00560EBC" w:rsidP="002A07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0EBC" w:rsidTr="002A073F">
        <w:tc>
          <w:tcPr>
            <w:tcW w:w="4788" w:type="dxa"/>
          </w:tcPr>
          <w:p w:rsidR="00560EBC" w:rsidRDefault="00254F69" w:rsidP="00EA5F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Public Protector</w:t>
            </w:r>
          </w:p>
        </w:tc>
        <w:tc>
          <w:tcPr>
            <w:tcW w:w="4788" w:type="dxa"/>
          </w:tcPr>
          <w:p w:rsidR="00560EBC" w:rsidRPr="00AD451B" w:rsidRDefault="00254F69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alleged irregular or improper conduct or impropriety with regard to </w:t>
            </w:r>
            <w:r w:rsidR="00CB0B53">
              <w:rPr>
                <w:rFonts w:ascii="Arial" w:hAnsi="Arial" w:cs="Arial"/>
              </w:rPr>
              <w:t>state affairs or in the public administration</w:t>
            </w:r>
            <w:r w:rsidR="00097BE3">
              <w:rPr>
                <w:rFonts w:ascii="Arial" w:hAnsi="Arial" w:cs="Arial"/>
              </w:rPr>
              <w:t>,</w:t>
            </w:r>
            <w:r w:rsidR="00CB0B53">
              <w:rPr>
                <w:rFonts w:ascii="Arial" w:hAnsi="Arial" w:cs="Arial"/>
              </w:rPr>
              <w:t xml:space="preserve"> in any sphere of government. </w:t>
            </w:r>
          </w:p>
        </w:tc>
      </w:tr>
      <w:tr w:rsidR="00254F69" w:rsidTr="002A073F">
        <w:tc>
          <w:tcPr>
            <w:tcW w:w="4788" w:type="dxa"/>
          </w:tcPr>
          <w:p w:rsidR="00254F69" w:rsidRDefault="00254F69" w:rsidP="005032FE">
            <w:pPr>
              <w:spacing w:line="276" w:lineRule="auto"/>
              <w:rPr>
                <w:rFonts w:ascii="Arial" w:hAnsi="Arial" w:cs="Arial"/>
              </w:rPr>
            </w:pPr>
            <w:r w:rsidRPr="00560EBC">
              <w:rPr>
                <w:rFonts w:ascii="Arial" w:hAnsi="Arial" w:cs="Arial"/>
              </w:rPr>
              <w:t>South African Human Rights Commission</w:t>
            </w:r>
          </w:p>
        </w:tc>
        <w:tc>
          <w:tcPr>
            <w:tcW w:w="4788" w:type="dxa"/>
          </w:tcPr>
          <w:p w:rsidR="00254F69" w:rsidRPr="00AD451B" w:rsidRDefault="00254F69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human rights-related matters.</w:t>
            </w:r>
          </w:p>
        </w:tc>
      </w:tr>
      <w:tr w:rsidR="00254F69" w:rsidTr="002A073F">
        <w:tc>
          <w:tcPr>
            <w:tcW w:w="4788" w:type="dxa"/>
          </w:tcPr>
          <w:p w:rsidR="00254F69" w:rsidRDefault="00254F69" w:rsidP="002A2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for Gender Equality</w:t>
            </w:r>
          </w:p>
          <w:p w:rsidR="00254F69" w:rsidRDefault="00254F69" w:rsidP="002A2CF5">
            <w:pPr>
              <w:spacing w:line="276" w:lineRule="auto"/>
              <w:rPr>
                <w:rFonts w:ascii="Arial" w:hAnsi="Arial" w:cs="Arial"/>
              </w:rPr>
            </w:pPr>
          </w:p>
          <w:p w:rsidR="00254F69" w:rsidRDefault="00254F69" w:rsidP="002A2C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54F69" w:rsidRDefault="00254F69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gender-related matters.</w:t>
            </w:r>
          </w:p>
        </w:tc>
      </w:tr>
      <w:tr w:rsidR="00254F69" w:rsidTr="002A073F">
        <w:tc>
          <w:tcPr>
            <w:tcW w:w="4788" w:type="dxa"/>
          </w:tcPr>
          <w:p w:rsidR="00254F69" w:rsidRDefault="00254F69" w:rsidP="00AC30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for the Promotion and Protection of the Rights of Cultural, Religious and Linguistic Communities</w:t>
            </w:r>
          </w:p>
        </w:tc>
        <w:tc>
          <w:tcPr>
            <w:tcW w:w="4788" w:type="dxa"/>
          </w:tcPr>
          <w:p w:rsidR="00254F69" w:rsidRPr="00AD451B" w:rsidRDefault="00254F69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rights of cultural, religious and linguistic communities.</w:t>
            </w:r>
            <w:r w:rsidDel="009A4714">
              <w:rPr>
                <w:rFonts w:ascii="Arial" w:hAnsi="Arial" w:cs="Arial"/>
              </w:rPr>
              <w:t xml:space="preserve"> </w:t>
            </w:r>
          </w:p>
        </w:tc>
      </w:tr>
      <w:tr w:rsidR="00254F69" w:rsidTr="002A073F">
        <w:tc>
          <w:tcPr>
            <w:tcW w:w="4788" w:type="dxa"/>
          </w:tcPr>
          <w:p w:rsidR="00254F69" w:rsidRDefault="00254F69" w:rsidP="00AC302F">
            <w:pPr>
              <w:spacing w:line="276" w:lineRule="auto"/>
              <w:rPr>
                <w:rFonts w:ascii="Arial" w:hAnsi="Arial" w:cs="Arial"/>
              </w:rPr>
            </w:pPr>
            <w:r w:rsidRPr="00560EBC">
              <w:rPr>
                <w:rFonts w:ascii="Arial" w:hAnsi="Arial" w:cs="Arial"/>
              </w:rPr>
              <w:t>Public Service Commission</w:t>
            </w:r>
          </w:p>
        </w:tc>
        <w:tc>
          <w:tcPr>
            <w:tcW w:w="4788" w:type="dxa"/>
          </w:tcPr>
          <w:p w:rsidR="009C7BE0" w:rsidRDefault="00254F69" w:rsidP="009C7BE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</w:t>
            </w:r>
            <w:r w:rsidR="009C7BE0">
              <w:rPr>
                <w:rFonts w:ascii="Arial" w:hAnsi="Arial" w:cs="Arial"/>
              </w:rPr>
              <w:t>—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9" w:hanging="567"/>
              <w:jc w:val="both"/>
              <w:rPr>
                <w:rFonts w:ascii="Arial" w:hAnsi="Arial" w:cs="Arial"/>
              </w:rPr>
            </w:pPr>
            <w:r w:rsidRPr="009C7BE0">
              <w:rPr>
                <w:rFonts w:ascii="Arial" w:hAnsi="Arial" w:cs="Arial"/>
              </w:rPr>
              <w:t>ethics related issues such as dishonesty, favouritism, abuse of power, improper personal gain and conflicts of interest;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9" w:hanging="567"/>
              <w:jc w:val="both"/>
              <w:rPr>
                <w:rFonts w:ascii="Arial" w:hAnsi="Arial" w:cs="Arial"/>
              </w:rPr>
            </w:pPr>
            <w:r w:rsidRPr="009C7BE0">
              <w:rPr>
                <w:rFonts w:ascii="Arial" w:hAnsi="Arial" w:cs="Arial"/>
              </w:rPr>
              <w:t>accountability related issues such as appointment, procurement and financial irregularities, non-compliance with public service legislation and policy (including departmental policies), lack of access to information and lack of confidentiality;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9" w:hanging="567"/>
              <w:jc w:val="both"/>
              <w:rPr>
                <w:rFonts w:ascii="Arial" w:hAnsi="Arial" w:cs="Arial"/>
              </w:rPr>
            </w:pPr>
            <w:proofErr w:type="gramStart"/>
            <w:r w:rsidRPr="009C7BE0">
              <w:rPr>
                <w:rFonts w:ascii="Arial" w:hAnsi="Arial" w:cs="Arial"/>
              </w:rPr>
              <w:t>service</w:t>
            </w:r>
            <w:proofErr w:type="gramEnd"/>
            <w:r w:rsidRPr="009C7BE0">
              <w:rPr>
                <w:rFonts w:ascii="Arial" w:hAnsi="Arial" w:cs="Arial"/>
              </w:rPr>
              <w:t xml:space="preserve"> delivery and professionalism related issues such as bias/impartiality. Unfairness, discrimination and prejudice;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9" w:hanging="567"/>
              <w:jc w:val="both"/>
              <w:rPr>
                <w:rFonts w:ascii="Arial" w:hAnsi="Arial" w:cs="Arial"/>
              </w:rPr>
            </w:pPr>
            <w:r w:rsidRPr="009C7BE0">
              <w:rPr>
                <w:rFonts w:ascii="Arial" w:hAnsi="Arial" w:cs="Arial"/>
              </w:rPr>
              <w:t xml:space="preserve">performance related issues such as incapacity, incompetence, lack of training/capacitating and lack of </w:t>
            </w:r>
            <w:proofErr w:type="spellStart"/>
            <w:r w:rsidRPr="009C7BE0">
              <w:rPr>
                <w:rFonts w:ascii="Arial" w:hAnsi="Arial" w:cs="Arial"/>
              </w:rPr>
              <w:t>representivity</w:t>
            </w:r>
            <w:proofErr w:type="spellEnd"/>
            <w:r w:rsidRPr="009C7BE0">
              <w:rPr>
                <w:rFonts w:ascii="Arial" w:hAnsi="Arial" w:cs="Arial"/>
              </w:rPr>
              <w:t>;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9" w:hanging="567"/>
              <w:jc w:val="both"/>
              <w:rPr>
                <w:rFonts w:ascii="Arial" w:hAnsi="Arial" w:cs="Arial"/>
              </w:rPr>
            </w:pPr>
            <w:r w:rsidRPr="009C7BE0">
              <w:rPr>
                <w:rFonts w:ascii="Arial" w:hAnsi="Arial" w:cs="Arial"/>
              </w:rPr>
              <w:t xml:space="preserve">policy related issues such as the non-existence of policies and policies that may be in conflict with legislation; </w:t>
            </w:r>
            <w:r>
              <w:rPr>
                <w:rFonts w:ascii="Arial" w:hAnsi="Arial" w:cs="Arial"/>
              </w:rPr>
              <w:t xml:space="preserve"> </w:t>
            </w:r>
            <w:r w:rsidRPr="009C7BE0">
              <w:rPr>
                <w:rFonts w:ascii="Arial" w:hAnsi="Arial" w:cs="Arial"/>
              </w:rPr>
              <w:t>and</w:t>
            </w:r>
          </w:p>
          <w:p w:rsidR="009C7BE0" w:rsidRPr="009C7BE0" w:rsidRDefault="009C7BE0" w:rsidP="009C7BE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9" w:hanging="567"/>
              <w:jc w:val="both"/>
              <w:rPr>
                <w:rFonts w:ascii="Arial" w:hAnsi="Arial" w:cs="Arial"/>
              </w:rPr>
            </w:pPr>
            <w:proofErr w:type="gramStart"/>
            <w:r w:rsidRPr="009C7BE0">
              <w:rPr>
                <w:rFonts w:ascii="Arial" w:hAnsi="Arial" w:cs="Arial"/>
              </w:rPr>
              <w:t>corruption</w:t>
            </w:r>
            <w:proofErr w:type="gramEnd"/>
            <w:r w:rsidRPr="009C7BE0">
              <w:rPr>
                <w:rFonts w:ascii="Arial" w:hAnsi="Arial" w:cs="Arial"/>
              </w:rPr>
              <w:t xml:space="preserve"> and maladministration.</w:t>
            </w:r>
          </w:p>
        </w:tc>
      </w:tr>
      <w:tr w:rsidR="00254F69" w:rsidTr="002A073F">
        <w:tc>
          <w:tcPr>
            <w:tcW w:w="4788" w:type="dxa"/>
          </w:tcPr>
          <w:p w:rsidR="00254F69" w:rsidRDefault="00254F69" w:rsidP="005032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Auditor-General of South Africa</w:t>
            </w:r>
          </w:p>
        </w:tc>
        <w:tc>
          <w:tcPr>
            <w:tcW w:w="4788" w:type="dxa"/>
          </w:tcPr>
          <w:p w:rsidR="009C7BE0" w:rsidRDefault="00254F69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alleged irregular or improper conduct or impropriety with regard to the  accounts, </w:t>
            </w:r>
            <w:r>
              <w:rPr>
                <w:rFonts w:ascii="Arial" w:hAnsi="Arial" w:cs="Arial"/>
              </w:rPr>
              <w:lastRenderedPageBreak/>
              <w:t>financial statements</w:t>
            </w:r>
            <w:r w:rsidR="009C7BE0">
              <w:rPr>
                <w:rFonts w:ascii="Arial" w:hAnsi="Arial" w:cs="Arial"/>
              </w:rPr>
              <w:t xml:space="preserve"> and financial management of—</w:t>
            </w:r>
          </w:p>
          <w:p w:rsidR="002605CE" w:rsidRDefault="00254F69" w:rsidP="007F5599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2605CE">
              <w:rPr>
                <w:rFonts w:ascii="Arial" w:hAnsi="Arial" w:cs="Arial"/>
              </w:rPr>
              <w:t>all natio</w:t>
            </w:r>
            <w:r w:rsidR="002605CE" w:rsidRPr="002605CE">
              <w:rPr>
                <w:rFonts w:ascii="Arial" w:hAnsi="Arial" w:cs="Arial"/>
              </w:rPr>
              <w:t xml:space="preserve">nal and provincial departments </w:t>
            </w:r>
            <w:r w:rsidRPr="002605CE">
              <w:rPr>
                <w:rFonts w:ascii="Arial" w:hAnsi="Arial" w:cs="Arial"/>
              </w:rPr>
              <w:t>and administrations;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9C7BE0">
              <w:rPr>
                <w:rFonts w:ascii="Arial" w:hAnsi="Arial" w:cs="Arial"/>
              </w:rPr>
              <w:t>all constitutional institutions;</w:t>
            </w:r>
          </w:p>
          <w:p w:rsidR="009C7BE0" w:rsidRDefault="009C7BE0" w:rsidP="009C7BE0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C7BE0">
              <w:rPr>
                <w:rFonts w:ascii="Arial" w:hAnsi="Arial" w:cs="Arial"/>
              </w:rPr>
              <w:t>he administration of Parliament and of each provincial legislature;</w:t>
            </w:r>
          </w:p>
          <w:p w:rsidR="009C7BE0" w:rsidRDefault="009C7BE0" w:rsidP="007F5599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municipalities;</w:t>
            </w:r>
          </w:p>
          <w:p w:rsidR="002605CE" w:rsidRDefault="009C7BE0" w:rsidP="009C7BE0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9C7BE0">
              <w:rPr>
                <w:rFonts w:ascii="Arial" w:hAnsi="Arial" w:cs="Arial"/>
              </w:rPr>
              <w:t>all municipal entities</w:t>
            </w:r>
            <w:r>
              <w:rPr>
                <w:rFonts w:ascii="Arial" w:hAnsi="Arial" w:cs="Arial"/>
              </w:rPr>
              <w:t xml:space="preserve">; </w:t>
            </w:r>
            <w:r w:rsidRPr="009C7BE0">
              <w:rPr>
                <w:rFonts w:ascii="Arial" w:hAnsi="Arial" w:cs="Arial"/>
              </w:rPr>
              <w:t xml:space="preserve"> </w:t>
            </w:r>
            <w:r w:rsidR="00254F69" w:rsidRPr="002605CE">
              <w:rPr>
                <w:rFonts w:ascii="Arial" w:hAnsi="Arial" w:cs="Arial"/>
              </w:rPr>
              <w:t>and</w:t>
            </w:r>
          </w:p>
          <w:p w:rsidR="00254F69" w:rsidRPr="002605CE" w:rsidRDefault="00254F69" w:rsidP="007F5599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proofErr w:type="gramStart"/>
            <w:r w:rsidRPr="002605CE">
              <w:rPr>
                <w:rFonts w:ascii="Arial" w:hAnsi="Arial" w:cs="Arial"/>
              </w:rPr>
              <w:t>any</w:t>
            </w:r>
            <w:proofErr w:type="gramEnd"/>
            <w:r w:rsidRPr="002605CE">
              <w:rPr>
                <w:rFonts w:ascii="Arial" w:hAnsi="Arial" w:cs="Arial"/>
              </w:rPr>
              <w:t xml:space="preserve"> o</w:t>
            </w:r>
            <w:r w:rsidR="002605CE" w:rsidRPr="002605CE">
              <w:rPr>
                <w:rFonts w:ascii="Arial" w:hAnsi="Arial" w:cs="Arial"/>
              </w:rPr>
              <w:t xml:space="preserve">ther institution or accounting </w:t>
            </w:r>
            <w:r w:rsidRPr="002605CE">
              <w:rPr>
                <w:rFonts w:ascii="Arial" w:hAnsi="Arial" w:cs="Arial"/>
              </w:rPr>
              <w:t>entity requ</w:t>
            </w:r>
            <w:r w:rsidR="002605CE" w:rsidRPr="002605CE">
              <w:rPr>
                <w:rFonts w:ascii="Arial" w:hAnsi="Arial" w:cs="Arial"/>
              </w:rPr>
              <w:t xml:space="preserve">ired by national or provincial </w:t>
            </w:r>
            <w:r w:rsidRPr="002605CE">
              <w:rPr>
                <w:rFonts w:ascii="Arial" w:hAnsi="Arial" w:cs="Arial"/>
              </w:rPr>
              <w:t>legislatio</w:t>
            </w:r>
            <w:r w:rsidR="002605CE" w:rsidRPr="002605CE">
              <w:rPr>
                <w:rFonts w:ascii="Arial" w:hAnsi="Arial" w:cs="Arial"/>
              </w:rPr>
              <w:t>n to be audited by the Auditor-</w:t>
            </w:r>
            <w:r w:rsidRPr="002605CE">
              <w:rPr>
                <w:rFonts w:ascii="Arial" w:hAnsi="Arial" w:cs="Arial"/>
              </w:rPr>
              <w:t>General.</w:t>
            </w:r>
          </w:p>
        </w:tc>
      </w:tr>
    </w:tbl>
    <w:p w:rsidR="00560EBC" w:rsidRDefault="00560EBC" w:rsidP="00980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60EBC" w:rsidRDefault="00560EBC" w:rsidP="008504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B0B53" w:rsidRDefault="00CB0B5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60EBC" w:rsidRDefault="007C3408" w:rsidP="00980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ANNEXURE B</w:t>
      </w:r>
    </w:p>
    <w:p w:rsidR="00980478" w:rsidRPr="00980478" w:rsidRDefault="00980478" w:rsidP="00980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0478" w:rsidTr="0017093D">
        <w:trPr>
          <w:tblHeader/>
        </w:trPr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980478" w:rsidRPr="00980478" w:rsidRDefault="00980478" w:rsidP="00980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COLUMN 1</w:t>
            </w:r>
          </w:p>
          <w:p w:rsidR="00980478" w:rsidRPr="00980478" w:rsidRDefault="00636314" w:rsidP="00980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Person or body to whom or which disclosure can be made</w:t>
            </w: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980478" w:rsidRPr="00980478" w:rsidRDefault="00980478" w:rsidP="00980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COLUMN 2</w:t>
            </w:r>
          </w:p>
          <w:p w:rsidR="00636314" w:rsidRDefault="00636314" w:rsidP="00980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478">
              <w:rPr>
                <w:rFonts w:ascii="Arial" w:hAnsi="Arial" w:cs="Arial"/>
                <w:b/>
              </w:rPr>
              <w:t>Conduct being disclosed</w:t>
            </w:r>
          </w:p>
          <w:p w:rsidR="00980478" w:rsidRPr="00980478" w:rsidRDefault="00980478" w:rsidP="00980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7FDB" w:rsidTr="00980478">
        <w:tc>
          <w:tcPr>
            <w:tcW w:w="4788" w:type="dxa"/>
          </w:tcPr>
          <w:p w:rsidR="006F7FDB" w:rsidRDefault="006F7FDB" w:rsidP="00BB0AB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 of the National Council of Provinces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which has a bearing on the National Council of Provinces.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0F5B43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Competition Commission</w:t>
            </w:r>
          </w:p>
        </w:tc>
        <w:tc>
          <w:tcPr>
            <w:tcW w:w="4788" w:type="dxa"/>
          </w:tcPr>
          <w:p w:rsidR="006F7FDB" w:rsidRPr="00AD451B" w:rsidRDefault="006F7FDB" w:rsidP="009C7BE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</w:t>
            </w:r>
            <w:r w:rsidRPr="000E50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promotion and maintenance of competition in South Africa, including the control and evaluation of </w:t>
            </w:r>
            <w:r w:rsidR="009C7BE0" w:rsidRPr="009C7BE0">
              <w:rPr>
                <w:rFonts w:ascii="Arial" w:hAnsi="Arial" w:cs="Arial"/>
              </w:rPr>
              <w:t>mergers, the investigation and prosecution of price fixing, fixing of trading conditions, market allocation, collusive tendering, restricted vertical practices and abuse of dominant positions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0F5B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for Debt Collectors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collection of debts.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0F5B43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Electoral Commission</w:t>
            </w:r>
            <w:r>
              <w:rPr>
                <w:rFonts w:ascii="Arial" w:hAnsi="Arial" w:cs="Arial"/>
              </w:rPr>
              <w:t xml:space="preserve"> of South Africa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</w:t>
            </w:r>
            <w:r w:rsidRPr="000E50E4">
              <w:rPr>
                <w:rFonts w:ascii="Arial" w:hAnsi="Arial" w:cs="Arial"/>
              </w:rPr>
              <w:t xml:space="preserve"> </w:t>
            </w:r>
            <w:r w:rsidRPr="00EF68E3">
              <w:rPr>
                <w:rFonts w:ascii="Arial" w:hAnsi="Arial" w:cs="Arial"/>
              </w:rPr>
              <w:t xml:space="preserve">free and fair elections of </w:t>
            </w:r>
            <w:r>
              <w:rPr>
                <w:rFonts w:ascii="Arial" w:hAnsi="Arial" w:cs="Arial"/>
              </w:rPr>
              <w:t xml:space="preserve">national, provincial and municipal </w:t>
            </w:r>
            <w:r w:rsidRPr="00EF68E3">
              <w:rPr>
                <w:rFonts w:ascii="Arial" w:hAnsi="Arial" w:cs="Arial"/>
              </w:rPr>
              <w:t>legislative bodies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0F5B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a</w:t>
            </w:r>
            <w:r w:rsidRPr="00A721E6">
              <w:rPr>
                <w:rFonts w:ascii="Arial" w:hAnsi="Arial" w:cs="Arial"/>
              </w:rPr>
              <w:t>nd Fiscal Commission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to-</w:t>
            </w:r>
          </w:p>
          <w:p w:rsidR="002605CE" w:rsidRDefault="006F7FDB" w:rsidP="007F5599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2605CE">
              <w:rPr>
                <w:rFonts w:ascii="Arial" w:hAnsi="Arial" w:cs="Arial"/>
              </w:rPr>
              <w:t>the equita</w:t>
            </w:r>
            <w:r w:rsidR="002605CE">
              <w:rPr>
                <w:rFonts w:ascii="Arial" w:hAnsi="Arial" w:cs="Arial"/>
              </w:rPr>
              <w:t xml:space="preserve">ble division of revenue raised nationally among the national, </w:t>
            </w:r>
            <w:r w:rsidRPr="002605CE">
              <w:rPr>
                <w:rFonts w:ascii="Arial" w:hAnsi="Arial" w:cs="Arial"/>
              </w:rPr>
              <w:t>p</w:t>
            </w:r>
            <w:r w:rsidR="002605CE">
              <w:rPr>
                <w:rFonts w:ascii="Arial" w:hAnsi="Arial" w:cs="Arial"/>
              </w:rPr>
              <w:t>rovincial and local spheres of government;</w:t>
            </w:r>
          </w:p>
          <w:p w:rsidR="002605CE" w:rsidRDefault="006F7FDB" w:rsidP="007F5599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2605CE">
              <w:rPr>
                <w:rFonts w:ascii="Arial" w:hAnsi="Arial" w:cs="Arial"/>
              </w:rPr>
              <w:t>the det</w:t>
            </w:r>
            <w:r w:rsidR="002605CE" w:rsidRPr="002605CE">
              <w:rPr>
                <w:rFonts w:ascii="Arial" w:hAnsi="Arial" w:cs="Arial"/>
              </w:rPr>
              <w:t xml:space="preserve">erminations of each province’s </w:t>
            </w:r>
            <w:r w:rsidRPr="002605CE">
              <w:rPr>
                <w:rFonts w:ascii="Arial" w:hAnsi="Arial" w:cs="Arial"/>
              </w:rPr>
              <w:t>equitable</w:t>
            </w:r>
            <w:r w:rsidR="002605CE" w:rsidRPr="002605CE">
              <w:rPr>
                <w:rFonts w:ascii="Arial" w:hAnsi="Arial" w:cs="Arial"/>
              </w:rPr>
              <w:t xml:space="preserve"> share of the provincial share </w:t>
            </w:r>
            <w:r w:rsidRPr="002605CE">
              <w:rPr>
                <w:rFonts w:ascii="Arial" w:hAnsi="Arial" w:cs="Arial"/>
              </w:rPr>
              <w:t>of that revenue;  and</w:t>
            </w:r>
          </w:p>
          <w:p w:rsidR="006F7FDB" w:rsidRPr="002605CE" w:rsidRDefault="006F7FDB" w:rsidP="007F5599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proofErr w:type="gramStart"/>
            <w:r w:rsidRPr="002605CE">
              <w:rPr>
                <w:rFonts w:ascii="Arial" w:hAnsi="Arial" w:cs="Arial"/>
              </w:rPr>
              <w:t>any</w:t>
            </w:r>
            <w:proofErr w:type="gramEnd"/>
            <w:r w:rsidRPr="002605CE">
              <w:rPr>
                <w:rFonts w:ascii="Arial" w:hAnsi="Arial" w:cs="Arial"/>
              </w:rPr>
              <w:t xml:space="preserve"> other allocations</w:t>
            </w:r>
            <w:r w:rsidR="002605CE" w:rsidRPr="002605CE">
              <w:rPr>
                <w:rFonts w:ascii="Arial" w:hAnsi="Arial" w:cs="Arial"/>
              </w:rPr>
              <w:t xml:space="preserve"> to provinces, local </w:t>
            </w:r>
            <w:r w:rsidRPr="002605CE">
              <w:rPr>
                <w:rFonts w:ascii="Arial" w:hAnsi="Arial" w:cs="Arial"/>
              </w:rPr>
              <w:t>governme</w:t>
            </w:r>
            <w:r w:rsidR="007F5599">
              <w:rPr>
                <w:rFonts w:ascii="Arial" w:hAnsi="Arial" w:cs="Arial"/>
              </w:rPr>
              <w:t xml:space="preserve">nt </w:t>
            </w:r>
            <w:r w:rsidR="002605CE" w:rsidRPr="002605CE">
              <w:rPr>
                <w:rFonts w:ascii="Arial" w:hAnsi="Arial" w:cs="Arial"/>
              </w:rPr>
              <w:t xml:space="preserve">or municipalities from the </w:t>
            </w:r>
            <w:r w:rsidRPr="002605CE">
              <w:rPr>
                <w:rFonts w:ascii="Arial" w:hAnsi="Arial" w:cs="Arial"/>
              </w:rPr>
              <w:t>natio</w:t>
            </w:r>
            <w:r w:rsidR="002605CE" w:rsidRPr="002605CE">
              <w:rPr>
                <w:rFonts w:ascii="Arial" w:hAnsi="Arial" w:cs="Arial"/>
              </w:rPr>
              <w:t xml:space="preserve">nal government’s share of that </w:t>
            </w:r>
            <w:r w:rsidRPr="002605CE">
              <w:rPr>
                <w:rFonts w:ascii="Arial" w:hAnsi="Arial" w:cs="Arial"/>
              </w:rPr>
              <w:t>reve</w:t>
            </w:r>
            <w:r w:rsidR="002605CE" w:rsidRPr="002605CE">
              <w:rPr>
                <w:rFonts w:ascii="Arial" w:hAnsi="Arial" w:cs="Arial"/>
              </w:rPr>
              <w:t xml:space="preserve">nue and any condition on which </w:t>
            </w:r>
            <w:r w:rsidRPr="002605CE">
              <w:rPr>
                <w:rFonts w:ascii="Arial" w:hAnsi="Arial" w:cs="Arial"/>
              </w:rPr>
              <w:t>those allocations may be made.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Financial Intelligence Centre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money laundering activities or the financing of terrorist and related activities.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Services</w:t>
            </w:r>
            <w:r w:rsidRPr="00726BE7">
              <w:rPr>
                <w:rFonts w:ascii="Arial" w:hAnsi="Arial" w:cs="Arial"/>
              </w:rPr>
              <w:t xml:space="preserve"> Board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alleged irregular or improper conduct or impropriety with regard to financial institutions </w:t>
            </w:r>
            <w:r>
              <w:rPr>
                <w:rFonts w:ascii="Arial" w:hAnsi="Arial" w:cs="Arial"/>
              </w:rPr>
              <w:lastRenderedPageBreak/>
              <w:t>and the provision of financial services.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 w:rsidRPr="0020689B">
              <w:rPr>
                <w:rFonts w:ascii="Arial" w:hAnsi="Arial" w:cs="Arial"/>
              </w:rPr>
              <w:lastRenderedPageBreak/>
              <w:t>Independent Communications Authority of South Africa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–</w:t>
            </w:r>
          </w:p>
          <w:p w:rsidR="002605CE" w:rsidRDefault="006F7FDB" w:rsidP="007F5599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2605CE">
              <w:rPr>
                <w:rFonts w:ascii="Arial" w:hAnsi="Arial" w:cs="Arial"/>
              </w:rPr>
              <w:t>broadcasting in the public interest;</w:t>
            </w:r>
          </w:p>
          <w:p w:rsidR="002605CE" w:rsidRDefault="006F7FDB" w:rsidP="007F5599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r w:rsidRPr="002605CE">
              <w:rPr>
                <w:rFonts w:ascii="Arial" w:hAnsi="Arial" w:cs="Arial"/>
              </w:rPr>
              <w:t>electroni</w:t>
            </w:r>
            <w:r w:rsidR="002605CE" w:rsidRPr="002605CE">
              <w:rPr>
                <w:rFonts w:ascii="Arial" w:hAnsi="Arial" w:cs="Arial"/>
              </w:rPr>
              <w:t xml:space="preserve">c communications in the public </w:t>
            </w:r>
            <w:r w:rsidRPr="002605CE">
              <w:rPr>
                <w:rFonts w:ascii="Arial" w:hAnsi="Arial" w:cs="Arial"/>
              </w:rPr>
              <w:t>interest;  and</w:t>
            </w:r>
          </w:p>
          <w:p w:rsidR="006F7FDB" w:rsidRPr="002605CE" w:rsidRDefault="006F7FDB" w:rsidP="007F5599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688"/>
              <w:jc w:val="both"/>
              <w:rPr>
                <w:rFonts w:ascii="Arial" w:hAnsi="Arial" w:cs="Arial"/>
              </w:rPr>
            </w:pPr>
            <w:proofErr w:type="gramStart"/>
            <w:r w:rsidRPr="002605CE">
              <w:rPr>
                <w:rFonts w:ascii="Arial" w:hAnsi="Arial" w:cs="Arial"/>
              </w:rPr>
              <w:t>postal</w:t>
            </w:r>
            <w:proofErr w:type="gramEnd"/>
            <w:r w:rsidRPr="002605CE">
              <w:rPr>
                <w:rFonts w:ascii="Arial" w:hAnsi="Arial" w:cs="Arial"/>
              </w:rPr>
              <w:t xml:space="preserve"> matters in the public interest.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 xml:space="preserve">Independent </w:t>
            </w:r>
            <w:r>
              <w:rPr>
                <w:rFonts w:ascii="Arial" w:hAnsi="Arial" w:cs="Arial"/>
              </w:rPr>
              <w:t>Police Investigative</w:t>
            </w:r>
            <w:r w:rsidRPr="00726BE7">
              <w:rPr>
                <w:rFonts w:ascii="Arial" w:hAnsi="Arial" w:cs="Arial"/>
              </w:rPr>
              <w:t xml:space="preserve"> Directorate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alleged irregular or improper conduct or impropriety by a member of the South African Police Service. 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Regulatory Board for Auditors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audits performed by registered auditors.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International Trade Administration Commission of South Africa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alleged irregular or improper conduct or impropriety with regard to the import or export of goods and customs duties. 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17093D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 xml:space="preserve">Judicial Inspectorate </w:t>
            </w:r>
            <w:r>
              <w:rPr>
                <w:rFonts w:ascii="Arial" w:hAnsi="Arial" w:cs="Arial"/>
              </w:rPr>
              <w:t>for Correctional Services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treatment of inmates in correctional centres and the conditions in correctional centres.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EF0F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726BE7">
              <w:rPr>
                <w:rFonts w:ascii="Arial" w:hAnsi="Arial" w:cs="Arial"/>
              </w:rPr>
              <w:t>udicial Service Commission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by a judge of a superior court.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EF0F76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Magistrates Commission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by a magistrate.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EF0F76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National Consumer Commission</w:t>
            </w:r>
          </w:p>
        </w:tc>
        <w:tc>
          <w:tcPr>
            <w:tcW w:w="4788" w:type="dxa"/>
          </w:tcPr>
          <w:p w:rsidR="006F7FDB" w:rsidRPr="00AD451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social and economic welfare of consumers.</w:t>
            </w:r>
          </w:p>
        </w:tc>
      </w:tr>
      <w:tr w:rsidR="006F7FDB" w:rsidTr="00980478">
        <w:tc>
          <w:tcPr>
            <w:tcW w:w="4788" w:type="dxa"/>
          </w:tcPr>
          <w:p w:rsidR="006F7FDB" w:rsidRDefault="00841F90" w:rsidP="00EF0F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Energy</w:t>
            </w:r>
            <w:r w:rsidR="006F7FDB" w:rsidRPr="00726BE7">
              <w:rPr>
                <w:rFonts w:ascii="Arial" w:hAnsi="Arial" w:cs="Arial"/>
              </w:rPr>
              <w:t xml:space="preserve"> Regulator</w:t>
            </w:r>
            <w:r w:rsidR="006F7FDB">
              <w:rPr>
                <w:rFonts w:ascii="Arial" w:hAnsi="Arial" w:cs="Arial"/>
              </w:rPr>
              <w:t xml:space="preserve"> of South Africa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regulation of electricity, piped gas and petroleum pipeline industries.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BB0AB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Prosecuting Authority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institution and execution of prosecutions.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EF0F76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Office of the C</w:t>
            </w:r>
            <w:r>
              <w:rPr>
                <w:rFonts w:ascii="Arial" w:hAnsi="Arial" w:cs="Arial"/>
              </w:rPr>
              <w:t xml:space="preserve">hief </w:t>
            </w:r>
            <w:r w:rsidRPr="00726BE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ustice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judicial arm of government.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EF0F76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Pension Fund Adjudicator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pensions or pension funds.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5802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Speaker of the National Assembly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which has a bearing on the National Assembly.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BB0ABB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Special Investigating Unit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affairs of any State institution.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EF0F76">
            <w:pPr>
              <w:spacing w:line="276" w:lineRule="auto"/>
              <w:rPr>
                <w:rFonts w:ascii="Arial" w:hAnsi="Arial" w:cs="Arial"/>
              </w:rPr>
            </w:pPr>
            <w:r w:rsidRPr="00726BE7">
              <w:rPr>
                <w:rFonts w:ascii="Arial" w:hAnsi="Arial" w:cs="Arial"/>
              </w:rPr>
              <w:t>South African Board for Sheriffs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by a sheriff.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5802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African Health Professions Council</w:t>
            </w:r>
          </w:p>
        </w:tc>
        <w:tc>
          <w:tcPr>
            <w:tcW w:w="4788" w:type="dxa"/>
          </w:tcPr>
          <w:p w:rsidR="006F7FDB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the health professions.</w:t>
            </w:r>
          </w:p>
        </w:tc>
      </w:tr>
      <w:tr w:rsidR="006F7FDB" w:rsidTr="00980478">
        <w:tc>
          <w:tcPr>
            <w:tcW w:w="4788" w:type="dxa"/>
          </w:tcPr>
          <w:p w:rsidR="006F7FDB" w:rsidRPr="00E215E5" w:rsidRDefault="006F7FDB" w:rsidP="0058029E">
            <w:pPr>
              <w:spacing w:line="276" w:lineRule="auto"/>
              <w:rPr>
                <w:rFonts w:ascii="Arial" w:hAnsi="Arial" w:cs="Arial"/>
              </w:rPr>
            </w:pPr>
            <w:r w:rsidRPr="00E215E5">
              <w:rPr>
                <w:rFonts w:ascii="Arial" w:hAnsi="Arial" w:cs="Arial"/>
              </w:rPr>
              <w:t>South African Legal Practice Council</w:t>
            </w:r>
            <w:r>
              <w:rPr>
                <w:rFonts w:ascii="Arial" w:hAnsi="Arial" w:cs="Arial"/>
              </w:rPr>
              <w:t xml:space="preserve"> (when it is established)</w:t>
            </w:r>
          </w:p>
        </w:tc>
        <w:tc>
          <w:tcPr>
            <w:tcW w:w="4788" w:type="dxa"/>
          </w:tcPr>
          <w:p w:rsidR="006F7FDB" w:rsidRPr="00E215E5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by a</w:t>
            </w:r>
            <w:r w:rsidRPr="00E215E5">
              <w:rPr>
                <w:rFonts w:ascii="Arial" w:hAnsi="Arial" w:cs="Arial"/>
              </w:rPr>
              <w:t xml:space="preserve"> legal practitioner.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BB0AB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African </w:t>
            </w:r>
            <w:r w:rsidRPr="00726BE7">
              <w:rPr>
                <w:rFonts w:ascii="Arial" w:hAnsi="Arial" w:cs="Arial"/>
              </w:rPr>
              <w:t xml:space="preserve">Nuclear </w:t>
            </w:r>
            <w:r>
              <w:rPr>
                <w:rFonts w:ascii="Arial" w:hAnsi="Arial" w:cs="Arial"/>
              </w:rPr>
              <w:t xml:space="preserve">Energy Corporation Ltd/ National Nuclear </w:t>
            </w:r>
            <w:r w:rsidRPr="00726BE7">
              <w:rPr>
                <w:rFonts w:ascii="Arial" w:hAnsi="Arial" w:cs="Arial"/>
              </w:rPr>
              <w:t>Regulator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nuclear energy and radiation sciences and technology.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5802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African Qualifications Association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education and training.</w:t>
            </w:r>
          </w:p>
        </w:tc>
      </w:tr>
      <w:tr w:rsidR="006F7FDB" w:rsidTr="00980478">
        <w:tc>
          <w:tcPr>
            <w:tcW w:w="4788" w:type="dxa"/>
          </w:tcPr>
          <w:p w:rsidR="006F7FDB" w:rsidRDefault="006F7FDB" w:rsidP="00BB0A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African Revenue Service</w:t>
            </w:r>
          </w:p>
        </w:tc>
        <w:tc>
          <w:tcPr>
            <w:tcW w:w="4788" w:type="dxa"/>
          </w:tcPr>
          <w:p w:rsidR="006F7FDB" w:rsidRPr="00726BE7" w:rsidRDefault="006F7FDB" w:rsidP="007F559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alleged irregular or improper conduct or impropriety with regard to tax and customs-related matters.</w:t>
            </w:r>
          </w:p>
        </w:tc>
      </w:tr>
    </w:tbl>
    <w:p w:rsidR="00412394" w:rsidRPr="00821A48" w:rsidRDefault="00412394" w:rsidP="0041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12394" w:rsidRPr="00821A48" w:rsidSect="000F6BD4">
      <w:head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E3" w:rsidRDefault="002779E3" w:rsidP="00335778">
      <w:r>
        <w:separator/>
      </w:r>
    </w:p>
  </w:endnote>
  <w:endnote w:type="continuationSeparator" w:id="0">
    <w:p w:rsidR="002779E3" w:rsidRDefault="002779E3" w:rsidP="0033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2FE" w:rsidRDefault="00FB0EB3">
        <w:pPr>
          <w:pStyle w:val="Footer"/>
          <w:jc w:val="right"/>
        </w:pPr>
        <w:r>
          <w:fldChar w:fldCharType="begin"/>
        </w:r>
        <w:r w:rsidR="005032FE">
          <w:instrText xml:space="preserve"> PAGE   \* MERGEFORMAT </w:instrText>
        </w:r>
        <w:r>
          <w:fldChar w:fldCharType="separate"/>
        </w:r>
        <w:r w:rsidR="00476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2FE" w:rsidRDefault="00503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E3" w:rsidRDefault="002779E3" w:rsidP="00335778">
      <w:r>
        <w:separator/>
      </w:r>
    </w:p>
  </w:footnote>
  <w:footnote w:type="continuationSeparator" w:id="0">
    <w:p w:rsidR="002779E3" w:rsidRDefault="002779E3" w:rsidP="0033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132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2FE" w:rsidRDefault="00FB0EB3">
        <w:pPr>
          <w:pStyle w:val="Header"/>
          <w:jc w:val="right"/>
        </w:pPr>
        <w:r>
          <w:fldChar w:fldCharType="begin"/>
        </w:r>
        <w:r w:rsidR="005032FE">
          <w:instrText xml:space="preserve"> PAGE   \* MERGEFORMAT </w:instrText>
        </w:r>
        <w:r>
          <w:fldChar w:fldCharType="separate"/>
        </w:r>
        <w:r w:rsidR="00476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2FE" w:rsidRDefault="00503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4D0"/>
    <w:multiLevelType w:val="hybridMultilevel"/>
    <w:tmpl w:val="E9DAEC92"/>
    <w:lvl w:ilvl="0" w:tplc="34F8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9C6"/>
    <w:multiLevelType w:val="hybridMultilevel"/>
    <w:tmpl w:val="6494E716"/>
    <w:lvl w:ilvl="0" w:tplc="34F8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27CE"/>
    <w:multiLevelType w:val="hybridMultilevel"/>
    <w:tmpl w:val="83D86776"/>
    <w:lvl w:ilvl="0" w:tplc="34F8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20792"/>
    <w:multiLevelType w:val="hybridMultilevel"/>
    <w:tmpl w:val="514A109C"/>
    <w:lvl w:ilvl="0" w:tplc="34F8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A48"/>
    <w:rsid w:val="0001161E"/>
    <w:rsid w:val="00036CF2"/>
    <w:rsid w:val="000376D3"/>
    <w:rsid w:val="000725A8"/>
    <w:rsid w:val="00087733"/>
    <w:rsid w:val="000911AC"/>
    <w:rsid w:val="00097BE3"/>
    <w:rsid w:val="000A3ECA"/>
    <w:rsid w:val="000B5FDF"/>
    <w:rsid w:val="000E33E4"/>
    <w:rsid w:val="000E50E4"/>
    <w:rsid w:val="000F2C5E"/>
    <w:rsid w:val="000F43D8"/>
    <w:rsid w:val="000F5B43"/>
    <w:rsid w:val="000F6BD4"/>
    <w:rsid w:val="000F7D53"/>
    <w:rsid w:val="00101E78"/>
    <w:rsid w:val="0010368B"/>
    <w:rsid w:val="00143ADB"/>
    <w:rsid w:val="00151F8D"/>
    <w:rsid w:val="0016733A"/>
    <w:rsid w:val="0017093D"/>
    <w:rsid w:val="00174A16"/>
    <w:rsid w:val="001B44FE"/>
    <w:rsid w:val="001D6193"/>
    <w:rsid w:val="002031BF"/>
    <w:rsid w:val="0020689B"/>
    <w:rsid w:val="00223FCF"/>
    <w:rsid w:val="00224E36"/>
    <w:rsid w:val="00254F69"/>
    <w:rsid w:val="002605CE"/>
    <w:rsid w:val="00267E7A"/>
    <w:rsid w:val="002727AF"/>
    <w:rsid w:val="002779E3"/>
    <w:rsid w:val="00282C22"/>
    <w:rsid w:val="00295164"/>
    <w:rsid w:val="002A073F"/>
    <w:rsid w:val="002A2CF5"/>
    <w:rsid w:val="002A7956"/>
    <w:rsid w:val="0030312B"/>
    <w:rsid w:val="003278F1"/>
    <w:rsid w:val="00335778"/>
    <w:rsid w:val="00335D37"/>
    <w:rsid w:val="003636EA"/>
    <w:rsid w:val="00370A57"/>
    <w:rsid w:val="003A7318"/>
    <w:rsid w:val="003B71AA"/>
    <w:rsid w:val="003E69DF"/>
    <w:rsid w:val="003E774A"/>
    <w:rsid w:val="00407C96"/>
    <w:rsid w:val="00412394"/>
    <w:rsid w:val="00476EF1"/>
    <w:rsid w:val="004B26B3"/>
    <w:rsid w:val="004C5F1F"/>
    <w:rsid w:val="004E4B0C"/>
    <w:rsid w:val="004E6406"/>
    <w:rsid w:val="005032FE"/>
    <w:rsid w:val="00525CB0"/>
    <w:rsid w:val="00533C35"/>
    <w:rsid w:val="0055237B"/>
    <w:rsid w:val="00560EBC"/>
    <w:rsid w:val="0058029E"/>
    <w:rsid w:val="00593BDD"/>
    <w:rsid w:val="005966AD"/>
    <w:rsid w:val="00616969"/>
    <w:rsid w:val="00636314"/>
    <w:rsid w:val="00655F58"/>
    <w:rsid w:val="00657BB5"/>
    <w:rsid w:val="0069130D"/>
    <w:rsid w:val="006B5127"/>
    <w:rsid w:val="006D6976"/>
    <w:rsid w:val="006F7FDB"/>
    <w:rsid w:val="00726419"/>
    <w:rsid w:val="00726BE7"/>
    <w:rsid w:val="00731A76"/>
    <w:rsid w:val="00753AB4"/>
    <w:rsid w:val="00783E69"/>
    <w:rsid w:val="007873D3"/>
    <w:rsid w:val="007A2C2F"/>
    <w:rsid w:val="007A67EB"/>
    <w:rsid w:val="007C0A26"/>
    <w:rsid w:val="007C3408"/>
    <w:rsid w:val="007E0CDB"/>
    <w:rsid w:val="007F5599"/>
    <w:rsid w:val="00821A48"/>
    <w:rsid w:val="0082735E"/>
    <w:rsid w:val="00832B7A"/>
    <w:rsid w:val="0083593E"/>
    <w:rsid w:val="00841F90"/>
    <w:rsid w:val="008435AA"/>
    <w:rsid w:val="00850018"/>
    <w:rsid w:val="00850408"/>
    <w:rsid w:val="008C60F6"/>
    <w:rsid w:val="008D0118"/>
    <w:rsid w:val="008E4E3B"/>
    <w:rsid w:val="008E79C5"/>
    <w:rsid w:val="008F2EAE"/>
    <w:rsid w:val="009423E3"/>
    <w:rsid w:val="00961C85"/>
    <w:rsid w:val="009657A1"/>
    <w:rsid w:val="00980478"/>
    <w:rsid w:val="00994742"/>
    <w:rsid w:val="009A4714"/>
    <w:rsid w:val="009B17AC"/>
    <w:rsid w:val="009C08FD"/>
    <w:rsid w:val="009C5197"/>
    <w:rsid w:val="009C7BE0"/>
    <w:rsid w:val="009E485B"/>
    <w:rsid w:val="009F73B1"/>
    <w:rsid w:val="00A1647C"/>
    <w:rsid w:val="00A24A2E"/>
    <w:rsid w:val="00A47CA3"/>
    <w:rsid w:val="00A57AD2"/>
    <w:rsid w:val="00A71B54"/>
    <w:rsid w:val="00A721E6"/>
    <w:rsid w:val="00A74AD7"/>
    <w:rsid w:val="00A83F30"/>
    <w:rsid w:val="00A87672"/>
    <w:rsid w:val="00AC302F"/>
    <w:rsid w:val="00AC6FED"/>
    <w:rsid w:val="00AC7EFD"/>
    <w:rsid w:val="00AD451B"/>
    <w:rsid w:val="00AD646C"/>
    <w:rsid w:val="00AF24C5"/>
    <w:rsid w:val="00AF63B5"/>
    <w:rsid w:val="00B07FDF"/>
    <w:rsid w:val="00B16B52"/>
    <w:rsid w:val="00B472FD"/>
    <w:rsid w:val="00B95910"/>
    <w:rsid w:val="00BA07D7"/>
    <w:rsid w:val="00BD0C16"/>
    <w:rsid w:val="00C0511B"/>
    <w:rsid w:val="00C10FD4"/>
    <w:rsid w:val="00C12FA7"/>
    <w:rsid w:val="00C56C2F"/>
    <w:rsid w:val="00C611A8"/>
    <w:rsid w:val="00C76734"/>
    <w:rsid w:val="00C86171"/>
    <w:rsid w:val="00CA1D1E"/>
    <w:rsid w:val="00CA712A"/>
    <w:rsid w:val="00CB0B53"/>
    <w:rsid w:val="00CD038B"/>
    <w:rsid w:val="00D067EB"/>
    <w:rsid w:val="00D236C7"/>
    <w:rsid w:val="00D338AF"/>
    <w:rsid w:val="00D550DB"/>
    <w:rsid w:val="00D670EC"/>
    <w:rsid w:val="00D70560"/>
    <w:rsid w:val="00D97A27"/>
    <w:rsid w:val="00DB3ABF"/>
    <w:rsid w:val="00DC40E6"/>
    <w:rsid w:val="00DC4529"/>
    <w:rsid w:val="00DD4742"/>
    <w:rsid w:val="00DE20DA"/>
    <w:rsid w:val="00DF0605"/>
    <w:rsid w:val="00E215E5"/>
    <w:rsid w:val="00E25ACE"/>
    <w:rsid w:val="00E83C9A"/>
    <w:rsid w:val="00E85C53"/>
    <w:rsid w:val="00E9532E"/>
    <w:rsid w:val="00EA5F41"/>
    <w:rsid w:val="00EB7086"/>
    <w:rsid w:val="00EF0F76"/>
    <w:rsid w:val="00EF232B"/>
    <w:rsid w:val="00EF2E99"/>
    <w:rsid w:val="00EF68E3"/>
    <w:rsid w:val="00F010E5"/>
    <w:rsid w:val="00F0341D"/>
    <w:rsid w:val="00F07419"/>
    <w:rsid w:val="00F166B8"/>
    <w:rsid w:val="00F23701"/>
    <w:rsid w:val="00F559B9"/>
    <w:rsid w:val="00FB07CE"/>
    <w:rsid w:val="00FB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-Table">
    <w:name w:val="QT-Table"/>
    <w:rsid w:val="007C0A26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93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93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3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3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7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7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1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Walt Aletta</dc:creator>
  <cp:lastModifiedBy>PUMZA</cp:lastModifiedBy>
  <cp:revision>2</cp:revision>
  <cp:lastPrinted>2018-04-06T10:00:00Z</cp:lastPrinted>
  <dcterms:created xsi:type="dcterms:W3CDTF">2018-06-08T09:48:00Z</dcterms:created>
  <dcterms:modified xsi:type="dcterms:W3CDTF">2018-06-08T09:48:00Z</dcterms:modified>
</cp:coreProperties>
</file>