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9B48E" w14:textId="77777777" w:rsidR="000D7A00" w:rsidRDefault="000D7A00" w:rsidP="00FC1414">
      <w:pPr>
        <w:widowControl w:val="0"/>
        <w:autoSpaceDE w:val="0"/>
        <w:autoSpaceDN w:val="0"/>
        <w:adjustRightInd w:val="0"/>
      </w:pPr>
    </w:p>
    <w:p w14:paraId="637DC4A8" w14:textId="72CF9E78" w:rsidR="00FC1414" w:rsidRPr="009600E5" w:rsidRDefault="000D7A00" w:rsidP="00FC1414">
      <w:pPr>
        <w:widowControl w:val="0"/>
        <w:autoSpaceDE w:val="0"/>
        <w:autoSpaceDN w:val="0"/>
        <w:adjustRightInd w:val="0"/>
        <w:rPr>
          <w:rFonts w:eastAsia="MS Mincho" w:cs="Arial"/>
          <w:b/>
          <w:bCs/>
          <w:sz w:val="24"/>
          <w:szCs w:val="24"/>
          <w:lang w:val="en-US"/>
        </w:rPr>
      </w:pPr>
      <w:r w:rsidRPr="000D7A00">
        <w:rPr>
          <w:rFonts w:eastAsia="MS Mincho" w:cs="Arial"/>
          <w:b/>
          <w:bCs/>
          <w:sz w:val="24"/>
          <w:szCs w:val="24"/>
          <w:lang w:val="en-US"/>
        </w:rPr>
        <w:t>2</w:t>
      </w:r>
      <w:r w:rsidR="001B6B4F">
        <w:rPr>
          <w:rFonts w:eastAsia="MS Mincho" w:cs="Arial"/>
          <w:b/>
          <w:bCs/>
          <w:sz w:val="24"/>
          <w:szCs w:val="24"/>
          <w:lang w:val="en-US"/>
        </w:rPr>
        <w:t>9</w:t>
      </w:r>
      <w:r w:rsidRPr="000D7A00">
        <w:rPr>
          <w:rFonts w:eastAsia="MS Mincho" w:cs="Arial"/>
          <w:b/>
          <w:bCs/>
          <w:sz w:val="24"/>
          <w:szCs w:val="24"/>
          <w:lang w:val="en-US"/>
        </w:rPr>
        <w:t xml:space="preserve"> May</w:t>
      </w:r>
      <w:r w:rsidR="00FC1414" w:rsidRPr="009600E5">
        <w:rPr>
          <w:rFonts w:eastAsia="MS Mincho" w:cs="Arial"/>
          <w:b/>
          <w:bCs/>
          <w:sz w:val="24"/>
          <w:szCs w:val="24"/>
          <w:lang w:val="en-US"/>
        </w:rPr>
        <w:t xml:space="preserve"> 2018</w:t>
      </w:r>
    </w:p>
    <w:p w14:paraId="6AEE5565" w14:textId="77777777" w:rsidR="00FC1414" w:rsidRPr="009600E5" w:rsidRDefault="00FC1414" w:rsidP="00FC1414">
      <w:pPr>
        <w:widowControl w:val="0"/>
        <w:autoSpaceDE w:val="0"/>
        <w:autoSpaceDN w:val="0"/>
        <w:adjustRightInd w:val="0"/>
        <w:rPr>
          <w:rFonts w:eastAsia="MS Mincho" w:cs="Arial"/>
          <w:b/>
          <w:bCs/>
          <w:sz w:val="24"/>
          <w:szCs w:val="24"/>
          <w:lang w:val="en-US"/>
        </w:rPr>
      </w:pPr>
    </w:p>
    <w:p w14:paraId="1D9B429D" w14:textId="77777777" w:rsidR="000D7A00" w:rsidRPr="00945BD3" w:rsidRDefault="000D7A00" w:rsidP="000D7A00">
      <w:pPr>
        <w:pStyle w:val="ResearchTitle"/>
        <w:jc w:val="center"/>
        <w:rPr>
          <w:rFonts w:cs="Arial"/>
          <w:lang w:val="en-GB"/>
        </w:rPr>
      </w:pPr>
    </w:p>
    <w:p w14:paraId="68573209" w14:textId="0E0AA197" w:rsidR="000D7A00" w:rsidRPr="00CE2811" w:rsidRDefault="000D7A00" w:rsidP="000D7A00">
      <w:pPr>
        <w:pStyle w:val="ResearchTitle"/>
        <w:rPr>
          <w:rFonts w:cs="Arial"/>
          <w:szCs w:val="24"/>
          <w:lang w:val="en-GB"/>
        </w:rPr>
      </w:pPr>
      <w:r>
        <w:rPr>
          <w:rFonts w:cs="Arial"/>
          <w:szCs w:val="24"/>
        </w:rPr>
        <w:t xml:space="preserve">SUMMARY </w:t>
      </w:r>
      <w:r w:rsidRPr="00945BD3">
        <w:rPr>
          <w:rFonts w:cs="Arial"/>
          <w:szCs w:val="24"/>
        </w:rPr>
        <w:t>PAPER</w:t>
      </w:r>
      <w:r w:rsidRPr="00945BD3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>–</w:t>
      </w:r>
      <w:r w:rsidRPr="00945BD3">
        <w:rPr>
          <w:rFonts w:cs="Arial"/>
          <w:b w:val="0"/>
          <w:szCs w:val="24"/>
        </w:rPr>
        <w:t xml:space="preserve"> </w:t>
      </w:r>
      <w:r>
        <w:rPr>
          <w:rFonts w:cs="Arial"/>
          <w:lang w:val="en-GB"/>
        </w:rPr>
        <w:t xml:space="preserve">PRESENTATIONS BY </w:t>
      </w:r>
      <w:r w:rsidR="00E618AD">
        <w:rPr>
          <w:rFonts w:cs="Arial"/>
          <w:lang w:val="en-GB"/>
        </w:rPr>
        <w:t xml:space="preserve">THE </w:t>
      </w:r>
      <w:r>
        <w:rPr>
          <w:rFonts w:cs="Arial"/>
          <w:lang w:val="en-GB"/>
        </w:rPr>
        <w:t xml:space="preserve">nATIONAL CREDIT </w:t>
      </w:r>
      <w:r w:rsidRPr="00CE2811">
        <w:rPr>
          <w:rFonts w:cs="Arial"/>
          <w:szCs w:val="24"/>
          <w:lang w:val="en-GB"/>
        </w:rPr>
        <w:t xml:space="preserve">REGULATOR AND SOUTH AFRICAN RESERVE BANK ON VBS MUTUAL BANK </w:t>
      </w:r>
    </w:p>
    <w:p w14:paraId="74277B87" w14:textId="77777777" w:rsidR="000D7A00" w:rsidRPr="00CE2811" w:rsidRDefault="000D7A00" w:rsidP="000D7A00">
      <w:pPr>
        <w:rPr>
          <w:rFonts w:eastAsia="Times New Roman"/>
          <w:color w:val="000000"/>
          <w:spacing w:val="6"/>
          <w:sz w:val="24"/>
          <w:szCs w:val="24"/>
          <w:lang w:eastAsia="en-GB"/>
        </w:rPr>
      </w:pPr>
    </w:p>
    <w:p w14:paraId="29BAD857" w14:textId="77777777" w:rsidR="000D7A00" w:rsidRPr="00CE2811" w:rsidRDefault="000D7A00" w:rsidP="000D7A00">
      <w:pPr>
        <w:rPr>
          <w:rFonts w:eastAsia="Times New Roman"/>
          <w:color w:val="000000"/>
          <w:spacing w:val="6"/>
          <w:sz w:val="24"/>
          <w:szCs w:val="24"/>
          <w:lang w:eastAsia="en-GB"/>
        </w:rPr>
      </w:pPr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This brief provides an overview of the submission made by NCR and SARB on VBS mutual bank. </w:t>
      </w:r>
      <w:bookmarkStart w:id="0" w:name="_GoBack"/>
      <w:bookmarkEnd w:id="0"/>
    </w:p>
    <w:p w14:paraId="000A4379" w14:textId="3C5C1B34" w:rsidR="000D7A00" w:rsidRDefault="000D7A00" w:rsidP="000D7A00">
      <w:pPr>
        <w:rPr>
          <w:rFonts w:eastAsia="Times New Roman"/>
          <w:color w:val="000000"/>
          <w:spacing w:val="6"/>
          <w:lang w:eastAsia="en-GB"/>
        </w:rPr>
      </w:pPr>
    </w:p>
    <w:p w14:paraId="07FF041D" w14:textId="77777777" w:rsidR="000D7A00" w:rsidRPr="00CE2811" w:rsidRDefault="000D7A00" w:rsidP="000D7A00">
      <w:pPr>
        <w:pStyle w:val="ListParagraph"/>
        <w:numPr>
          <w:ilvl w:val="1"/>
          <w:numId w:val="46"/>
        </w:numPr>
        <w:spacing w:before="100" w:after="200" w:line="360" w:lineRule="auto"/>
        <w:rPr>
          <w:rFonts w:ascii="Arial Narrow" w:hAnsi="Arial Narrow" w:cs="Helvetica"/>
          <w:b/>
          <w:color w:val="000000" w:themeColor="text1"/>
          <w:sz w:val="24"/>
          <w:szCs w:val="24"/>
        </w:rPr>
      </w:pPr>
      <w:r w:rsidRPr="00CE2811">
        <w:rPr>
          <w:rFonts w:eastAsia="Times New Roman"/>
          <w:b/>
          <w:color w:val="000000"/>
          <w:spacing w:val="6"/>
          <w:sz w:val="24"/>
          <w:szCs w:val="24"/>
          <w:lang w:eastAsia="en-GB"/>
        </w:rPr>
        <w:t>Presentation by the South African Reserve Bank on VBS Mutual Bank</w:t>
      </w:r>
      <w:r w:rsidRPr="00CE2811">
        <w:rPr>
          <w:rStyle w:val="FootnoteReference"/>
          <w:rFonts w:ascii="Arial Narrow" w:hAnsi="Arial Narrow"/>
          <w:b/>
          <w:color w:val="000000" w:themeColor="text1"/>
          <w:sz w:val="24"/>
          <w:szCs w:val="24"/>
        </w:rPr>
        <w:footnoteReference w:id="1"/>
      </w:r>
    </w:p>
    <w:p w14:paraId="5D4D8567" w14:textId="77777777" w:rsidR="000D7A00" w:rsidRPr="005E3929" w:rsidRDefault="000D7A00" w:rsidP="000D7A00">
      <w:pPr>
        <w:pStyle w:val="ListParagraph"/>
        <w:spacing w:line="360" w:lineRule="auto"/>
        <w:rPr>
          <w:rFonts w:ascii="Arial Narrow" w:hAnsi="Arial Narrow" w:cs="Helvetica"/>
          <w:color w:val="000000" w:themeColor="text1"/>
          <w:sz w:val="24"/>
          <w:szCs w:val="24"/>
        </w:rPr>
      </w:pPr>
    </w:p>
    <w:p w14:paraId="0203BB74" w14:textId="419986AF" w:rsidR="000D7A00" w:rsidRPr="00CE2811" w:rsidRDefault="000D7A00" w:rsidP="000D7A00">
      <w:pPr>
        <w:pStyle w:val="ListParagraph"/>
        <w:numPr>
          <w:ilvl w:val="2"/>
          <w:numId w:val="46"/>
        </w:numPr>
        <w:spacing w:before="100" w:after="200" w:line="360" w:lineRule="auto"/>
        <w:rPr>
          <w:rFonts w:eastAsia="Times New Roman"/>
          <w:color w:val="000000"/>
          <w:spacing w:val="6"/>
          <w:sz w:val="24"/>
          <w:szCs w:val="24"/>
          <w:lang w:eastAsia="en-GB"/>
        </w:rPr>
      </w:pPr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The Registrar of Banks, Mr </w:t>
      </w:r>
      <w:proofErr w:type="spellStart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Kuben</w:t>
      </w:r>
      <w:proofErr w:type="spellEnd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 Naidoo provided an overview of VBS Mutual Bank. He went on to explain that the bank </w:t>
      </w:r>
      <w:proofErr w:type="gramStart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was established</w:t>
      </w:r>
      <w:proofErr w:type="gramEnd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 in 1982 (initially operated as Venda Building Society).VBS was granted a permanent Mutual Bank license on 11 October 2000. He said its product offering focused on savings, fixed and notice deposits, mortgage, short-term loans, investment </w:t>
      </w:r>
      <w:proofErr w:type="spellStart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loans</w:t>
      </w:r>
      <w:proofErr w:type="gramStart"/>
      <w:r w:rsidR="00E618AD"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,</w:t>
      </w:r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and</w:t>
      </w:r>
      <w:proofErr w:type="spellEnd"/>
      <w:proofErr w:type="gramEnd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 contract financing. The bank has clients in excess of 22 000 with over 1 100 loan accounts. In his presentation, he stated that their head office is in </w:t>
      </w:r>
      <w:proofErr w:type="spellStart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Makhado</w:t>
      </w:r>
      <w:proofErr w:type="spellEnd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 with a corporate office in </w:t>
      </w:r>
      <w:proofErr w:type="spellStart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Rivonia</w:t>
      </w:r>
      <w:proofErr w:type="spellEnd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- Johannesburg. </w:t>
      </w:r>
    </w:p>
    <w:p w14:paraId="643B0E5B" w14:textId="77777777" w:rsidR="000D7A00" w:rsidRPr="00CE2811" w:rsidRDefault="000D7A00" w:rsidP="000D7A00">
      <w:pPr>
        <w:pStyle w:val="ListParagraph"/>
        <w:numPr>
          <w:ilvl w:val="2"/>
          <w:numId w:val="46"/>
        </w:numPr>
        <w:spacing w:before="100" w:after="200" w:line="360" w:lineRule="auto"/>
        <w:rPr>
          <w:rFonts w:eastAsia="Times New Roman"/>
          <w:color w:val="000000"/>
          <w:spacing w:val="6"/>
          <w:sz w:val="24"/>
          <w:szCs w:val="24"/>
          <w:lang w:eastAsia="en-GB"/>
        </w:rPr>
      </w:pPr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Mr Naidoo in his presentation mentioned that its shareholders </w:t>
      </w:r>
      <w:proofErr w:type="gramStart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are:</w:t>
      </w:r>
      <w:proofErr w:type="gramEnd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 </w:t>
      </w:r>
      <w:proofErr w:type="spellStart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Vele</w:t>
      </w:r>
      <w:proofErr w:type="spellEnd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 Investments (58.85%), PIC (27.63%), </w:t>
      </w:r>
      <w:proofErr w:type="spellStart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Dyambeu</w:t>
      </w:r>
      <w:proofErr w:type="spellEnd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 (4.60%), General Public (8.93%), with 140 employees.  </w:t>
      </w:r>
    </w:p>
    <w:p w14:paraId="48A2A243" w14:textId="6A072B19" w:rsidR="000D7A00" w:rsidRPr="00CE2811" w:rsidRDefault="000D7A00" w:rsidP="000D7A00">
      <w:pPr>
        <w:pStyle w:val="ListParagraph"/>
        <w:numPr>
          <w:ilvl w:val="2"/>
          <w:numId w:val="46"/>
        </w:numPr>
        <w:spacing w:before="100" w:after="200" w:line="360" w:lineRule="auto"/>
        <w:rPr>
          <w:rFonts w:eastAsia="Times New Roman"/>
          <w:color w:val="000000"/>
          <w:spacing w:val="6"/>
          <w:sz w:val="24"/>
          <w:szCs w:val="24"/>
          <w:lang w:eastAsia="en-GB"/>
        </w:rPr>
      </w:pPr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Mr Naidoo also explained the processes and events leading to the curatorship of the mutual bank. He stated that VBS failed to settle on the South African Multiple Option Settlement system – </w:t>
      </w:r>
      <w:proofErr w:type="spellStart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BankservAfrica</w:t>
      </w:r>
      <w:proofErr w:type="spellEnd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. </w:t>
      </w:r>
      <w:proofErr w:type="spellStart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Furthemore</w:t>
      </w:r>
      <w:proofErr w:type="spellEnd"/>
      <w:r w:rsidR="00E618AD"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,</w:t>
      </w:r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 on the 22 February</w:t>
      </w:r>
      <w:r w:rsidR="00E618AD"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,</w:t>
      </w:r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 VBS was officially non-compliant with SARB requirements for minimum General and Non-Distributable Reserves and Liquid Asset Reserves to </w:t>
      </w:r>
      <w:proofErr w:type="gramStart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be held</w:t>
      </w:r>
      <w:proofErr w:type="gramEnd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 by the bank. While</w:t>
      </w:r>
      <w:r w:rsidR="00E618AD"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,</w:t>
      </w:r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 VBS submitted</w:t>
      </w:r>
      <w:r w:rsidR="00E618AD"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 a</w:t>
      </w:r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 Liquidity Recovery Action Plan it </w:t>
      </w:r>
      <w:proofErr w:type="gramStart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was deemed</w:t>
      </w:r>
      <w:proofErr w:type="gramEnd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 unsatisfactory to ensure correction of immediate liquidity shortage. </w:t>
      </w:r>
    </w:p>
    <w:p w14:paraId="2237AFB8" w14:textId="1939C9F1" w:rsidR="000D7A00" w:rsidRPr="00CE2811" w:rsidRDefault="000D7A00" w:rsidP="000D7A00">
      <w:pPr>
        <w:pStyle w:val="ListParagraph"/>
        <w:numPr>
          <w:ilvl w:val="2"/>
          <w:numId w:val="46"/>
        </w:numPr>
        <w:spacing w:before="100" w:after="200" w:line="360" w:lineRule="auto"/>
        <w:rPr>
          <w:rFonts w:eastAsia="Times New Roman"/>
          <w:color w:val="000000"/>
          <w:spacing w:val="6"/>
          <w:sz w:val="24"/>
          <w:szCs w:val="24"/>
          <w:lang w:eastAsia="en-GB"/>
        </w:rPr>
      </w:pPr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lastRenderedPageBreak/>
        <w:t xml:space="preserve">He said a decision </w:t>
      </w:r>
      <w:proofErr w:type="gramStart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was taken</w:t>
      </w:r>
      <w:proofErr w:type="gramEnd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 by SARB on the 11 March 2018, NT through the Minister of Finance to place VBS under curatorship. VBS </w:t>
      </w:r>
      <w:proofErr w:type="gramStart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was placed</w:t>
      </w:r>
      <w:proofErr w:type="gramEnd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 under curatorship. He stated </w:t>
      </w:r>
      <w:r w:rsidR="00E618AD"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indicated </w:t>
      </w:r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that Mr Anoosh </w:t>
      </w:r>
      <w:proofErr w:type="spellStart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Rooplal</w:t>
      </w:r>
      <w:proofErr w:type="spellEnd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 from S</w:t>
      </w:r>
      <w:proofErr w:type="spellStart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izweNtsalubaGobodo</w:t>
      </w:r>
      <w:proofErr w:type="spellEnd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 </w:t>
      </w:r>
      <w:proofErr w:type="gramStart"/>
      <w:r w:rsidR="00E618AD"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was named</w:t>
      </w:r>
      <w:proofErr w:type="gramEnd"/>
      <w:r w:rsidR="00E618AD"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 </w:t>
      </w:r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as the curator</w:t>
      </w:r>
      <w:r w:rsidR="00E618AD"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.</w:t>
      </w:r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  </w:t>
      </w:r>
      <w:r w:rsidR="00E618AD"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T</w:t>
      </w:r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he Board of Directors and executive management of the bank have been relieved of their powers and these </w:t>
      </w:r>
      <w:proofErr w:type="gramStart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are now vested</w:t>
      </w:r>
      <w:proofErr w:type="gramEnd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 in the curator.</w:t>
      </w:r>
    </w:p>
    <w:p w14:paraId="4D5CF558" w14:textId="77777777" w:rsidR="000D7A00" w:rsidRPr="000D1975" w:rsidRDefault="000D7A00" w:rsidP="000D7A00">
      <w:pPr>
        <w:pStyle w:val="ListParagraph"/>
        <w:spacing w:line="360" w:lineRule="auto"/>
        <w:ind w:left="1080"/>
        <w:rPr>
          <w:rFonts w:ascii="Arial Narrow" w:hAnsi="Arial Narrow" w:cs="Helvetica"/>
          <w:color w:val="000000" w:themeColor="text1"/>
          <w:sz w:val="24"/>
          <w:szCs w:val="24"/>
          <w:lang w:val="en-GB"/>
        </w:rPr>
      </w:pPr>
    </w:p>
    <w:p w14:paraId="023D0019" w14:textId="77777777" w:rsidR="000D7A00" w:rsidRPr="00CE2811" w:rsidRDefault="000D7A00" w:rsidP="000D7A00">
      <w:pPr>
        <w:pStyle w:val="ListParagraph"/>
        <w:numPr>
          <w:ilvl w:val="1"/>
          <w:numId w:val="46"/>
        </w:numPr>
        <w:spacing w:before="100" w:after="200" w:line="360" w:lineRule="auto"/>
        <w:rPr>
          <w:rFonts w:ascii="Arial Narrow" w:hAnsi="Arial Narrow" w:cs="Helvetica"/>
          <w:b/>
          <w:color w:val="000000" w:themeColor="text1"/>
          <w:sz w:val="24"/>
          <w:szCs w:val="24"/>
        </w:rPr>
      </w:pPr>
      <w:r w:rsidRPr="00CE2811">
        <w:rPr>
          <w:rFonts w:eastAsia="Times New Roman"/>
          <w:b/>
          <w:color w:val="000000"/>
          <w:spacing w:val="6"/>
          <w:sz w:val="24"/>
          <w:szCs w:val="24"/>
          <w:lang w:eastAsia="en-GB"/>
        </w:rPr>
        <w:t>Presentation by the NCR on VBS Mutual Bank</w:t>
      </w:r>
      <w:r w:rsidRPr="00CE2811">
        <w:rPr>
          <w:rStyle w:val="FootnoteReference"/>
          <w:rFonts w:ascii="Arial Narrow" w:hAnsi="Arial Narrow"/>
          <w:b/>
          <w:color w:val="000000" w:themeColor="text1"/>
          <w:sz w:val="24"/>
          <w:szCs w:val="24"/>
        </w:rPr>
        <w:footnoteReference w:id="2"/>
      </w:r>
    </w:p>
    <w:p w14:paraId="79396B5D" w14:textId="77777777" w:rsidR="000D7A00" w:rsidRPr="00CE2811" w:rsidRDefault="000D7A00" w:rsidP="00CE2811">
      <w:pPr>
        <w:pStyle w:val="ListParagraph"/>
        <w:numPr>
          <w:ilvl w:val="2"/>
          <w:numId w:val="46"/>
        </w:numPr>
        <w:spacing w:before="100" w:after="200" w:line="360" w:lineRule="auto"/>
        <w:rPr>
          <w:rFonts w:eastAsia="Times New Roman"/>
          <w:color w:val="000000"/>
          <w:spacing w:val="6"/>
          <w:sz w:val="24"/>
          <w:szCs w:val="24"/>
          <w:lang w:eastAsia="en-GB"/>
        </w:rPr>
      </w:pPr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The CEO of the NCR said that NCR employs four tools to monitor compliance with the National Credit Act, No. 34 of 2005:. These tools are complaints resolution; Compliance monitoring; Assurance engagement reports and Investigations and enforcement.</w:t>
      </w:r>
    </w:p>
    <w:p w14:paraId="2AD8B60A" w14:textId="4EF8143F" w:rsidR="000D7A00" w:rsidRPr="00CE2811" w:rsidRDefault="000D7A00" w:rsidP="00CE2811">
      <w:pPr>
        <w:pStyle w:val="ListParagraph"/>
        <w:numPr>
          <w:ilvl w:val="2"/>
          <w:numId w:val="46"/>
        </w:numPr>
        <w:spacing w:before="100" w:after="200" w:line="360" w:lineRule="auto"/>
        <w:rPr>
          <w:rFonts w:eastAsia="Times New Roman"/>
          <w:color w:val="000000"/>
          <w:spacing w:val="6"/>
          <w:sz w:val="24"/>
          <w:szCs w:val="24"/>
          <w:lang w:eastAsia="en-GB"/>
        </w:rPr>
      </w:pPr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It </w:t>
      </w:r>
      <w:proofErr w:type="gramStart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is stated</w:t>
      </w:r>
      <w:proofErr w:type="gramEnd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 in the NCR presentation that since VBS registered as </w:t>
      </w:r>
      <w:r w:rsidR="00E618AD"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a </w:t>
      </w:r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credit provider in 2007</w:t>
      </w:r>
      <w:r w:rsidR="00E618AD"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.</w:t>
      </w:r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 NCR </w:t>
      </w:r>
      <w:proofErr w:type="gramStart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is  not</w:t>
      </w:r>
      <w:proofErr w:type="gramEnd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 aware of any complaints received from consumers</w:t>
      </w:r>
      <w:r w:rsidR="00E618AD"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, nor were</w:t>
      </w:r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 issues of non-compliance identified through compliance monitoring</w:t>
      </w:r>
      <w:r w:rsidR="00E618AD"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.</w:t>
      </w:r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 </w:t>
      </w:r>
      <w:proofErr w:type="gramStart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No issues of non-compliance have been reported by the auditors and </w:t>
      </w:r>
      <w:r w:rsidR="00E618AD"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n</w:t>
      </w:r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o formal investigations</w:t>
      </w:r>
      <w:proofErr w:type="gramEnd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 or enforcement action have been taken against VBS.</w:t>
      </w:r>
    </w:p>
    <w:p w14:paraId="56CC73B9" w14:textId="2D06700F" w:rsidR="000D7A00" w:rsidRDefault="000D7A00" w:rsidP="000D7A00">
      <w:pPr>
        <w:spacing w:line="360" w:lineRule="auto"/>
        <w:ind w:left="360"/>
        <w:rPr>
          <w:rFonts w:ascii="Arial Narrow" w:hAnsi="Arial Narrow" w:cs="Helvetica"/>
          <w:color w:val="000000" w:themeColor="text1"/>
          <w:sz w:val="24"/>
          <w:szCs w:val="24"/>
          <w:lang w:val="en-GB"/>
        </w:rPr>
      </w:pPr>
      <w:r w:rsidRPr="000B327D">
        <w:rPr>
          <w:rFonts w:ascii="Arial Narrow" w:hAnsi="Arial Narrow" w:cs="Helvetica"/>
          <w:i/>
          <w:color w:val="000000" w:themeColor="text1"/>
          <w:sz w:val="24"/>
          <w:szCs w:val="24"/>
          <w:lang w:val="en-GB"/>
        </w:rPr>
        <w:t xml:space="preserve">Recommendation: </w:t>
      </w:r>
    </w:p>
    <w:p w14:paraId="7EE15913" w14:textId="77777777" w:rsidR="001B6B4F" w:rsidRPr="00CE2811" w:rsidRDefault="001B6B4F" w:rsidP="001B6B4F">
      <w:pPr>
        <w:spacing w:line="360" w:lineRule="auto"/>
        <w:ind w:left="360"/>
        <w:rPr>
          <w:rFonts w:eastAsia="Times New Roman"/>
          <w:i/>
          <w:color w:val="000000"/>
          <w:spacing w:val="6"/>
          <w:sz w:val="24"/>
          <w:szCs w:val="24"/>
          <w:lang w:eastAsia="en-GB"/>
        </w:rPr>
      </w:pPr>
      <w:r w:rsidRPr="00CE2811">
        <w:rPr>
          <w:rFonts w:eastAsia="Times New Roman"/>
          <w:i/>
          <w:color w:val="000000"/>
          <w:spacing w:val="6"/>
          <w:sz w:val="24"/>
          <w:szCs w:val="24"/>
          <w:lang w:eastAsia="en-GB"/>
        </w:rPr>
        <w:t xml:space="preserve">It would seem that there were no serious infractions on NCR issues at VBS Mutual as compared to the serious prudential regulatory issues raised by the South African Reserve Bank. </w:t>
      </w:r>
    </w:p>
    <w:p w14:paraId="0B5960C0" w14:textId="77777777" w:rsidR="001B6B4F" w:rsidRDefault="001B6B4F" w:rsidP="000D7A00">
      <w:pPr>
        <w:spacing w:line="360" w:lineRule="auto"/>
        <w:ind w:left="360"/>
        <w:rPr>
          <w:rFonts w:ascii="Arial Narrow" w:hAnsi="Arial Narrow" w:cs="Helvetica"/>
          <w:color w:val="000000" w:themeColor="text1"/>
          <w:sz w:val="24"/>
          <w:szCs w:val="24"/>
          <w:lang w:val="en-GB"/>
        </w:rPr>
      </w:pPr>
    </w:p>
    <w:p w14:paraId="7C807517" w14:textId="77777777" w:rsidR="000D7A00" w:rsidRPr="00CE2811" w:rsidRDefault="000D7A00" w:rsidP="000D7A00">
      <w:pPr>
        <w:spacing w:line="360" w:lineRule="auto"/>
        <w:ind w:left="360"/>
        <w:rPr>
          <w:rFonts w:eastAsia="Times New Roman"/>
          <w:color w:val="000000"/>
          <w:spacing w:val="6"/>
          <w:sz w:val="24"/>
          <w:szCs w:val="24"/>
          <w:lang w:eastAsia="en-GB"/>
        </w:rPr>
      </w:pPr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Below is a summary table on the issues raised by SARB and NCR in their respective presentation to the Committee</w:t>
      </w:r>
    </w:p>
    <w:p w14:paraId="67190158" w14:textId="77777777" w:rsidR="000D7A00" w:rsidRPr="000D1975" w:rsidRDefault="000D7A00" w:rsidP="000D7A00">
      <w:pPr>
        <w:spacing w:line="360" w:lineRule="auto"/>
        <w:ind w:left="360"/>
        <w:rPr>
          <w:rFonts w:ascii="Arial Narrow" w:hAnsi="Arial Narrow" w:cs="Helvetica"/>
          <w:color w:val="000000" w:themeColor="text1"/>
          <w:sz w:val="24"/>
          <w:szCs w:val="24"/>
          <w:lang w:val="en-GB"/>
        </w:rPr>
      </w:pPr>
      <w:r>
        <w:rPr>
          <w:rFonts w:ascii="Arial Narrow" w:hAnsi="Arial Narrow" w:cs="Helvetica"/>
          <w:color w:val="000000" w:themeColor="text1"/>
          <w:sz w:val="24"/>
          <w:szCs w:val="24"/>
          <w:lang w:val="en-GB"/>
        </w:rPr>
        <w:t xml:space="preserve">Table: </w:t>
      </w:r>
      <w:proofErr w:type="gramStart"/>
      <w:r>
        <w:rPr>
          <w:rFonts w:ascii="Arial Narrow" w:hAnsi="Arial Narrow" w:cs="Helvetica"/>
          <w:color w:val="000000" w:themeColor="text1"/>
          <w:sz w:val="24"/>
          <w:szCs w:val="24"/>
          <w:lang w:val="en-GB"/>
        </w:rPr>
        <w:t>1</w:t>
      </w:r>
      <w:proofErr w:type="gramEnd"/>
    </w:p>
    <w:tbl>
      <w:tblPr>
        <w:tblStyle w:val="TableGrid"/>
        <w:tblW w:w="8930" w:type="dxa"/>
        <w:tblInd w:w="421" w:type="dxa"/>
        <w:tblLook w:val="04A0" w:firstRow="1" w:lastRow="0" w:firstColumn="1" w:lastColumn="0" w:noHBand="0" w:noVBand="1"/>
      </w:tblPr>
      <w:tblGrid>
        <w:gridCol w:w="4961"/>
        <w:gridCol w:w="3969"/>
      </w:tblGrid>
      <w:tr w:rsidR="000D7A00" w14:paraId="17EEC498" w14:textId="77777777" w:rsidTr="00EF7272">
        <w:tc>
          <w:tcPr>
            <w:tcW w:w="4961" w:type="dxa"/>
          </w:tcPr>
          <w:p w14:paraId="45556EE6" w14:textId="77777777" w:rsidR="000D7A00" w:rsidRPr="00A359C2" w:rsidRDefault="000D7A00" w:rsidP="00EF7272">
            <w:pPr>
              <w:spacing w:before="100" w:after="200" w:line="360" w:lineRule="auto"/>
              <w:contextualSpacing/>
              <w:rPr>
                <w:rFonts w:ascii="Arial Narrow" w:hAnsi="Arial Narrow" w:cs="Helvetica"/>
                <w:b/>
                <w:color w:val="000000" w:themeColor="text1"/>
                <w:sz w:val="24"/>
                <w:szCs w:val="24"/>
              </w:rPr>
            </w:pPr>
            <w:r w:rsidRPr="00A359C2">
              <w:rPr>
                <w:rFonts w:ascii="Arial Narrow" w:hAnsi="Arial Narrow" w:cs="Helvetica"/>
                <w:b/>
                <w:color w:val="000000" w:themeColor="text1"/>
                <w:sz w:val="24"/>
                <w:szCs w:val="24"/>
              </w:rPr>
              <w:lastRenderedPageBreak/>
              <w:t>SARB Issues</w:t>
            </w:r>
            <w:r>
              <w:rPr>
                <w:rStyle w:val="FootnoteReference"/>
                <w:rFonts w:ascii="Arial Narrow" w:hAnsi="Arial Narrow" w:cs="Helvetica"/>
                <w:b/>
                <w:color w:val="000000" w:themeColor="text1"/>
                <w:szCs w:val="24"/>
              </w:rPr>
              <w:footnoteReference w:id="3"/>
            </w:r>
          </w:p>
        </w:tc>
        <w:tc>
          <w:tcPr>
            <w:tcW w:w="3969" w:type="dxa"/>
          </w:tcPr>
          <w:p w14:paraId="798C56E7" w14:textId="77777777" w:rsidR="000D7A00" w:rsidRPr="00A359C2" w:rsidRDefault="000D7A00" w:rsidP="00EF7272">
            <w:pPr>
              <w:spacing w:before="100" w:after="200" w:line="360" w:lineRule="auto"/>
              <w:contextualSpacing/>
              <w:rPr>
                <w:rFonts w:ascii="Arial Narrow" w:hAnsi="Arial Narrow" w:cs="Times New Roman"/>
                <w:b/>
                <w:color w:val="000000"/>
                <w:sz w:val="24"/>
                <w:szCs w:val="24"/>
              </w:rPr>
            </w:pPr>
            <w:r w:rsidRPr="00A359C2">
              <w:rPr>
                <w:rFonts w:ascii="Arial Narrow" w:hAnsi="Arial Narrow" w:cs="Helvetica"/>
                <w:b/>
                <w:color w:val="000000" w:themeColor="text1"/>
                <w:sz w:val="24"/>
                <w:szCs w:val="24"/>
              </w:rPr>
              <w:t>NCR tools used monitor compliance with the National Credit Act, No. 34 of 2005:</w:t>
            </w:r>
            <w:r>
              <w:rPr>
                <w:rStyle w:val="FootnoteReference"/>
                <w:rFonts w:ascii="Arial Narrow" w:hAnsi="Arial Narrow" w:cs="Helvetica"/>
                <w:b/>
                <w:color w:val="000000" w:themeColor="text1"/>
                <w:szCs w:val="24"/>
              </w:rPr>
              <w:footnoteReference w:id="4"/>
            </w:r>
          </w:p>
        </w:tc>
      </w:tr>
      <w:tr w:rsidR="000D7A00" w14:paraId="268D8B6A" w14:textId="77777777" w:rsidTr="00EF7272">
        <w:tc>
          <w:tcPr>
            <w:tcW w:w="4961" w:type="dxa"/>
          </w:tcPr>
          <w:p w14:paraId="3DF8CB9E" w14:textId="77777777" w:rsidR="000D7A00" w:rsidRPr="00C563C0" w:rsidRDefault="000D7A00" w:rsidP="00EF7272">
            <w:pPr>
              <w:spacing w:line="360" w:lineRule="auto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 w:rsidRPr="00C563C0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Inadequate and questionable governance and risk management practices.</w:t>
            </w:r>
          </w:p>
          <w:p w14:paraId="0CA8426B" w14:textId="77777777" w:rsidR="000D7A00" w:rsidRPr="00C563C0" w:rsidRDefault="000D7A00" w:rsidP="00EF7272">
            <w:pPr>
              <w:spacing w:line="360" w:lineRule="auto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 w:rsidRPr="00C563C0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A deficient compliance function and culture.</w:t>
            </w:r>
          </w:p>
          <w:p w14:paraId="2E08CA6E" w14:textId="77777777" w:rsidR="000D7A00" w:rsidRPr="00C563C0" w:rsidRDefault="000D7A00" w:rsidP="00EF7272">
            <w:pPr>
              <w:spacing w:line="360" w:lineRule="auto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 w:rsidRPr="00C563C0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Aggressive growth strategy in balance sheet amidst funding challenges.</w:t>
            </w:r>
          </w:p>
          <w:p w14:paraId="224AA359" w14:textId="77777777" w:rsidR="000D7A00" w:rsidRPr="00C563C0" w:rsidRDefault="000D7A00" w:rsidP="00EF7272">
            <w:pPr>
              <w:spacing w:line="360" w:lineRule="auto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 w:rsidRPr="00C563C0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Weak asset and liability management practices (high liquidity risk).</w:t>
            </w:r>
          </w:p>
          <w:p w14:paraId="24694874" w14:textId="77777777" w:rsidR="000D7A00" w:rsidRPr="00C563C0" w:rsidRDefault="000D7A00" w:rsidP="00EF7272">
            <w:pPr>
              <w:spacing w:line="360" w:lineRule="auto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 w:rsidRPr="00C563C0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Sectorial depositor concentration risk (Municipalities were 32 days, 3, 6 and 12 months maturations).</w:t>
            </w:r>
          </w:p>
          <w:p w14:paraId="760D49AD" w14:textId="77777777" w:rsidR="000D7A00" w:rsidRPr="00C563C0" w:rsidRDefault="000D7A00" w:rsidP="00EF7272">
            <w:pPr>
              <w:spacing w:line="360" w:lineRule="auto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 w:rsidRPr="00C563C0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Possible illegality of municipality deposits accepted by the bank and the legal developments in that regard.</w:t>
            </w:r>
          </w:p>
          <w:p w14:paraId="76D0733F" w14:textId="77777777" w:rsidR="000D7A00" w:rsidRPr="00C563C0" w:rsidRDefault="000D7A00" w:rsidP="00EF7272">
            <w:pPr>
              <w:spacing w:line="360" w:lineRule="auto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 w:rsidRPr="00C563C0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Volatility in financial performance as well as regular and significant losses caused by high operating expenses due to aggressive infrastructure expansion plans.</w:t>
            </w:r>
          </w:p>
          <w:p w14:paraId="35E22C67" w14:textId="77777777" w:rsidR="000D7A00" w:rsidRPr="00A359C2" w:rsidRDefault="000D7A00" w:rsidP="00EF7272">
            <w:pPr>
              <w:spacing w:line="360" w:lineRule="auto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 w:rsidRPr="00A359C2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The negative impact of these losses on capital.</w:t>
            </w:r>
          </w:p>
          <w:p w14:paraId="40CE3047" w14:textId="77777777" w:rsidR="000D7A00" w:rsidRPr="00A359C2" w:rsidRDefault="000D7A00" w:rsidP="00EF7272">
            <w:pPr>
              <w:spacing w:line="360" w:lineRule="auto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 w:rsidRPr="00A359C2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Venture into new products and services without commensurate investment in the enhancement of internal controls.</w:t>
            </w:r>
          </w:p>
          <w:p w14:paraId="411EEADC" w14:textId="77777777" w:rsidR="000D7A00" w:rsidRPr="00A359C2" w:rsidRDefault="000D7A00" w:rsidP="00EF7272">
            <w:pPr>
              <w:spacing w:line="360" w:lineRule="auto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 w:rsidRPr="00A359C2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Negative media coverage of the bank (reputational risk).</w:t>
            </w:r>
          </w:p>
          <w:p w14:paraId="5A24D64F" w14:textId="77777777" w:rsidR="000D7A00" w:rsidRPr="00C563C0" w:rsidRDefault="000D7A00" w:rsidP="00EF7272">
            <w:pPr>
              <w:spacing w:line="360" w:lineRule="auto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 w:rsidRPr="00C563C0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Lack of proactive communication with the regulator on significant deve</w:t>
            </w: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lopments and delayed responses </w:t>
            </w:r>
            <w:r w:rsidRPr="00C563C0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by management to crises.</w:t>
            </w:r>
          </w:p>
          <w:p w14:paraId="523E6D1D" w14:textId="77777777" w:rsidR="000D7A00" w:rsidRDefault="000D7A00" w:rsidP="00EF7272">
            <w:pPr>
              <w:pStyle w:val="ListParagraph"/>
              <w:spacing w:line="360" w:lineRule="auto"/>
              <w:ind w:left="0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 w:rsidRPr="00C563C0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Poor quality of regulatory reports and other information submitted to the regulator.</w:t>
            </w:r>
          </w:p>
        </w:tc>
        <w:tc>
          <w:tcPr>
            <w:tcW w:w="3969" w:type="dxa"/>
          </w:tcPr>
          <w:p w14:paraId="3FECD843" w14:textId="77777777" w:rsidR="000D7A00" w:rsidRPr="00A359C2" w:rsidRDefault="000D7A00" w:rsidP="00EF7272">
            <w:pPr>
              <w:spacing w:line="360" w:lineRule="auto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 w:rsidRPr="00A359C2">
              <w:rPr>
                <w:rFonts w:ascii="Arial Narrow" w:hAnsi="Arial Narrow" w:cs="Helvetica"/>
                <w:b/>
                <w:color w:val="000000" w:themeColor="text1"/>
                <w:sz w:val="24"/>
                <w:szCs w:val="24"/>
              </w:rPr>
              <w:t>Complaints Resolution:</w:t>
            </w:r>
            <w:r w:rsidRPr="00A359C2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Since registered as a credit provider in 2007, we are not aware of any complaints received from consumers;</w:t>
            </w:r>
          </w:p>
          <w:p w14:paraId="7C315D4D" w14:textId="77777777" w:rsidR="000D7A00" w:rsidRPr="00A359C2" w:rsidRDefault="000D7A00" w:rsidP="00EF7272">
            <w:pPr>
              <w:spacing w:line="360" w:lineRule="auto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 w:rsidRPr="00A359C2">
              <w:rPr>
                <w:rFonts w:ascii="Arial Narrow" w:hAnsi="Arial Narrow" w:cs="Helvetica"/>
                <w:b/>
                <w:color w:val="000000" w:themeColor="text1"/>
                <w:sz w:val="24"/>
                <w:szCs w:val="24"/>
              </w:rPr>
              <w:t>Compliance Monitoring:</w:t>
            </w:r>
            <w:r w:rsidRPr="00A359C2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No issues of non-compliance were identified through compliance monitoring;</w:t>
            </w:r>
          </w:p>
          <w:p w14:paraId="0CD54072" w14:textId="77777777" w:rsidR="000D7A00" w:rsidRDefault="000D7A00" w:rsidP="00EF7272">
            <w:pPr>
              <w:spacing w:line="360" w:lineRule="auto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 w:rsidRPr="00A359C2">
              <w:rPr>
                <w:rFonts w:ascii="Arial Narrow" w:hAnsi="Arial Narrow" w:cs="Helvetica"/>
                <w:b/>
                <w:color w:val="000000" w:themeColor="text1"/>
                <w:sz w:val="24"/>
                <w:szCs w:val="24"/>
              </w:rPr>
              <w:t>Assurance engagement reports:</w:t>
            </w:r>
            <w:r w:rsidRPr="00A359C2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359C2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No issues of non-compliance have been reported by the auditors</w:t>
            </w:r>
            <w:proofErr w:type="gramEnd"/>
            <w:r w:rsidRPr="00A359C2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.</w:t>
            </w:r>
          </w:p>
          <w:p w14:paraId="6C16176C" w14:textId="77777777" w:rsidR="000D7A00" w:rsidRDefault="000D7A00" w:rsidP="00EF7272">
            <w:pPr>
              <w:spacing w:line="360" w:lineRule="auto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 w:rsidRPr="00A359C2">
              <w:rPr>
                <w:rFonts w:ascii="Arial Narrow" w:hAnsi="Arial Narrow" w:cs="Helvetica"/>
                <w:b/>
                <w:color w:val="000000" w:themeColor="text1"/>
                <w:sz w:val="24"/>
                <w:szCs w:val="24"/>
              </w:rPr>
              <w:t>Investigations and enforcement:</w:t>
            </w:r>
            <w:r w:rsidRPr="00A359C2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No formal investigations or enforcement action have been taken against VBS.</w:t>
            </w:r>
          </w:p>
        </w:tc>
      </w:tr>
    </w:tbl>
    <w:p w14:paraId="1F2A1AAE" w14:textId="77777777" w:rsidR="000D7A00" w:rsidRDefault="000D7A00" w:rsidP="000D7A00">
      <w:pPr>
        <w:spacing w:line="360" w:lineRule="auto"/>
        <w:rPr>
          <w:rFonts w:ascii="Arial Narrow" w:hAnsi="Arial Narrow" w:cs="Helvetica"/>
          <w:color w:val="000000" w:themeColor="text1"/>
          <w:sz w:val="24"/>
          <w:szCs w:val="24"/>
        </w:rPr>
      </w:pPr>
    </w:p>
    <w:p w14:paraId="2D4E4F64" w14:textId="77777777" w:rsidR="000D7A00" w:rsidRPr="00CE2811" w:rsidRDefault="000D7A00" w:rsidP="000D7A00">
      <w:pPr>
        <w:spacing w:line="360" w:lineRule="auto"/>
        <w:rPr>
          <w:rFonts w:eastAsia="Times New Roman"/>
          <w:b/>
          <w:color w:val="000000"/>
          <w:spacing w:val="6"/>
          <w:sz w:val="24"/>
          <w:szCs w:val="24"/>
          <w:lang w:eastAsia="en-GB"/>
        </w:rPr>
      </w:pPr>
      <w:r w:rsidRPr="00CE2811">
        <w:rPr>
          <w:rFonts w:eastAsia="Times New Roman"/>
          <w:b/>
          <w:color w:val="000000"/>
          <w:spacing w:val="6"/>
          <w:sz w:val="24"/>
          <w:szCs w:val="24"/>
          <w:lang w:eastAsia="en-GB"/>
        </w:rPr>
        <w:lastRenderedPageBreak/>
        <w:t>Sources:</w:t>
      </w:r>
    </w:p>
    <w:p w14:paraId="3048826D" w14:textId="77777777" w:rsidR="000D7A00" w:rsidRPr="00CE2811" w:rsidRDefault="000D7A00" w:rsidP="000D7A00">
      <w:pPr>
        <w:spacing w:line="360" w:lineRule="auto"/>
        <w:rPr>
          <w:rFonts w:eastAsia="Times New Roman"/>
          <w:color w:val="000000"/>
          <w:spacing w:val="6"/>
          <w:sz w:val="24"/>
          <w:szCs w:val="24"/>
          <w:lang w:eastAsia="en-GB"/>
        </w:rPr>
      </w:pPr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National Credit Regulator (NCR), 2018 Briefing on VBS Mutual &amp; </w:t>
      </w:r>
      <w:proofErr w:type="spellStart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Capitec</w:t>
      </w:r>
      <w:proofErr w:type="spellEnd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 Bank Presentation to Parliament March 2018</w:t>
      </w:r>
    </w:p>
    <w:p w14:paraId="5C5E4F31" w14:textId="51404192" w:rsidR="000D7A00" w:rsidRPr="00CE2811" w:rsidRDefault="000D7A00" w:rsidP="00CE2811">
      <w:pPr>
        <w:spacing w:after="160" w:line="360" w:lineRule="auto"/>
        <w:rPr>
          <w:rFonts w:eastAsia="Times New Roman"/>
          <w:color w:val="000000"/>
          <w:spacing w:val="6"/>
          <w:sz w:val="24"/>
          <w:szCs w:val="24"/>
          <w:lang w:eastAsia="en-GB"/>
        </w:rPr>
      </w:pPr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South African Reserve Bank (2018) Briefing on VBS Mutual Bank &amp; </w:t>
      </w:r>
      <w:proofErr w:type="spellStart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>Capitec</w:t>
      </w:r>
      <w:proofErr w:type="spellEnd"/>
      <w:r w:rsidRPr="00CE2811">
        <w:rPr>
          <w:rFonts w:eastAsia="Times New Roman"/>
          <w:color w:val="000000"/>
          <w:spacing w:val="6"/>
          <w:sz w:val="24"/>
          <w:szCs w:val="24"/>
          <w:lang w:eastAsia="en-GB"/>
        </w:rPr>
        <w:t xml:space="preserve"> Bank 20 March 2018</w:t>
      </w:r>
    </w:p>
    <w:p w14:paraId="348C5E00" w14:textId="77777777" w:rsidR="000D7A00" w:rsidRDefault="000D7A00" w:rsidP="000D7A00">
      <w:pPr>
        <w:rPr>
          <w:rFonts w:eastAsia="Times New Roman"/>
          <w:color w:val="000000"/>
          <w:spacing w:val="6"/>
          <w:lang w:eastAsia="en-GB"/>
        </w:rPr>
      </w:pPr>
    </w:p>
    <w:sectPr w:rsidR="000D7A00" w:rsidSect="00103AD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02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EF991" w14:textId="77777777" w:rsidR="00E2580C" w:rsidRDefault="00E2580C" w:rsidP="00BE1544">
      <w:pPr>
        <w:spacing w:line="240" w:lineRule="auto"/>
      </w:pPr>
      <w:r>
        <w:separator/>
      </w:r>
    </w:p>
  </w:endnote>
  <w:endnote w:type="continuationSeparator" w:id="0">
    <w:p w14:paraId="40D59D47" w14:textId="77777777" w:rsidR="00E2580C" w:rsidRDefault="00E2580C" w:rsidP="00BE1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002478"/>
      <w:docPartObj>
        <w:docPartGallery w:val="Page Numbers (Bottom of Page)"/>
        <w:docPartUnique/>
      </w:docPartObj>
    </w:sdtPr>
    <w:sdtEndPr/>
    <w:sdtContent>
      <w:sdt>
        <w:sdtPr>
          <w:id w:val="-1381250211"/>
          <w:docPartObj>
            <w:docPartGallery w:val="Page Numbers (Top of Page)"/>
            <w:docPartUnique/>
          </w:docPartObj>
        </w:sdtPr>
        <w:sdtEndPr/>
        <w:sdtContent>
          <w:p w14:paraId="7B7A09D2" w14:textId="77777777" w:rsidR="0026349C" w:rsidRPr="00596222" w:rsidRDefault="0026349C" w:rsidP="00BE1544">
            <w:pPr>
              <w:pStyle w:val="Footer"/>
              <w:rPr>
                <w:rFonts w:cs="Arial"/>
                <w:b/>
                <w:sz w:val="16"/>
                <w:szCs w:val="16"/>
              </w:rPr>
            </w:pPr>
            <w:r w:rsidRPr="00BE1544">
              <w:rPr>
                <w:rFonts w:cs="Arial"/>
                <w:b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B473F0" wp14:editId="3BD06E71">
                      <wp:simplePos x="0" y="0"/>
                      <wp:positionH relativeFrom="margin">
                        <wp:posOffset>0</wp:posOffset>
                      </wp:positionH>
                      <wp:positionV relativeFrom="page">
                        <wp:posOffset>10039188</wp:posOffset>
                      </wp:positionV>
                      <wp:extent cx="5677786" cy="0"/>
                      <wp:effectExtent l="0" t="0" r="3746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77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10A00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790.5pt" to="447.05pt,7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" strokecolor="#70ad47 [3209]" strokeweight=".5pt">
                      <v:stroke joinstyle="miter"/>
                      <w10:wrap anchorx="margin" anchory="page"/>
                    </v:line>
                  </w:pict>
                </mc:Fallback>
              </mc:AlternateContent>
            </w:r>
            <w:r w:rsidR="00596222">
              <w:rPr>
                <w:rFonts w:cs="Arial"/>
                <w:b/>
                <w:sz w:val="16"/>
                <w:szCs w:val="16"/>
              </w:rPr>
              <w:t xml:space="preserve">Research Unit: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E4A80" w14:textId="77777777" w:rsidR="0026349C" w:rsidRPr="00BE1544" w:rsidRDefault="0026349C">
    <w:pPr>
      <w:pStyle w:val="Footer"/>
      <w:rPr>
        <w:rFonts w:cs="Arial"/>
        <w:sz w:val="16"/>
        <w:szCs w:val="16"/>
      </w:rPr>
    </w:pPr>
    <w:r>
      <w:rPr>
        <w:rFonts w:cs="Arial"/>
        <w:b/>
        <w:noProof/>
        <w:sz w:val="16"/>
        <w:szCs w:val="16"/>
        <w:lang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2CCA6A" wp14:editId="385DFB35">
              <wp:simplePos x="0" y="0"/>
              <wp:positionH relativeFrom="margin">
                <wp:posOffset>16510</wp:posOffset>
              </wp:positionH>
              <wp:positionV relativeFrom="page">
                <wp:posOffset>10032838</wp:posOffset>
              </wp:positionV>
              <wp:extent cx="5677786" cy="0"/>
              <wp:effectExtent l="0" t="0" r="3746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77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11A7CB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.3pt,790pt" to="448.35pt,7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" strokecolor="#70ad47 [3209]" strokeweight=".5pt">
              <v:stroke joinstyle="miter"/>
              <w10:wrap anchorx="margin" anchory="page"/>
            </v:line>
          </w:pict>
        </mc:Fallback>
      </mc:AlternateContent>
    </w:r>
    <w:r w:rsidRPr="00BE1544">
      <w:rPr>
        <w:rFonts w:cs="Arial"/>
        <w:b/>
        <w:sz w:val="16"/>
        <w:szCs w:val="16"/>
      </w:rPr>
      <w:t>Research Unit</w:t>
    </w:r>
    <w:r>
      <w:rPr>
        <w:rFonts w:cs="Arial"/>
        <w:b/>
        <w:sz w:val="16"/>
        <w:szCs w:val="16"/>
      </w:rPr>
      <w:t xml:space="preserve"> </w:t>
    </w:r>
    <w:r w:rsidRPr="00BE1544">
      <w:rPr>
        <w:rFonts w:cs="Arial"/>
        <w:b/>
        <w:sz w:val="16"/>
        <w:szCs w:val="16"/>
      </w:rPr>
      <w:t>|</w:t>
    </w:r>
    <w:r w:rsidRPr="00BE1544">
      <w:rPr>
        <w:rFonts w:cs="Arial"/>
        <w:sz w:val="16"/>
        <w:szCs w:val="16"/>
      </w:rPr>
      <w:t xml:space="preserve"> </w:t>
    </w:r>
    <w:r w:rsidR="00514919">
      <w:rPr>
        <w:rFonts w:cs="Arial"/>
        <w:sz w:val="16"/>
        <w:szCs w:val="16"/>
      </w:rPr>
      <w:tab/>
    </w:r>
    <w:r w:rsidR="00514919">
      <w:rPr>
        <w:rFonts w:cs="Arial"/>
        <w:sz w:val="16"/>
        <w:szCs w:val="16"/>
      </w:rPr>
      <w:tab/>
    </w:r>
    <w:r w:rsidRPr="00BE1544">
      <w:rPr>
        <w:rFonts w:cs="Arial"/>
        <w:sz w:val="16"/>
        <w:szCs w:val="16"/>
      </w:rPr>
      <w:t xml:space="preserve">Contact details: 021 403 </w:t>
    </w:r>
    <w:r>
      <w:rPr>
        <w:rFonts w:cs="Arial"/>
        <w:sz w:val="16"/>
        <w:szCs w:val="16"/>
      </w:rPr>
      <w:t>8017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C7B5D" w14:textId="77777777" w:rsidR="00E2580C" w:rsidRDefault="00E2580C" w:rsidP="00BE1544">
      <w:pPr>
        <w:spacing w:line="240" w:lineRule="auto"/>
      </w:pPr>
      <w:r>
        <w:separator/>
      </w:r>
    </w:p>
  </w:footnote>
  <w:footnote w:type="continuationSeparator" w:id="0">
    <w:p w14:paraId="75FD4ADA" w14:textId="77777777" w:rsidR="00E2580C" w:rsidRDefault="00E2580C" w:rsidP="00BE1544">
      <w:pPr>
        <w:spacing w:line="240" w:lineRule="auto"/>
      </w:pPr>
      <w:r>
        <w:continuationSeparator/>
      </w:r>
    </w:p>
  </w:footnote>
  <w:footnote w:id="1">
    <w:p w14:paraId="2910E098" w14:textId="77777777" w:rsidR="000D7A00" w:rsidRDefault="000D7A00" w:rsidP="000D7A00">
      <w:pPr>
        <w:pStyle w:val="FootnoteText"/>
      </w:pPr>
      <w:r>
        <w:rPr>
          <w:rStyle w:val="FootnoteReference"/>
        </w:rPr>
        <w:footnoteRef/>
      </w:r>
      <w:r>
        <w:t xml:space="preserve"> SARB presentation to SCOF on VBS  March 2018</w:t>
      </w:r>
    </w:p>
  </w:footnote>
  <w:footnote w:id="2">
    <w:p w14:paraId="0785003D" w14:textId="77777777" w:rsidR="000D7A00" w:rsidRDefault="000D7A00" w:rsidP="000D7A00">
      <w:pPr>
        <w:pStyle w:val="FootnoteText"/>
      </w:pPr>
      <w:r>
        <w:rPr>
          <w:rStyle w:val="FootnoteReference"/>
        </w:rPr>
        <w:footnoteRef/>
      </w:r>
      <w:r>
        <w:t xml:space="preserve"> NCR presentation to SCOF on VBS March 2018</w:t>
      </w:r>
    </w:p>
  </w:footnote>
  <w:footnote w:id="3">
    <w:p w14:paraId="1466CF8C" w14:textId="77777777" w:rsidR="000D7A00" w:rsidRDefault="000D7A00" w:rsidP="000D7A00">
      <w:pPr>
        <w:pStyle w:val="FootnoteText"/>
      </w:pPr>
      <w:r>
        <w:rPr>
          <w:rStyle w:val="FootnoteReference"/>
        </w:rPr>
        <w:footnoteRef/>
      </w:r>
      <w:r>
        <w:t xml:space="preserve"> SARB presentation to SCOF on VBS  March 2018</w:t>
      </w:r>
    </w:p>
    <w:p w14:paraId="4734E7DB" w14:textId="77777777" w:rsidR="000D7A00" w:rsidRDefault="000D7A00" w:rsidP="000D7A00">
      <w:pPr>
        <w:pStyle w:val="FootnoteText"/>
      </w:pPr>
    </w:p>
  </w:footnote>
  <w:footnote w:id="4">
    <w:p w14:paraId="53AF86A9" w14:textId="77777777" w:rsidR="000D7A00" w:rsidRDefault="000D7A00" w:rsidP="000D7A00">
      <w:pPr>
        <w:pStyle w:val="FootnoteText"/>
      </w:pPr>
      <w:r>
        <w:rPr>
          <w:rStyle w:val="FootnoteReference"/>
        </w:rPr>
        <w:footnoteRef/>
      </w:r>
      <w:r>
        <w:t xml:space="preserve"> NCR presentation to SCOF on VBS March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921B6" w14:textId="77777777" w:rsidR="0026349C" w:rsidRDefault="0026349C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9264" behindDoc="0" locked="0" layoutInCell="1" allowOverlap="1" wp14:anchorId="73BFFCE2" wp14:editId="27554E95">
          <wp:simplePos x="0" y="0"/>
          <wp:positionH relativeFrom="margin">
            <wp:posOffset>4931410</wp:posOffset>
          </wp:positionH>
          <wp:positionV relativeFrom="page">
            <wp:posOffset>344643</wp:posOffset>
          </wp:positionV>
          <wp:extent cx="800100" cy="824230"/>
          <wp:effectExtent l="0" t="0" r="0" b="0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547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F17DC" w14:textId="77777777" w:rsidR="0026349C" w:rsidRDefault="00596222">
    <w:pPr>
      <w:pStyle w:val="Header"/>
    </w:pPr>
    <w:r>
      <w:t>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8045A" w14:textId="77777777" w:rsidR="0026349C" w:rsidRDefault="0026349C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8240" behindDoc="0" locked="0" layoutInCell="1" allowOverlap="1" wp14:anchorId="4629BDFE" wp14:editId="4A6A840D">
          <wp:simplePos x="0" y="0"/>
          <wp:positionH relativeFrom="margin">
            <wp:posOffset>-82388</wp:posOffset>
          </wp:positionH>
          <wp:positionV relativeFrom="page">
            <wp:posOffset>411480</wp:posOffset>
          </wp:positionV>
          <wp:extent cx="2543810" cy="824230"/>
          <wp:effectExtent l="0" t="0" r="8890" b="0"/>
          <wp:wrapSquare wrapText="bothSides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81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60288" behindDoc="1" locked="0" layoutInCell="1" allowOverlap="1" wp14:anchorId="7358CB33" wp14:editId="3078539F">
          <wp:simplePos x="0" y="0"/>
          <wp:positionH relativeFrom="margin">
            <wp:posOffset>3557743</wp:posOffset>
          </wp:positionH>
          <wp:positionV relativeFrom="page">
            <wp:posOffset>560070</wp:posOffset>
          </wp:positionV>
          <wp:extent cx="2279650" cy="611505"/>
          <wp:effectExtent l="0" t="0" r="6350" b="0"/>
          <wp:wrapSquare wrapText="bothSides"/>
          <wp:docPr id="7" name="Picture 7" descr="RESEARCH-UNIT-RGB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-UNIT-RGB-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438"/>
    <w:multiLevelType w:val="multilevel"/>
    <w:tmpl w:val="BEEAB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B14AAB"/>
    <w:multiLevelType w:val="hybridMultilevel"/>
    <w:tmpl w:val="60C4A858"/>
    <w:lvl w:ilvl="0" w:tplc="3138B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866B2"/>
    <w:multiLevelType w:val="hybridMultilevel"/>
    <w:tmpl w:val="5E2E8B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43AD6"/>
    <w:multiLevelType w:val="hybridMultilevel"/>
    <w:tmpl w:val="2DFEC3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E0292"/>
    <w:multiLevelType w:val="hybridMultilevel"/>
    <w:tmpl w:val="94CE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D37CC"/>
    <w:multiLevelType w:val="hybridMultilevel"/>
    <w:tmpl w:val="BD26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F4482"/>
    <w:multiLevelType w:val="hybridMultilevel"/>
    <w:tmpl w:val="F30239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D06A2"/>
    <w:multiLevelType w:val="multilevel"/>
    <w:tmpl w:val="F35E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7D473E"/>
    <w:multiLevelType w:val="multilevel"/>
    <w:tmpl w:val="A71C524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7DD3863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F0135A"/>
    <w:multiLevelType w:val="hybridMultilevel"/>
    <w:tmpl w:val="D6DAF9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8368EA"/>
    <w:multiLevelType w:val="hybridMultilevel"/>
    <w:tmpl w:val="6E4E0A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64F75"/>
    <w:multiLevelType w:val="hybridMultilevel"/>
    <w:tmpl w:val="C00AB63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25265EC"/>
    <w:multiLevelType w:val="multilevel"/>
    <w:tmpl w:val="9DC41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47F5AEC"/>
    <w:multiLevelType w:val="hybridMultilevel"/>
    <w:tmpl w:val="05E2FC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41D4E"/>
    <w:multiLevelType w:val="hybridMultilevel"/>
    <w:tmpl w:val="BD585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8354D0"/>
    <w:multiLevelType w:val="hybridMultilevel"/>
    <w:tmpl w:val="AC5A67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92707A"/>
    <w:multiLevelType w:val="hybridMultilevel"/>
    <w:tmpl w:val="F25684D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93560"/>
    <w:multiLevelType w:val="hybridMultilevel"/>
    <w:tmpl w:val="53D0E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A3234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C350E07"/>
    <w:multiLevelType w:val="hybridMultilevel"/>
    <w:tmpl w:val="A0E6260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616860"/>
    <w:multiLevelType w:val="hybridMultilevel"/>
    <w:tmpl w:val="D0A83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721B8"/>
    <w:multiLevelType w:val="hybridMultilevel"/>
    <w:tmpl w:val="784A200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6245FF"/>
    <w:multiLevelType w:val="multilevel"/>
    <w:tmpl w:val="B55070A8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D7AB5"/>
    <w:multiLevelType w:val="hybridMultilevel"/>
    <w:tmpl w:val="A53C95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93F3B"/>
    <w:multiLevelType w:val="hybridMultilevel"/>
    <w:tmpl w:val="8F4E3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DD2570"/>
    <w:multiLevelType w:val="multilevel"/>
    <w:tmpl w:val="1C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7" w15:restartNumberingAfterBreak="0">
    <w:nsid w:val="551C5042"/>
    <w:multiLevelType w:val="hybridMultilevel"/>
    <w:tmpl w:val="77883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527453"/>
    <w:multiLevelType w:val="hybridMultilevel"/>
    <w:tmpl w:val="574C8770"/>
    <w:lvl w:ilvl="0" w:tplc="2B0A65B6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6624A"/>
    <w:multiLevelType w:val="hybridMultilevel"/>
    <w:tmpl w:val="AB988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F285F"/>
    <w:multiLevelType w:val="hybridMultilevel"/>
    <w:tmpl w:val="C8A04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02D3D"/>
    <w:multiLevelType w:val="hybridMultilevel"/>
    <w:tmpl w:val="CD1E9F9C"/>
    <w:lvl w:ilvl="0" w:tplc="C180F32C">
      <w:start w:val="1"/>
      <w:numFmt w:val="lowerRoman"/>
      <w:lvlText w:val="(%1)"/>
      <w:lvlJc w:val="left"/>
      <w:pPr>
        <w:ind w:left="90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61D97F37"/>
    <w:multiLevelType w:val="hybridMultilevel"/>
    <w:tmpl w:val="5EBE1C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A81F49"/>
    <w:multiLevelType w:val="hybridMultilevel"/>
    <w:tmpl w:val="CC32142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6712D9"/>
    <w:multiLevelType w:val="hybridMultilevel"/>
    <w:tmpl w:val="9096439A"/>
    <w:lvl w:ilvl="0" w:tplc="2B0A65B6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356E2"/>
    <w:multiLevelType w:val="hybridMultilevel"/>
    <w:tmpl w:val="AC9C47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01519"/>
    <w:multiLevelType w:val="multilevel"/>
    <w:tmpl w:val="1E5890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1A2413"/>
    <w:multiLevelType w:val="hybridMultilevel"/>
    <w:tmpl w:val="9FE48BA6"/>
    <w:lvl w:ilvl="0" w:tplc="7382BDE6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875FE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365D55"/>
    <w:multiLevelType w:val="hybridMultilevel"/>
    <w:tmpl w:val="9B9C20E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37F1C"/>
    <w:multiLevelType w:val="hybridMultilevel"/>
    <w:tmpl w:val="72663CB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E67FBE"/>
    <w:multiLevelType w:val="hybridMultilevel"/>
    <w:tmpl w:val="FDF09B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C521A"/>
    <w:multiLevelType w:val="hybridMultilevel"/>
    <w:tmpl w:val="CC72EB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814DA"/>
    <w:multiLevelType w:val="hybridMultilevel"/>
    <w:tmpl w:val="315030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47693"/>
    <w:multiLevelType w:val="hybridMultilevel"/>
    <w:tmpl w:val="5118690E"/>
    <w:lvl w:ilvl="0" w:tplc="2B0A65B6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D5A18"/>
    <w:multiLevelType w:val="hybridMultilevel"/>
    <w:tmpl w:val="1E40F7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26"/>
  </w:num>
  <w:num w:numId="4">
    <w:abstractNumId w:val="33"/>
  </w:num>
  <w:num w:numId="5">
    <w:abstractNumId w:val="22"/>
  </w:num>
  <w:num w:numId="6">
    <w:abstractNumId w:val="38"/>
  </w:num>
  <w:num w:numId="7">
    <w:abstractNumId w:val="23"/>
  </w:num>
  <w:num w:numId="8">
    <w:abstractNumId w:val="19"/>
  </w:num>
  <w:num w:numId="9">
    <w:abstractNumId w:val="2"/>
  </w:num>
  <w:num w:numId="10">
    <w:abstractNumId w:val="29"/>
  </w:num>
  <w:num w:numId="11">
    <w:abstractNumId w:val="14"/>
  </w:num>
  <w:num w:numId="12">
    <w:abstractNumId w:val="32"/>
  </w:num>
  <w:num w:numId="13">
    <w:abstractNumId w:val="45"/>
  </w:num>
  <w:num w:numId="14">
    <w:abstractNumId w:val="40"/>
  </w:num>
  <w:num w:numId="15">
    <w:abstractNumId w:val="9"/>
  </w:num>
  <w:num w:numId="16">
    <w:abstractNumId w:val="31"/>
  </w:num>
  <w:num w:numId="17">
    <w:abstractNumId w:val="37"/>
  </w:num>
  <w:num w:numId="18">
    <w:abstractNumId w:val="27"/>
  </w:num>
  <w:num w:numId="19">
    <w:abstractNumId w:val="28"/>
  </w:num>
  <w:num w:numId="20">
    <w:abstractNumId w:val="21"/>
  </w:num>
  <w:num w:numId="21">
    <w:abstractNumId w:val="34"/>
  </w:num>
  <w:num w:numId="22">
    <w:abstractNumId w:val="44"/>
  </w:num>
  <w:num w:numId="23">
    <w:abstractNumId w:val="20"/>
  </w:num>
  <w:num w:numId="24">
    <w:abstractNumId w:val="36"/>
  </w:num>
  <w:num w:numId="25">
    <w:abstractNumId w:val="12"/>
  </w:num>
  <w:num w:numId="26">
    <w:abstractNumId w:val="30"/>
  </w:num>
  <w:num w:numId="27">
    <w:abstractNumId w:val="3"/>
  </w:num>
  <w:num w:numId="28">
    <w:abstractNumId w:val="42"/>
  </w:num>
  <w:num w:numId="29">
    <w:abstractNumId w:val="35"/>
  </w:num>
  <w:num w:numId="30">
    <w:abstractNumId w:val="43"/>
  </w:num>
  <w:num w:numId="31">
    <w:abstractNumId w:val="6"/>
  </w:num>
  <w:num w:numId="32">
    <w:abstractNumId w:val="24"/>
  </w:num>
  <w:num w:numId="33">
    <w:abstractNumId w:val="11"/>
  </w:num>
  <w:num w:numId="34">
    <w:abstractNumId w:val="17"/>
  </w:num>
  <w:num w:numId="35">
    <w:abstractNumId w:val="1"/>
  </w:num>
  <w:num w:numId="36">
    <w:abstractNumId w:val="41"/>
  </w:num>
  <w:num w:numId="37">
    <w:abstractNumId w:val="8"/>
  </w:num>
  <w:num w:numId="38">
    <w:abstractNumId w:val="7"/>
  </w:num>
  <w:num w:numId="39">
    <w:abstractNumId w:val="16"/>
  </w:num>
  <w:num w:numId="40">
    <w:abstractNumId w:val="5"/>
  </w:num>
  <w:num w:numId="41">
    <w:abstractNumId w:val="4"/>
  </w:num>
  <w:num w:numId="42">
    <w:abstractNumId w:val="18"/>
  </w:num>
  <w:num w:numId="43">
    <w:abstractNumId w:val="10"/>
  </w:num>
  <w:num w:numId="44">
    <w:abstractNumId w:val="15"/>
  </w:num>
  <w:num w:numId="45">
    <w:abstractNumId w:val="25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0C"/>
    <w:rsid w:val="0001102D"/>
    <w:rsid w:val="00011DA1"/>
    <w:rsid w:val="00021A79"/>
    <w:rsid w:val="00034B99"/>
    <w:rsid w:val="00040042"/>
    <w:rsid w:val="0004431C"/>
    <w:rsid w:val="000446B0"/>
    <w:rsid w:val="0004494C"/>
    <w:rsid w:val="00052B47"/>
    <w:rsid w:val="00054A92"/>
    <w:rsid w:val="00055604"/>
    <w:rsid w:val="00061078"/>
    <w:rsid w:val="00061D29"/>
    <w:rsid w:val="00067A47"/>
    <w:rsid w:val="000A1AB7"/>
    <w:rsid w:val="000A3FCD"/>
    <w:rsid w:val="000A6A42"/>
    <w:rsid w:val="000B1817"/>
    <w:rsid w:val="000B329D"/>
    <w:rsid w:val="000B648B"/>
    <w:rsid w:val="000B6EC2"/>
    <w:rsid w:val="000C41C0"/>
    <w:rsid w:val="000C7CDA"/>
    <w:rsid w:val="000D10D7"/>
    <w:rsid w:val="000D5C4D"/>
    <w:rsid w:val="000D7A00"/>
    <w:rsid w:val="000D7C72"/>
    <w:rsid w:val="000E672B"/>
    <w:rsid w:val="000F0ECE"/>
    <w:rsid w:val="000F326F"/>
    <w:rsid w:val="00103894"/>
    <w:rsid w:val="00103ADF"/>
    <w:rsid w:val="00112D46"/>
    <w:rsid w:val="001352B4"/>
    <w:rsid w:val="001365E0"/>
    <w:rsid w:val="00142CEB"/>
    <w:rsid w:val="001454D2"/>
    <w:rsid w:val="00153B94"/>
    <w:rsid w:val="00171FDE"/>
    <w:rsid w:val="00177880"/>
    <w:rsid w:val="00184D13"/>
    <w:rsid w:val="00186280"/>
    <w:rsid w:val="00187098"/>
    <w:rsid w:val="00191AF0"/>
    <w:rsid w:val="001B6B4F"/>
    <w:rsid w:val="001B6D76"/>
    <w:rsid w:val="001F7BAD"/>
    <w:rsid w:val="00212E0E"/>
    <w:rsid w:val="00255330"/>
    <w:rsid w:val="00260B4F"/>
    <w:rsid w:val="0026349C"/>
    <w:rsid w:val="002732CD"/>
    <w:rsid w:val="00290A64"/>
    <w:rsid w:val="00296E6A"/>
    <w:rsid w:val="002A0835"/>
    <w:rsid w:val="002B006D"/>
    <w:rsid w:val="002B08CF"/>
    <w:rsid w:val="002B29AC"/>
    <w:rsid w:val="002B456A"/>
    <w:rsid w:val="002B6150"/>
    <w:rsid w:val="002B65B3"/>
    <w:rsid w:val="002C25D3"/>
    <w:rsid w:val="002D6EE7"/>
    <w:rsid w:val="002F1450"/>
    <w:rsid w:val="002F2187"/>
    <w:rsid w:val="0031278C"/>
    <w:rsid w:val="00337E58"/>
    <w:rsid w:val="0034606F"/>
    <w:rsid w:val="0035488C"/>
    <w:rsid w:val="003674A1"/>
    <w:rsid w:val="00377228"/>
    <w:rsid w:val="00377ACD"/>
    <w:rsid w:val="00383E4B"/>
    <w:rsid w:val="003939BE"/>
    <w:rsid w:val="003A6436"/>
    <w:rsid w:val="003B226A"/>
    <w:rsid w:val="003C0A40"/>
    <w:rsid w:val="003C27CD"/>
    <w:rsid w:val="003C3F5B"/>
    <w:rsid w:val="003F4E3F"/>
    <w:rsid w:val="003F7A76"/>
    <w:rsid w:val="00404E95"/>
    <w:rsid w:val="00425EA7"/>
    <w:rsid w:val="004333D9"/>
    <w:rsid w:val="00445296"/>
    <w:rsid w:val="00451CAC"/>
    <w:rsid w:val="00462C35"/>
    <w:rsid w:val="0047089E"/>
    <w:rsid w:val="00477082"/>
    <w:rsid w:val="004B2AC0"/>
    <w:rsid w:val="004C17E7"/>
    <w:rsid w:val="004E1AC6"/>
    <w:rsid w:val="004E2BA2"/>
    <w:rsid w:val="004F5C45"/>
    <w:rsid w:val="004F6E7C"/>
    <w:rsid w:val="005012F7"/>
    <w:rsid w:val="005028B1"/>
    <w:rsid w:val="00514919"/>
    <w:rsid w:val="00526849"/>
    <w:rsid w:val="00537071"/>
    <w:rsid w:val="0056542F"/>
    <w:rsid w:val="0056571B"/>
    <w:rsid w:val="00573D1D"/>
    <w:rsid w:val="00574827"/>
    <w:rsid w:val="00596222"/>
    <w:rsid w:val="005A00DE"/>
    <w:rsid w:val="005C4E9B"/>
    <w:rsid w:val="005C6109"/>
    <w:rsid w:val="005E068D"/>
    <w:rsid w:val="005E476C"/>
    <w:rsid w:val="005E544A"/>
    <w:rsid w:val="006163FE"/>
    <w:rsid w:val="00630D3E"/>
    <w:rsid w:val="00663F6C"/>
    <w:rsid w:val="00667D16"/>
    <w:rsid w:val="00684805"/>
    <w:rsid w:val="006C0E9C"/>
    <w:rsid w:val="006C4E48"/>
    <w:rsid w:val="006D044A"/>
    <w:rsid w:val="006E0F0E"/>
    <w:rsid w:val="006F31A3"/>
    <w:rsid w:val="006F5E2B"/>
    <w:rsid w:val="00702501"/>
    <w:rsid w:val="0070516B"/>
    <w:rsid w:val="00761CB7"/>
    <w:rsid w:val="00764580"/>
    <w:rsid w:val="007678EB"/>
    <w:rsid w:val="00784FB2"/>
    <w:rsid w:val="007A7F0B"/>
    <w:rsid w:val="007F1B8C"/>
    <w:rsid w:val="0080250B"/>
    <w:rsid w:val="00805998"/>
    <w:rsid w:val="00810ACC"/>
    <w:rsid w:val="008175AD"/>
    <w:rsid w:val="0082503B"/>
    <w:rsid w:val="00837FCF"/>
    <w:rsid w:val="00845F0C"/>
    <w:rsid w:val="00851BCD"/>
    <w:rsid w:val="0088044E"/>
    <w:rsid w:val="008817A9"/>
    <w:rsid w:val="00882C8E"/>
    <w:rsid w:val="00893EE9"/>
    <w:rsid w:val="00896E7D"/>
    <w:rsid w:val="008A1185"/>
    <w:rsid w:val="008A3394"/>
    <w:rsid w:val="008A51A4"/>
    <w:rsid w:val="008E0C71"/>
    <w:rsid w:val="008E7551"/>
    <w:rsid w:val="008F01AD"/>
    <w:rsid w:val="0091625A"/>
    <w:rsid w:val="00955B90"/>
    <w:rsid w:val="009600E5"/>
    <w:rsid w:val="00961360"/>
    <w:rsid w:val="00971DD5"/>
    <w:rsid w:val="00992D9A"/>
    <w:rsid w:val="0099420E"/>
    <w:rsid w:val="009A2690"/>
    <w:rsid w:val="009B2A77"/>
    <w:rsid w:val="009D2102"/>
    <w:rsid w:val="009E0C94"/>
    <w:rsid w:val="009E5DE3"/>
    <w:rsid w:val="009F39DD"/>
    <w:rsid w:val="00A02733"/>
    <w:rsid w:val="00A13FA5"/>
    <w:rsid w:val="00A43698"/>
    <w:rsid w:val="00A65351"/>
    <w:rsid w:val="00A730F8"/>
    <w:rsid w:val="00A82CA1"/>
    <w:rsid w:val="00A906F8"/>
    <w:rsid w:val="00AA0324"/>
    <w:rsid w:val="00AA2350"/>
    <w:rsid w:val="00AC465D"/>
    <w:rsid w:val="00AD0A4E"/>
    <w:rsid w:val="00AD5B5B"/>
    <w:rsid w:val="00AE60E1"/>
    <w:rsid w:val="00AE6B13"/>
    <w:rsid w:val="00AF1C89"/>
    <w:rsid w:val="00B17D6D"/>
    <w:rsid w:val="00B21D3A"/>
    <w:rsid w:val="00B22812"/>
    <w:rsid w:val="00B71B61"/>
    <w:rsid w:val="00B725AB"/>
    <w:rsid w:val="00B75CDB"/>
    <w:rsid w:val="00B9302E"/>
    <w:rsid w:val="00B95622"/>
    <w:rsid w:val="00BB6B4B"/>
    <w:rsid w:val="00BD4E0D"/>
    <w:rsid w:val="00BE1544"/>
    <w:rsid w:val="00BE65C0"/>
    <w:rsid w:val="00BF3AFB"/>
    <w:rsid w:val="00C035FC"/>
    <w:rsid w:val="00C300C4"/>
    <w:rsid w:val="00C35177"/>
    <w:rsid w:val="00C47800"/>
    <w:rsid w:val="00C533B8"/>
    <w:rsid w:val="00C61BA5"/>
    <w:rsid w:val="00C76ABD"/>
    <w:rsid w:val="00C80FCC"/>
    <w:rsid w:val="00CA47B0"/>
    <w:rsid w:val="00CA59EA"/>
    <w:rsid w:val="00CE26E6"/>
    <w:rsid w:val="00CE2811"/>
    <w:rsid w:val="00CF49BB"/>
    <w:rsid w:val="00D03EB2"/>
    <w:rsid w:val="00D12839"/>
    <w:rsid w:val="00D313A3"/>
    <w:rsid w:val="00D31A7F"/>
    <w:rsid w:val="00D323E9"/>
    <w:rsid w:val="00D352B0"/>
    <w:rsid w:val="00D621EC"/>
    <w:rsid w:val="00D7164D"/>
    <w:rsid w:val="00D95324"/>
    <w:rsid w:val="00DA70FE"/>
    <w:rsid w:val="00DA79E4"/>
    <w:rsid w:val="00DB162D"/>
    <w:rsid w:val="00DF6443"/>
    <w:rsid w:val="00E06676"/>
    <w:rsid w:val="00E079AD"/>
    <w:rsid w:val="00E158E4"/>
    <w:rsid w:val="00E2580C"/>
    <w:rsid w:val="00E2666D"/>
    <w:rsid w:val="00E2749A"/>
    <w:rsid w:val="00E462B0"/>
    <w:rsid w:val="00E60C1F"/>
    <w:rsid w:val="00E618AD"/>
    <w:rsid w:val="00E6785E"/>
    <w:rsid w:val="00E86D26"/>
    <w:rsid w:val="00EA5262"/>
    <w:rsid w:val="00EA796E"/>
    <w:rsid w:val="00EB5BBC"/>
    <w:rsid w:val="00EB6723"/>
    <w:rsid w:val="00EC191C"/>
    <w:rsid w:val="00EC1AF4"/>
    <w:rsid w:val="00EC4E94"/>
    <w:rsid w:val="00EC560A"/>
    <w:rsid w:val="00EC7532"/>
    <w:rsid w:val="00ED73EC"/>
    <w:rsid w:val="00EE2470"/>
    <w:rsid w:val="00EF36A1"/>
    <w:rsid w:val="00EF374D"/>
    <w:rsid w:val="00F07F50"/>
    <w:rsid w:val="00F14BC4"/>
    <w:rsid w:val="00F35173"/>
    <w:rsid w:val="00F521D3"/>
    <w:rsid w:val="00F54387"/>
    <w:rsid w:val="00F62866"/>
    <w:rsid w:val="00F734D9"/>
    <w:rsid w:val="00FA58D6"/>
    <w:rsid w:val="00FC1378"/>
    <w:rsid w:val="00FC1414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EFB626"/>
  <w15:chartTrackingRefBased/>
  <w15:docId w15:val="{47381D9A-C9A9-4188-96DF-71ED5007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604"/>
    <w:pPr>
      <w:spacing w:after="0" w:line="280" w:lineRule="exact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5028B1"/>
    <w:pPr>
      <w:keepNext/>
      <w:keepLines/>
      <w:spacing w:before="240"/>
      <w:outlineLvl w:val="0"/>
    </w:pPr>
    <w:rPr>
      <w:rFonts w:eastAsiaTheme="majorEastAsia" w:cstheme="majorBidi"/>
      <w:b/>
      <w:caps/>
      <w:color w:val="538135" w:themeColor="accent6" w:themeShade="BF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028B1"/>
    <w:pPr>
      <w:keepNext/>
      <w:keepLines/>
      <w:spacing w:before="40"/>
      <w:jc w:val="left"/>
      <w:outlineLvl w:val="1"/>
    </w:pPr>
    <w:rPr>
      <w:rFonts w:eastAsiaTheme="majorEastAsia" w:cstheme="majorBidi"/>
      <w:b/>
      <w:color w:val="538135" w:themeColor="accent6" w:themeShade="BF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52B47"/>
    <w:pPr>
      <w:keepNext/>
      <w:keepLines/>
      <w:outlineLvl w:val="2"/>
    </w:pPr>
    <w:rPr>
      <w:rFonts w:eastAsiaTheme="majorEastAsia" w:cstheme="majorBidi"/>
      <w:b/>
      <w:i/>
      <w:color w:val="538135" w:themeColor="accent6" w:themeShade="B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E0C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9E0C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9E0C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9E0C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9E0C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9E0C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54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544"/>
  </w:style>
  <w:style w:type="paragraph" w:styleId="Footer">
    <w:name w:val="footer"/>
    <w:basedOn w:val="Normal"/>
    <w:link w:val="FooterChar"/>
    <w:uiPriority w:val="99"/>
    <w:unhideWhenUsed/>
    <w:rsid w:val="00BE154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544"/>
  </w:style>
  <w:style w:type="paragraph" w:customStyle="1" w:styleId="ResearchTitle">
    <w:name w:val="Research Title"/>
    <w:basedOn w:val="Normal"/>
    <w:link w:val="ResearchTitleChar"/>
    <w:rsid w:val="008A1185"/>
    <w:rPr>
      <w:b/>
      <w:caps/>
      <w:color w:val="538135" w:themeColor="accent6" w:themeShade="BF"/>
      <w:sz w:val="24"/>
    </w:rPr>
  </w:style>
  <w:style w:type="paragraph" w:customStyle="1" w:styleId="ReseachMainHeading">
    <w:name w:val="Reseach Main Heading"/>
    <w:basedOn w:val="ResearchTitle"/>
    <w:link w:val="ReseachMainHeadingChar"/>
    <w:rsid w:val="005E068D"/>
    <w:rPr>
      <w:sz w:val="22"/>
    </w:rPr>
  </w:style>
  <w:style w:type="character" w:customStyle="1" w:styleId="ResearchTitleChar">
    <w:name w:val="Research Title Char"/>
    <w:basedOn w:val="DefaultParagraphFont"/>
    <w:link w:val="ResearchTitle"/>
    <w:rsid w:val="008A1185"/>
    <w:rPr>
      <w:rFonts w:ascii="Arial" w:hAnsi="Arial"/>
      <w:b/>
      <w:caps/>
      <w:color w:val="538135" w:themeColor="accent6" w:themeShade="BF"/>
      <w:sz w:val="24"/>
    </w:rPr>
  </w:style>
  <w:style w:type="paragraph" w:customStyle="1" w:styleId="ResearchSubheading">
    <w:name w:val="Research Sub heading"/>
    <w:basedOn w:val="ReseachMainHeading"/>
    <w:link w:val="ResearchSubheadingChar"/>
    <w:rsid w:val="005E068D"/>
    <w:rPr>
      <w:b w:val="0"/>
      <w:caps w:val="0"/>
    </w:rPr>
  </w:style>
  <w:style w:type="character" w:customStyle="1" w:styleId="ReseachMainHeadingChar">
    <w:name w:val="Reseach Main Heading Char"/>
    <w:basedOn w:val="ResearchTitleChar"/>
    <w:link w:val="ReseachMainHeading"/>
    <w:rsid w:val="005E068D"/>
    <w:rPr>
      <w:rFonts w:ascii="Arial" w:hAnsi="Arial"/>
      <w:b/>
      <w:caps/>
      <w:color w:val="538135" w:themeColor="accent6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28B1"/>
    <w:rPr>
      <w:rFonts w:ascii="Arial" w:eastAsiaTheme="majorEastAsia" w:hAnsi="Arial" w:cstheme="majorBidi"/>
      <w:b/>
      <w:caps/>
      <w:color w:val="538135" w:themeColor="accent6" w:themeShade="BF"/>
      <w:szCs w:val="32"/>
    </w:rPr>
  </w:style>
  <w:style w:type="character" w:customStyle="1" w:styleId="ResearchSubheadingChar">
    <w:name w:val="Research Sub heading Char"/>
    <w:basedOn w:val="ReseachMainHeadingChar"/>
    <w:link w:val="ResearchSubheading"/>
    <w:rsid w:val="005E068D"/>
    <w:rPr>
      <w:rFonts w:ascii="Arial" w:hAnsi="Arial"/>
      <w:b w:val="0"/>
      <w:caps w:val="0"/>
      <w:color w:val="538135" w:themeColor="accent6" w:themeShade="BF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52B47"/>
    <w:pPr>
      <w:outlineLvl w:val="9"/>
    </w:pPr>
    <w:rPr>
      <w:caps w:val="0"/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52B47"/>
    <w:pPr>
      <w:spacing w:after="100"/>
    </w:pPr>
    <w:rPr>
      <w:b/>
      <w:caps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5E06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6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28B1"/>
    <w:rPr>
      <w:rFonts w:ascii="Arial" w:eastAsiaTheme="majorEastAsia" w:hAnsi="Arial" w:cstheme="majorBidi"/>
      <w:b/>
      <w:color w:val="538135" w:themeColor="accent6" w:themeShade="BF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1278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E0C94"/>
    <w:pPr>
      <w:spacing w:after="100" w:line="240" w:lineRule="exact"/>
      <w:ind w:left="442"/>
    </w:pPr>
    <w:rPr>
      <w:rFonts w:eastAsiaTheme="minorEastAsia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93EE9"/>
    <w:pPr>
      <w:spacing w:line="240" w:lineRule="auto"/>
      <w:contextualSpacing/>
    </w:pPr>
    <w:rPr>
      <w:rFonts w:eastAsiaTheme="majorEastAsia" w:cstheme="majorBidi"/>
      <w:b/>
      <w:caps/>
      <w:color w:val="538135" w:themeColor="accent6" w:themeShade="BF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3EE9"/>
    <w:rPr>
      <w:rFonts w:ascii="Arial" w:eastAsiaTheme="majorEastAsia" w:hAnsi="Arial" w:cstheme="majorBidi"/>
      <w:b/>
      <w:caps/>
      <w:color w:val="538135" w:themeColor="accent6" w:themeShade="BF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893E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3EE9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rsid w:val="00052B47"/>
    <w:rPr>
      <w:rFonts w:ascii="Arial" w:eastAsiaTheme="majorEastAsia" w:hAnsi="Arial" w:cstheme="majorBidi"/>
      <w:b/>
      <w:i/>
      <w:color w:val="538135" w:themeColor="accent6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0C9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0C9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0C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0C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0C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0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9E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B9302E"/>
    <w:pPr>
      <w:numPr>
        <w:numId w:val="7"/>
      </w:numPr>
    </w:pPr>
  </w:style>
  <w:style w:type="paragraph" w:styleId="CommentText">
    <w:name w:val="annotation text"/>
    <w:basedOn w:val="Normal"/>
    <w:link w:val="CommentTextChar"/>
    <w:uiPriority w:val="99"/>
    <w:semiHidden/>
    <w:rsid w:val="00052B47"/>
    <w:pPr>
      <w:jc w:val="left"/>
    </w:pPr>
    <w:rPr>
      <w:rFonts w:eastAsia="Times New Roman" w:cs="Times New Roman"/>
      <w:color w:val="000000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B47"/>
    <w:rPr>
      <w:rFonts w:ascii="Arial" w:eastAsia="Times New Roman" w:hAnsi="Arial" w:cs="Times New Roman"/>
      <w:color w:val="000000"/>
      <w:sz w:val="20"/>
      <w:szCs w:val="20"/>
      <w:lang w:val="en-GB" w:eastAsia="en-GB"/>
    </w:rPr>
  </w:style>
  <w:style w:type="paragraph" w:customStyle="1" w:styleId="Default">
    <w:name w:val="Default"/>
    <w:rsid w:val="006848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9">
    <w:name w:val="Pa9"/>
    <w:basedOn w:val="Default"/>
    <w:next w:val="Default"/>
    <w:uiPriority w:val="99"/>
    <w:rsid w:val="00684805"/>
    <w:pPr>
      <w:spacing w:line="22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684805"/>
    <w:pPr>
      <w:spacing w:line="221" w:lineRule="atLeast"/>
    </w:pPr>
    <w:rPr>
      <w:color w:val="auto"/>
    </w:rPr>
  </w:style>
  <w:style w:type="character" w:customStyle="1" w:styleId="A12">
    <w:name w:val="A12"/>
    <w:uiPriority w:val="99"/>
    <w:rsid w:val="00684805"/>
    <w:rPr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A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112D46"/>
    <w:pPr>
      <w:spacing w:line="240" w:lineRule="auto"/>
      <w:jc w:val="left"/>
    </w:pPr>
    <w:rPr>
      <w:rFonts w:eastAsia="Times New Roman" w:cs="Arial"/>
      <w:b/>
      <w:bCs/>
      <w:sz w:val="20"/>
      <w:szCs w:val="20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rsid w:val="00112D46"/>
    <w:rPr>
      <w:rFonts w:ascii="Arial" w:eastAsia="Times New Roman" w:hAnsi="Arial" w:cs="Arial"/>
      <w:b/>
      <w:bCs/>
      <w:sz w:val="20"/>
      <w:szCs w:val="20"/>
      <w:u w:val="single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C1378"/>
  </w:style>
  <w:style w:type="paragraph" w:styleId="FootnoteText">
    <w:name w:val="footnote text"/>
    <w:basedOn w:val="Normal"/>
    <w:link w:val="FootnoteTextChar"/>
    <w:uiPriority w:val="99"/>
    <w:semiHidden/>
    <w:unhideWhenUsed/>
    <w:rsid w:val="00FC1378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1378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FC1378"/>
    <w:rPr>
      <w:vertAlign w:val="superscript"/>
    </w:rPr>
  </w:style>
  <w:style w:type="paragraph" w:customStyle="1" w:styleId="Pa1">
    <w:name w:val="Pa1"/>
    <w:basedOn w:val="Normal"/>
    <w:next w:val="Normal"/>
    <w:uiPriority w:val="99"/>
    <w:rsid w:val="00FC1378"/>
    <w:pPr>
      <w:autoSpaceDE w:val="0"/>
      <w:autoSpaceDN w:val="0"/>
      <w:adjustRightInd w:val="0"/>
      <w:spacing w:line="201" w:lineRule="atLeast"/>
      <w:jc w:val="left"/>
    </w:pPr>
    <w:rPr>
      <w:rFonts w:ascii="Dax" w:eastAsia="Calibri" w:hAnsi="Dax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C13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378"/>
    <w:pPr>
      <w:spacing w:after="160" w:line="240" w:lineRule="auto"/>
      <w:jc w:val="both"/>
    </w:pPr>
    <w:rPr>
      <w:rFonts w:eastAsiaTheme="minorHAnsi" w:cstheme="minorBidi"/>
      <w:b/>
      <w:bCs/>
      <w:color w:val="auto"/>
      <w:lang w:val="en-Z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378"/>
    <w:rPr>
      <w:rFonts w:ascii="Arial" w:eastAsia="Times New Roman" w:hAnsi="Arial" w:cs="Times New Roman"/>
      <w:b/>
      <w:bCs/>
      <w:color w:val="000000"/>
      <w:sz w:val="20"/>
      <w:szCs w:val="20"/>
      <w:lang w:val="en-GB" w:eastAsia="en-GB"/>
    </w:rPr>
  </w:style>
  <w:style w:type="paragraph" w:customStyle="1" w:styleId="FirstPara">
    <w:name w:val="First Para"/>
    <w:basedOn w:val="Normal"/>
    <w:next w:val="MainPara"/>
    <w:link w:val="FirstParaChar"/>
    <w:rsid w:val="00596222"/>
    <w:pPr>
      <w:spacing w:before="240" w:line="36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MainPara">
    <w:name w:val="Main Para"/>
    <w:basedOn w:val="Normal"/>
    <w:rsid w:val="00596222"/>
    <w:pPr>
      <w:spacing w:before="240" w:line="360" w:lineRule="exact"/>
      <w:ind w:left="20" w:firstLine="3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irstParaChar">
    <w:name w:val="First Para Char"/>
    <w:link w:val="FirstPara"/>
    <w:rsid w:val="0059622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3">
    <w:name w:val="A3"/>
    <w:uiPriority w:val="99"/>
    <w:rsid w:val="000B6EC2"/>
    <w:rPr>
      <w:rFonts w:cs="Myriad Pro Light"/>
      <w:color w:val="00000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491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4919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14919"/>
    <w:rPr>
      <w:vertAlign w:val="superscript"/>
    </w:rPr>
  </w:style>
  <w:style w:type="paragraph" w:customStyle="1" w:styleId="Pa10">
    <w:name w:val="Pa10"/>
    <w:basedOn w:val="Default"/>
    <w:next w:val="Default"/>
    <w:uiPriority w:val="99"/>
    <w:rsid w:val="00337E58"/>
    <w:pPr>
      <w:spacing w:line="181" w:lineRule="atLeast"/>
    </w:pPr>
    <w:rPr>
      <w:rFonts w:ascii="Myriad Pro Light" w:hAnsi="Myriad Pro Light" w:cstheme="minorBidi"/>
      <w:color w:val="auto"/>
    </w:rPr>
  </w:style>
  <w:style w:type="paragraph" w:styleId="Revision">
    <w:name w:val="Revision"/>
    <w:hidden/>
    <w:uiPriority w:val="99"/>
    <w:semiHidden/>
    <w:rsid w:val="00DA79E4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amela\Desktop\Desktop%20documents\Budget%20Analysis%202016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10C2-A877-47B8-95DC-FE006954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Budget Analysis 2016 template.dotx</Template>
  <TotalTime>0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Manamela</dc:creator>
  <cp:keywords/>
  <dc:description/>
  <cp:lastModifiedBy>Antonia Manamela</cp:lastModifiedBy>
  <cp:revision>2</cp:revision>
  <cp:lastPrinted>2016-02-19T12:31:00Z</cp:lastPrinted>
  <dcterms:created xsi:type="dcterms:W3CDTF">2018-05-29T14:10:00Z</dcterms:created>
  <dcterms:modified xsi:type="dcterms:W3CDTF">2018-05-29T14:10:00Z</dcterms:modified>
</cp:coreProperties>
</file>