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FA" w:rsidRDefault="00A96EFA">
      <w:pPr>
        <w:ind w:left="-540"/>
        <w:rPr>
          <w:color w:val="000000"/>
          <w:sz w:val="22"/>
        </w:rPr>
      </w:pPr>
      <w:bookmarkStart w:id="0" w:name="_GoBack"/>
      <w:bookmarkEnd w:id="0"/>
    </w:p>
    <w:p w:rsidR="00FA7ED8" w:rsidRDefault="00FA7ED8" w:rsidP="00CB7B00">
      <w:pPr>
        <w:rPr>
          <w:sz w:val="20"/>
          <w:szCs w:val="20"/>
        </w:rPr>
      </w:pPr>
    </w:p>
    <w:p w:rsidR="00FA7ED8" w:rsidRDefault="00FA7ED8"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Pr="003C0569" w:rsidRDefault="002E5191" w:rsidP="002E5191">
      <w:pPr>
        <w:rPr>
          <w:lang w:val="en-ZA"/>
        </w:rPr>
      </w:pPr>
      <w:r w:rsidRPr="003C0569">
        <w:rPr>
          <w:noProof/>
          <w:lang w:val="en-ZA" w:eastAsia="en-ZA"/>
        </w:rPr>
        <w:drawing>
          <wp:anchor distT="0" distB="0" distL="0" distR="0" simplePos="0" relativeHeight="251659776" behindDoc="0" locked="0" layoutInCell="1" allowOverlap="0">
            <wp:simplePos x="0" y="0"/>
            <wp:positionH relativeFrom="column">
              <wp:posOffset>1962150</wp:posOffset>
            </wp:positionH>
            <wp:positionV relativeFrom="line">
              <wp:posOffset>-830580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5"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5245" cy="1066800"/>
                    </a:xfrm>
                    <a:prstGeom prst="rect">
                      <a:avLst/>
                    </a:prstGeom>
                    <a:noFill/>
                  </pic:spPr>
                </pic:pic>
              </a:graphicData>
            </a:graphic>
          </wp:anchor>
        </w:drawing>
      </w:r>
    </w:p>
    <w:p w:rsidR="002E5191" w:rsidRPr="003C0569" w:rsidRDefault="002E5191" w:rsidP="002E5191">
      <w:pPr>
        <w:widowControl w:val="0"/>
        <w:autoSpaceDE w:val="0"/>
        <w:autoSpaceDN w:val="0"/>
        <w:adjustRightInd w:val="0"/>
        <w:spacing w:line="155" w:lineRule="exact"/>
        <w:ind w:right="727"/>
        <w:jc w:val="center"/>
        <w:outlineLvl w:val="0"/>
        <w:rPr>
          <w:rFonts w:ascii="Arial" w:hAnsi="Arial" w:cs="Arial"/>
          <w:b/>
          <w:bCs/>
          <w:color w:val="000000"/>
          <w:sz w:val="15"/>
          <w:szCs w:val="20"/>
        </w:rPr>
      </w:pPr>
    </w:p>
    <w:p w:rsidR="002E5191" w:rsidRPr="003C0569" w:rsidRDefault="002E5191" w:rsidP="002E5191">
      <w:pPr>
        <w:rPr>
          <w:b/>
          <w:color w:val="4F6228"/>
          <w:sz w:val="16"/>
          <w:szCs w:val="16"/>
          <w:lang w:val="en-ZA"/>
        </w:rPr>
      </w:pPr>
    </w:p>
    <w:p w:rsidR="002E5191" w:rsidRPr="003C0569" w:rsidRDefault="002E5191" w:rsidP="002E5191">
      <w:pPr>
        <w:jc w:val="center"/>
        <w:rPr>
          <w:rFonts w:ascii="Arial" w:hAnsi="Arial" w:cs="Arial"/>
          <w:b/>
          <w:lang w:val="en-ZA"/>
        </w:rPr>
      </w:pPr>
      <w:r w:rsidRPr="003C0569">
        <w:rPr>
          <w:rFonts w:ascii="Arial" w:hAnsi="Arial" w:cs="Arial"/>
          <w:b/>
          <w:lang w:val="en-ZA"/>
        </w:rPr>
        <w:t>DEPARTMENT: PUBLIC ENTERPRISES</w:t>
      </w:r>
    </w:p>
    <w:p w:rsidR="002E5191" w:rsidRPr="003C0569" w:rsidRDefault="002E5191" w:rsidP="002E5191">
      <w:pPr>
        <w:jc w:val="center"/>
        <w:rPr>
          <w:rFonts w:ascii="Arial" w:hAnsi="Arial" w:cs="Arial"/>
          <w:b/>
          <w:lang w:val="en-ZA"/>
        </w:rPr>
      </w:pPr>
      <w:smartTag w:uri="urn:schemas-microsoft-com:office:smarttags" w:element="place">
        <w:smartTag w:uri="urn:schemas-microsoft-com:office:smarttags" w:element="PlaceType">
          <w:r w:rsidRPr="003C0569">
            <w:rPr>
              <w:rFonts w:ascii="Arial" w:hAnsi="Arial" w:cs="Arial"/>
              <w:b/>
              <w:lang w:val="en-ZA"/>
            </w:rPr>
            <w:t>REPUBLIC</w:t>
          </w:r>
        </w:smartTag>
        <w:r w:rsidRPr="003C0569">
          <w:rPr>
            <w:rFonts w:ascii="Arial" w:hAnsi="Arial" w:cs="Arial"/>
            <w:b/>
            <w:lang w:val="en-ZA"/>
          </w:rPr>
          <w:t xml:space="preserve"> OF </w:t>
        </w:r>
        <w:smartTag w:uri="urn:schemas-microsoft-com:office:smarttags" w:element="PlaceName">
          <w:r w:rsidRPr="003C0569">
            <w:rPr>
              <w:rFonts w:ascii="Arial" w:hAnsi="Arial" w:cs="Arial"/>
              <w:b/>
              <w:lang w:val="en-ZA"/>
            </w:rPr>
            <w:t>SOUTH AFRICA</w:t>
          </w:r>
        </w:smartTag>
      </w:smartTag>
    </w:p>
    <w:p w:rsidR="002E5191" w:rsidRPr="003C0569" w:rsidRDefault="002E5191" w:rsidP="002E5191">
      <w:pPr>
        <w:rPr>
          <w:rFonts w:ascii="Arial" w:hAnsi="Arial" w:cs="Arial"/>
          <w:b/>
          <w:bCs/>
          <w:lang w:val="en-ZA"/>
        </w:rPr>
      </w:pPr>
    </w:p>
    <w:p w:rsidR="002E5191" w:rsidRPr="003C0569" w:rsidRDefault="002E5191" w:rsidP="002E5191">
      <w:pPr>
        <w:jc w:val="center"/>
        <w:rPr>
          <w:b/>
          <w:sz w:val="28"/>
          <w:szCs w:val="28"/>
          <w:lang w:val="en-ZA"/>
        </w:rPr>
      </w:pPr>
    </w:p>
    <w:p w:rsidR="00800487" w:rsidRPr="00800487" w:rsidRDefault="00800487" w:rsidP="00800487">
      <w:pPr>
        <w:spacing w:line="360" w:lineRule="auto"/>
        <w:ind w:left="2160" w:hanging="1350"/>
        <w:jc w:val="both"/>
        <w:rPr>
          <w:rFonts w:ascii="Arial" w:hAnsi="Arial" w:cs="Arial"/>
          <w:b/>
          <w:sz w:val="22"/>
          <w:szCs w:val="22"/>
        </w:rPr>
      </w:pPr>
      <w:r w:rsidRPr="00800487">
        <w:rPr>
          <w:rFonts w:ascii="Arial" w:hAnsi="Arial" w:cs="Arial"/>
          <w:b/>
          <w:sz w:val="22"/>
          <w:szCs w:val="22"/>
        </w:rPr>
        <w:tab/>
      </w:r>
    </w:p>
    <w:p w:rsidR="00800487" w:rsidRPr="00800487" w:rsidRDefault="00800487" w:rsidP="00800487">
      <w:pPr>
        <w:spacing w:line="360" w:lineRule="auto"/>
        <w:ind w:firstLine="810"/>
        <w:jc w:val="center"/>
        <w:rPr>
          <w:rFonts w:ascii="Arial" w:hAnsi="Arial" w:cs="Arial"/>
          <w:b/>
          <w:sz w:val="22"/>
          <w:szCs w:val="22"/>
        </w:rPr>
      </w:pPr>
      <w:r w:rsidRPr="00800487">
        <w:rPr>
          <w:rFonts w:ascii="Arial" w:hAnsi="Arial" w:cs="Arial"/>
          <w:b/>
          <w:sz w:val="22"/>
          <w:szCs w:val="22"/>
        </w:rPr>
        <w:t>BRIEFING TO THE PORTFOLIO COMMITTEE ON THE OVERVAAL RESORTS BILL</w:t>
      </w:r>
    </w:p>
    <w:p w:rsidR="00800487" w:rsidRPr="00800487" w:rsidRDefault="00800487" w:rsidP="00800487">
      <w:pPr>
        <w:spacing w:line="360" w:lineRule="auto"/>
        <w:rPr>
          <w:rFonts w:ascii="Arial" w:hAnsi="Arial" w:cs="Arial"/>
          <w:b/>
          <w:sz w:val="22"/>
          <w:szCs w:val="22"/>
        </w:rPr>
      </w:pPr>
    </w:p>
    <w:p w:rsidR="00800487" w:rsidRPr="00800487" w:rsidRDefault="00800487" w:rsidP="00800487">
      <w:pPr>
        <w:tabs>
          <w:tab w:val="left" w:pos="851"/>
        </w:tabs>
        <w:spacing w:line="360" w:lineRule="auto"/>
        <w:ind w:left="851"/>
        <w:jc w:val="both"/>
        <w:rPr>
          <w:rFonts w:ascii="Arial" w:hAnsi="Arial" w:cs="Arial"/>
          <w:sz w:val="22"/>
          <w:szCs w:val="22"/>
        </w:rPr>
      </w:pPr>
    </w:p>
    <w:p w:rsidR="00800487" w:rsidRPr="00800487" w:rsidRDefault="00800487" w:rsidP="00800487">
      <w:pPr>
        <w:tabs>
          <w:tab w:val="left" w:pos="851"/>
        </w:tabs>
        <w:spacing w:line="360" w:lineRule="auto"/>
        <w:jc w:val="both"/>
        <w:rPr>
          <w:rFonts w:ascii="Arial" w:hAnsi="Arial" w:cs="Arial"/>
          <w:sz w:val="22"/>
          <w:szCs w:val="22"/>
        </w:rPr>
      </w:pPr>
      <w:r w:rsidRPr="00800487">
        <w:rPr>
          <w:rFonts w:ascii="Arial" w:hAnsi="Arial" w:cs="Arial"/>
          <w:sz w:val="22"/>
          <w:szCs w:val="22"/>
        </w:rPr>
        <w:t>The Department presented to the Portfolio Committee on the Overvaal Resorts Bill on 25 April 2018. The Portfolio Committee requested the following additional information from the Department:</w:t>
      </w:r>
    </w:p>
    <w:p w:rsidR="00800487" w:rsidRPr="00800487" w:rsidRDefault="00800487" w:rsidP="00800487">
      <w:pPr>
        <w:numPr>
          <w:ilvl w:val="0"/>
          <w:numId w:val="10"/>
        </w:numPr>
        <w:tabs>
          <w:tab w:val="left" w:pos="360"/>
        </w:tabs>
        <w:spacing w:line="360" w:lineRule="auto"/>
        <w:ind w:left="360"/>
        <w:jc w:val="both"/>
        <w:rPr>
          <w:rFonts w:ascii="Arial" w:hAnsi="Arial" w:cs="Arial"/>
          <w:sz w:val="22"/>
          <w:szCs w:val="22"/>
        </w:rPr>
      </w:pPr>
      <w:r w:rsidRPr="00800487">
        <w:rPr>
          <w:rFonts w:ascii="Arial" w:hAnsi="Arial" w:cs="Arial"/>
          <w:sz w:val="22"/>
          <w:szCs w:val="22"/>
        </w:rPr>
        <w:t>Names and Location of the 8 Aventura Resorts sold to Forever Siyonwaba Consortium.</w:t>
      </w:r>
    </w:p>
    <w:p w:rsidR="00800487" w:rsidRPr="00800487" w:rsidRDefault="00800487" w:rsidP="00800487">
      <w:pPr>
        <w:numPr>
          <w:ilvl w:val="0"/>
          <w:numId w:val="10"/>
        </w:numPr>
        <w:tabs>
          <w:tab w:val="left" w:pos="360"/>
        </w:tabs>
        <w:spacing w:line="360" w:lineRule="auto"/>
        <w:ind w:left="360"/>
        <w:rPr>
          <w:rFonts w:ascii="Arial" w:hAnsi="Arial" w:cs="Arial"/>
          <w:sz w:val="22"/>
          <w:szCs w:val="22"/>
        </w:rPr>
      </w:pPr>
      <w:r w:rsidRPr="00800487">
        <w:rPr>
          <w:rFonts w:ascii="Arial" w:hAnsi="Arial" w:cs="Arial"/>
          <w:sz w:val="22"/>
          <w:szCs w:val="22"/>
        </w:rPr>
        <w:t>Tagging of the Bill.</w:t>
      </w:r>
    </w:p>
    <w:p w:rsidR="00800487" w:rsidRPr="00800487" w:rsidRDefault="00800487" w:rsidP="00800487">
      <w:pPr>
        <w:numPr>
          <w:ilvl w:val="0"/>
          <w:numId w:val="10"/>
        </w:numPr>
        <w:tabs>
          <w:tab w:val="left" w:pos="360"/>
        </w:tabs>
        <w:spacing w:line="360" w:lineRule="auto"/>
        <w:ind w:left="360"/>
        <w:rPr>
          <w:rFonts w:ascii="Arial" w:hAnsi="Arial" w:cs="Arial"/>
          <w:sz w:val="22"/>
          <w:szCs w:val="22"/>
        </w:rPr>
      </w:pPr>
      <w:r w:rsidRPr="00800487">
        <w:rPr>
          <w:rFonts w:ascii="Arial" w:hAnsi="Arial" w:cs="Arial"/>
          <w:sz w:val="22"/>
          <w:szCs w:val="22"/>
        </w:rPr>
        <w:t>Land claims on the properties.</w:t>
      </w:r>
    </w:p>
    <w:p w:rsidR="00800487" w:rsidRPr="00800487" w:rsidRDefault="00800487" w:rsidP="00800487">
      <w:pPr>
        <w:numPr>
          <w:ilvl w:val="0"/>
          <w:numId w:val="10"/>
        </w:numPr>
        <w:tabs>
          <w:tab w:val="left" w:pos="360"/>
        </w:tabs>
        <w:spacing w:line="360" w:lineRule="auto"/>
        <w:ind w:left="360"/>
        <w:rPr>
          <w:rFonts w:ascii="Arial" w:hAnsi="Arial" w:cs="Arial"/>
          <w:sz w:val="22"/>
          <w:szCs w:val="22"/>
        </w:rPr>
      </w:pPr>
      <w:r w:rsidRPr="00800487">
        <w:rPr>
          <w:rFonts w:ascii="Arial" w:hAnsi="Arial" w:cs="Arial"/>
          <w:sz w:val="22"/>
          <w:szCs w:val="22"/>
        </w:rPr>
        <w:t>Rentals on the properties subject to land claims.</w:t>
      </w:r>
    </w:p>
    <w:p w:rsidR="00800487" w:rsidRPr="00800487" w:rsidRDefault="00800487" w:rsidP="00800487">
      <w:pPr>
        <w:tabs>
          <w:tab w:val="left" w:pos="851"/>
        </w:tabs>
        <w:spacing w:line="360" w:lineRule="auto"/>
        <w:rPr>
          <w:rFonts w:ascii="Arial" w:hAnsi="Arial" w:cs="Arial"/>
          <w:b/>
          <w:sz w:val="22"/>
          <w:szCs w:val="22"/>
        </w:rPr>
      </w:pPr>
    </w:p>
    <w:p w:rsidR="00800487" w:rsidRPr="00800487" w:rsidRDefault="00800487" w:rsidP="00800487">
      <w:pPr>
        <w:numPr>
          <w:ilvl w:val="0"/>
          <w:numId w:val="11"/>
        </w:numPr>
        <w:tabs>
          <w:tab w:val="left" w:pos="360"/>
        </w:tabs>
        <w:spacing w:line="360" w:lineRule="auto"/>
        <w:ind w:hanging="855"/>
        <w:rPr>
          <w:rFonts w:ascii="Arial" w:hAnsi="Arial" w:cs="Arial"/>
          <w:b/>
          <w:sz w:val="22"/>
          <w:szCs w:val="22"/>
        </w:rPr>
      </w:pPr>
      <w:r w:rsidRPr="00800487">
        <w:rPr>
          <w:rFonts w:ascii="Arial" w:hAnsi="Arial" w:cs="Arial"/>
          <w:b/>
          <w:sz w:val="22"/>
          <w:szCs w:val="22"/>
        </w:rPr>
        <w:t>Names and Location of the 8 Aventura Resorts sold to Forever Siyonwaba Consortium</w:t>
      </w:r>
    </w:p>
    <w:p w:rsidR="00800487" w:rsidRPr="00800487" w:rsidRDefault="00800487" w:rsidP="00800487">
      <w:pPr>
        <w:tabs>
          <w:tab w:val="left" w:pos="851"/>
        </w:tabs>
        <w:spacing w:line="360" w:lineRule="auto"/>
        <w:ind w:left="855"/>
        <w:rPr>
          <w:rFonts w:ascii="Arial" w:hAnsi="Arial" w:cs="Arial"/>
          <w:sz w:val="22"/>
          <w:szCs w:val="22"/>
        </w:rPr>
      </w:pPr>
    </w:p>
    <w:p w:rsidR="00800487" w:rsidRPr="00800487" w:rsidRDefault="00800487" w:rsidP="00800487">
      <w:pPr>
        <w:tabs>
          <w:tab w:val="left" w:pos="360"/>
          <w:tab w:val="left" w:pos="450"/>
        </w:tabs>
        <w:spacing w:line="360" w:lineRule="auto"/>
        <w:rPr>
          <w:rFonts w:ascii="Arial" w:hAnsi="Arial" w:cs="Arial"/>
          <w:sz w:val="22"/>
          <w:szCs w:val="22"/>
        </w:rPr>
      </w:pPr>
      <w:r w:rsidRPr="00800487">
        <w:rPr>
          <w:rFonts w:ascii="Arial" w:hAnsi="Arial" w:cs="Arial"/>
          <w:sz w:val="22"/>
          <w:szCs w:val="22"/>
        </w:rPr>
        <w:t>1.</w:t>
      </w:r>
      <w:r w:rsidRPr="00800487">
        <w:rPr>
          <w:rFonts w:ascii="Arial" w:hAnsi="Arial" w:cs="Arial"/>
          <w:sz w:val="22"/>
          <w:szCs w:val="22"/>
        </w:rPr>
        <w:tab/>
      </w:r>
      <w:proofErr w:type="spellStart"/>
      <w:r w:rsidRPr="00800487">
        <w:rPr>
          <w:rFonts w:ascii="Arial" w:hAnsi="Arial" w:cs="Arial"/>
          <w:sz w:val="22"/>
          <w:szCs w:val="22"/>
        </w:rPr>
        <w:t>Tshipise</w:t>
      </w:r>
      <w:proofErr w:type="spellEnd"/>
      <w:r w:rsidRPr="00800487">
        <w:rPr>
          <w:rFonts w:ascii="Arial" w:hAnsi="Arial" w:cs="Arial"/>
          <w:sz w:val="22"/>
          <w:szCs w:val="22"/>
        </w:rPr>
        <w:t xml:space="preserve"> (Limpopo)</w:t>
      </w:r>
    </w:p>
    <w:p w:rsidR="00800487" w:rsidRPr="00800487" w:rsidRDefault="00800487" w:rsidP="00800487">
      <w:pPr>
        <w:tabs>
          <w:tab w:val="left" w:pos="360"/>
        </w:tabs>
        <w:spacing w:line="360" w:lineRule="auto"/>
        <w:rPr>
          <w:rFonts w:ascii="Arial" w:hAnsi="Arial" w:cs="Arial"/>
          <w:sz w:val="22"/>
          <w:szCs w:val="22"/>
        </w:rPr>
      </w:pPr>
      <w:r w:rsidRPr="00800487">
        <w:rPr>
          <w:rFonts w:ascii="Arial" w:hAnsi="Arial" w:cs="Arial"/>
          <w:sz w:val="22"/>
          <w:szCs w:val="22"/>
        </w:rPr>
        <w:t>2.</w:t>
      </w:r>
      <w:r w:rsidRPr="00800487">
        <w:rPr>
          <w:rFonts w:ascii="Arial" w:hAnsi="Arial" w:cs="Arial"/>
          <w:sz w:val="22"/>
          <w:szCs w:val="22"/>
        </w:rPr>
        <w:tab/>
      </w:r>
      <w:proofErr w:type="spellStart"/>
      <w:r w:rsidRPr="00800487">
        <w:rPr>
          <w:rFonts w:ascii="Arial" w:hAnsi="Arial" w:cs="Arial"/>
          <w:sz w:val="22"/>
          <w:szCs w:val="22"/>
        </w:rPr>
        <w:t>Warmbaths</w:t>
      </w:r>
      <w:proofErr w:type="spellEnd"/>
      <w:r w:rsidRPr="00800487">
        <w:rPr>
          <w:rFonts w:ascii="Arial" w:hAnsi="Arial" w:cs="Arial"/>
          <w:sz w:val="22"/>
          <w:szCs w:val="22"/>
        </w:rPr>
        <w:t xml:space="preserve"> (Limpopo)</w:t>
      </w:r>
    </w:p>
    <w:p w:rsidR="00800487" w:rsidRPr="00800487" w:rsidRDefault="00800487" w:rsidP="00800487">
      <w:pPr>
        <w:tabs>
          <w:tab w:val="left" w:pos="360"/>
        </w:tabs>
        <w:spacing w:line="360" w:lineRule="auto"/>
        <w:rPr>
          <w:rFonts w:ascii="Arial" w:hAnsi="Arial" w:cs="Arial"/>
          <w:sz w:val="22"/>
          <w:szCs w:val="22"/>
        </w:rPr>
      </w:pPr>
      <w:r w:rsidRPr="00800487">
        <w:rPr>
          <w:rFonts w:ascii="Arial" w:hAnsi="Arial" w:cs="Arial"/>
          <w:sz w:val="22"/>
          <w:szCs w:val="22"/>
        </w:rPr>
        <w:t>3.</w:t>
      </w:r>
      <w:r w:rsidRPr="00800487">
        <w:rPr>
          <w:rFonts w:ascii="Arial" w:hAnsi="Arial" w:cs="Arial"/>
          <w:sz w:val="22"/>
          <w:szCs w:val="22"/>
        </w:rPr>
        <w:tab/>
        <w:t>Swadini (Mpumalanga)</w:t>
      </w:r>
    </w:p>
    <w:p w:rsidR="00800487" w:rsidRPr="00800487" w:rsidRDefault="00800487" w:rsidP="00800487">
      <w:pPr>
        <w:tabs>
          <w:tab w:val="left" w:pos="360"/>
        </w:tabs>
        <w:spacing w:line="360" w:lineRule="auto"/>
        <w:rPr>
          <w:rFonts w:ascii="Arial" w:hAnsi="Arial" w:cs="Arial"/>
          <w:sz w:val="22"/>
          <w:szCs w:val="22"/>
        </w:rPr>
      </w:pPr>
      <w:r w:rsidRPr="00800487">
        <w:rPr>
          <w:rFonts w:ascii="Arial" w:hAnsi="Arial" w:cs="Arial"/>
          <w:sz w:val="22"/>
          <w:szCs w:val="22"/>
        </w:rPr>
        <w:t>4.</w:t>
      </w:r>
      <w:r w:rsidRPr="00800487">
        <w:rPr>
          <w:rFonts w:ascii="Arial" w:hAnsi="Arial" w:cs="Arial"/>
          <w:sz w:val="22"/>
          <w:szCs w:val="22"/>
        </w:rPr>
        <w:tab/>
        <w:t>Blydepoort (Mpumalanga)</w:t>
      </w:r>
    </w:p>
    <w:p w:rsidR="00800487" w:rsidRPr="00800487" w:rsidRDefault="00800487" w:rsidP="00800487">
      <w:pPr>
        <w:tabs>
          <w:tab w:val="left" w:pos="360"/>
        </w:tabs>
        <w:spacing w:line="360" w:lineRule="auto"/>
        <w:rPr>
          <w:rFonts w:ascii="Arial" w:hAnsi="Arial" w:cs="Arial"/>
          <w:sz w:val="22"/>
          <w:szCs w:val="22"/>
        </w:rPr>
      </w:pPr>
      <w:r w:rsidRPr="00800487">
        <w:rPr>
          <w:rFonts w:ascii="Arial" w:hAnsi="Arial" w:cs="Arial"/>
          <w:sz w:val="22"/>
          <w:szCs w:val="22"/>
        </w:rPr>
        <w:t>5.</w:t>
      </w:r>
      <w:r w:rsidRPr="00800487">
        <w:rPr>
          <w:rFonts w:ascii="Arial" w:hAnsi="Arial" w:cs="Arial"/>
          <w:sz w:val="22"/>
          <w:szCs w:val="22"/>
        </w:rPr>
        <w:tab/>
      </w:r>
      <w:proofErr w:type="spellStart"/>
      <w:r w:rsidRPr="00800487">
        <w:rPr>
          <w:rFonts w:ascii="Arial" w:hAnsi="Arial" w:cs="Arial"/>
          <w:sz w:val="22"/>
          <w:szCs w:val="22"/>
        </w:rPr>
        <w:t>Loskopdam</w:t>
      </w:r>
      <w:proofErr w:type="spellEnd"/>
      <w:r w:rsidRPr="00800487">
        <w:rPr>
          <w:rFonts w:ascii="Arial" w:hAnsi="Arial" w:cs="Arial"/>
          <w:sz w:val="22"/>
          <w:szCs w:val="22"/>
        </w:rPr>
        <w:t xml:space="preserve"> (Mpumalanga)</w:t>
      </w:r>
    </w:p>
    <w:p w:rsidR="00800487" w:rsidRPr="00800487" w:rsidRDefault="00800487" w:rsidP="00800487">
      <w:pPr>
        <w:tabs>
          <w:tab w:val="left" w:pos="360"/>
        </w:tabs>
        <w:spacing w:line="360" w:lineRule="auto"/>
        <w:rPr>
          <w:rFonts w:ascii="Arial" w:hAnsi="Arial" w:cs="Arial"/>
          <w:sz w:val="22"/>
          <w:szCs w:val="22"/>
        </w:rPr>
      </w:pPr>
      <w:r w:rsidRPr="00800487">
        <w:rPr>
          <w:rFonts w:ascii="Arial" w:hAnsi="Arial" w:cs="Arial"/>
          <w:sz w:val="22"/>
          <w:szCs w:val="22"/>
        </w:rPr>
        <w:t>6.</w:t>
      </w:r>
      <w:r w:rsidRPr="00800487">
        <w:rPr>
          <w:rFonts w:ascii="Arial" w:hAnsi="Arial" w:cs="Arial"/>
          <w:sz w:val="22"/>
          <w:szCs w:val="22"/>
        </w:rPr>
        <w:tab/>
        <w:t>Gariep (Free State)</w:t>
      </w:r>
    </w:p>
    <w:p w:rsidR="00800487" w:rsidRPr="00800487" w:rsidRDefault="00800487" w:rsidP="00800487">
      <w:pPr>
        <w:tabs>
          <w:tab w:val="left" w:pos="360"/>
        </w:tabs>
        <w:spacing w:line="360" w:lineRule="auto"/>
        <w:rPr>
          <w:rFonts w:ascii="Arial" w:hAnsi="Arial" w:cs="Arial"/>
          <w:sz w:val="22"/>
          <w:szCs w:val="22"/>
        </w:rPr>
      </w:pPr>
      <w:r w:rsidRPr="00800487">
        <w:rPr>
          <w:rFonts w:ascii="Arial" w:hAnsi="Arial" w:cs="Arial"/>
          <w:sz w:val="22"/>
          <w:szCs w:val="22"/>
        </w:rPr>
        <w:t>7.</w:t>
      </w:r>
      <w:r w:rsidRPr="00800487">
        <w:rPr>
          <w:rFonts w:ascii="Arial" w:hAnsi="Arial" w:cs="Arial"/>
          <w:sz w:val="22"/>
          <w:szCs w:val="22"/>
        </w:rPr>
        <w:tab/>
      </w:r>
      <w:proofErr w:type="spellStart"/>
      <w:r w:rsidRPr="00800487">
        <w:rPr>
          <w:rFonts w:ascii="Arial" w:hAnsi="Arial" w:cs="Arial"/>
          <w:sz w:val="22"/>
          <w:szCs w:val="22"/>
        </w:rPr>
        <w:t>Plettenberg</w:t>
      </w:r>
      <w:proofErr w:type="spellEnd"/>
      <w:r w:rsidRPr="00800487">
        <w:rPr>
          <w:rFonts w:ascii="Arial" w:hAnsi="Arial" w:cs="Arial"/>
          <w:sz w:val="22"/>
          <w:szCs w:val="22"/>
        </w:rPr>
        <w:t xml:space="preserve"> (Western Cape)</w:t>
      </w:r>
    </w:p>
    <w:p w:rsidR="00800487" w:rsidRPr="00800487" w:rsidRDefault="00800487" w:rsidP="00800487">
      <w:pPr>
        <w:tabs>
          <w:tab w:val="left" w:pos="360"/>
        </w:tabs>
        <w:spacing w:line="360" w:lineRule="auto"/>
        <w:rPr>
          <w:rFonts w:ascii="Arial" w:hAnsi="Arial" w:cs="Arial"/>
          <w:sz w:val="22"/>
          <w:szCs w:val="22"/>
        </w:rPr>
      </w:pPr>
      <w:r w:rsidRPr="00800487">
        <w:rPr>
          <w:rFonts w:ascii="Arial" w:hAnsi="Arial" w:cs="Arial"/>
          <w:sz w:val="22"/>
          <w:szCs w:val="22"/>
        </w:rPr>
        <w:t>8.</w:t>
      </w:r>
      <w:r w:rsidRPr="00800487">
        <w:rPr>
          <w:rFonts w:ascii="Arial" w:hAnsi="Arial" w:cs="Arial"/>
          <w:sz w:val="22"/>
          <w:szCs w:val="22"/>
        </w:rPr>
        <w:tab/>
      </w:r>
      <w:proofErr w:type="spellStart"/>
      <w:r w:rsidRPr="00800487">
        <w:rPr>
          <w:rFonts w:ascii="Arial" w:hAnsi="Arial" w:cs="Arial"/>
          <w:sz w:val="22"/>
          <w:szCs w:val="22"/>
        </w:rPr>
        <w:t>Badplaas</w:t>
      </w:r>
      <w:proofErr w:type="spellEnd"/>
      <w:r w:rsidRPr="00800487">
        <w:rPr>
          <w:rFonts w:ascii="Arial" w:hAnsi="Arial" w:cs="Arial"/>
          <w:sz w:val="22"/>
          <w:szCs w:val="22"/>
        </w:rPr>
        <w:t xml:space="preserve"> (Mpumalanga).</w:t>
      </w:r>
    </w:p>
    <w:p w:rsidR="00800487" w:rsidRDefault="00800487" w:rsidP="00800487">
      <w:pPr>
        <w:tabs>
          <w:tab w:val="left" w:pos="851"/>
        </w:tabs>
        <w:spacing w:line="360" w:lineRule="auto"/>
        <w:rPr>
          <w:rFonts w:ascii="Arial" w:hAnsi="Arial" w:cs="Arial"/>
          <w:sz w:val="22"/>
          <w:szCs w:val="22"/>
        </w:rPr>
      </w:pPr>
    </w:p>
    <w:p w:rsidR="00800487" w:rsidRDefault="00800487" w:rsidP="00800487">
      <w:pPr>
        <w:tabs>
          <w:tab w:val="left" w:pos="851"/>
        </w:tabs>
        <w:spacing w:line="360" w:lineRule="auto"/>
        <w:rPr>
          <w:rFonts w:ascii="Arial" w:hAnsi="Arial" w:cs="Arial"/>
          <w:sz w:val="22"/>
          <w:szCs w:val="22"/>
        </w:rPr>
      </w:pPr>
    </w:p>
    <w:p w:rsidR="00800487" w:rsidRDefault="00800487" w:rsidP="00800487">
      <w:pPr>
        <w:tabs>
          <w:tab w:val="left" w:pos="851"/>
        </w:tabs>
        <w:spacing w:line="360" w:lineRule="auto"/>
        <w:rPr>
          <w:rFonts w:ascii="Arial" w:hAnsi="Arial" w:cs="Arial"/>
          <w:sz w:val="22"/>
          <w:szCs w:val="22"/>
        </w:rPr>
      </w:pPr>
    </w:p>
    <w:p w:rsidR="00800487" w:rsidRPr="00800487" w:rsidRDefault="00800487" w:rsidP="00800487">
      <w:pPr>
        <w:tabs>
          <w:tab w:val="left" w:pos="851"/>
        </w:tabs>
        <w:spacing w:line="360" w:lineRule="auto"/>
        <w:rPr>
          <w:rFonts w:ascii="Arial" w:hAnsi="Arial" w:cs="Arial"/>
          <w:sz w:val="22"/>
          <w:szCs w:val="22"/>
        </w:rPr>
      </w:pPr>
    </w:p>
    <w:p w:rsidR="00800487" w:rsidRPr="00800487" w:rsidRDefault="00800487" w:rsidP="00800487">
      <w:pPr>
        <w:numPr>
          <w:ilvl w:val="0"/>
          <w:numId w:val="11"/>
        </w:numPr>
        <w:tabs>
          <w:tab w:val="left" w:pos="360"/>
        </w:tabs>
        <w:spacing w:line="360" w:lineRule="auto"/>
        <w:ind w:hanging="855"/>
        <w:rPr>
          <w:rFonts w:ascii="Arial" w:hAnsi="Arial" w:cs="Arial"/>
          <w:b/>
          <w:sz w:val="22"/>
          <w:szCs w:val="22"/>
        </w:rPr>
      </w:pPr>
      <w:r w:rsidRPr="00800487">
        <w:rPr>
          <w:rFonts w:ascii="Arial" w:hAnsi="Arial" w:cs="Arial"/>
          <w:b/>
          <w:sz w:val="22"/>
          <w:szCs w:val="22"/>
        </w:rPr>
        <w:lastRenderedPageBreak/>
        <w:t>Tagging of the Bill</w:t>
      </w:r>
    </w:p>
    <w:p w:rsidR="00800487" w:rsidRPr="00800487" w:rsidRDefault="00800487" w:rsidP="00800487">
      <w:pPr>
        <w:tabs>
          <w:tab w:val="left" w:pos="851"/>
        </w:tabs>
        <w:spacing w:line="360" w:lineRule="auto"/>
        <w:rPr>
          <w:rFonts w:ascii="Arial" w:hAnsi="Arial" w:cs="Arial"/>
          <w:sz w:val="22"/>
          <w:szCs w:val="22"/>
        </w:rPr>
      </w:pPr>
    </w:p>
    <w:p w:rsidR="00800487" w:rsidRPr="00800487" w:rsidRDefault="00800487" w:rsidP="00800487">
      <w:pPr>
        <w:tabs>
          <w:tab w:val="left" w:pos="720"/>
        </w:tabs>
        <w:spacing w:line="360" w:lineRule="auto"/>
        <w:ind w:left="360"/>
        <w:jc w:val="both"/>
        <w:rPr>
          <w:rFonts w:ascii="Arial" w:hAnsi="Arial" w:cs="Arial"/>
          <w:sz w:val="22"/>
          <w:szCs w:val="22"/>
        </w:rPr>
      </w:pPr>
      <w:r w:rsidRPr="00800487">
        <w:rPr>
          <w:rFonts w:ascii="Arial" w:hAnsi="Arial" w:cs="Arial"/>
          <w:sz w:val="22"/>
          <w:szCs w:val="22"/>
        </w:rPr>
        <w:t>The Portfolio Committee wanted to establish what the impact of tagging the Bill a section 75 as opposed to a section 76 Bill is as some assets (portion of land) at the Gariep Resort in the Free State was erroneously registered in the name of the Provincial Government of the Free State</w:t>
      </w:r>
      <w:r w:rsidR="00A91609">
        <w:rPr>
          <w:rFonts w:ascii="Arial" w:hAnsi="Arial" w:cs="Arial"/>
          <w:sz w:val="22"/>
          <w:szCs w:val="22"/>
        </w:rPr>
        <w:t xml:space="preserve"> i.e. as a Province is affected. D</w:t>
      </w:r>
      <w:r w:rsidRPr="00800487">
        <w:rPr>
          <w:rFonts w:ascii="Arial" w:hAnsi="Arial" w:cs="Arial"/>
          <w:sz w:val="22"/>
          <w:szCs w:val="22"/>
        </w:rPr>
        <w:t>oes this not require the</w:t>
      </w:r>
      <w:r w:rsidR="00FD39EC">
        <w:rPr>
          <w:rFonts w:ascii="Arial" w:hAnsi="Arial" w:cs="Arial"/>
          <w:sz w:val="22"/>
          <w:szCs w:val="22"/>
        </w:rPr>
        <w:t xml:space="preserve"> Bill to be tagged a section 76?</w:t>
      </w:r>
    </w:p>
    <w:p w:rsidR="00800487" w:rsidRPr="00800487" w:rsidRDefault="00800487" w:rsidP="00800487">
      <w:pPr>
        <w:tabs>
          <w:tab w:val="left" w:pos="851"/>
        </w:tabs>
        <w:spacing w:line="360" w:lineRule="auto"/>
        <w:ind w:left="851"/>
        <w:jc w:val="both"/>
        <w:rPr>
          <w:rFonts w:ascii="Arial" w:hAnsi="Arial" w:cs="Arial"/>
          <w:sz w:val="22"/>
          <w:szCs w:val="22"/>
        </w:rPr>
      </w:pPr>
    </w:p>
    <w:p w:rsidR="00800487" w:rsidRPr="00800487" w:rsidRDefault="00800487" w:rsidP="00800487">
      <w:pPr>
        <w:tabs>
          <w:tab w:val="left" w:pos="720"/>
        </w:tabs>
        <w:spacing w:line="360" w:lineRule="auto"/>
        <w:ind w:left="360"/>
        <w:jc w:val="both"/>
        <w:rPr>
          <w:rFonts w:ascii="Arial" w:hAnsi="Arial" w:cs="Arial"/>
          <w:sz w:val="22"/>
          <w:szCs w:val="22"/>
        </w:rPr>
      </w:pPr>
      <w:r w:rsidRPr="00800487">
        <w:rPr>
          <w:rFonts w:ascii="Arial" w:hAnsi="Arial" w:cs="Arial"/>
          <w:sz w:val="22"/>
          <w:szCs w:val="22"/>
        </w:rPr>
        <w:t xml:space="preserve">The reason for tagging the Bill a section 75 Bill is that none of the circumstances set out under section 76 applies to this Bill for it to be tagged a section 76. The fact that the properties were registered in a name of a province is not one of the reason(s) set out under section 76 for a Bill to be tagged a section 76. </w:t>
      </w:r>
    </w:p>
    <w:p w:rsidR="00800487" w:rsidRPr="00800487" w:rsidRDefault="00800487" w:rsidP="00800487">
      <w:pPr>
        <w:tabs>
          <w:tab w:val="left" w:pos="851"/>
        </w:tabs>
        <w:spacing w:line="360" w:lineRule="auto"/>
        <w:ind w:left="720"/>
        <w:jc w:val="both"/>
        <w:rPr>
          <w:rFonts w:ascii="Arial" w:hAnsi="Arial" w:cs="Arial"/>
          <w:sz w:val="22"/>
          <w:szCs w:val="22"/>
        </w:rPr>
      </w:pPr>
    </w:p>
    <w:p w:rsidR="00800487" w:rsidRPr="00800487" w:rsidRDefault="00800487" w:rsidP="00800487">
      <w:pPr>
        <w:tabs>
          <w:tab w:val="left" w:pos="720"/>
        </w:tabs>
        <w:spacing w:line="360" w:lineRule="auto"/>
        <w:ind w:left="360"/>
        <w:jc w:val="both"/>
        <w:rPr>
          <w:rFonts w:ascii="Arial" w:hAnsi="Arial" w:cs="Arial"/>
          <w:sz w:val="22"/>
          <w:szCs w:val="22"/>
        </w:rPr>
      </w:pPr>
      <w:r w:rsidRPr="00800487">
        <w:rPr>
          <w:rFonts w:ascii="Arial" w:hAnsi="Arial" w:cs="Arial"/>
          <w:sz w:val="22"/>
          <w:szCs w:val="22"/>
        </w:rPr>
        <w:t>To put succinctly, in the case of Tongoane and other vs Minister of Agriculture and Land</w:t>
      </w:r>
      <w:r w:rsidRPr="00800487">
        <w:rPr>
          <w:rFonts w:ascii="Arial" w:hAnsi="Arial" w:cs="Arial"/>
          <w:i/>
          <w:sz w:val="22"/>
          <w:szCs w:val="22"/>
        </w:rPr>
        <w:t xml:space="preserve"> Affairs and others 2010(8) BCLR 741(CC)</w:t>
      </w:r>
      <w:r w:rsidRPr="00800487">
        <w:rPr>
          <w:rFonts w:ascii="Arial" w:hAnsi="Arial" w:cs="Arial"/>
          <w:sz w:val="22"/>
          <w:szCs w:val="22"/>
        </w:rPr>
        <w:t xml:space="preserve">, the Constitutional Court pronounces on the test to be used when tagging legislation. The case deals with Communal Land Rights Act 2004, which had been enacted in terms of section 75 of the Constitution. Parliament was of the view that the main purpose of the Communal Rights Act 2004, did not fall within any schedule 4 functional area. The Court held that the tagging test focuses on all the provisions of the Bill in order to determine the extent to which they substantially affect functional areas listed in Schedule of the Constitution, and not whether any of its provisions are incidental to its substance. </w:t>
      </w:r>
    </w:p>
    <w:p w:rsidR="00800487" w:rsidRPr="00800487" w:rsidRDefault="00800487" w:rsidP="00800487">
      <w:pPr>
        <w:tabs>
          <w:tab w:val="left" w:pos="851"/>
        </w:tabs>
        <w:spacing w:line="360" w:lineRule="auto"/>
        <w:ind w:left="720"/>
        <w:jc w:val="both"/>
        <w:rPr>
          <w:rFonts w:ascii="Arial" w:hAnsi="Arial" w:cs="Arial"/>
          <w:sz w:val="22"/>
          <w:szCs w:val="22"/>
        </w:rPr>
      </w:pPr>
    </w:p>
    <w:p w:rsidR="00800487" w:rsidRPr="00800487" w:rsidRDefault="00800487" w:rsidP="00800487">
      <w:pPr>
        <w:tabs>
          <w:tab w:val="left" w:pos="720"/>
        </w:tabs>
        <w:spacing w:line="360" w:lineRule="auto"/>
        <w:ind w:left="360"/>
        <w:jc w:val="both"/>
        <w:rPr>
          <w:rFonts w:ascii="Arial" w:hAnsi="Arial" w:cs="Arial"/>
          <w:sz w:val="22"/>
          <w:szCs w:val="22"/>
        </w:rPr>
      </w:pPr>
      <w:r w:rsidRPr="00800487">
        <w:rPr>
          <w:rFonts w:ascii="Arial" w:hAnsi="Arial" w:cs="Arial"/>
          <w:sz w:val="22"/>
          <w:szCs w:val="22"/>
        </w:rPr>
        <w:t>In applying the tagging the test to the Bill, the question that should be asked is whether the provisions in the Bill substantially affect a sche</w:t>
      </w:r>
      <w:r>
        <w:rPr>
          <w:rFonts w:ascii="Arial" w:hAnsi="Arial" w:cs="Arial"/>
          <w:sz w:val="22"/>
          <w:szCs w:val="22"/>
        </w:rPr>
        <w:t>dule 4 functional area.  Overva</w:t>
      </w:r>
      <w:r w:rsidRPr="00800487">
        <w:rPr>
          <w:rFonts w:ascii="Arial" w:hAnsi="Arial" w:cs="Arial"/>
          <w:sz w:val="22"/>
          <w:szCs w:val="22"/>
        </w:rPr>
        <w:t>al Resorts Bill is not an item listed in Schedule 4 or 5 of the Constitution. It is for this reason that neither section 74 nor 76 of the Constitution finds application herein. This notwithstanding, it should be borne in mind that it is still a requirement in terms of section 75 that a Bill must be referred to both the National Assembly and the National Council of Provinces for consideration. Therefore, this does not detract from the fact that this Bill will still be subjected to the processes/procedures of the National Council of Provinces prescribed under section 75.</w:t>
      </w:r>
    </w:p>
    <w:p w:rsidR="00800487" w:rsidRPr="00800487" w:rsidRDefault="00800487" w:rsidP="00800487">
      <w:pPr>
        <w:tabs>
          <w:tab w:val="left" w:pos="851"/>
        </w:tabs>
        <w:spacing w:line="360" w:lineRule="auto"/>
        <w:jc w:val="both"/>
        <w:rPr>
          <w:rFonts w:ascii="Arial" w:hAnsi="Arial" w:cs="Arial"/>
          <w:sz w:val="22"/>
          <w:szCs w:val="22"/>
        </w:rPr>
      </w:pPr>
    </w:p>
    <w:p w:rsidR="00800487" w:rsidRPr="00800487" w:rsidRDefault="00800487" w:rsidP="00800487">
      <w:pPr>
        <w:tabs>
          <w:tab w:val="left" w:pos="720"/>
        </w:tabs>
        <w:spacing w:line="360" w:lineRule="auto"/>
        <w:ind w:left="360"/>
        <w:jc w:val="both"/>
        <w:rPr>
          <w:rFonts w:ascii="Arial" w:hAnsi="Arial" w:cs="Arial"/>
          <w:sz w:val="22"/>
          <w:szCs w:val="22"/>
        </w:rPr>
      </w:pPr>
      <w:r w:rsidRPr="00800487">
        <w:rPr>
          <w:rFonts w:ascii="Arial" w:hAnsi="Arial" w:cs="Arial"/>
          <w:sz w:val="22"/>
          <w:szCs w:val="22"/>
        </w:rPr>
        <w:t>On advice from the Chief State Law Advisor which advice the Department concurs with, as the Bill does not deal with a functional area listed in Schedule 4 or 5 of the Constitution, it is submitted that section 44(a) (ii) of the Constitution is applicable with regard to the power of the National Assembly to pass legislation on any “any matter”. Thus, the Chief State Law Advisor advised that the Bill is correctly tagged section 75.</w:t>
      </w:r>
    </w:p>
    <w:p w:rsidR="00800487" w:rsidRPr="00800487" w:rsidRDefault="00800487" w:rsidP="00800487">
      <w:pPr>
        <w:numPr>
          <w:ilvl w:val="0"/>
          <w:numId w:val="11"/>
        </w:numPr>
        <w:tabs>
          <w:tab w:val="left" w:pos="360"/>
        </w:tabs>
        <w:spacing w:line="360" w:lineRule="auto"/>
        <w:ind w:hanging="855"/>
        <w:rPr>
          <w:rFonts w:ascii="Arial" w:hAnsi="Arial" w:cs="Arial"/>
          <w:b/>
          <w:sz w:val="22"/>
          <w:szCs w:val="22"/>
        </w:rPr>
      </w:pPr>
      <w:r w:rsidRPr="00800487">
        <w:rPr>
          <w:rFonts w:ascii="Arial" w:hAnsi="Arial" w:cs="Arial"/>
          <w:b/>
          <w:sz w:val="22"/>
          <w:szCs w:val="22"/>
        </w:rPr>
        <w:lastRenderedPageBreak/>
        <w:t>Land claims on the properties (Blydepoort and Swadini)</w:t>
      </w:r>
    </w:p>
    <w:p w:rsidR="00800487" w:rsidRPr="00800487" w:rsidRDefault="00800487" w:rsidP="00800487">
      <w:pPr>
        <w:tabs>
          <w:tab w:val="left" w:pos="851"/>
        </w:tabs>
        <w:spacing w:line="360" w:lineRule="auto"/>
        <w:ind w:left="720"/>
        <w:jc w:val="both"/>
        <w:rPr>
          <w:rFonts w:ascii="Arial" w:hAnsi="Arial" w:cs="Arial"/>
          <w:sz w:val="22"/>
          <w:szCs w:val="22"/>
        </w:rPr>
      </w:pPr>
    </w:p>
    <w:p w:rsidR="00800487" w:rsidRPr="00800487" w:rsidRDefault="00800487" w:rsidP="00800487">
      <w:pPr>
        <w:tabs>
          <w:tab w:val="left" w:pos="720"/>
        </w:tabs>
        <w:spacing w:line="360" w:lineRule="auto"/>
        <w:ind w:left="360"/>
        <w:jc w:val="both"/>
        <w:rPr>
          <w:rFonts w:ascii="Arial" w:hAnsi="Arial" w:cs="Arial"/>
          <w:sz w:val="22"/>
          <w:szCs w:val="22"/>
        </w:rPr>
      </w:pPr>
      <w:r w:rsidRPr="00800487">
        <w:rPr>
          <w:rFonts w:ascii="Arial" w:hAnsi="Arial" w:cs="Arial"/>
          <w:sz w:val="22"/>
          <w:szCs w:val="22"/>
        </w:rPr>
        <w:t>It has come to the Department’s attention that even though the land claims on these properties was successful, the land has not been transferred to the successful claimants (</w:t>
      </w:r>
      <w:proofErr w:type="spellStart"/>
      <w:r w:rsidRPr="00800487">
        <w:rPr>
          <w:rFonts w:ascii="Arial" w:hAnsi="Arial" w:cs="Arial"/>
          <w:sz w:val="22"/>
          <w:szCs w:val="22"/>
        </w:rPr>
        <w:t>Mashilane</w:t>
      </w:r>
      <w:proofErr w:type="spellEnd"/>
      <w:r w:rsidRPr="00800487">
        <w:rPr>
          <w:rFonts w:ascii="Arial" w:hAnsi="Arial" w:cs="Arial"/>
          <w:sz w:val="22"/>
          <w:szCs w:val="22"/>
        </w:rPr>
        <w:t xml:space="preserve"> and </w:t>
      </w:r>
      <w:proofErr w:type="spellStart"/>
      <w:r w:rsidRPr="00800487">
        <w:rPr>
          <w:rFonts w:ascii="Arial" w:hAnsi="Arial" w:cs="Arial"/>
          <w:sz w:val="22"/>
          <w:szCs w:val="22"/>
        </w:rPr>
        <w:t>Moletele</w:t>
      </w:r>
      <w:proofErr w:type="spellEnd"/>
      <w:r w:rsidRPr="00800487">
        <w:rPr>
          <w:rFonts w:ascii="Arial" w:hAnsi="Arial" w:cs="Arial"/>
          <w:sz w:val="22"/>
          <w:szCs w:val="22"/>
        </w:rPr>
        <w:t xml:space="preserve"> Communities) by the Department of Rural Development and Land Reform due to the following:</w:t>
      </w:r>
    </w:p>
    <w:p w:rsidR="00800487" w:rsidRPr="00800487" w:rsidRDefault="00800487" w:rsidP="00800487">
      <w:pPr>
        <w:numPr>
          <w:ilvl w:val="0"/>
          <w:numId w:val="12"/>
        </w:numPr>
        <w:tabs>
          <w:tab w:val="left" w:pos="851"/>
        </w:tabs>
        <w:spacing w:line="360" w:lineRule="auto"/>
        <w:ind w:hanging="1211"/>
        <w:jc w:val="both"/>
        <w:rPr>
          <w:rFonts w:ascii="Arial" w:hAnsi="Arial" w:cs="Arial"/>
          <w:sz w:val="22"/>
          <w:szCs w:val="22"/>
        </w:rPr>
      </w:pPr>
      <w:r w:rsidRPr="00800487">
        <w:rPr>
          <w:rFonts w:ascii="Arial" w:hAnsi="Arial" w:cs="Arial"/>
          <w:sz w:val="22"/>
          <w:szCs w:val="22"/>
        </w:rPr>
        <w:t xml:space="preserve">ongoing disputes(feuding) in the said communities; </w:t>
      </w:r>
    </w:p>
    <w:p w:rsidR="00800487" w:rsidRPr="00800487" w:rsidRDefault="00800487" w:rsidP="00800487">
      <w:pPr>
        <w:numPr>
          <w:ilvl w:val="0"/>
          <w:numId w:val="12"/>
        </w:numPr>
        <w:tabs>
          <w:tab w:val="left" w:pos="851"/>
        </w:tabs>
        <w:spacing w:line="360" w:lineRule="auto"/>
        <w:ind w:hanging="1211"/>
        <w:jc w:val="both"/>
        <w:rPr>
          <w:rFonts w:ascii="Arial" w:hAnsi="Arial" w:cs="Arial"/>
          <w:sz w:val="22"/>
          <w:szCs w:val="22"/>
        </w:rPr>
      </w:pPr>
      <w:r w:rsidRPr="00800487">
        <w:rPr>
          <w:rFonts w:ascii="Arial" w:hAnsi="Arial" w:cs="Arial"/>
          <w:sz w:val="22"/>
          <w:szCs w:val="22"/>
        </w:rPr>
        <w:t xml:space="preserve">lack of registration of the affected land with the Deeds Office; and </w:t>
      </w:r>
    </w:p>
    <w:p w:rsidR="00800487" w:rsidRPr="00800487" w:rsidRDefault="00800487" w:rsidP="00800487">
      <w:pPr>
        <w:numPr>
          <w:ilvl w:val="0"/>
          <w:numId w:val="12"/>
        </w:numPr>
        <w:tabs>
          <w:tab w:val="left" w:pos="851"/>
        </w:tabs>
        <w:spacing w:line="360" w:lineRule="auto"/>
        <w:ind w:left="810" w:hanging="450"/>
        <w:jc w:val="both"/>
        <w:rPr>
          <w:rFonts w:ascii="Arial" w:hAnsi="Arial" w:cs="Arial"/>
          <w:sz w:val="22"/>
          <w:szCs w:val="22"/>
        </w:rPr>
      </w:pPr>
      <w:proofErr w:type="gramStart"/>
      <w:r w:rsidRPr="00800487">
        <w:rPr>
          <w:rFonts w:ascii="Arial" w:hAnsi="Arial" w:cs="Arial"/>
          <w:sz w:val="22"/>
          <w:szCs w:val="22"/>
        </w:rPr>
        <w:t>failure</w:t>
      </w:r>
      <w:proofErr w:type="gramEnd"/>
      <w:r w:rsidRPr="00800487">
        <w:rPr>
          <w:rFonts w:ascii="Arial" w:hAnsi="Arial" w:cs="Arial"/>
          <w:sz w:val="22"/>
          <w:szCs w:val="22"/>
        </w:rPr>
        <w:t xml:space="preserve"> by the successful claimants communities to establish a structure that can hold the affected land on their behalf. </w:t>
      </w:r>
    </w:p>
    <w:p w:rsidR="00800487" w:rsidRPr="00800487" w:rsidRDefault="00800487" w:rsidP="00800487">
      <w:pPr>
        <w:tabs>
          <w:tab w:val="left" w:pos="851"/>
        </w:tabs>
        <w:spacing w:line="360" w:lineRule="auto"/>
        <w:ind w:left="851"/>
        <w:jc w:val="both"/>
        <w:rPr>
          <w:rFonts w:ascii="Arial" w:hAnsi="Arial" w:cs="Arial"/>
          <w:sz w:val="22"/>
          <w:szCs w:val="22"/>
        </w:rPr>
      </w:pPr>
    </w:p>
    <w:p w:rsidR="00800487" w:rsidRPr="00800487" w:rsidRDefault="00800487" w:rsidP="00800487">
      <w:pPr>
        <w:tabs>
          <w:tab w:val="left" w:pos="720"/>
        </w:tabs>
        <w:spacing w:line="360" w:lineRule="auto"/>
        <w:ind w:left="360"/>
        <w:jc w:val="both"/>
        <w:rPr>
          <w:rFonts w:ascii="Arial" w:hAnsi="Arial" w:cs="Arial"/>
          <w:sz w:val="22"/>
          <w:szCs w:val="22"/>
        </w:rPr>
      </w:pPr>
      <w:r w:rsidRPr="00800487">
        <w:rPr>
          <w:rFonts w:ascii="Arial" w:hAnsi="Arial" w:cs="Arial"/>
          <w:sz w:val="22"/>
          <w:szCs w:val="22"/>
        </w:rPr>
        <w:t xml:space="preserve">Pending the resolution of the land claims by the Department of Rural Development and Land Reform, Forever Resorts needs to enter into a lease agreement with the Department of Public Works as the current holder of the affected land on behalf of Government until the land claim is resolved and the lease is ceded to the claimant communities and Forever Resorts. </w:t>
      </w:r>
    </w:p>
    <w:p w:rsidR="00800487" w:rsidRPr="00800487" w:rsidRDefault="00800487" w:rsidP="00800487">
      <w:pPr>
        <w:tabs>
          <w:tab w:val="left" w:pos="720"/>
        </w:tabs>
        <w:spacing w:line="360" w:lineRule="auto"/>
        <w:jc w:val="both"/>
        <w:rPr>
          <w:rFonts w:ascii="Arial" w:hAnsi="Arial" w:cs="Arial"/>
          <w:sz w:val="22"/>
          <w:szCs w:val="22"/>
        </w:rPr>
      </w:pPr>
    </w:p>
    <w:p w:rsidR="00800487" w:rsidRPr="00800487" w:rsidRDefault="00800487" w:rsidP="00800487">
      <w:pPr>
        <w:numPr>
          <w:ilvl w:val="0"/>
          <w:numId w:val="11"/>
        </w:numPr>
        <w:tabs>
          <w:tab w:val="left" w:pos="360"/>
        </w:tabs>
        <w:spacing w:line="360" w:lineRule="auto"/>
        <w:ind w:hanging="855"/>
        <w:rPr>
          <w:rFonts w:ascii="Arial" w:hAnsi="Arial" w:cs="Arial"/>
          <w:b/>
          <w:sz w:val="22"/>
          <w:szCs w:val="22"/>
        </w:rPr>
      </w:pPr>
      <w:r w:rsidRPr="00800487">
        <w:rPr>
          <w:rFonts w:ascii="Arial" w:hAnsi="Arial" w:cs="Arial"/>
          <w:b/>
          <w:sz w:val="22"/>
          <w:szCs w:val="22"/>
        </w:rPr>
        <w:t>Rental on properties subject to land claims (Blydepoort and Swadini)</w:t>
      </w:r>
    </w:p>
    <w:p w:rsidR="00800487" w:rsidRPr="00800487" w:rsidRDefault="00800487" w:rsidP="00800487">
      <w:pPr>
        <w:tabs>
          <w:tab w:val="left" w:pos="851"/>
        </w:tabs>
        <w:spacing w:line="360" w:lineRule="auto"/>
        <w:ind w:left="720"/>
        <w:rPr>
          <w:rFonts w:ascii="Arial" w:hAnsi="Arial" w:cs="Arial"/>
          <w:sz w:val="22"/>
          <w:szCs w:val="22"/>
        </w:rPr>
      </w:pPr>
    </w:p>
    <w:p w:rsidR="00800487" w:rsidRPr="00800487" w:rsidRDefault="00800487" w:rsidP="00800487">
      <w:pPr>
        <w:tabs>
          <w:tab w:val="left" w:pos="720"/>
        </w:tabs>
        <w:spacing w:line="360" w:lineRule="auto"/>
        <w:ind w:left="360"/>
        <w:jc w:val="both"/>
        <w:rPr>
          <w:rFonts w:ascii="Arial" w:hAnsi="Arial" w:cs="Arial"/>
          <w:sz w:val="22"/>
          <w:szCs w:val="22"/>
        </w:rPr>
      </w:pPr>
      <w:r w:rsidRPr="00800487">
        <w:rPr>
          <w:rFonts w:ascii="Arial" w:hAnsi="Arial" w:cs="Arial"/>
          <w:sz w:val="22"/>
          <w:szCs w:val="22"/>
        </w:rPr>
        <w:t>The Department has discovered that no rental has been paid by Forever Resorts on these two resorts. This is due to failure by Government to resolve the land claims to conclusion in the affected areas.</w:t>
      </w:r>
    </w:p>
    <w:p w:rsidR="00800487" w:rsidRPr="00800487" w:rsidRDefault="00800487" w:rsidP="00800487">
      <w:pPr>
        <w:tabs>
          <w:tab w:val="left" w:pos="851"/>
        </w:tabs>
        <w:spacing w:line="360" w:lineRule="auto"/>
        <w:jc w:val="both"/>
        <w:rPr>
          <w:rFonts w:ascii="Arial" w:hAnsi="Arial" w:cs="Arial"/>
          <w:sz w:val="22"/>
          <w:szCs w:val="22"/>
        </w:rPr>
      </w:pPr>
    </w:p>
    <w:p w:rsidR="00800487" w:rsidRPr="00800487" w:rsidRDefault="00800487" w:rsidP="00800487">
      <w:pPr>
        <w:tabs>
          <w:tab w:val="left" w:pos="720"/>
        </w:tabs>
        <w:spacing w:line="360" w:lineRule="auto"/>
        <w:ind w:left="360"/>
        <w:jc w:val="both"/>
        <w:rPr>
          <w:rFonts w:ascii="Arial" w:hAnsi="Arial" w:cs="Arial"/>
          <w:sz w:val="22"/>
          <w:szCs w:val="22"/>
        </w:rPr>
      </w:pPr>
      <w:r w:rsidRPr="00800487">
        <w:rPr>
          <w:rFonts w:ascii="Arial" w:hAnsi="Arial" w:cs="Arial"/>
          <w:sz w:val="22"/>
          <w:szCs w:val="22"/>
        </w:rPr>
        <w:t xml:space="preserve">The Department has recently engaged Forever Resorts and the Department of Public Works and both parties are prepared to engage in negotiations to conclude the lease agreement. Forever Resorts is prepared to negotiate the lease (on the basis of a market related rental) with the Department of Public Works provided the improvements that Forever Resorts has made to those two Resorts ever since it took over are taken into account during such negotiations. Department of Public Works has advised that it needs to engage first with the Political principals in this matter. The Department of Rural Development and Land Reform is a critical player to any negotiations going forward to ensure that the successful claimants’ communities are not short-changed in the lease agreement that will be concluded on their behalf by the Department of Public Works and Forever Resorts. </w:t>
      </w:r>
    </w:p>
    <w:p w:rsidR="00800487" w:rsidRPr="00800487" w:rsidRDefault="00800487" w:rsidP="00800487">
      <w:pPr>
        <w:tabs>
          <w:tab w:val="left" w:pos="851"/>
        </w:tabs>
        <w:spacing w:line="360" w:lineRule="auto"/>
        <w:rPr>
          <w:rFonts w:ascii="Arial" w:hAnsi="Arial" w:cs="Arial"/>
          <w:sz w:val="22"/>
          <w:szCs w:val="22"/>
          <w:lang w:val="en-GB"/>
        </w:rPr>
      </w:pPr>
    </w:p>
    <w:p w:rsidR="00FA7ED8" w:rsidRPr="00CB7B00" w:rsidRDefault="00FA7ED8" w:rsidP="00800487">
      <w:pPr>
        <w:rPr>
          <w:sz w:val="20"/>
          <w:szCs w:val="20"/>
        </w:rPr>
      </w:pPr>
    </w:p>
    <w:sectPr w:rsidR="00FA7ED8" w:rsidRPr="00CB7B00" w:rsidSect="00C427BC">
      <w:pgSz w:w="12240" w:h="15840"/>
      <w:pgMar w:top="851" w:right="1800" w:bottom="42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1ADD5686"/>
    <w:multiLevelType w:val="hybridMultilevel"/>
    <w:tmpl w:val="AD0893E2"/>
    <w:lvl w:ilvl="0" w:tplc="72F81366">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nsid w:val="20301C4B"/>
    <w:multiLevelType w:val="hybridMultilevel"/>
    <w:tmpl w:val="AA24AF16"/>
    <w:lvl w:ilvl="0" w:tplc="5914CA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157BF7"/>
    <w:multiLevelType w:val="hybridMultilevel"/>
    <w:tmpl w:val="A70278C6"/>
    <w:lvl w:ilvl="0" w:tplc="E3920EF8">
      <w:start w:val="2"/>
      <w:numFmt w:val="bullet"/>
      <w:lvlText w:val="-"/>
      <w:lvlJc w:val="left"/>
      <w:pPr>
        <w:ind w:left="144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52A7FAC"/>
    <w:multiLevelType w:val="hybridMultilevel"/>
    <w:tmpl w:val="0194FC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CC22945"/>
    <w:multiLevelType w:val="hybridMultilevel"/>
    <w:tmpl w:val="9464466C"/>
    <w:lvl w:ilvl="0" w:tplc="952C2CD0">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7">
    <w:nsid w:val="48DC55C9"/>
    <w:multiLevelType w:val="hybridMultilevel"/>
    <w:tmpl w:val="46161992"/>
    <w:lvl w:ilvl="0" w:tplc="DEBA3A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AB50B98"/>
    <w:multiLevelType w:val="hybridMultilevel"/>
    <w:tmpl w:val="36CEEF74"/>
    <w:lvl w:ilvl="0" w:tplc="F1E20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D703BD"/>
    <w:multiLevelType w:val="hybridMultilevel"/>
    <w:tmpl w:val="34528450"/>
    <w:lvl w:ilvl="0" w:tplc="63F2BED2">
      <w:start w:val="1"/>
      <w:numFmt w:val="decimal"/>
      <w:lvlText w:val="%1."/>
      <w:lvlJc w:val="left"/>
      <w:pPr>
        <w:ind w:left="855" w:hanging="675"/>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1">
    <w:nsid w:val="79D07113"/>
    <w:multiLevelType w:val="hybridMultilevel"/>
    <w:tmpl w:val="5F1AEEB0"/>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num w:numId="1">
    <w:abstractNumId w:val="6"/>
  </w:num>
  <w:num w:numId="2">
    <w:abstractNumId w:val="10"/>
  </w:num>
  <w:num w:numId="3">
    <w:abstractNumId w:val="0"/>
  </w:num>
  <w:num w:numId="4">
    <w:abstractNumId w:val="7"/>
  </w:num>
  <w:num w:numId="5">
    <w:abstractNumId w:val="3"/>
  </w:num>
  <w:num w:numId="6">
    <w:abstractNumId w:val="1"/>
  </w:num>
  <w:num w:numId="7">
    <w:abstractNumId w:val="5"/>
  </w:num>
  <w:num w:numId="8">
    <w:abstractNumId w:val="8"/>
  </w:num>
  <w:num w:numId="9">
    <w:abstractNumId w:val="2"/>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D0503"/>
    <w:rsid w:val="00003B3F"/>
    <w:rsid w:val="00005888"/>
    <w:rsid w:val="000107A1"/>
    <w:rsid w:val="00045FEF"/>
    <w:rsid w:val="000629C6"/>
    <w:rsid w:val="0006719E"/>
    <w:rsid w:val="0007186E"/>
    <w:rsid w:val="00087D40"/>
    <w:rsid w:val="000A581E"/>
    <w:rsid w:val="000B6791"/>
    <w:rsid w:val="00105922"/>
    <w:rsid w:val="00125D8E"/>
    <w:rsid w:val="00141EAA"/>
    <w:rsid w:val="00152E8D"/>
    <w:rsid w:val="00162952"/>
    <w:rsid w:val="00164073"/>
    <w:rsid w:val="00190B29"/>
    <w:rsid w:val="001B13C2"/>
    <w:rsid w:val="001C647A"/>
    <w:rsid w:val="001E09A9"/>
    <w:rsid w:val="001F01D4"/>
    <w:rsid w:val="00210533"/>
    <w:rsid w:val="0026770C"/>
    <w:rsid w:val="00271AFC"/>
    <w:rsid w:val="002A425E"/>
    <w:rsid w:val="002B2832"/>
    <w:rsid w:val="002C030C"/>
    <w:rsid w:val="002E5191"/>
    <w:rsid w:val="002E7B93"/>
    <w:rsid w:val="002F1297"/>
    <w:rsid w:val="002F5F24"/>
    <w:rsid w:val="00307D62"/>
    <w:rsid w:val="003468A9"/>
    <w:rsid w:val="00373DD4"/>
    <w:rsid w:val="00374F17"/>
    <w:rsid w:val="00435FE3"/>
    <w:rsid w:val="00450239"/>
    <w:rsid w:val="0047791E"/>
    <w:rsid w:val="004A4357"/>
    <w:rsid w:val="004B03E1"/>
    <w:rsid w:val="004C6935"/>
    <w:rsid w:val="00500074"/>
    <w:rsid w:val="00534DDF"/>
    <w:rsid w:val="0054518F"/>
    <w:rsid w:val="005703CE"/>
    <w:rsid w:val="005E2C53"/>
    <w:rsid w:val="00612054"/>
    <w:rsid w:val="0066527A"/>
    <w:rsid w:val="00665425"/>
    <w:rsid w:val="006D650A"/>
    <w:rsid w:val="006E04BF"/>
    <w:rsid w:val="006E226F"/>
    <w:rsid w:val="006E28F9"/>
    <w:rsid w:val="00716A5F"/>
    <w:rsid w:val="007410D8"/>
    <w:rsid w:val="00741768"/>
    <w:rsid w:val="00753188"/>
    <w:rsid w:val="00763854"/>
    <w:rsid w:val="00767C12"/>
    <w:rsid w:val="00780828"/>
    <w:rsid w:val="007840BD"/>
    <w:rsid w:val="00792DF7"/>
    <w:rsid w:val="007A77D7"/>
    <w:rsid w:val="007B2942"/>
    <w:rsid w:val="007C48D9"/>
    <w:rsid w:val="00800487"/>
    <w:rsid w:val="00824E8E"/>
    <w:rsid w:val="008856E6"/>
    <w:rsid w:val="00892DFB"/>
    <w:rsid w:val="008968F5"/>
    <w:rsid w:val="008B6640"/>
    <w:rsid w:val="008C4279"/>
    <w:rsid w:val="008E1A9C"/>
    <w:rsid w:val="008F0792"/>
    <w:rsid w:val="0090365F"/>
    <w:rsid w:val="00905B7B"/>
    <w:rsid w:val="00930D31"/>
    <w:rsid w:val="00942881"/>
    <w:rsid w:val="00947C63"/>
    <w:rsid w:val="00953D13"/>
    <w:rsid w:val="00956AE9"/>
    <w:rsid w:val="00957EA0"/>
    <w:rsid w:val="009A53BF"/>
    <w:rsid w:val="009B4F7B"/>
    <w:rsid w:val="009B6439"/>
    <w:rsid w:val="009C4542"/>
    <w:rsid w:val="009C50D7"/>
    <w:rsid w:val="00A00E8D"/>
    <w:rsid w:val="00A040B0"/>
    <w:rsid w:val="00A164FA"/>
    <w:rsid w:val="00A207A4"/>
    <w:rsid w:val="00A21970"/>
    <w:rsid w:val="00A2660A"/>
    <w:rsid w:val="00A32B8B"/>
    <w:rsid w:val="00A3548B"/>
    <w:rsid w:val="00A45C08"/>
    <w:rsid w:val="00A5103C"/>
    <w:rsid w:val="00A77EA7"/>
    <w:rsid w:val="00A83BB5"/>
    <w:rsid w:val="00A91609"/>
    <w:rsid w:val="00A96EFA"/>
    <w:rsid w:val="00AB620F"/>
    <w:rsid w:val="00AD433D"/>
    <w:rsid w:val="00AE07A0"/>
    <w:rsid w:val="00AF4679"/>
    <w:rsid w:val="00B34D01"/>
    <w:rsid w:val="00B43A3C"/>
    <w:rsid w:val="00B66A10"/>
    <w:rsid w:val="00B81C28"/>
    <w:rsid w:val="00B81C99"/>
    <w:rsid w:val="00B93385"/>
    <w:rsid w:val="00BA7FA4"/>
    <w:rsid w:val="00BB2CDD"/>
    <w:rsid w:val="00BB480D"/>
    <w:rsid w:val="00BC24E0"/>
    <w:rsid w:val="00BC60BD"/>
    <w:rsid w:val="00BD0503"/>
    <w:rsid w:val="00C11460"/>
    <w:rsid w:val="00C160A3"/>
    <w:rsid w:val="00C376CE"/>
    <w:rsid w:val="00C427BC"/>
    <w:rsid w:val="00C46606"/>
    <w:rsid w:val="00C76C58"/>
    <w:rsid w:val="00CB5194"/>
    <w:rsid w:val="00CB7B00"/>
    <w:rsid w:val="00CC6424"/>
    <w:rsid w:val="00CE72A9"/>
    <w:rsid w:val="00CF1AE8"/>
    <w:rsid w:val="00D2166C"/>
    <w:rsid w:val="00D41652"/>
    <w:rsid w:val="00D543BA"/>
    <w:rsid w:val="00D6168F"/>
    <w:rsid w:val="00D80F16"/>
    <w:rsid w:val="00DB4DD0"/>
    <w:rsid w:val="00DE52C7"/>
    <w:rsid w:val="00DE79CA"/>
    <w:rsid w:val="00DF2645"/>
    <w:rsid w:val="00E06376"/>
    <w:rsid w:val="00E25C2E"/>
    <w:rsid w:val="00E36A15"/>
    <w:rsid w:val="00E4134B"/>
    <w:rsid w:val="00E41411"/>
    <w:rsid w:val="00E46280"/>
    <w:rsid w:val="00E46F4E"/>
    <w:rsid w:val="00E73ABB"/>
    <w:rsid w:val="00E82E1D"/>
    <w:rsid w:val="00E83FF9"/>
    <w:rsid w:val="00E86264"/>
    <w:rsid w:val="00EA1E2C"/>
    <w:rsid w:val="00EB2717"/>
    <w:rsid w:val="00EE5757"/>
    <w:rsid w:val="00F14DB8"/>
    <w:rsid w:val="00F31673"/>
    <w:rsid w:val="00F62BDA"/>
    <w:rsid w:val="00F651DA"/>
    <w:rsid w:val="00FA1518"/>
    <w:rsid w:val="00FA2EA9"/>
    <w:rsid w:val="00FA7ED8"/>
    <w:rsid w:val="00FD39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79"/>
    <w:rPr>
      <w:sz w:val="24"/>
      <w:szCs w:val="24"/>
    </w:rPr>
  </w:style>
  <w:style w:type="paragraph" w:styleId="Heading1">
    <w:name w:val="heading 1"/>
    <w:basedOn w:val="Normal"/>
    <w:next w:val="Normal"/>
    <w:qFormat/>
    <w:rsid w:val="00AF4679"/>
    <w:pPr>
      <w:keepNext/>
      <w:spacing w:line="312" w:lineRule="auto"/>
      <w:ind w:left="540"/>
      <w:outlineLvl w:val="0"/>
    </w:pPr>
    <w:rPr>
      <w:rFonts w:ascii="Arial" w:hAnsi="Arial" w:cs="Arial"/>
      <w:b/>
      <w:bCs/>
    </w:rPr>
  </w:style>
  <w:style w:type="paragraph" w:styleId="Heading2">
    <w:name w:val="heading 2"/>
    <w:basedOn w:val="Normal"/>
    <w:next w:val="Normal"/>
    <w:qFormat/>
    <w:rsid w:val="00AF4679"/>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AF4679"/>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AF4679"/>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AF4679"/>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basedOn w:val="Normal"/>
    <w:uiPriority w:val="34"/>
    <w:qFormat/>
    <w:rsid w:val="00E86264"/>
    <w:pPr>
      <w:ind w:left="720"/>
      <w:contextualSpacing/>
    </w:p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4624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5542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2018-05-28T09:01:00Z</cp:lastPrinted>
  <dcterms:created xsi:type="dcterms:W3CDTF">2018-05-31T08:39:00Z</dcterms:created>
  <dcterms:modified xsi:type="dcterms:W3CDTF">2018-05-31T08:39:00Z</dcterms:modified>
</cp:coreProperties>
</file>