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0048" w:rsidRDefault="00DA191C">
      <w:r>
        <w:rPr>
          <w:noProof/>
          <w:lang w:val="en-ZA" w:eastAsia="en-ZA"/>
        </w:rPr>
        <w:pict>
          <v:shapetype id="_x0000_t202" coordsize="21600,21600" o:spt="202" path="m,l,21600r21600,l21600,xe">
            <v:stroke joinstyle="miter"/>
            <v:path gradientshapeok="t" o:connecttype="rect"/>
          </v:shapetype>
          <v:shape id="Text Box 2" o:spid="_x0000_s1026" type="#_x0000_t202" style="position:absolute;margin-left:0;margin-top:327pt;width:9in;height: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" fillcolor="white [3201]" strokeweight=".5pt">
            <v:textbox>
              <w:txbxContent>
                <w:p w:rsidR="000F129D" w:rsidRPr="00061610" w:rsidRDefault="00AA2E8C" w:rsidP="002A6DD6">
                  <w:pPr>
                    <w:jc w:val="center"/>
                    <w:rPr>
                      <w:rFonts w:ascii="Arial" w:hAnsi="Arial" w:cs="Arial"/>
                      <w:b/>
                      <w:spacing w:val="10"/>
                      <w:sz w:val="56"/>
                      <w:szCs w:val="56"/>
                    </w:rPr>
                  </w:pPr>
                  <w:r>
                    <w:rPr>
                      <w:rFonts w:ascii="Arial" w:hAnsi="Arial" w:cs="Arial"/>
                      <w:b/>
                      <w:spacing w:val="10"/>
                      <w:sz w:val="56"/>
                      <w:szCs w:val="56"/>
                    </w:rPr>
                    <w:t xml:space="preserve">EASTERN CAPE </w:t>
                  </w:r>
                  <w:r w:rsidR="00D238FC">
                    <w:rPr>
                      <w:rFonts w:ascii="Arial" w:hAnsi="Arial" w:cs="Arial"/>
                      <w:b/>
                      <w:spacing w:val="10"/>
                      <w:sz w:val="56"/>
                      <w:szCs w:val="56"/>
                    </w:rPr>
                    <w:t>P</w:t>
                  </w:r>
                  <w:r>
                    <w:rPr>
                      <w:rFonts w:ascii="Arial" w:hAnsi="Arial" w:cs="Arial"/>
                      <w:b/>
                      <w:spacing w:val="10"/>
                      <w:sz w:val="56"/>
                      <w:szCs w:val="56"/>
                    </w:rPr>
                    <w:t>ROVINCIAL TREASURY</w:t>
                  </w:r>
                  <w:r w:rsidR="000F129D" w:rsidRPr="00061610">
                    <w:rPr>
                      <w:rFonts w:ascii="Arial" w:hAnsi="Arial" w:cs="Arial"/>
                      <w:b/>
                      <w:spacing w:val="10"/>
                      <w:sz w:val="56"/>
                      <w:szCs w:val="56"/>
                    </w:rPr>
                    <w:t>:</w:t>
                  </w:r>
                </w:p>
                <w:p w:rsidR="00AA2E8C" w:rsidRDefault="00D06E6D" w:rsidP="002A6DD6">
                  <w:pPr>
                    <w:jc w:val="center"/>
                    <w:rPr>
                      <w:rFonts w:ascii="Arial" w:hAnsi="Arial" w:cs="Arial"/>
                      <w:b/>
                      <w:spacing w:val="10"/>
                      <w:sz w:val="44"/>
                      <w:szCs w:val="56"/>
                      <w:lang w:val="en-ZA"/>
                    </w:rPr>
                  </w:pPr>
                  <w:r w:rsidRPr="00616AA2">
                    <w:rPr>
                      <w:rFonts w:ascii="Arial" w:hAnsi="Arial" w:cs="Arial"/>
                      <w:b/>
                      <w:spacing w:val="10"/>
                      <w:sz w:val="44"/>
                      <w:szCs w:val="56"/>
                      <w:lang w:val="en-ZA"/>
                    </w:rPr>
                    <w:t xml:space="preserve">RESPONSES </w:t>
                  </w:r>
                  <w:r w:rsidR="006D07ED">
                    <w:rPr>
                      <w:rFonts w:ascii="Arial" w:hAnsi="Arial" w:cs="Arial"/>
                      <w:b/>
                      <w:spacing w:val="10"/>
                      <w:sz w:val="44"/>
                      <w:szCs w:val="56"/>
                      <w:lang w:val="en-ZA"/>
                    </w:rPr>
                    <w:t>ON COMMITTEE</w:t>
                  </w:r>
                  <w:r w:rsidRPr="00616AA2">
                    <w:rPr>
                      <w:rFonts w:ascii="Arial" w:hAnsi="Arial" w:cs="Arial"/>
                      <w:b/>
                      <w:spacing w:val="10"/>
                      <w:sz w:val="44"/>
                      <w:szCs w:val="56"/>
                      <w:lang w:val="en-ZA"/>
                    </w:rPr>
                    <w:t xml:space="preserve"> </w:t>
                  </w:r>
                  <w:r w:rsidR="00616AA2" w:rsidRPr="00616AA2">
                    <w:rPr>
                      <w:rFonts w:ascii="Arial" w:hAnsi="Arial" w:cs="Arial"/>
                      <w:b/>
                      <w:spacing w:val="10"/>
                      <w:sz w:val="44"/>
                      <w:szCs w:val="56"/>
                      <w:lang w:val="en-ZA"/>
                    </w:rPr>
                    <w:t>RECOMMENDATIONS</w:t>
                  </w:r>
                  <w:r w:rsidR="006D07ED">
                    <w:rPr>
                      <w:rFonts w:ascii="Arial" w:hAnsi="Arial" w:cs="Arial"/>
                      <w:b/>
                      <w:spacing w:val="10"/>
                      <w:sz w:val="44"/>
                      <w:szCs w:val="56"/>
                      <w:lang w:val="en-ZA"/>
                    </w:rPr>
                    <w:t xml:space="preserve"> </w:t>
                  </w:r>
                  <w:r w:rsidR="00075467">
                    <w:rPr>
                      <w:rFonts w:ascii="Arial" w:hAnsi="Arial" w:cs="Arial"/>
                      <w:b/>
                      <w:spacing w:val="10"/>
                      <w:sz w:val="44"/>
                      <w:szCs w:val="56"/>
                      <w:lang w:val="en-ZA"/>
                    </w:rPr>
                    <w:t>- 2016</w:t>
                  </w:r>
                  <w:r w:rsidR="00FE0CB3" w:rsidRPr="00616AA2">
                    <w:rPr>
                      <w:rFonts w:ascii="Arial" w:hAnsi="Arial" w:cs="Arial"/>
                      <w:b/>
                      <w:spacing w:val="10"/>
                      <w:sz w:val="44"/>
                      <w:szCs w:val="56"/>
                      <w:lang w:val="en-ZA"/>
                    </w:rPr>
                    <w:t>/17</w:t>
                  </w:r>
                  <w:r w:rsidR="00FE0CB3">
                    <w:rPr>
                      <w:rFonts w:ascii="Arial" w:hAnsi="Arial" w:cs="Arial"/>
                      <w:b/>
                      <w:spacing w:val="10"/>
                      <w:sz w:val="44"/>
                      <w:szCs w:val="56"/>
                      <w:lang w:val="en-ZA"/>
                    </w:rPr>
                    <w:t xml:space="preserve"> REPORT</w:t>
                  </w:r>
                </w:p>
                <w:p w:rsidR="00616AA2" w:rsidRDefault="00616AA2" w:rsidP="002A6DD6">
                  <w:pPr>
                    <w:jc w:val="center"/>
                    <w:rPr>
                      <w:rFonts w:ascii="Arial" w:hAnsi="Arial" w:cs="Arial"/>
                      <w:b/>
                      <w:spacing w:val="10"/>
                      <w:sz w:val="44"/>
                      <w:szCs w:val="56"/>
                      <w:lang w:val="en-ZA"/>
                    </w:rPr>
                  </w:pPr>
                </w:p>
                <w:p w:rsidR="00616AA2" w:rsidRPr="00616AA2" w:rsidRDefault="00616AA2" w:rsidP="002A6DD6">
                  <w:pPr>
                    <w:jc w:val="center"/>
                    <w:rPr>
                      <w:rFonts w:ascii="Arial" w:hAnsi="Arial" w:cs="Arial"/>
                      <w:b/>
                      <w:spacing w:val="10"/>
                      <w:sz w:val="44"/>
                      <w:szCs w:val="56"/>
                      <w:lang w:val="en-ZA"/>
                    </w:rPr>
                  </w:pPr>
                  <w:r>
                    <w:rPr>
                      <w:rFonts w:ascii="Arial" w:hAnsi="Arial" w:cs="Arial"/>
                      <w:b/>
                      <w:spacing w:val="10"/>
                      <w:sz w:val="44"/>
                      <w:szCs w:val="56"/>
                      <w:lang w:val="en-ZA"/>
                    </w:rPr>
                    <w:t>SELECT COMMITTEE ON FINANCE – 15 MAY 2018</w:t>
                  </w:r>
                </w:p>
                <w:p w:rsidR="003E27BF" w:rsidRPr="00061610" w:rsidRDefault="003E27BF">
                  <w:pPr>
                    <w:rPr>
                      <w:rFonts w:ascii="Arial" w:hAnsi="Arial" w:cs="Arial"/>
                      <w:sz w:val="64"/>
                      <w:szCs w:val="64"/>
                    </w:rPr>
                  </w:pPr>
                </w:p>
              </w:txbxContent>
            </v:textbox>
          </v:shape>
        </w:pict>
      </w:r>
      <w:r>
        <w:rPr>
          <w:noProof/>
          <w:lang w:val="en-ZA" w:eastAsia="en-ZA"/>
        </w:rPr>
        <w:pict>
          <v:shape id="Text Box 25" o:spid="_x0000_s1027" type="#_x0000_t202" style="position:absolute;margin-left:5.5pt;margin-top:30.9pt;width:10in;height:195.4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" fillcolor="white [3201]" stroked="f" strokeweight=".5pt">
            <v:fill opacity="0"/>
            <v:textbox>
              <w:txbxContent>
                <w:p w:rsidR="00275529" w:rsidRPr="00146234" w:rsidRDefault="00275529" w:rsidP="00275529">
                  <w:pPr>
                    <w:jc w:val="center"/>
                    <w:rPr>
                      <w:sz w:val="38"/>
                    </w:rPr>
                  </w:pPr>
                </w:p>
              </w:txbxContent>
            </v:textbox>
          </v:shape>
        </w:pict>
      </w:r>
      <w:r w:rsidRPr="00DA191C">
        <w:rPr>
          <w:rFonts w:ascii="Calibri" w:eastAsia="Calibri" w:hAnsi="Calibri"/>
          <w:noProof/>
          <w:lang w:val="en-ZA" w:eastAsia="en-ZA"/>
        </w:rPr>
        <w:pict>
          <v:group id="Group 1072" o:spid="_x0000_s1028" style="position:absolute;margin-left:12pt;margin-top:762.45pt;width:252.7pt;height:48.6pt;z-index:-251655168;mso-position-horizontal-relative:page;mso-position-vertical-relative:page" coordorigin=",15009" coordsize="5054,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">
            <v:shape id="Freeform 1073" o:spid="_x0000_s1029" style="position:absolute;top:15009;width:5054;height:972;visibility:visible;mso-wrap-style:square;v-text-anchor:top" coordsize="5054,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QvG8cA&#10;AADdAAAADwAAAGRycy9kb3ducmV2LnhtbESPT2sCMRDF74V+hzAFbzW7HoqsRtkWLQUP4h8Eb+Nm&#10;3CxuJusm1fjtm0Khtxnee795M51H24ob9b5xrCAfZiCIK6cbrhXsd8vXMQgfkDW2jknBgzzMZ89P&#10;Uyy0u/OGbttQiwRhX6ACE0JXSOkrQxb90HXESTu73mJIa19L3eM9wW0rR1n2Ji02nC4Y7OjDUHXZ&#10;fttE2Xy6eDrm67gyi3VZHq7vhyUqNXiJ5QREoBj+zX/pL53q5/kIfr9JI8j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kLxvHAAAA3QAAAA8AAAAAAAAAAAAAAAAAmAIAAGRy&#10;cy9kb3ducmV2LnhtbFBLBQYAAAAABAAEAPUAAACMAwAAAAA=&#10;" path="m,972r5054,l5054,,,,,972e" fillcolor="#ead5a1" stroked="f">
              <v:path arrowok="t" o:connecttype="custom" o:connectlocs="0,15981;5054,15981;5054,15009;0,15009;0,15981" o:connectangles="0,0,0,0,0"/>
            </v:shape>
            <w10:wrap anchorx="page" anchory="page"/>
          </v:group>
        </w:pict>
      </w:r>
      <w:r w:rsidR="003E27BF" w:rsidRPr="00AE00D3">
        <w:rPr>
          <w:noProof/>
          <w:lang w:val="en-ZA" w:eastAsia="en-ZA"/>
        </w:rPr>
        <w:drawing>
          <wp:inline distT="0" distB="0" distL="0" distR="0">
            <wp:extent cx="8229600" cy="7748201"/>
            <wp:effectExtent l="0" t="0" r="0" b="571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29600" cy="7748201"/>
                    </a:xfrm>
                    <a:prstGeom prst="rect">
                      <a:avLst/>
                    </a:prstGeom>
                    <a:noFill/>
                    <a:ln>
                      <a:noFill/>
                    </a:ln>
                    <a:effectLst/>
                    <a:extLst/>
                  </pic:spPr>
                </pic:pic>
              </a:graphicData>
            </a:graphic>
          </wp:inline>
        </w:drawing>
      </w:r>
    </w:p>
    <w:p w:rsidR="00061610" w:rsidRDefault="00061610" w:rsidP="00300862">
      <w:pPr>
        <w:keepNext/>
        <w:keepLines/>
        <w:jc w:val="center"/>
        <w:outlineLvl w:val="1"/>
        <w:rPr>
          <w:rFonts w:ascii="Arial" w:eastAsiaTheme="majorEastAsia" w:hAnsi="Arial" w:cs="Arial"/>
          <w:b/>
          <w:bCs/>
          <w:color w:val="FFFFFF" w:themeColor="background1"/>
          <w:sz w:val="28"/>
          <w:szCs w:val="28"/>
        </w:rPr>
        <w:sectPr w:rsidR="00061610" w:rsidSect="003E27BF">
          <w:footerReference w:type="default" r:id="rId9"/>
          <w:pgSz w:w="15840" w:h="12240" w:orient="landscape"/>
          <w:pgMar w:top="1440" w:right="1440" w:bottom="1440" w:left="1440" w:header="720" w:footer="720" w:gutter="0"/>
          <w:cols w:space="720"/>
          <w:docGrid w:linePitch="360"/>
        </w:sectPr>
      </w:pPr>
    </w:p>
    <w:tbl>
      <w:tblPr>
        <w:tblW w:w="13907"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907"/>
      </w:tblGrid>
      <w:tr w:rsidR="00C57F94" w:rsidRPr="00061610" w:rsidTr="00C31DA8">
        <w:trPr>
          <w:trHeight w:val="378"/>
          <w:tblHeader/>
        </w:trPr>
        <w:tc>
          <w:tcPr>
            <w:tcW w:w="13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84806" w:themeFill="accent6" w:themeFillShade="80"/>
            <w:vAlign w:val="center"/>
          </w:tcPr>
          <w:p w:rsidR="00C57F94" w:rsidRPr="00061610" w:rsidRDefault="00E25F89" w:rsidP="00E25F89">
            <w:pPr>
              <w:jc w:val="center"/>
              <w:rPr>
                <w:rFonts w:ascii="Arial" w:eastAsiaTheme="majorEastAsia" w:hAnsi="Arial" w:cs="Arial"/>
                <w:b/>
                <w:bCs/>
                <w:color w:val="FFFFFF" w:themeColor="background1"/>
                <w:sz w:val="28"/>
                <w:szCs w:val="28"/>
              </w:rPr>
            </w:pPr>
            <w:r w:rsidRPr="00E25F89">
              <w:rPr>
                <w:rFonts w:ascii="Arial" w:eastAsiaTheme="majorEastAsia" w:hAnsi="Arial" w:cs="Arial"/>
                <w:b/>
                <w:bCs/>
                <w:color w:val="FFFFFF" w:themeColor="background1"/>
                <w:sz w:val="28"/>
                <w:szCs w:val="28"/>
              </w:rPr>
              <w:lastRenderedPageBreak/>
              <w:t>RESPONSES TO 2016/17 RECOMMENDATIONS</w:t>
            </w:r>
          </w:p>
        </w:tc>
      </w:tr>
      <w:tr w:rsidR="00692798" w:rsidRPr="00061610" w:rsidTr="0007234D">
        <w:trPr>
          <w:trHeight w:val="450"/>
          <w:tblHeader/>
        </w:trPr>
        <w:tc>
          <w:tcPr>
            <w:tcW w:w="13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E2402"/>
            <w:vAlign w:val="center"/>
          </w:tcPr>
          <w:p w:rsidR="00692798" w:rsidRDefault="00E25F89" w:rsidP="006E4D5C">
            <w:pPr>
              <w:keepNext/>
              <w:keepLines/>
              <w:jc w:val="center"/>
              <w:outlineLvl w:val="1"/>
              <w:rPr>
                <w:rFonts w:ascii="Arial" w:eastAsiaTheme="majorEastAsia" w:hAnsi="Arial" w:cs="Arial"/>
                <w:b/>
                <w:bCs/>
                <w:color w:val="FFFFFF" w:themeColor="background1"/>
                <w:sz w:val="28"/>
                <w:szCs w:val="28"/>
              </w:rPr>
            </w:pPr>
            <w:r>
              <w:rPr>
                <w:rFonts w:ascii="Arial" w:eastAsiaTheme="majorEastAsia" w:hAnsi="Arial" w:cs="Arial"/>
                <w:b/>
                <w:bCs/>
                <w:color w:val="FFFFFF" w:themeColor="background1"/>
                <w:sz w:val="28"/>
                <w:szCs w:val="28"/>
              </w:rPr>
              <w:t>RECOMMENDATION</w:t>
            </w:r>
            <w:r w:rsidR="008F58E3">
              <w:rPr>
                <w:rFonts w:ascii="Arial" w:eastAsiaTheme="majorEastAsia" w:hAnsi="Arial" w:cs="Arial"/>
                <w:b/>
                <w:bCs/>
                <w:color w:val="FFFFFF" w:themeColor="background1"/>
                <w:sz w:val="28"/>
                <w:szCs w:val="28"/>
              </w:rPr>
              <w:t xml:space="preserve"> 12.1</w:t>
            </w:r>
          </w:p>
        </w:tc>
      </w:tr>
      <w:tr w:rsidR="00692798" w:rsidRPr="002175B7" w:rsidTr="005F0941">
        <w:trPr>
          <w:trHeight w:val="746"/>
        </w:trPr>
        <w:tc>
          <w:tcPr>
            <w:tcW w:w="13907" w:type="dxa"/>
            <w:tcBorders>
              <w:top w:val="single" w:sz="4" w:space="0" w:color="FFFFFF" w:themeColor="background1"/>
              <w:bottom w:val="single" w:sz="4" w:space="0" w:color="auto"/>
            </w:tcBorders>
            <w:shd w:val="clear" w:color="auto" w:fill="auto"/>
          </w:tcPr>
          <w:p w:rsidR="00692798" w:rsidRPr="002175B7" w:rsidRDefault="00B61348" w:rsidP="0072252E">
            <w:pPr>
              <w:pStyle w:val="ListParagraph"/>
              <w:numPr>
                <w:ilvl w:val="0"/>
                <w:numId w:val="2"/>
              </w:numPr>
              <w:jc w:val="both"/>
            </w:pPr>
            <w:r w:rsidRPr="00B61348">
              <w:rPr>
                <w:rFonts w:ascii="Arial" w:hAnsi="Arial" w:cs="Arial"/>
                <w:sz w:val="22"/>
                <w:szCs w:val="22"/>
              </w:rPr>
              <w:t>The Provinces should take into consideration the implications of the recent recession; downgrading of the country’s sovereignty to “junk status” and fiscal consolidation in developing and implementing their respective provincial fiscal frameworks. Careful application of good budget management principles will assist the Provinces in managing overspending, underspending and enhance the Province’s credibility in own revenue forecasting and own revenue collection</w:t>
            </w:r>
            <w:r w:rsidR="002321AF">
              <w:rPr>
                <w:rFonts w:ascii="Arial" w:hAnsi="Arial" w:cs="Arial"/>
                <w:sz w:val="22"/>
                <w:szCs w:val="22"/>
              </w:rPr>
              <w:t>.</w:t>
            </w:r>
          </w:p>
        </w:tc>
      </w:tr>
      <w:tr w:rsidR="00B8580A" w:rsidRPr="00E25F89" w:rsidTr="009642FD">
        <w:trPr>
          <w:trHeight w:val="980"/>
        </w:trPr>
        <w:tc>
          <w:tcPr>
            <w:tcW w:w="13907" w:type="dxa"/>
            <w:tcBorders>
              <w:bottom w:val="single" w:sz="4" w:space="0" w:color="auto"/>
            </w:tcBorders>
            <w:shd w:val="clear" w:color="auto" w:fill="auto"/>
          </w:tcPr>
          <w:p w:rsidR="008F58E3" w:rsidRDefault="008F58E3" w:rsidP="007A6ADF">
            <w:pPr>
              <w:spacing w:line="360" w:lineRule="auto"/>
              <w:jc w:val="both"/>
              <w:rPr>
                <w:rFonts w:ascii="Arial" w:hAnsi="Arial" w:cs="Arial"/>
                <w:b/>
              </w:rPr>
            </w:pPr>
          </w:p>
          <w:p w:rsidR="00B8580A" w:rsidRPr="00E25F89" w:rsidRDefault="00E25F89" w:rsidP="007A6ADF">
            <w:pPr>
              <w:spacing w:line="360" w:lineRule="auto"/>
              <w:jc w:val="both"/>
              <w:rPr>
                <w:rFonts w:ascii="Arial" w:hAnsi="Arial" w:cs="Arial"/>
                <w:b/>
              </w:rPr>
            </w:pPr>
            <w:r w:rsidRPr="00E25F89">
              <w:rPr>
                <w:rFonts w:ascii="Arial" w:hAnsi="Arial" w:cs="Arial"/>
                <w:b/>
                <w:sz w:val="22"/>
              </w:rPr>
              <w:t>PROGRESS:</w:t>
            </w:r>
          </w:p>
          <w:p w:rsidR="00E25F89" w:rsidRPr="002321AF" w:rsidRDefault="00E25F89" w:rsidP="00E25F89">
            <w:pPr>
              <w:spacing w:line="360" w:lineRule="auto"/>
              <w:jc w:val="both"/>
              <w:rPr>
                <w:rFonts w:ascii="Arial" w:hAnsi="Arial" w:cs="Arial"/>
                <w:b/>
                <w:lang w:val="en-ZA"/>
              </w:rPr>
            </w:pPr>
            <w:r w:rsidRPr="002321AF">
              <w:rPr>
                <w:rFonts w:ascii="Arial" w:hAnsi="Arial" w:cs="Arial"/>
                <w:b/>
                <w:bCs/>
                <w:sz w:val="22"/>
                <w:lang w:val="en-ZA"/>
              </w:rPr>
              <w:t>Budget Management Principles</w:t>
            </w:r>
          </w:p>
          <w:p w:rsidR="00E25F89" w:rsidRPr="00E25F89" w:rsidRDefault="00E25F89" w:rsidP="00E25F89">
            <w:pPr>
              <w:jc w:val="both"/>
              <w:rPr>
                <w:rFonts w:ascii="Arial" w:hAnsi="Arial" w:cs="Arial"/>
                <w:lang w:val="en-ZA"/>
              </w:rPr>
            </w:pPr>
            <w:r w:rsidRPr="00E25F89">
              <w:rPr>
                <w:rFonts w:ascii="Arial" w:hAnsi="Arial" w:cs="Arial"/>
                <w:sz w:val="22"/>
                <w:lang w:val="en-ZA"/>
              </w:rPr>
              <w:t xml:space="preserve">In enhancing budget management principles, the province engages in an open consultative processes with all relevant stakeholders including the Intergovernmental Relations programmes, but not limited to the following:  </w:t>
            </w:r>
          </w:p>
          <w:p w:rsidR="00E627D1" w:rsidRPr="00E25F89" w:rsidRDefault="0072252E" w:rsidP="0072252E">
            <w:pPr>
              <w:numPr>
                <w:ilvl w:val="0"/>
                <w:numId w:val="3"/>
              </w:numPr>
              <w:jc w:val="both"/>
              <w:rPr>
                <w:rFonts w:ascii="Arial" w:hAnsi="Arial" w:cs="Arial"/>
                <w:lang w:val="en-ZA"/>
              </w:rPr>
            </w:pPr>
            <w:r w:rsidRPr="00E25F89">
              <w:rPr>
                <w:rFonts w:ascii="Arial" w:hAnsi="Arial" w:cs="Arial"/>
                <w:sz w:val="22"/>
                <w:lang w:val="en-ZA"/>
              </w:rPr>
              <w:t xml:space="preserve">Tabling of budget and protecting amounts specifically and exclusively appropriated (Appropriation Bill), Cash flow hearings, ensure budget is loaded as approved, </w:t>
            </w:r>
          </w:p>
          <w:p w:rsidR="00E627D1" w:rsidRPr="00E25F89" w:rsidRDefault="0072252E" w:rsidP="0072252E">
            <w:pPr>
              <w:numPr>
                <w:ilvl w:val="0"/>
                <w:numId w:val="3"/>
              </w:numPr>
              <w:jc w:val="both"/>
              <w:rPr>
                <w:rFonts w:ascii="Arial" w:hAnsi="Arial" w:cs="Arial"/>
                <w:lang w:val="en-ZA"/>
              </w:rPr>
            </w:pPr>
            <w:r w:rsidRPr="00E25F89">
              <w:rPr>
                <w:rFonts w:ascii="Arial" w:hAnsi="Arial" w:cs="Arial"/>
                <w:sz w:val="22"/>
                <w:lang w:val="en-ZA"/>
              </w:rPr>
              <w:t xml:space="preserve">Monthly reporting on spending to the Provincial Top Management (Heads of Departments; Cabinet Budget Committee and Executive Council). </w:t>
            </w:r>
          </w:p>
          <w:p w:rsidR="00E627D1" w:rsidRPr="00E25F89" w:rsidRDefault="0072252E" w:rsidP="0072252E">
            <w:pPr>
              <w:numPr>
                <w:ilvl w:val="0"/>
                <w:numId w:val="3"/>
              </w:numPr>
              <w:jc w:val="both"/>
              <w:rPr>
                <w:rFonts w:ascii="Arial" w:hAnsi="Arial" w:cs="Arial"/>
                <w:lang w:val="en-ZA"/>
              </w:rPr>
            </w:pPr>
            <w:r w:rsidRPr="00E25F89">
              <w:rPr>
                <w:rFonts w:ascii="Arial" w:hAnsi="Arial" w:cs="Arial"/>
                <w:sz w:val="22"/>
                <w:lang w:val="en-ZA"/>
              </w:rPr>
              <w:t xml:space="preserve">Site visits to monitor value for money, cash flow hearings, financial pledges, </w:t>
            </w:r>
          </w:p>
          <w:p w:rsidR="00E627D1" w:rsidRPr="00E25F89" w:rsidRDefault="0072252E" w:rsidP="0072252E">
            <w:pPr>
              <w:numPr>
                <w:ilvl w:val="0"/>
                <w:numId w:val="3"/>
              </w:numPr>
              <w:jc w:val="both"/>
              <w:rPr>
                <w:rFonts w:ascii="Arial" w:hAnsi="Arial" w:cs="Arial"/>
                <w:lang w:val="en-ZA"/>
              </w:rPr>
            </w:pPr>
            <w:r w:rsidRPr="00E25F89">
              <w:rPr>
                <w:rFonts w:ascii="Arial" w:hAnsi="Arial" w:cs="Arial"/>
                <w:sz w:val="22"/>
                <w:lang w:val="en-ZA"/>
              </w:rPr>
              <w:t>Quarterly feedback letters are sent to departments highlighting areas for improvements</w:t>
            </w:r>
          </w:p>
          <w:p w:rsidR="00E627D1" w:rsidRPr="00E25F89" w:rsidRDefault="0072252E" w:rsidP="0072252E">
            <w:pPr>
              <w:numPr>
                <w:ilvl w:val="0"/>
                <w:numId w:val="3"/>
              </w:numPr>
              <w:jc w:val="both"/>
              <w:rPr>
                <w:rFonts w:ascii="Arial" w:hAnsi="Arial" w:cs="Arial"/>
                <w:lang w:val="en-ZA"/>
              </w:rPr>
            </w:pPr>
            <w:r w:rsidRPr="00E25F89">
              <w:rPr>
                <w:rFonts w:ascii="Arial" w:hAnsi="Arial" w:cs="Arial"/>
                <w:sz w:val="22"/>
                <w:lang w:val="en-ZA"/>
              </w:rPr>
              <w:t>Financial Management Accountability Framework tool is used to escalate matters to the MECs</w:t>
            </w:r>
          </w:p>
          <w:p w:rsidR="00E627D1" w:rsidRPr="00E25F89" w:rsidRDefault="0072252E" w:rsidP="0072252E">
            <w:pPr>
              <w:numPr>
                <w:ilvl w:val="0"/>
                <w:numId w:val="3"/>
              </w:numPr>
              <w:jc w:val="both"/>
              <w:rPr>
                <w:rFonts w:ascii="Arial" w:hAnsi="Arial" w:cs="Arial"/>
                <w:lang w:val="en-ZA"/>
              </w:rPr>
            </w:pPr>
            <w:r w:rsidRPr="00E25F89">
              <w:rPr>
                <w:rFonts w:ascii="Arial" w:hAnsi="Arial" w:cs="Arial"/>
                <w:sz w:val="22"/>
                <w:lang w:val="en-ZA"/>
              </w:rPr>
              <w:t xml:space="preserve">Revenue maximisation initiatives include the Provincial Revenue Generation Strategy, which specifies the areas of revenue collection for departments of Health, Public Works, Transport and Environmental Affairs and Tourism. Own Revenue research project that seeks to identify new revenue sources for the province. </w:t>
            </w:r>
          </w:p>
          <w:p w:rsidR="008B11EB" w:rsidRDefault="008B11EB" w:rsidP="008B11EB">
            <w:pPr>
              <w:jc w:val="both"/>
              <w:rPr>
                <w:rFonts w:ascii="Arial" w:hAnsi="Arial" w:cs="Arial"/>
                <w:lang w:val="en-ZA"/>
              </w:rPr>
            </w:pPr>
          </w:p>
          <w:p w:rsidR="00E627D1" w:rsidRPr="00E25F89" w:rsidRDefault="0072252E" w:rsidP="008B11EB">
            <w:pPr>
              <w:jc w:val="both"/>
              <w:rPr>
                <w:rFonts w:ascii="Arial" w:hAnsi="Arial" w:cs="Arial"/>
                <w:lang w:val="en-ZA"/>
              </w:rPr>
            </w:pPr>
            <w:r w:rsidRPr="00E25F89">
              <w:rPr>
                <w:rFonts w:ascii="Arial" w:hAnsi="Arial" w:cs="Arial"/>
                <w:sz w:val="22"/>
                <w:lang w:val="en-ZA"/>
              </w:rPr>
              <w:t>The consultative processes includes political and technical engagements as explained below.</w:t>
            </w:r>
          </w:p>
          <w:p w:rsidR="00692798" w:rsidRDefault="00692798" w:rsidP="007A6ADF">
            <w:pPr>
              <w:spacing w:line="360" w:lineRule="auto"/>
              <w:jc w:val="both"/>
              <w:rPr>
                <w:rFonts w:ascii="Arial" w:hAnsi="Arial" w:cs="Arial"/>
              </w:rPr>
            </w:pPr>
          </w:p>
          <w:p w:rsidR="002E17B7" w:rsidRPr="00E25F89" w:rsidRDefault="002E17B7" w:rsidP="007A6ADF">
            <w:pPr>
              <w:spacing w:line="360" w:lineRule="auto"/>
              <w:jc w:val="both"/>
              <w:rPr>
                <w:rFonts w:ascii="Arial" w:hAnsi="Arial" w:cs="Arial"/>
              </w:rPr>
            </w:pPr>
            <w:r w:rsidRPr="002E17B7">
              <w:rPr>
                <w:rFonts w:ascii="Arial" w:hAnsi="Arial" w:cs="Arial"/>
                <w:noProof/>
                <w:sz w:val="22"/>
                <w:lang w:val="en-ZA" w:eastAsia="en-ZA"/>
              </w:rPr>
              <w:lastRenderedPageBreak/>
              <w:drawing>
                <wp:inline distT="0" distB="0" distL="0" distR="0">
                  <wp:extent cx="8693150" cy="5416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93150" cy="5416550"/>
                          </a:xfrm>
                          <a:prstGeom prst="rect">
                            <a:avLst/>
                          </a:prstGeom>
                          <a:noFill/>
                          <a:ln>
                            <a:noFill/>
                          </a:ln>
                        </pic:spPr>
                      </pic:pic>
                    </a:graphicData>
                  </a:graphic>
                </wp:inline>
              </w:drawing>
            </w:r>
          </w:p>
          <w:p w:rsidR="00086FC9" w:rsidRPr="00E25F89" w:rsidRDefault="003F6FA6" w:rsidP="00B61348">
            <w:pPr>
              <w:rPr>
                <w:rFonts w:ascii="Arial" w:hAnsi="Arial" w:cs="Arial"/>
              </w:rPr>
            </w:pPr>
            <w:r w:rsidRPr="00E25F89">
              <w:rPr>
                <w:rFonts w:ascii="Arial" w:eastAsiaTheme="minorEastAsia" w:hAnsi="Arial" w:cs="Arial"/>
                <w:color w:val="FF0000"/>
                <w:lang w:eastAsia="en-ZA"/>
              </w:rPr>
              <w:t xml:space="preserve"> </w:t>
            </w:r>
          </w:p>
          <w:p w:rsidR="00E25F89" w:rsidRDefault="008B11EB" w:rsidP="00E25F89">
            <w:pPr>
              <w:pStyle w:val="ListParagraph"/>
              <w:spacing w:after="160" w:line="259" w:lineRule="auto"/>
              <w:ind w:left="357"/>
              <w:contextualSpacing w:val="0"/>
              <w:jc w:val="both"/>
              <w:rPr>
                <w:rFonts w:ascii="Arial" w:hAnsi="Arial" w:cs="Arial"/>
              </w:rPr>
            </w:pPr>
            <w:r>
              <w:rPr>
                <w:rFonts w:ascii="Arial" w:hAnsi="Arial" w:cs="Arial"/>
                <w:noProof/>
                <w:lang w:val="en-ZA"/>
              </w:rPr>
              <w:drawing>
                <wp:inline distT="0" distB="0" distL="0" distR="0">
                  <wp:extent cx="8336280" cy="5175250"/>
                  <wp:effectExtent l="0" t="0" r="762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36280" cy="5175250"/>
                          </a:xfrm>
                          <a:prstGeom prst="rect">
                            <a:avLst/>
                          </a:prstGeom>
                          <a:noFill/>
                        </pic:spPr>
                      </pic:pic>
                    </a:graphicData>
                  </a:graphic>
                </wp:inline>
              </w:drawing>
            </w:r>
          </w:p>
          <w:p w:rsidR="00E627D1" w:rsidRPr="00E25F89" w:rsidRDefault="00A20C67" w:rsidP="0072252E">
            <w:pPr>
              <w:pStyle w:val="ListParagraph"/>
              <w:numPr>
                <w:ilvl w:val="0"/>
                <w:numId w:val="1"/>
              </w:numPr>
              <w:spacing w:after="160"/>
              <w:ind w:left="357" w:hanging="357"/>
              <w:contextualSpacing w:val="0"/>
              <w:jc w:val="both"/>
              <w:rPr>
                <w:rFonts w:ascii="Arial" w:hAnsi="Arial" w:cs="Arial"/>
                <w:lang w:val="en-ZA"/>
              </w:rPr>
            </w:pPr>
            <w:r>
              <w:rPr>
                <w:rFonts w:ascii="Arial" w:hAnsi="Arial" w:cs="Arial"/>
                <w:sz w:val="22"/>
                <w:lang w:val="en-ZA"/>
              </w:rPr>
              <w:t>Provincial Treasury (</w:t>
            </w:r>
            <w:r w:rsidR="0072252E" w:rsidRPr="00E25F89">
              <w:rPr>
                <w:rFonts w:ascii="Arial" w:hAnsi="Arial" w:cs="Arial"/>
                <w:sz w:val="22"/>
                <w:lang w:val="en-ZA"/>
              </w:rPr>
              <w:t>PT</w:t>
            </w:r>
            <w:r>
              <w:rPr>
                <w:rFonts w:ascii="Arial" w:hAnsi="Arial" w:cs="Arial"/>
                <w:sz w:val="22"/>
                <w:lang w:val="en-ZA"/>
              </w:rPr>
              <w:t>)</w:t>
            </w:r>
            <w:r w:rsidR="0072252E" w:rsidRPr="00E25F89">
              <w:rPr>
                <w:rFonts w:ascii="Arial" w:hAnsi="Arial" w:cs="Arial"/>
                <w:sz w:val="22"/>
                <w:lang w:val="en-ZA"/>
              </w:rPr>
              <w:t xml:space="preserve"> has developed templates </w:t>
            </w:r>
            <w:r w:rsidR="003C6126">
              <w:rPr>
                <w:rFonts w:ascii="Arial" w:hAnsi="Arial" w:cs="Arial"/>
                <w:sz w:val="22"/>
                <w:lang w:val="en-ZA"/>
              </w:rPr>
              <w:t>for</w:t>
            </w:r>
            <w:r w:rsidR="0072252E" w:rsidRPr="00E25F89">
              <w:rPr>
                <w:rFonts w:ascii="Arial" w:hAnsi="Arial" w:cs="Arial"/>
                <w:sz w:val="22"/>
                <w:lang w:val="en-ZA"/>
              </w:rPr>
              <w:t xml:space="preserve"> determining the implementation readiness of departments which include planning checklist to assess readiness of projects in planning and the Project readiness checklist against which all projects are validated for implementation (B5)</w:t>
            </w:r>
          </w:p>
          <w:p w:rsidR="00E627D1" w:rsidRPr="00E25F89" w:rsidRDefault="0072252E" w:rsidP="0072252E">
            <w:pPr>
              <w:pStyle w:val="ListParagraph"/>
              <w:numPr>
                <w:ilvl w:val="0"/>
                <w:numId w:val="1"/>
              </w:numPr>
              <w:spacing w:after="160"/>
              <w:ind w:left="357" w:hanging="357"/>
              <w:contextualSpacing w:val="0"/>
              <w:jc w:val="both"/>
              <w:rPr>
                <w:rFonts w:ascii="Arial" w:hAnsi="Arial" w:cs="Arial"/>
                <w:lang w:val="en-ZA"/>
              </w:rPr>
            </w:pPr>
            <w:r w:rsidRPr="00E25F89">
              <w:rPr>
                <w:rFonts w:ascii="Arial" w:hAnsi="Arial" w:cs="Arial"/>
                <w:sz w:val="22"/>
                <w:lang w:val="en-ZA"/>
              </w:rPr>
              <w:t>PT is advocating that initial project budgets will only be allocated to advance projects from Stages 0 to 4 once project readiness is achieved, which then permits subsequent funding from Stage 5 onwards. The methodology is as follows:</w:t>
            </w:r>
          </w:p>
          <w:p w:rsidR="00E627D1" w:rsidRPr="00E25F89" w:rsidRDefault="0072252E" w:rsidP="0072252E">
            <w:pPr>
              <w:pStyle w:val="ListParagraph"/>
              <w:numPr>
                <w:ilvl w:val="1"/>
                <w:numId w:val="1"/>
              </w:numPr>
              <w:spacing w:after="160"/>
              <w:contextualSpacing w:val="0"/>
              <w:jc w:val="both"/>
              <w:rPr>
                <w:rFonts w:ascii="Arial" w:hAnsi="Arial" w:cs="Arial"/>
                <w:lang w:val="en-ZA"/>
              </w:rPr>
            </w:pPr>
            <w:r w:rsidRPr="00E25F89">
              <w:rPr>
                <w:rFonts w:ascii="Arial" w:hAnsi="Arial" w:cs="Arial"/>
                <w:sz w:val="22"/>
                <w:lang w:val="en-ZA"/>
              </w:rPr>
              <w:t xml:space="preserve">Planning  - 10 per cent </w:t>
            </w:r>
          </w:p>
          <w:p w:rsidR="00E627D1" w:rsidRPr="00E25F89" w:rsidRDefault="0072252E" w:rsidP="0072252E">
            <w:pPr>
              <w:pStyle w:val="ListParagraph"/>
              <w:numPr>
                <w:ilvl w:val="1"/>
                <w:numId w:val="1"/>
              </w:numPr>
              <w:spacing w:after="160"/>
              <w:contextualSpacing w:val="0"/>
              <w:jc w:val="both"/>
              <w:rPr>
                <w:rFonts w:ascii="Arial" w:hAnsi="Arial" w:cs="Arial"/>
                <w:lang w:val="en-ZA"/>
              </w:rPr>
            </w:pPr>
            <w:r w:rsidRPr="00E25F89">
              <w:rPr>
                <w:rFonts w:ascii="Arial" w:hAnsi="Arial" w:cs="Arial"/>
                <w:sz w:val="22"/>
                <w:lang w:val="en-ZA"/>
              </w:rPr>
              <w:t>Design documentation and development – 20 per cent</w:t>
            </w:r>
          </w:p>
          <w:p w:rsidR="00E627D1" w:rsidRPr="00E25F89" w:rsidRDefault="0072252E" w:rsidP="0072252E">
            <w:pPr>
              <w:pStyle w:val="ListParagraph"/>
              <w:numPr>
                <w:ilvl w:val="1"/>
                <w:numId w:val="1"/>
              </w:numPr>
              <w:spacing w:after="160"/>
              <w:contextualSpacing w:val="0"/>
              <w:jc w:val="both"/>
              <w:rPr>
                <w:rFonts w:ascii="Arial" w:hAnsi="Arial" w:cs="Arial"/>
                <w:lang w:val="en-ZA"/>
              </w:rPr>
            </w:pPr>
            <w:r w:rsidRPr="00E25F89">
              <w:rPr>
                <w:rFonts w:ascii="Arial" w:hAnsi="Arial" w:cs="Arial"/>
                <w:sz w:val="22"/>
                <w:lang w:val="en-ZA"/>
              </w:rPr>
              <w:t>Construction and Close out – 70 per cent</w:t>
            </w:r>
          </w:p>
          <w:p w:rsidR="00E627D1" w:rsidRPr="00E25F89" w:rsidRDefault="0072252E" w:rsidP="0072252E">
            <w:pPr>
              <w:pStyle w:val="ListParagraph"/>
              <w:numPr>
                <w:ilvl w:val="0"/>
                <w:numId w:val="1"/>
              </w:numPr>
              <w:spacing w:after="160"/>
              <w:ind w:left="357" w:hanging="357"/>
              <w:contextualSpacing w:val="0"/>
              <w:jc w:val="both"/>
              <w:rPr>
                <w:rFonts w:ascii="Arial" w:hAnsi="Arial" w:cs="Arial"/>
                <w:lang w:val="en-ZA"/>
              </w:rPr>
            </w:pPr>
            <w:r w:rsidRPr="00E25F89">
              <w:rPr>
                <w:rFonts w:ascii="Arial" w:hAnsi="Arial" w:cs="Arial"/>
                <w:sz w:val="22"/>
                <w:lang w:val="en-ZA"/>
              </w:rPr>
              <w:t xml:space="preserve">PT also utilises the </w:t>
            </w:r>
            <w:r w:rsidR="00A20C67">
              <w:rPr>
                <w:rFonts w:ascii="Arial" w:hAnsi="Arial" w:cs="Arial"/>
                <w:sz w:val="22"/>
                <w:lang w:val="en-ZA"/>
              </w:rPr>
              <w:t>Infrastructure Reporting Model (</w:t>
            </w:r>
            <w:r w:rsidRPr="00E25F89">
              <w:rPr>
                <w:rFonts w:ascii="Arial" w:hAnsi="Arial" w:cs="Arial"/>
                <w:sz w:val="22"/>
                <w:lang w:val="en-ZA"/>
              </w:rPr>
              <w:t>IRM</w:t>
            </w:r>
            <w:r w:rsidR="00A20C67">
              <w:rPr>
                <w:rFonts w:ascii="Arial" w:hAnsi="Arial" w:cs="Arial"/>
                <w:sz w:val="22"/>
                <w:lang w:val="en-ZA"/>
              </w:rPr>
              <w:t>)</w:t>
            </w:r>
            <w:r w:rsidRPr="00E25F89">
              <w:rPr>
                <w:rFonts w:ascii="Arial" w:hAnsi="Arial" w:cs="Arial"/>
                <w:sz w:val="22"/>
                <w:lang w:val="en-ZA"/>
              </w:rPr>
              <w:t xml:space="preserve"> as the tool to test the financial and non-financial progress on projects. This includes a determination of the earned value on project performance as well as anomalies (over and under performance). Departments are thereafter required to submit corrective measures when over and under performance is identified.</w:t>
            </w:r>
          </w:p>
          <w:p w:rsidR="00E627D1" w:rsidRPr="00E25F89" w:rsidRDefault="0072252E" w:rsidP="0072252E">
            <w:pPr>
              <w:pStyle w:val="ListParagraph"/>
              <w:numPr>
                <w:ilvl w:val="0"/>
                <w:numId w:val="1"/>
              </w:numPr>
              <w:spacing w:after="160"/>
              <w:ind w:left="357" w:hanging="357"/>
              <w:contextualSpacing w:val="0"/>
              <w:jc w:val="both"/>
              <w:rPr>
                <w:rFonts w:ascii="Arial" w:hAnsi="Arial" w:cs="Arial"/>
                <w:lang w:val="en-ZA"/>
              </w:rPr>
            </w:pPr>
            <w:r w:rsidRPr="00E25F89">
              <w:rPr>
                <w:rFonts w:ascii="Arial" w:hAnsi="Arial" w:cs="Arial"/>
                <w:sz w:val="22"/>
                <w:lang w:val="en-ZA"/>
              </w:rPr>
              <w:t>Earned value during construction can be measured as the % time lapsed versus % expendi</w:t>
            </w:r>
            <w:r w:rsidR="003C6126">
              <w:rPr>
                <w:rFonts w:ascii="Arial" w:hAnsi="Arial" w:cs="Arial"/>
                <w:sz w:val="22"/>
                <w:lang w:val="en-ZA"/>
              </w:rPr>
              <w:t>ture.  The ideal ratio is 1:1, a</w:t>
            </w:r>
            <w:r w:rsidRPr="00E25F89">
              <w:rPr>
                <w:rFonts w:ascii="Arial" w:hAnsi="Arial" w:cs="Arial"/>
                <w:sz w:val="22"/>
                <w:lang w:val="en-ZA"/>
              </w:rPr>
              <w:t xml:space="preserve"> ratio of 1.15&gt;:1 means that the project is behind schedule, whilst 0.85&lt;:1 the project cost is generally over-valued since contractors seldom accelerate.</w:t>
            </w:r>
          </w:p>
          <w:p w:rsidR="00E627D1" w:rsidRPr="00E25F89" w:rsidRDefault="003C6126" w:rsidP="0072252E">
            <w:pPr>
              <w:pStyle w:val="ListParagraph"/>
              <w:numPr>
                <w:ilvl w:val="0"/>
                <w:numId w:val="1"/>
              </w:numPr>
              <w:spacing w:after="160"/>
              <w:ind w:left="357" w:hanging="357"/>
              <w:contextualSpacing w:val="0"/>
              <w:jc w:val="both"/>
              <w:rPr>
                <w:rFonts w:ascii="Arial" w:hAnsi="Arial" w:cs="Arial"/>
                <w:lang w:val="en-ZA"/>
              </w:rPr>
            </w:pPr>
            <w:r>
              <w:rPr>
                <w:rFonts w:ascii="Arial" w:hAnsi="Arial" w:cs="Arial"/>
                <w:sz w:val="22"/>
                <w:lang w:val="en-ZA"/>
              </w:rPr>
              <w:t>The</w:t>
            </w:r>
            <w:r w:rsidR="0072252E" w:rsidRPr="00E25F89">
              <w:rPr>
                <w:rFonts w:ascii="Arial" w:hAnsi="Arial" w:cs="Arial"/>
                <w:sz w:val="22"/>
                <w:lang w:val="en-ZA"/>
              </w:rPr>
              <w:t xml:space="preserve"> system also detects any spikes in spending over the year against the IDMS stage gates and quarterly site visits are conducted to validate that the expenditure has translated to the value on the ground.</w:t>
            </w:r>
          </w:p>
          <w:p w:rsidR="00E25F89" w:rsidRPr="008B11EB" w:rsidRDefault="0072252E" w:rsidP="00A20C67">
            <w:pPr>
              <w:pStyle w:val="ListParagraph"/>
              <w:numPr>
                <w:ilvl w:val="0"/>
                <w:numId w:val="1"/>
              </w:numPr>
              <w:spacing w:after="160"/>
              <w:ind w:left="357" w:hanging="357"/>
              <w:contextualSpacing w:val="0"/>
              <w:jc w:val="both"/>
              <w:rPr>
                <w:rFonts w:ascii="Arial" w:hAnsi="Arial" w:cs="Arial"/>
                <w:lang w:val="en-ZA"/>
              </w:rPr>
            </w:pPr>
            <w:r w:rsidRPr="00E25F89">
              <w:rPr>
                <w:rFonts w:ascii="Arial" w:hAnsi="Arial" w:cs="Arial"/>
                <w:sz w:val="22"/>
                <w:lang w:val="en-ZA"/>
              </w:rPr>
              <w:t xml:space="preserve">The IRM report is thereafter </w:t>
            </w:r>
            <w:r w:rsidR="00A20C67">
              <w:rPr>
                <w:rFonts w:ascii="Arial" w:hAnsi="Arial" w:cs="Arial"/>
                <w:sz w:val="22"/>
                <w:lang w:val="en-ZA"/>
              </w:rPr>
              <w:t>presented</w:t>
            </w:r>
            <w:r w:rsidRPr="00E25F89">
              <w:rPr>
                <w:rFonts w:ascii="Arial" w:hAnsi="Arial" w:cs="Arial"/>
                <w:sz w:val="22"/>
                <w:lang w:val="en-ZA"/>
              </w:rPr>
              <w:t xml:space="preserve"> to Provincial Management, Cabinet Budget Committee, EXCO and Provincial Legislature.</w:t>
            </w:r>
          </w:p>
        </w:tc>
      </w:tr>
    </w:tbl>
    <w:p w:rsidR="00C33C30" w:rsidRDefault="00C33C30"/>
    <w:p w:rsidR="009642FD" w:rsidRDefault="009642FD"/>
    <w:p w:rsidR="00312837" w:rsidRDefault="00312837"/>
    <w:p w:rsidR="00312837" w:rsidRDefault="00312837"/>
    <w:p w:rsidR="00312837" w:rsidRDefault="00312837"/>
    <w:tbl>
      <w:tblPr>
        <w:tblW w:w="13907"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907"/>
      </w:tblGrid>
      <w:tr w:rsidR="008F58E3" w:rsidRPr="00061610" w:rsidTr="001F13D8">
        <w:trPr>
          <w:trHeight w:val="378"/>
          <w:tblHeader/>
        </w:trPr>
        <w:tc>
          <w:tcPr>
            <w:tcW w:w="13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84806" w:themeFill="accent6" w:themeFillShade="80"/>
            <w:vAlign w:val="center"/>
          </w:tcPr>
          <w:p w:rsidR="008F58E3" w:rsidRPr="00061610" w:rsidRDefault="008F58E3" w:rsidP="001F13D8">
            <w:pPr>
              <w:jc w:val="center"/>
              <w:rPr>
                <w:rFonts w:ascii="Arial" w:eastAsiaTheme="majorEastAsia" w:hAnsi="Arial" w:cs="Arial"/>
                <w:b/>
                <w:bCs/>
                <w:color w:val="FFFFFF" w:themeColor="background1"/>
                <w:sz w:val="28"/>
                <w:szCs w:val="28"/>
              </w:rPr>
            </w:pPr>
            <w:r w:rsidRPr="00E25F89">
              <w:rPr>
                <w:rFonts w:ascii="Arial" w:eastAsiaTheme="majorEastAsia" w:hAnsi="Arial" w:cs="Arial"/>
                <w:b/>
                <w:bCs/>
                <w:color w:val="FFFFFF" w:themeColor="background1"/>
                <w:sz w:val="28"/>
                <w:szCs w:val="28"/>
              </w:rPr>
              <w:t>RESPONSES TO 2016/17 RECOMMENDATIONS</w:t>
            </w:r>
          </w:p>
        </w:tc>
      </w:tr>
      <w:tr w:rsidR="008F58E3" w:rsidRPr="00061610" w:rsidTr="001F13D8">
        <w:trPr>
          <w:trHeight w:val="450"/>
          <w:tblHeader/>
        </w:trPr>
        <w:tc>
          <w:tcPr>
            <w:tcW w:w="13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E2402"/>
            <w:vAlign w:val="center"/>
          </w:tcPr>
          <w:p w:rsidR="008F58E3" w:rsidRDefault="008F58E3" w:rsidP="001F13D8">
            <w:pPr>
              <w:keepNext/>
              <w:keepLines/>
              <w:jc w:val="center"/>
              <w:outlineLvl w:val="1"/>
              <w:rPr>
                <w:rFonts w:ascii="Arial" w:eastAsiaTheme="majorEastAsia" w:hAnsi="Arial" w:cs="Arial"/>
                <w:b/>
                <w:bCs/>
                <w:color w:val="FFFFFF" w:themeColor="background1"/>
                <w:sz w:val="28"/>
                <w:szCs w:val="28"/>
              </w:rPr>
            </w:pPr>
            <w:r>
              <w:rPr>
                <w:rFonts w:ascii="Arial" w:eastAsiaTheme="majorEastAsia" w:hAnsi="Arial" w:cs="Arial"/>
                <w:b/>
                <w:bCs/>
                <w:color w:val="FFFFFF" w:themeColor="background1"/>
                <w:sz w:val="28"/>
                <w:szCs w:val="28"/>
              </w:rPr>
              <w:t>RECOMMENDATION 12.2</w:t>
            </w:r>
          </w:p>
        </w:tc>
      </w:tr>
      <w:tr w:rsidR="00045BE6" w:rsidRPr="00045BE6" w:rsidTr="001F13D8">
        <w:trPr>
          <w:trHeight w:val="746"/>
        </w:trPr>
        <w:tc>
          <w:tcPr>
            <w:tcW w:w="13907" w:type="dxa"/>
            <w:tcBorders>
              <w:top w:val="single" w:sz="4" w:space="0" w:color="FFFFFF" w:themeColor="background1"/>
              <w:bottom w:val="single" w:sz="4" w:space="0" w:color="auto"/>
            </w:tcBorders>
            <w:shd w:val="clear" w:color="auto" w:fill="auto"/>
          </w:tcPr>
          <w:p w:rsidR="008F58E3" w:rsidRPr="00D76C6E" w:rsidRDefault="008F58E3" w:rsidP="0072252E">
            <w:pPr>
              <w:pStyle w:val="ListParagraph"/>
              <w:numPr>
                <w:ilvl w:val="0"/>
                <w:numId w:val="2"/>
              </w:numPr>
              <w:jc w:val="both"/>
            </w:pPr>
            <w:r w:rsidRPr="00D76C6E">
              <w:rPr>
                <w:rFonts w:ascii="Arial" w:hAnsi="Arial" w:cs="Arial"/>
                <w:sz w:val="22"/>
              </w:rPr>
              <w:t xml:space="preserve">As recommended previously, the Provinces should continue to effectively use the medium to long term growth and development strategies to grow economies of their cities and towns; </w:t>
            </w:r>
            <w:proofErr w:type="spellStart"/>
            <w:r w:rsidRPr="00D76C6E">
              <w:rPr>
                <w:rFonts w:ascii="Arial" w:hAnsi="Arial" w:cs="Arial"/>
                <w:sz w:val="22"/>
              </w:rPr>
              <w:t>realise</w:t>
            </w:r>
            <w:proofErr w:type="spellEnd"/>
            <w:r w:rsidRPr="00D76C6E">
              <w:rPr>
                <w:rFonts w:ascii="Arial" w:hAnsi="Arial" w:cs="Arial"/>
                <w:sz w:val="22"/>
              </w:rPr>
              <w:t xml:space="preserve"> value for money spent and improve revenue generation. COEGA in the EC has started reaping the benefits of its Industrial Development Zone, having received R11 billion investments from China</w:t>
            </w:r>
            <w:r w:rsidR="00D76C6E" w:rsidRPr="00D76C6E">
              <w:rPr>
                <w:rFonts w:ascii="Arial" w:hAnsi="Arial" w:cs="Arial"/>
                <w:sz w:val="22"/>
              </w:rPr>
              <w:t>.</w:t>
            </w:r>
          </w:p>
          <w:p w:rsidR="00D76C6E" w:rsidRPr="00D76C6E" w:rsidRDefault="00D76C6E" w:rsidP="00D76C6E">
            <w:pPr>
              <w:pStyle w:val="ListParagraph"/>
              <w:ind w:left="360"/>
              <w:jc w:val="both"/>
            </w:pPr>
          </w:p>
        </w:tc>
      </w:tr>
      <w:tr w:rsidR="008F58E3" w:rsidRPr="00E25F89" w:rsidTr="008B11EB">
        <w:trPr>
          <w:trHeight w:val="555"/>
        </w:trPr>
        <w:tc>
          <w:tcPr>
            <w:tcW w:w="13907" w:type="dxa"/>
            <w:tcBorders>
              <w:bottom w:val="single" w:sz="4" w:space="0" w:color="auto"/>
            </w:tcBorders>
            <w:shd w:val="clear" w:color="auto" w:fill="auto"/>
          </w:tcPr>
          <w:p w:rsidR="00EC0750" w:rsidRPr="006E6453" w:rsidRDefault="008F58E3" w:rsidP="006E6453">
            <w:pPr>
              <w:spacing w:line="360" w:lineRule="auto"/>
              <w:jc w:val="both"/>
              <w:rPr>
                <w:rFonts w:ascii="Arial" w:hAnsi="Arial" w:cs="Arial"/>
                <w:b/>
              </w:rPr>
            </w:pPr>
            <w:r w:rsidRPr="00E25F89">
              <w:rPr>
                <w:rFonts w:ascii="Arial" w:hAnsi="Arial" w:cs="Arial"/>
                <w:b/>
                <w:sz w:val="22"/>
              </w:rPr>
              <w:t>PROGRESS:</w:t>
            </w:r>
          </w:p>
          <w:p w:rsidR="008B11EB" w:rsidRPr="006E6453" w:rsidRDefault="006E6453" w:rsidP="006E6453">
            <w:pPr>
              <w:spacing w:after="160"/>
              <w:jc w:val="both"/>
              <w:rPr>
                <w:rFonts w:ascii="Arial" w:hAnsi="Arial" w:cs="Arial"/>
              </w:rPr>
            </w:pPr>
            <w:r w:rsidRPr="0019061D">
              <w:rPr>
                <w:rFonts w:ascii="Arial" w:hAnsi="Arial" w:cs="Arial"/>
                <w:sz w:val="22"/>
              </w:rPr>
              <w:t>P</w:t>
            </w:r>
            <w:r w:rsidR="007220C0" w:rsidRPr="0019061D">
              <w:rPr>
                <w:rFonts w:ascii="Arial" w:hAnsi="Arial" w:cs="Arial"/>
                <w:sz w:val="22"/>
              </w:rPr>
              <w:t>reliminary information on SEZ</w:t>
            </w:r>
            <w:r w:rsidR="008B11EB" w:rsidRPr="0019061D">
              <w:rPr>
                <w:rFonts w:ascii="Arial" w:hAnsi="Arial" w:cs="Arial"/>
                <w:sz w:val="22"/>
              </w:rPr>
              <w:t xml:space="preserve"> investments</w:t>
            </w:r>
            <w:r w:rsidR="007220C0" w:rsidRPr="0019061D">
              <w:rPr>
                <w:rFonts w:ascii="Arial" w:hAnsi="Arial" w:cs="Arial"/>
                <w:sz w:val="22"/>
              </w:rPr>
              <w:t xml:space="preserve"> </w:t>
            </w:r>
            <w:r w:rsidRPr="0019061D">
              <w:rPr>
                <w:rFonts w:ascii="Arial" w:hAnsi="Arial" w:cs="Arial"/>
                <w:sz w:val="22"/>
              </w:rPr>
              <w:t>is as follows:</w:t>
            </w:r>
          </w:p>
          <w:p w:rsidR="006E6453" w:rsidRPr="006E6453" w:rsidRDefault="006E6453" w:rsidP="006E6453">
            <w:pPr>
              <w:spacing w:after="160"/>
              <w:jc w:val="both"/>
              <w:rPr>
                <w:rFonts w:ascii="Arial" w:hAnsi="Arial" w:cs="Arial"/>
              </w:rPr>
            </w:pPr>
            <w:r w:rsidRPr="006E6453">
              <w:rPr>
                <w:rFonts w:ascii="Arial" w:hAnsi="Arial" w:cs="Arial"/>
                <w:noProof/>
                <w:sz w:val="22"/>
                <w:lang w:val="en-ZA" w:eastAsia="en-ZA"/>
              </w:rPr>
              <w:drawing>
                <wp:inline distT="0" distB="0" distL="0" distR="0">
                  <wp:extent cx="8464550" cy="1282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64550" cy="1282700"/>
                          </a:xfrm>
                          <a:prstGeom prst="rect">
                            <a:avLst/>
                          </a:prstGeom>
                          <a:noFill/>
                          <a:ln>
                            <a:noFill/>
                          </a:ln>
                        </pic:spPr>
                      </pic:pic>
                    </a:graphicData>
                  </a:graphic>
                </wp:inline>
              </w:drawing>
            </w:r>
          </w:p>
          <w:p w:rsidR="008F58E3" w:rsidRPr="00E25F89" w:rsidRDefault="008B11EB" w:rsidP="00045BE6">
            <w:pPr>
              <w:pStyle w:val="ListParagraph"/>
              <w:numPr>
                <w:ilvl w:val="0"/>
                <w:numId w:val="2"/>
              </w:numPr>
              <w:jc w:val="both"/>
              <w:rPr>
                <w:rFonts w:ascii="Arial" w:hAnsi="Arial" w:cs="Arial"/>
              </w:rPr>
            </w:pPr>
            <w:r w:rsidRPr="008B11EB">
              <w:rPr>
                <w:rFonts w:ascii="Arial" w:hAnsi="Arial" w:cs="Arial"/>
                <w:sz w:val="22"/>
              </w:rPr>
              <w:t xml:space="preserve">Other strategies that the province has embarked on commercialisation of agriculture through strategic commercial partnerships in beef production, horticulture and crop production. To ensure that local farmers are not left outside, investment is made in Rural Economic Development Hubs (RED Hubs) towards strengthening primary production, co-ops and related infrastructure. Furthermore the province is in a process of </w:t>
            </w:r>
            <w:proofErr w:type="spellStart"/>
            <w:r w:rsidRPr="008B11EB">
              <w:rPr>
                <w:rFonts w:ascii="Arial" w:hAnsi="Arial" w:cs="Arial"/>
                <w:sz w:val="22"/>
              </w:rPr>
              <w:t>revitalising</w:t>
            </w:r>
            <w:proofErr w:type="spellEnd"/>
            <w:r w:rsidRPr="008B11EB">
              <w:rPr>
                <w:rFonts w:ascii="Arial" w:hAnsi="Arial" w:cs="Arial"/>
                <w:sz w:val="22"/>
              </w:rPr>
              <w:t xml:space="preserve"> </w:t>
            </w:r>
            <w:proofErr w:type="spellStart"/>
            <w:r w:rsidRPr="008B11EB">
              <w:rPr>
                <w:rFonts w:ascii="Arial" w:hAnsi="Arial" w:cs="Arial"/>
                <w:sz w:val="22"/>
              </w:rPr>
              <w:t>Magwa</w:t>
            </w:r>
            <w:proofErr w:type="spellEnd"/>
            <w:r w:rsidRPr="008B11EB">
              <w:rPr>
                <w:rFonts w:ascii="Arial" w:hAnsi="Arial" w:cs="Arial"/>
                <w:sz w:val="22"/>
              </w:rPr>
              <w:t xml:space="preserve"> Tea Estate through sourcing private investor.  Furthermore the province is in a process of rehabilitating its industrial Parks like; </w:t>
            </w:r>
            <w:proofErr w:type="spellStart"/>
            <w:r w:rsidRPr="008B11EB">
              <w:rPr>
                <w:rFonts w:ascii="Arial" w:hAnsi="Arial" w:cs="Arial"/>
                <w:sz w:val="22"/>
              </w:rPr>
              <w:t>Dimbaza</w:t>
            </w:r>
            <w:proofErr w:type="spellEnd"/>
            <w:r w:rsidRPr="008B11EB">
              <w:rPr>
                <w:rFonts w:ascii="Arial" w:hAnsi="Arial" w:cs="Arial"/>
                <w:sz w:val="22"/>
              </w:rPr>
              <w:t xml:space="preserve">, Queens Industrial, Fort Jackson and Butterworth.  </w:t>
            </w:r>
          </w:p>
        </w:tc>
      </w:tr>
    </w:tbl>
    <w:p w:rsidR="00436E37" w:rsidRDefault="00436E37">
      <w:pPr>
        <w:rPr>
          <w:sz w:val="22"/>
          <w:szCs w:val="22"/>
        </w:rPr>
      </w:pPr>
    </w:p>
    <w:tbl>
      <w:tblPr>
        <w:tblW w:w="13907"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907"/>
      </w:tblGrid>
      <w:tr w:rsidR="008F58E3" w:rsidRPr="00061610" w:rsidTr="001F13D8">
        <w:trPr>
          <w:trHeight w:val="378"/>
          <w:tblHeader/>
        </w:trPr>
        <w:tc>
          <w:tcPr>
            <w:tcW w:w="13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84806" w:themeFill="accent6" w:themeFillShade="80"/>
            <w:vAlign w:val="center"/>
          </w:tcPr>
          <w:p w:rsidR="008F58E3" w:rsidRPr="00061610" w:rsidRDefault="008F58E3" w:rsidP="001F13D8">
            <w:pPr>
              <w:jc w:val="center"/>
              <w:rPr>
                <w:rFonts w:ascii="Arial" w:eastAsiaTheme="majorEastAsia" w:hAnsi="Arial" w:cs="Arial"/>
                <w:b/>
                <w:bCs/>
                <w:color w:val="FFFFFF" w:themeColor="background1"/>
                <w:sz w:val="28"/>
                <w:szCs w:val="28"/>
              </w:rPr>
            </w:pPr>
            <w:r w:rsidRPr="00E25F89">
              <w:rPr>
                <w:rFonts w:ascii="Arial" w:eastAsiaTheme="majorEastAsia" w:hAnsi="Arial" w:cs="Arial"/>
                <w:b/>
                <w:bCs/>
                <w:color w:val="FFFFFF" w:themeColor="background1"/>
                <w:sz w:val="28"/>
                <w:szCs w:val="28"/>
              </w:rPr>
              <w:t>RESPONSES TO 2016/17 RECOMMENDATIONS</w:t>
            </w:r>
          </w:p>
        </w:tc>
      </w:tr>
      <w:tr w:rsidR="008F58E3" w:rsidRPr="00061610" w:rsidTr="001F13D8">
        <w:trPr>
          <w:trHeight w:val="450"/>
          <w:tblHeader/>
        </w:trPr>
        <w:tc>
          <w:tcPr>
            <w:tcW w:w="13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E2402"/>
            <w:vAlign w:val="center"/>
          </w:tcPr>
          <w:p w:rsidR="008F58E3" w:rsidRDefault="008F58E3" w:rsidP="001F13D8">
            <w:pPr>
              <w:keepNext/>
              <w:keepLines/>
              <w:jc w:val="center"/>
              <w:outlineLvl w:val="1"/>
              <w:rPr>
                <w:rFonts w:ascii="Arial" w:eastAsiaTheme="majorEastAsia" w:hAnsi="Arial" w:cs="Arial"/>
                <w:b/>
                <w:bCs/>
                <w:color w:val="FFFFFF" w:themeColor="background1"/>
                <w:sz w:val="28"/>
                <w:szCs w:val="28"/>
              </w:rPr>
            </w:pPr>
            <w:r>
              <w:rPr>
                <w:rFonts w:ascii="Arial" w:eastAsiaTheme="majorEastAsia" w:hAnsi="Arial" w:cs="Arial"/>
                <w:b/>
                <w:bCs/>
                <w:color w:val="FFFFFF" w:themeColor="background1"/>
                <w:sz w:val="28"/>
                <w:szCs w:val="28"/>
              </w:rPr>
              <w:lastRenderedPageBreak/>
              <w:t>RECOMMENDATION 12.3</w:t>
            </w:r>
          </w:p>
        </w:tc>
      </w:tr>
      <w:tr w:rsidR="008F58E3" w:rsidRPr="002175B7" w:rsidTr="001F13D8">
        <w:trPr>
          <w:trHeight w:val="746"/>
        </w:trPr>
        <w:tc>
          <w:tcPr>
            <w:tcW w:w="13907" w:type="dxa"/>
            <w:tcBorders>
              <w:top w:val="single" w:sz="4" w:space="0" w:color="FFFFFF" w:themeColor="background1"/>
              <w:bottom w:val="single" w:sz="4" w:space="0" w:color="auto"/>
            </w:tcBorders>
            <w:shd w:val="clear" w:color="auto" w:fill="auto"/>
          </w:tcPr>
          <w:p w:rsidR="008F58E3" w:rsidRPr="002175B7" w:rsidRDefault="008F58E3" w:rsidP="0072252E">
            <w:pPr>
              <w:pStyle w:val="ListParagraph"/>
              <w:numPr>
                <w:ilvl w:val="0"/>
                <w:numId w:val="2"/>
              </w:numPr>
              <w:jc w:val="both"/>
            </w:pPr>
            <w:r w:rsidRPr="006716A7">
              <w:rPr>
                <w:rFonts w:ascii="Arial" w:hAnsi="Arial" w:cs="Arial"/>
                <w:sz w:val="22"/>
                <w:szCs w:val="22"/>
              </w:rPr>
              <w:t>The public entities are expected to reinforce economic growth and development in provinces and therefore need to be profitable; self-sustainable and reduce reliance on government transfers. Provinces should adequately capacitate their respective public entities and the Provincial Treasuries should conduct effective fiscal oversight over these entities to ensure good governance and financial management</w:t>
            </w:r>
          </w:p>
        </w:tc>
      </w:tr>
      <w:tr w:rsidR="008F58E3" w:rsidRPr="00E25F89" w:rsidTr="001F13D8">
        <w:trPr>
          <w:trHeight w:val="980"/>
        </w:trPr>
        <w:tc>
          <w:tcPr>
            <w:tcW w:w="13907" w:type="dxa"/>
            <w:tcBorders>
              <w:bottom w:val="single" w:sz="4" w:space="0" w:color="auto"/>
            </w:tcBorders>
            <w:shd w:val="clear" w:color="auto" w:fill="auto"/>
          </w:tcPr>
          <w:p w:rsidR="008F58E3" w:rsidRPr="00E25F89" w:rsidRDefault="008F58E3" w:rsidP="001F13D8">
            <w:pPr>
              <w:spacing w:line="360" w:lineRule="auto"/>
              <w:jc w:val="both"/>
              <w:rPr>
                <w:rFonts w:ascii="Arial" w:hAnsi="Arial" w:cs="Arial"/>
                <w:b/>
              </w:rPr>
            </w:pPr>
            <w:r w:rsidRPr="00E25F89">
              <w:rPr>
                <w:rFonts w:ascii="Arial" w:hAnsi="Arial" w:cs="Arial"/>
                <w:b/>
                <w:sz w:val="22"/>
              </w:rPr>
              <w:t>PROGRESS:</w:t>
            </w:r>
          </w:p>
          <w:p w:rsidR="00E627D1" w:rsidRPr="008F58E3" w:rsidRDefault="0072252E" w:rsidP="0072252E">
            <w:pPr>
              <w:pStyle w:val="ListParagraph"/>
              <w:numPr>
                <w:ilvl w:val="0"/>
                <w:numId w:val="1"/>
              </w:numPr>
              <w:spacing w:after="160"/>
              <w:ind w:left="357" w:hanging="357"/>
              <w:contextualSpacing w:val="0"/>
              <w:jc w:val="both"/>
              <w:rPr>
                <w:rFonts w:ascii="Arial" w:hAnsi="Arial" w:cs="Arial"/>
                <w:lang w:val="en-ZA"/>
              </w:rPr>
            </w:pPr>
            <w:r w:rsidRPr="008F58E3">
              <w:rPr>
                <w:rFonts w:ascii="Arial" w:hAnsi="Arial" w:cs="Arial"/>
                <w:sz w:val="22"/>
                <w:lang w:val="en-GB"/>
              </w:rPr>
              <w:t>A draft Framework document has been developed that will serve as a standard document regulating the appointment and determination of remuneration of boards in line with DPSA and National Treasury rates. The draft Framework was circulated to all entities and their controlling departments to forward their inputs and comments to be delivered within the first quarter and finalised in second quarter of 2018/19. The purpose of this Framework will focus inter- alia on:</w:t>
            </w:r>
          </w:p>
          <w:p w:rsidR="00E627D1" w:rsidRPr="008F58E3" w:rsidRDefault="0072252E" w:rsidP="00236E40">
            <w:pPr>
              <w:pStyle w:val="ListParagraph"/>
              <w:numPr>
                <w:ilvl w:val="1"/>
                <w:numId w:val="1"/>
              </w:numPr>
              <w:spacing w:after="160"/>
              <w:contextualSpacing w:val="0"/>
              <w:jc w:val="both"/>
              <w:rPr>
                <w:rFonts w:ascii="Arial" w:hAnsi="Arial" w:cs="Arial"/>
                <w:lang w:val="en-ZA"/>
              </w:rPr>
            </w:pPr>
            <w:r w:rsidRPr="008F58E3">
              <w:rPr>
                <w:rFonts w:ascii="Arial" w:hAnsi="Arial" w:cs="Arial"/>
                <w:sz w:val="22"/>
                <w:lang w:val="en-GB"/>
              </w:rPr>
              <w:t>Serving as guideline for the Provincial Executive Authorities when establishing the Boards for their public entities;</w:t>
            </w:r>
          </w:p>
          <w:p w:rsidR="00E627D1" w:rsidRPr="008F58E3" w:rsidRDefault="0072252E" w:rsidP="00236E40">
            <w:pPr>
              <w:pStyle w:val="ListParagraph"/>
              <w:numPr>
                <w:ilvl w:val="1"/>
                <w:numId w:val="1"/>
              </w:numPr>
              <w:spacing w:after="160"/>
              <w:contextualSpacing w:val="0"/>
              <w:jc w:val="both"/>
              <w:rPr>
                <w:rFonts w:ascii="Arial" w:hAnsi="Arial" w:cs="Arial"/>
                <w:lang w:val="en-ZA"/>
              </w:rPr>
            </w:pPr>
            <w:r w:rsidRPr="008F58E3">
              <w:rPr>
                <w:rFonts w:ascii="Arial" w:hAnsi="Arial" w:cs="Arial"/>
                <w:sz w:val="22"/>
                <w:lang w:val="en-GB"/>
              </w:rPr>
              <w:t>Also serve as a guideline for Provincial Executive Authorities when determining the fees or remuneration paid to Boards;</w:t>
            </w:r>
          </w:p>
          <w:p w:rsidR="00E627D1" w:rsidRPr="008F58E3" w:rsidRDefault="0072252E" w:rsidP="00236E40">
            <w:pPr>
              <w:pStyle w:val="ListParagraph"/>
              <w:numPr>
                <w:ilvl w:val="1"/>
                <w:numId w:val="1"/>
              </w:numPr>
              <w:spacing w:after="160"/>
              <w:contextualSpacing w:val="0"/>
              <w:jc w:val="both"/>
              <w:rPr>
                <w:rFonts w:ascii="Arial" w:hAnsi="Arial" w:cs="Arial"/>
                <w:lang w:val="en-ZA"/>
              </w:rPr>
            </w:pPr>
            <w:r w:rsidRPr="008F58E3">
              <w:rPr>
                <w:rFonts w:ascii="Arial" w:hAnsi="Arial" w:cs="Arial"/>
                <w:sz w:val="22"/>
                <w:lang w:val="en-GB"/>
              </w:rPr>
              <w:t>Provide a framework guide for the effectiveness of the Boards and their sub-committees, including the evaluation of their performance; and</w:t>
            </w:r>
          </w:p>
          <w:p w:rsidR="008F58E3" w:rsidRPr="008F58E3" w:rsidRDefault="0072252E" w:rsidP="00236E40">
            <w:pPr>
              <w:pStyle w:val="ListParagraph"/>
              <w:numPr>
                <w:ilvl w:val="1"/>
                <w:numId w:val="1"/>
              </w:numPr>
              <w:spacing w:after="160"/>
              <w:contextualSpacing w:val="0"/>
              <w:jc w:val="both"/>
              <w:rPr>
                <w:rFonts w:ascii="Arial" w:hAnsi="Arial" w:cs="Arial"/>
                <w:lang w:val="en-ZA"/>
              </w:rPr>
            </w:pPr>
            <w:r w:rsidRPr="008F58E3">
              <w:rPr>
                <w:rFonts w:ascii="Arial" w:hAnsi="Arial" w:cs="Arial"/>
                <w:sz w:val="22"/>
                <w:lang w:val="en-GB"/>
              </w:rPr>
              <w:t>Promote uniform and transparent administrative processes in governing the boards in line with cost containment measures introduced by National Treasury.</w:t>
            </w:r>
          </w:p>
        </w:tc>
      </w:tr>
    </w:tbl>
    <w:p w:rsidR="008F58E3" w:rsidRDefault="008F58E3">
      <w:pPr>
        <w:rPr>
          <w:sz w:val="22"/>
          <w:szCs w:val="22"/>
        </w:rPr>
      </w:pPr>
    </w:p>
    <w:p w:rsidR="008F58E3" w:rsidRDefault="008F58E3">
      <w:pPr>
        <w:rPr>
          <w:sz w:val="22"/>
          <w:szCs w:val="22"/>
        </w:rPr>
      </w:pPr>
    </w:p>
    <w:tbl>
      <w:tblPr>
        <w:tblW w:w="13907"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907"/>
      </w:tblGrid>
      <w:tr w:rsidR="008F58E3" w:rsidRPr="00061610" w:rsidTr="001F13D8">
        <w:trPr>
          <w:trHeight w:val="378"/>
          <w:tblHeader/>
        </w:trPr>
        <w:tc>
          <w:tcPr>
            <w:tcW w:w="13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84806" w:themeFill="accent6" w:themeFillShade="80"/>
            <w:vAlign w:val="center"/>
          </w:tcPr>
          <w:p w:rsidR="008F58E3" w:rsidRPr="00061610" w:rsidRDefault="008F58E3" w:rsidP="001F13D8">
            <w:pPr>
              <w:jc w:val="center"/>
              <w:rPr>
                <w:rFonts w:ascii="Arial" w:eastAsiaTheme="majorEastAsia" w:hAnsi="Arial" w:cs="Arial"/>
                <w:b/>
                <w:bCs/>
                <w:color w:val="FFFFFF" w:themeColor="background1"/>
                <w:sz w:val="28"/>
                <w:szCs w:val="28"/>
              </w:rPr>
            </w:pPr>
            <w:r w:rsidRPr="00E25F89">
              <w:rPr>
                <w:rFonts w:ascii="Arial" w:eastAsiaTheme="majorEastAsia" w:hAnsi="Arial" w:cs="Arial"/>
                <w:b/>
                <w:bCs/>
                <w:color w:val="FFFFFF" w:themeColor="background1"/>
                <w:sz w:val="28"/>
                <w:szCs w:val="28"/>
              </w:rPr>
              <w:t>RESPONSES TO 2016/17 RECOMMENDATIONS</w:t>
            </w:r>
          </w:p>
        </w:tc>
      </w:tr>
      <w:tr w:rsidR="008F58E3" w:rsidRPr="00061610" w:rsidTr="001F13D8">
        <w:trPr>
          <w:trHeight w:val="450"/>
          <w:tblHeader/>
        </w:trPr>
        <w:tc>
          <w:tcPr>
            <w:tcW w:w="13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E2402"/>
            <w:vAlign w:val="center"/>
          </w:tcPr>
          <w:p w:rsidR="008F58E3" w:rsidRDefault="008F58E3" w:rsidP="001F13D8">
            <w:pPr>
              <w:keepNext/>
              <w:keepLines/>
              <w:jc w:val="center"/>
              <w:outlineLvl w:val="1"/>
              <w:rPr>
                <w:rFonts w:ascii="Arial" w:eastAsiaTheme="majorEastAsia" w:hAnsi="Arial" w:cs="Arial"/>
                <w:b/>
                <w:bCs/>
                <w:color w:val="FFFFFF" w:themeColor="background1"/>
                <w:sz w:val="28"/>
                <w:szCs w:val="28"/>
              </w:rPr>
            </w:pPr>
            <w:r>
              <w:rPr>
                <w:rFonts w:ascii="Arial" w:eastAsiaTheme="majorEastAsia" w:hAnsi="Arial" w:cs="Arial"/>
                <w:b/>
                <w:bCs/>
                <w:color w:val="FFFFFF" w:themeColor="background1"/>
                <w:sz w:val="28"/>
                <w:szCs w:val="28"/>
              </w:rPr>
              <w:t>RECOMMENDATION 12.4</w:t>
            </w:r>
          </w:p>
        </w:tc>
      </w:tr>
      <w:tr w:rsidR="008F58E3" w:rsidRPr="002175B7" w:rsidTr="001F13D8">
        <w:trPr>
          <w:trHeight w:val="746"/>
        </w:trPr>
        <w:tc>
          <w:tcPr>
            <w:tcW w:w="13907" w:type="dxa"/>
            <w:tcBorders>
              <w:top w:val="single" w:sz="4" w:space="0" w:color="FFFFFF" w:themeColor="background1"/>
              <w:bottom w:val="single" w:sz="4" w:space="0" w:color="auto"/>
            </w:tcBorders>
            <w:shd w:val="clear" w:color="auto" w:fill="auto"/>
          </w:tcPr>
          <w:p w:rsidR="008F58E3" w:rsidRPr="002175B7" w:rsidRDefault="008F58E3" w:rsidP="0072252E">
            <w:pPr>
              <w:pStyle w:val="ListParagraph"/>
              <w:numPr>
                <w:ilvl w:val="0"/>
                <w:numId w:val="2"/>
              </w:numPr>
              <w:jc w:val="both"/>
            </w:pPr>
            <w:r w:rsidRPr="006716A7">
              <w:rPr>
                <w:rFonts w:ascii="Arial" w:hAnsi="Arial" w:cs="Arial"/>
                <w:sz w:val="22"/>
                <w:szCs w:val="22"/>
              </w:rPr>
              <w:t xml:space="preserve">Provinces should </w:t>
            </w:r>
            <w:proofErr w:type="spellStart"/>
            <w:r w:rsidRPr="006716A7">
              <w:rPr>
                <w:rFonts w:ascii="Arial" w:hAnsi="Arial" w:cs="Arial"/>
                <w:sz w:val="22"/>
                <w:szCs w:val="22"/>
              </w:rPr>
              <w:t>finalise</w:t>
            </w:r>
            <w:proofErr w:type="spellEnd"/>
            <w:r w:rsidRPr="006716A7">
              <w:rPr>
                <w:rFonts w:ascii="Arial" w:hAnsi="Arial" w:cs="Arial"/>
                <w:sz w:val="22"/>
                <w:szCs w:val="22"/>
              </w:rPr>
              <w:t xml:space="preserve"> the </w:t>
            </w:r>
            <w:proofErr w:type="spellStart"/>
            <w:r w:rsidRPr="006716A7">
              <w:rPr>
                <w:rFonts w:ascii="Arial" w:hAnsi="Arial" w:cs="Arial"/>
                <w:sz w:val="22"/>
                <w:szCs w:val="22"/>
              </w:rPr>
              <w:t>rationalisation</w:t>
            </w:r>
            <w:proofErr w:type="spellEnd"/>
            <w:r w:rsidRPr="006716A7">
              <w:rPr>
                <w:rFonts w:ascii="Arial" w:hAnsi="Arial" w:cs="Arial"/>
                <w:sz w:val="22"/>
                <w:szCs w:val="22"/>
              </w:rPr>
              <w:t xml:space="preserve"> processes and ensure that public entities add value to government’s plans and achieve the intended objectives of enhancing provincial economic growth and development</w:t>
            </w:r>
          </w:p>
        </w:tc>
      </w:tr>
      <w:tr w:rsidR="008F58E3" w:rsidRPr="00E25F89" w:rsidTr="008B11EB">
        <w:trPr>
          <w:trHeight w:val="555"/>
        </w:trPr>
        <w:tc>
          <w:tcPr>
            <w:tcW w:w="13907" w:type="dxa"/>
            <w:tcBorders>
              <w:bottom w:val="single" w:sz="4" w:space="0" w:color="auto"/>
            </w:tcBorders>
            <w:shd w:val="clear" w:color="auto" w:fill="auto"/>
          </w:tcPr>
          <w:p w:rsidR="008F58E3" w:rsidRPr="00E25F89" w:rsidRDefault="008F58E3" w:rsidP="001F13D8">
            <w:pPr>
              <w:spacing w:line="360" w:lineRule="auto"/>
              <w:jc w:val="both"/>
              <w:rPr>
                <w:rFonts w:ascii="Arial" w:hAnsi="Arial" w:cs="Arial"/>
                <w:b/>
              </w:rPr>
            </w:pPr>
            <w:r w:rsidRPr="00E25F89">
              <w:rPr>
                <w:rFonts w:ascii="Arial" w:hAnsi="Arial" w:cs="Arial"/>
                <w:b/>
                <w:sz w:val="22"/>
              </w:rPr>
              <w:t>PROGRESS:</w:t>
            </w:r>
          </w:p>
          <w:p w:rsidR="008F58E3" w:rsidRPr="008F58E3" w:rsidRDefault="008F58E3" w:rsidP="0072252E">
            <w:pPr>
              <w:pStyle w:val="ListParagraph"/>
              <w:numPr>
                <w:ilvl w:val="0"/>
                <w:numId w:val="1"/>
              </w:numPr>
              <w:spacing w:after="160"/>
              <w:ind w:left="357" w:hanging="357"/>
              <w:rPr>
                <w:rFonts w:ascii="Arial" w:hAnsi="Arial" w:cs="Arial"/>
                <w:lang w:val="en-ZA"/>
              </w:rPr>
            </w:pPr>
            <w:r w:rsidRPr="008F58E3">
              <w:rPr>
                <w:rFonts w:ascii="Arial" w:hAnsi="Arial" w:cs="Arial"/>
                <w:sz w:val="22"/>
                <w:lang w:val="en-GB"/>
              </w:rPr>
              <w:t xml:space="preserve">In August 2017, Provincial Treasury (PT) presented the Treasury view and proposals for rationalisation of public entities to the Economic Development Cabinet Committee meeting. It was agreed that all MECs of the affected departments must be given time to interrogate and comment on the proposed rationalisation project. Subsequently and after receipt of inputs from affected departments and entities, a draft memo has been developed for MEC to channel the proposals to EXCO to consider the inputs regarding the rationalisation of entities that were submitted to Provincial Treasury for its approval of the implementation of rationalisation project. </w:t>
            </w:r>
          </w:p>
        </w:tc>
      </w:tr>
    </w:tbl>
    <w:p w:rsidR="008F58E3" w:rsidRDefault="008F58E3">
      <w:pPr>
        <w:rPr>
          <w:sz w:val="22"/>
          <w:szCs w:val="22"/>
        </w:rPr>
      </w:pPr>
    </w:p>
    <w:p w:rsidR="008F58E3" w:rsidRDefault="008F58E3">
      <w:pPr>
        <w:rPr>
          <w:sz w:val="22"/>
          <w:szCs w:val="22"/>
        </w:rPr>
      </w:pPr>
    </w:p>
    <w:tbl>
      <w:tblPr>
        <w:tblW w:w="13907"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907"/>
      </w:tblGrid>
      <w:tr w:rsidR="008F58E3" w:rsidRPr="00061610" w:rsidTr="001F13D8">
        <w:trPr>
          <w:trHeight w:val="378"/>
          <w:tblHeader/>
        </w:trPr>
        <w:tc>
          <w:tcPr>
            <w:tcW w:w="13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84806" w:themeFill="accent6" w:themeFillShade="80"/>
            <w:vAlign w:val="center"/>
          </w:tcPr>
          <w:p w:rsidR="008F58E3" w:rsidRPr="00061610" w:rsidRDefault="008F58E3" w:rsidP="001F13D8">
            <w:pPr>
              <w:jc w:val="center"/>
              <w:rPr>
                <w:rFonts w:ascii="Arial" w:eastAsiaTheme="majorEastAsia" w:hAnsi="Arial" w:cs="Arial"/>
                <w:b/>
                <w:bCs/>
                <w:color w:val="FFFFFF" w:themeColor="background1"/>
                <w:sz w:val="28"/>
                <w:szCs w:val="28"/>
              </w:rPr>
            </w:pPr>
            <w:r w:rsidRPr="00E25F89">
              <w:rPr>
                <w:rFonts w:ascii="Arial" w:eastAsiaTheme="majorEastAsia" w:hAnsi="Arial" w:cs="Arial"/>
                <w:b/>
                <w:bCs/>
                <w:color w:val="FFFFFF" w:themeColor="background1"/>
                <w:sz w:val="28"/>
                <w:szCs w:val="28"/>
              </w:rPr>
              <w:t>RESPONSES TO 2016/17 RECOMMENDATIONS</w:t>
            </w:r>
          </w:p>
        </w:tc>
      </w:tr>
      <w:tr w:rsidR="008F58E3" w:rsidRPr="00061610" w:rsidTr="001F13D8">
        <w:trPr>
          <w:trHeight w:val="450"/>
          <w:tblHeader/>
        </w:trPr>
        <w:tc>
          <w:tcPr>
            <w:tcW w:w="13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E2402"/>
            <w:vAlign w:val="center"/>
          </w:tcPr>
          <w:p w:rsidR="008F58E3" w:rsidRDefault="008F58E3" w:rsidP="001F13D8">
            <w:pPr>
              <w:keepNext/>
              <w:keepLines/>
              <w:jc w:val="center"/>
              <w:outlineLvl w:val="1"/>
              <w:rPr>
                <w:rFonts w:ascii="Arial" w:eastAsiaTheme="majorEastAsia" w:hAnsi="Arial" w:cs="Arial"/>
                <w:b/>
                <w:bCs/>
                <w:color w:val="FFFFFF" w:themeColor="background1"/>
                <w:sz w:val="28"/>
                <w:szCs w:val="28"/>
              </w:rPr>
            </w:pPr>
            <w:r>
              <w:rPr>
                <w:rFonts w:ascii="Arial" w:eastAsiaTheme="majorEastAsia" w:hAnsi="Arial" w:cs="Arial"/>
                <w:b/>
                <w:bCs/>
                <w:color w:val="FFFFFF" w:themeColor="background1"/>
                <w:sz w:val="28"/>
                <w:szCs w:val="28"/>
              </w:rPr>
              <w:t>RECOMMENDATION 12.5</w:t>
            </w:r>
          </w:p>
        </w:tc>
      </w:tr>
      <w:tr w:rsidR="008F58E3" w:rsidRPr="002175B7" w:rsidTr="001F13D8">
        <w:trPr>
          <w:trHeight w:val="746"/>
        </w:trPr>
        <w:tc>
          <w:tcPr>
            <w:tcW w:w="13907" w:type="dxa"/>
            <w:tcBorders>
              <w:top w:val="single" w:sz="4" w:space="0" w:color="FFFFFF" w:themeColor="background1"/>
              <w:bottom w:val="single" w:sz="4" w:space="0" w:color="auto"/>
            </w:tcBorders>
            <w:shd w:val="clear" w:color="auto" w:fill="auto"/>
          </w:tcPr>
          <w:p w:rsidR="008F58E3" w:rsidRPr="002175B7" w:rsidRDefault="008F58E3" w:rsidP="0072252E">
            <w:pPr>
              <w:pStyle w:val="ListParagraph"/>
              <w:numPr>
                <w:ilvl w:val="0"/>
                <w:numId w:val="2"/>
              </w:numPr>
              <w:jc w:val="both"/>
            </w:pPr>
            <w:r w:rsidRPr="006716A7">
              <w:rPr>
                <w:rFonts w:ascii="Arial" w:hAnsi="Arial" w:cs="Arial"/>
                <w:sz w:val="22"/>
                <w:szCs w:val="22"/>
              </w:rPr>
              <w:t xml:space="preserve">The Provincial Treasuries should work with the provincial departments of Health to </w:t>
            </w:r>
            <w:proofErr w:type="spellStart"/>
            <w:r w:rsidRPr="006716A7">
              <w:rPr>
                <w:rFonts w:ascii="Arial" w:hAnsi="Arial" w:cs="Arial"/>
                <w:sz w:val="22"/>
                <w:szCs w:val="22"/>
              </w:rPr>
              <w:t>maximise</w:t>
            </w:r>
            <w:proofErr w:type="spellEnd"/>
            <w:r w:rsidRPr="006716A7">
              <w:rPr>
                <w:rFonts w:ascii="Arial" w:hAnsi="Arial" w:cs="Arial"/>
                <w:sz w:val="22"/>
                <w:szCs w:val="22"/>
              </w:rPr>
              <w:t xml:space="preserve"> revenue collection from patient fees. There is a trend of under collection of patient fees in most Provinces;</w:t>
            </w:r>
          </w:p>
        </w:tc>
      </w:tr>
      <w:tr w:rsidR="008F58E3" w:rsidRPr="00E25F89" w:rsidTr="001F13D8">
        <w:trPr>
          <w:trHeight w:val="980"/>
        </w:trPr>
        <w:tc>
          <w:tcPr>
            <w:tcW w:w="13907" w:type="dxa"/>
            <w:tcBorders>
              <w:bottom w:val="single" w:sz="4" w:space="0" w:color="auto"/>
            </w:tcBorders>
            <w:shd w:val="clear" w:color="auto" w:fill="auto"/>
          </w:tcPr>
          <w:p w:rsidR="008F58E3" w:rsidRPr="00E25F89" w:rsidRDefault="008F58E3" w:rsidP="001F13D8">
            <w:pPr>
              <w:spacing w:line="360" w:lineRule="auto"/>
              <w:jc w:val="both"/>
              <w:rPr>
                <w:rFonts w:ascii="Arial" w:hAnsi="Arial" w:cs="Arial"/>
                <w:b/>
              </w:rPr>
            </w:pPr>
            <w:r w:rsidRPr="00E25F89">
              <w:rPr>
                <w:rFonts w:ascii="Arial" w:hAnsi="Arial" w:cs="Arial"/>
                <w:b/>
                <w:sz w:val="22"/>
              </w:rPr>
              <w:t>PROGRESS:</w:t>
            </w:r>
          </w:p>
          <w:p w:rsidR="008F58E3" w:rsidRPr="008F58E3" w:rsidRDefault="008F58E3" w:rsidP="0072252E">
            <w:pPr>
              <w:pStyle w:val="ListParagraph"/>
              <w:numPr>
                <w:ilvl w:val="0"/>
                <w:numId w:val="1"/>
              </w:numPr>
              <w:spacing w:after="160"/>
              <w:ind w:left="357" w:hanging="357"/>
              <w:jc w:val="both"/>
              <w:rPr>
                <w:rFonts w:ascii="Arial" w:hAnsi="Arial" w:cs="Arial"/>
                <w:lang w:val="en-ZA"/>
              </w:rPr>
            </w:pPr>
            <w:r w:rsidRPr="008F58E3">
              <w:rPr>
                <w:rFonts w:ascii="Arial" w:hAnsi="Arial" w:cs="Arial"/>
                <w:sz w:val="22"/>
                <w:lang w:val="en-ZA"/>
              </w:rPr>
              <w:t>Workgroups were established between the Provincial Treasury and the Department of Health and meetings are taking place at least once a quarter to monitor the implementation of the Provincial Revenue Generation Strategy.  In terms of the strategy, the department has targeted thirteen hospital sites with the implementation of electronic billing and where the hospitals represent the highest bed utilisation rate.  Collections are monitored through the validation of claims and recoveries from the Road Accident Fund (RAF), Government Employees Medical Scheme (GEMS) and other medical schemes that account for patient fees.</w:t>
            </w:r>
          </w:p>
        </w:tc>
      </w:tr>
    </w:tbl>
    <w:p w:rsidR="008F58E3" w:rsidRDefault="008F58E3">
      <w:pPr>
        <w:rPr>
          <w:sz w:val="22"/>
          <w:szCs w:val="22"/>
        </w:rPr>
      </w:pPr>
    </w:p>
    <w:p w:rsidR="009A2F17" w:rsidRDefault="009A2F17">
      <w:pPr>
        <w:rPr>
          <w:sz w:val="22"/>
          <w:szCs w:val="22"/>
        </w:rPr>
      </w:pPr>
    </w:p>
    <w:p w:rsidR="009A2F17" w:rsidRDefault="009A2F17">
      <w:pPr>
        <w:rPr>
          <w:sz w:val="22"/>
          <w:szCs w:val="22"/>
        </w:rPr>
      </w:pPr>
    </w:p>
    <w:tbl>
      <w:tblPr>
        <w:tblW w:w="13907"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907"/>
      </w:tblGrid>
      <w:tr w:rsidR="00933E13" w:rsidRPr="00061610" w:rsidTr="001F13D8">
        <w:trPr>
          <w:trHeight w:val="378"/>
          <w:tblHeader/>
        </w:trPr>
        <w:tc>
          <w:tcPr>
            <w:tcW w:w="13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84806" w:themeFill="accent6" w:themeFillShade="80"/>
            <w:vAlign w:val="center"/>
          </w:tcPr>
          <w:p w:rsidR="00933E13" w:rsidRPr="00061610" w:rsidRDefault="00933E13" w:rsidP="001F13D8">
            <w:pPr>
              <w:jc w:val="center"/>
              <w:rPr>
                <w:rFonts w:ascii="Arial" w:eastAsiaTheme="majorEastAsia" w:hAnsi="Arial" w:cs="Arial"/>
                <w:b/>
                <w:bCs/>
                <w:color w:val="FFFFFF" w:themeColor="background1"/>
                <w:sz w:val="28"/>
                <w:szCs w:val="28"/>
              </w:rPr>
            </w:pPr>
            <w:r w:rsidRPr="00E25F89">
              <w:rPr>
                <w:rFonts w:ascii="Arial" w:eastAsiaTheme="majorEastAsia" w:hAnsi="Arial" w:cs="Arial"/>
                <w:b/>
                <w:bCs/>
                <w:color w:val="FFFFFF" w:themeColor="background1"/>
                <w:sz w:val="28"/>
                <w:szCs w:val="28"/>
              </w:rPr>
              <w:t>RESPONSES TO 2016/17 RECOMMENDATIONS</w:t>
            </w:r>
          </w:p>
        </w:tc>
      </w:tr>
      <w:tr w:rsidR="00933E13" w:rsidRPr="00061610" w:rsidTr="001F13D8">
        <w:trPr>
          <w:trHeight w:val="450"/>
          <w:tblHeader/>
        </w:trPr>
        <w:tc>
          <w:tcPr>
            <w:tcW w:w="13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E2402"/>
            <w:vAlign w:val="center"/>
          </w:tcPr>
          <w:p w:rsidR="00933E13" w:rsidRDefault="00933E13" w:rsidP="001F13D8">
            <w:pPr>
              <w:keepNext/>
              <w:keepLines/>
              <w:jc w:val="center"/>
              <w:outlineLvl w:val="1"/>
              <w:rPr>
                <w:rFonts w:ascii="Arial" w:eastAsiaTheme="majorEastAsia" w:hAnsi="Arial" w:cs="Arial"/>
                <w:b/>
                <w:bCs/>
                <w:color w:val="FFFFFF" w:themeColor="background1"/>
                <w:sz w:val="28"/>
                <w:szCs w:val="28"/>
              </w:rPr>
            </w:pPr>
            <w:r>
              <w:rPr>
                <w:rFonts w:ascii="Arial" w:eastAsiaTheme="majorEastAsia" w:hAnsi="Arial" w:cs="Arial"/>
                <w:b/>
                <w:bCs/>
                <w:color w:val="FFFFFF" w:themeColor="background1"/>
                <w:sz w:val="28"/>
                <w:szCs w:val="28"/>
              </w:rPr>
              <w:t>RECOMMENDATION 12.6</w:t>
            </w:r>
          </w:p>
        </w:tc>
      </w:tr>
      <w:tr w:rsidR="00933E13" w:rsidRPr="002175B7" w:rsidTr="001F13D8">
        <w:trPr>
          <w:trHeight w:val="746"/>
        </w:trPr>
        <w:tc>
          <w:tcPr>
            <w:tcW w:w="13907" w:type="dxa"/>
            <w:tcBorders>
              <w:top w:val="single" w:sz="4" w:space="0" w:color="FFFFFF" w:themeColor="background1"/>
              <w:bottom w:val="single" w:sz="4" w:space="0" w:color="auto"/>
            </w:tcBorders>
            <w:shd w:val="clear" w:color="auto" w:fill="auto"/>
          </w:tcPr>
          <w:p w:rsidR="00933E13" w:rsidRPr="00933E13" w:rsidRDefault="00933E13" w:rsidP="0072252E">
            <w:pPr>
              <w:pStyle w:val="ListParagraph"/>
              <w:numPr>
                <w:ilvl w:val="0"/>
                <w:numId w:val="8"/>
              </w:numPr>
              <w:spacing w:before="120" w:after="120" w:line="360" w:lineRule="exact"/>
              <w:jc w:val="both"/>
              <w:rPr>
                <w:rFonts w:ascii="Arial" w:hAnsi="Arial" w:cs="Arial"/>
              </w:rPr>
            </w:pPr>
            <w:r w:rsidRPr="00933E13">
              <w:rPr>
                <w:rFonts w:ascii="Arial" w:hAnsi="Arial" w:cs="Arial"/>
                <w:sz w:val="22"/>
                <w:szCs w:val="22"/>
              </w:rPr>
              <w:t xml:space="preserve">National Treasury should work with SARS to strengthen cross border control, to </w:t>
            </w:r>
            <w:proofErr w:type="spellStart"/>
            <w:r w:rsidRPr="00933E13">
              <w:rPr>
                <w:rFonts w:ascii="Arial" w:hAnsi="Arial" w:cs="Arial"/>
                <w:sz w:val="22"/>
                <w:szCs w:val="22"/>
              </w:rPr>
              <w:t>maximise</w:t>
            </w:r>
            <w:proofErr w:type="spellEnd"/>
            <w:r w:rsidRPr="00933E13">
              <w:rPr>
                <w:rFonts w:ascii="Arial" w:hAnsi="Arial" w:cs="Arial"/>
                <w:sz w:val="22"/>
                <w:szCs w:val="22"/>
              </w:rPr>
              <w:t xml:space="preserve"> revenue collection</w:t>
            </w:r>
          </w:p>
        </w:tc>
      </w:tr>
      <w:tr w:rsidR="00933E13" w:rsidRPr="00E25F89" w:rsidTr="001F13D8">
        <w:trPr>
          <w:trHeight w:val="980"/>
        </w:trPr>
        <w:tc>
          <w:tcPr>
            <w:tcW w:w="13907" w:type="dxa"/>
            <w:tcBorders>
              <w:bottom w:val="single" w:sz="4" w:space="0" w:color="auto"/>
            </w:tcBorders>
            <w:shd w:val="clear" w:color="auto" w:fill="auto"/>
          </w:tcPr>
          <w:p w:rsidR="00933E13" w:rsidRPr="00933E13" w:rsidRDefault="00933E13" w:rsidP="00933E13">
            <w:pPr>
              <w:spacing w:after="160"/>
              <w:jc w:val="both"/>
              <w:rPr>
                <w:rFonts w:ascii="Arial" w:hAnsi="Arial" w:cs="Arial"/>
                <w:lang w:val="en-ZA"/>
              </w:rPr>
            </w:pPr>
            <w:r w:rsidRPr="003C7F2B">
              <w:rPr>
                <w:rFonts w:ascii="Arial" w:eastAsiaTheme="minorEastAsia" w:hAnsi="Arial" w:cs="Arial"/>
                <w:sz w:val="22"/>
                <w:szCs w:val="22"/>
                <w:lang w:eastAsia="en-ZA"/>
              </w:rPr>
              <w:t>National Treasury to respond.</w:t>
            </w:r>
          </w:p>
        </w:tc>
      </w:tr>
    </w:tbl>
    <w:p w:rsidR="00933E13" w:rsidRDefault="00933E13">
      <w:pPr>
        <w:rPr>
          <w:sz w:val="22"/>
          <w:szCs w:val="22"/>
        </w:rPr>
      </w:pPr>
    </w:p>
    <w:p w:rsidR="009A2F17" w:rsidRDefault="009A2F17">
      <w:pPr>
        <w:rPr>
          <w:sz w:val="22"/>
          <w:szCs w:val="22"/>
        </w:rPr>
      </w:pPr>
    </w:p>
    <w:p w:rsidR="009A2F17" w:rsidRDefault="009A2F17">
      <w:pPr>
        <w:rPr>
          <w:sz w:val="22"/>
          <w:szCs w:val="22"/>
        </w:rPr>
      </w:pPr>
    </w:p>
    <w:p w:rsidR="008F58E3" w:rsidRDefault="008F58E3">
      <w:pPr>
        <w:rPr>
          <w:sz w:val="22"/>
          <w:szCs w:val="22"/>
        </w:rPr>
      </w:pPr>
    </w:p>
    <w:tbl>
      <w:tblPr>
        <w:tblW w:w="13907"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907"/>
      </w:tblGrid>
      <w:tr w:rsidR="008F58E3" w:rsidRPr="00061610" w:rsidTr="001F13D8">
        <w:trPr>
          <w:trHeight w:val="378"/>
          <w:tblHeader/>
        </w:trPr>
        <w:tc>
          <w:tcPr>
            <w:tcW w:w="13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84806" w:themeFill="accent6" w:themeFillShade="80"/>
            <w:vAlign w:val="center"/>
          </w:tcPr>
          <w:p w:rsidR="008F58E3" w:rsidRPr="00061610" w:rsidRDefault="008F58E3" w:rsidP="001F13D8">
            <w:pPr>
              <w:jc w:val="center"/>
              <w:rPr>
                <w:rFonts w:ascii="Arial" w:eastAsiaTheme="majorEastAsia" w:hAnsi="Arial" w:cs="Arial"/>
                <w:b/>
                <w:bCs/>
                <w:color w:val="FFFFFF" w:themeColor="background1"/>
                <w:sz w:val="28"/>
                <w:szCs w:val="28"/>
              </w:rPr>
            </w:pPr>
            <w:r w:rsidRPr="00E25F89">
              <w:rPr>
                <w:rFonts w:ascii="Arial" w:eastAsiaTheme="majorEastAsia" w:hAnsi="Arial" w:cs="Arial"/>
                <w:b/>
                <w:bCs/>
                <w:color w:val="FFFFFF" w:themeColor="background1"/>
                <w:sz w:val="28"/>
                <w:szCs w:val="28"/>
              </w:rPr>
              <w:t>RESPONSES TO 2016/17 RECOMMENDATIONS</w:t>
            </w:r>
          </w:p>
        </w:tc>
      </w:tr>
      <w:tr w:rsidR="008F58E3" w:rsidRPr="00061610" w:rsidTr="001F13D8">
        <w:trPr>
          <w:trHeight w:val="450"/>
          <w:tblHeader/>
        </w:trPr>
        <w:tc>
          <w:tcPr>
            <w:tcW w:w="13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E2402"/>
            <w:vAlign w:val="center"/>
          </w:tcPr>
          <w:p w:rsidR="008F58E3" w:rsidRDefault="008F58E3" w:rsidP="001F13D8">
            <w:pPr>
              <w:keepNext/>
              <w:keepLines/>
              <w:jc w:val="center"/>
              <w:outlineLvl w:val="1"/>
              <w:rPr>
                <w:rFonts w:ascii="Arial" w:eastAsiaTheme="majorEastAsia" w:hAnsi="Arial" w:cs="Arial"/>
                <w:b/>
                <w:bCs/>
                <w:color w:val="FFFFFF" w:themeColor="background1"/>
                <w:sz w:val="28"/>
                <w:szCs w:val="28"/>
              </w:rPr>
            </w:pPr>
            <w:r>
              <w:rPr>
                <w:rFonts w:ascii="Arial" w:eastAsiaTheme="majorEastAsia" w:hAnsi="Arial" w:cs="Arial"/>
                <w:b/>
                <w:bCs/>
                <w:color w:val="FFFFFF" w:themeColor="background1"/>
                <w:sz w:val="28"/>
                <w:szCs w:val="28"/>
              </w:rPr>
              <w:lastRenderedPageBreak/>
              <w:t>RECOMMENDATION 12.7</w:t>
            </w:r>
          </w:p>
        </w:tc>
      </w:tr>
      <w:tr w:rsidR="008F58E3" w:rsidRPr="002175B7" w:rsidTr="001F13D8">
        <w:trPr>
          <w:trHeight w:val="746"/>
        </w:trPr>
        <w:tc>
          <w:tcPr>
            <w:tcW w:w="13907" w:type="dxa"/>
            <w:tcBorders>
              <w:top w:val="single" w:sz="4" w:space="0" w:color="FFFFFF" w:themeColor="background1"/>
              <w:bottom w:val="single" w:sz="4" w:space="0" w:color="auto"/>
            </w:tcBorders>
            <w:shd w:val="clear" w:color="auto" w:fill="auto"/>
          </w:tcPr>
          <w:p w:rsidR="008F58E3" w:rsidRPr="002175B7" w:rsidRDefault="008F58E3" w:rsidP="0072252E">
            <w:pPr>
              <w:pStyle w:val="ListParagraph"/>
              <w:numPr>
                <w:ilvl w:val="0"/>
                <w:numId w:val="2"/>
              </w:numPr>
              <w:jc w:val="both"/>
            </w:pPr>
            <w:r w:rsidRPr="006716A7">
              <w:rPr>
                <w:rFonts w:ascii="Arial" w:hAnsi="Arial" w:cs="Arial"/>
                <w:sz w:val="22"/>
                <w:szCs w:val="22"/>
              </w:rPr>
              <w:t>In order to further improve on fiscal positions and effective budget implementation, the Provinces should improve Intergovernmental Relations across all three spheres of government and with relevant stakeholders;</w:t>
            </w:r>
          </w:p>
        </w:tc>
      </w:tr>
      <w:tr w:rsidR="006D4AE6" w:rsidRPr="002175B7" w:rsidTr="001F13D8">
        <w:trPr>
          <w:trHeight w:val="746"/>
        </w:trPr>
        <w:tc>
          <w:tcPr>
            <w:tcW w:w="13907" w:type="dxa"/>
            <w:tcBorders>
              <w:top w:val="single" w:sz="4" w:space="0" w:color="FFFFFF" w:themeColor="background1"/>
              <w:bottom w:val="single" w:sz="4" w:space="0" w:color="auto"/>
            </w:tcBorders>
            <w:shd w:val="clear" w:color="auto" w:fill="auto"/>
          </w:tcPr>
          <w:p w:rsidR="006D4AE6" w:rsidRPr="00E25F89" w:rsidRDefault="006D4AE6" w:rsidP="006D4AE6">
            <w:pPr>
              <w:spacing w:line="360" w:lineRule="auto"/>
              <w:jc w:val="both"/>
              <w:rPr>
                <w:rFonts w:ascii="Arial" w:hAnsi="Arial" w:cs="Arial"/>
                <w:b/>
              </w:rPr>
            </w:pPr>
            <w:r w:rsidRPr="00E25F89">
              <w:rPr>
                <w:rFonts w:ascii="Arial" w:hAnsi="Arial" w:cs="Arial"/>
                <w:b/>
                <w:sz w:val="22"/>
              </w:rPr>
              <w:t>PROGRESS:</w:t>
            </w:r>
          </w:p>
          <w:p w:rsidR="006D4AE6" w:rsidRPr="008F58E3" w:rsidRDefault="006D4AE6" w:rsidP="006D4AE6">
            <w:pPr>
              <w:spacing w:after="160"/>
              <w:jc w:val="both"/>
              <w:rPr>
                <w:rFonts w:ascii="Arial" w:eastAsiaTheme="minorEastAsia" w:hAnsi="Arial" w:cs="Arial"/>
                <w:lang w:val="en-ZA"/>
              </w:rPr>
            </w:pPr>
            <w:r w:rsidRPr="008F58E3">
              <w:rPr>
                <w:rFonts w:ascii="Arial" w:eastAsiaTheme="minorEastAsia" w:hAnsi="Arial" w:cs="Arial"/>
                <w:b/>
                <w:bCs/>
                <w:lang w:val="en-ZA"/>
              </w:rPr>
              <w:t>Intergovernmental Relations</w:t>
            </w:r>
          </w:p>
          <w:p w:rsidR="006D4AE6" w:rsidRPr="006D4AE6" w:rsidRDefault="003C7F2B" w:rsidP="006D4AE6">
            <w:pPr>
              <w:spacing w:after="160"/>
              <w:jc w:val="both"/>
              <w:rPr>
                <w:rFonts w:ascii="Arial" w:eastAsiaTheme="minorEastAsia" w:hAnsi="Arial" w:cs="Arial"/>
                <w:lang w:val="en-ZA"/>
              </w:rPr>
            </w:pPr>
            <w:r>
              <w:rPr>
                <w:rFonts w:ascii="Arial" w:eastAsiaTheme="minorEastAsia" w:hAnsi="Arial" w:cs="Arial"/>
                <w:sz w:val="22"/>
                <w:lang w:val="en-ZA"/>
              </w:rPr>
              <w:t xml:space="preserve">The province working with the Office of the Premier, COGTA and Provincial Treasury has strengthened the intergovernmental Forums that are in the form of </w:t>
            </w:r>
            <w:r w:rsidRPr="008E6351">
              <w:rPr>
                <w:rFonts w:ascii="Arial" w:eastAsiaTheme="minorEastAsia" w:hAnsi="Arial" w:cs="Arial"/>
                <w:sz w:val="22"/>
                <w:lang w:val="en-ZA"/>
              </w:rPr>
              <w:t>MUNIMEC</w:t>
            </w:r>
            <w:r w:rsidR="00036381" w:rsidRPr="008E6351">
              <w:rPr>
                <w:rFonts w:ascii="Arial" w:eastAsiaTheme="minorEastAsia" w:hAnsi="Arial" w:cs="Arial"/>
                <w:sz w:val="22"/>
                <w:lang w:val="en-ZA"/>
              </w:rPr>
              <w:t xml:space="preserve"> </w:t>
            </w:r>
            <w:r w:rsidR="00036381" w:rsidRPr="00036381">
              <w:rPr>
                <w:rFonts w:ascii="Arial" w:eastAsiaTheme="minorEastAsia" w:hAnsi="Arial" w:cs="Arial"/>
                <w:sz w:val="22"/>
                <w:lang w:val="en-ZA"/>
              </w:rPr>
              <w:t>which is chaired by the COGTA MEC</w:t>
            </w:r>
            <w:r w:rsidRPr="00036381">
              <w:rPr>
                <w:rFonts w:ascii="Arial" w:eastAsiaTheme="minorEastAsia" w:hAnsi="Arial" w:cs="Arial"/>
                <w:sz w:val="22"/>
                <w:lang w:val="en-ZA"/>
              </w:rPr>
              <w:t xml:space="preserve"> </w:t>
            </w:r>
            <w:r w:rsidR="00036381" w:rsidRPr="00036381">
              <w:rPr>
                <w:rFonts w:ascii="Arial" w:eastAsiaTheme="minorEastAsia" w:hAnsi="Arial" w:cs="Arial"/>
                <w:sz w:val="22"/>
                <w:lang w:val="en-ZA"/>
              </w:rPr>
              <w:t>and Premiers Coordinating Forum chaired by the Premier</w:t>
            </w:r>
            <w:r w:rsidR="00036381" w:rsidRPr="008E6351">
              <w:rPr>
                <w:rFonts w:ascii="Arial" w:eastAsiaTheme="minorEastAsia" w:hAnsi="Arial" w:cs="Arial"/>
                <w:sz w:val="22"/>
                <w:lang w:val="en-ZA"/>
              </w:rPr>
              <w:t xml:space="preserve">.  </w:t>
            </w:r>
            <w:r w:rsidR="00036381" w:rsidRPr="00036381">
              <w:rPr>
                <w:rFonts w:ascii="Arial" w:eastAsiaTheme="minorEastAsia" w:hAnsi="Arial" w:cs="Arial"/>
                <w:sz w:val="22"/>
                <w:lang w:val="en-ZA"/>
              </w:rPr>
              <w:t>These are held</w:t>
            </w:r>
            <w:r w:rsidR="00036381" w:rsidRPr="008E6351">
              <w:rPr>
                <w:rFonts w:ascii="Arial" w:eastAsiaTheme="minorEastAsia" w:hAnsi="Arial" w:cs="Arial"/>
                <w:sz w:val="22"/>
                <w:lang w:val="en-ZA"/>
              </w:rPr>
              <w:t xml:space="preserve"> </w:t>
            </w:r>
            <w:r w:rsidRPr="003C7F2B">
              <w:rPr>
                <w:rFonts w:ascii="Arial" w:eastAsiaTheme="minorEastAsia" w:hAnsi="Arial" w:cs="Arial"/>
                <w:sz w:val="22"/>
                <w:lang w:val="en-ZA"/>
              </w:rPr>
              <w:t>both at technical and political level</w:t>
            </w:r>
            <w:r>
              <w:rPr>
                <w:rFonts w:ascii="Arial" w:eastAsiaTheme="minorEastAsia" w:hAnsi="Arial" w:cs="Arial"/>
                <w:sz w:val="22"/>
                <w:lang w:val="en-ZA"/>
              </w:rPr>
              <w:t xml:space="preserve"> on a </w:t>
            </w:r>
            <w:r w:rsidRPr="009478BD">
              <w:rPr>
                <w:rFonts w:ascii="Arial" w:eastAsiaTheme="minorEastAsia" w:hAnsi="Arial" w:cs="Arial"/>
                <w:sz w:val="22"/>
                <w:lang w:val="en-ZA"/>
              </w:rPr>
              <w:t>quarterly basis</w:t>
            </w:r>
            <w:r>
              <w:rPr>
                <w:rFonts w:ascii="Arial" w:eastAsiaTheme="minorEastAsia" w:hAnsi="Arial" w:cs="Arial"/>
                <w:sz w:val="22"/>
                <w:lang w:val="en-ZA"/>
              </w:rPr>
              <w:t>.  Th</w:t>
            </w:r>
            <w:r w:rsidR="00036381">
              <w:rPr>
                <w:rFonts w:ascii="Arial" w:eastAsiaTheme="minorEastAsia" w:hAnsi="Arial" w:cs="Arial"/>
                <w:sz w:val="22"/>
                <w:lang w:val="en-ZA"/>
              </w:rPr>
              <w:t>is is where</w:t>
            </w:r>
            <w:r>
              <w:rPr>
                <w:rFonts w:ascii="Arial" w:eastAsiaTheme="minorEastAsia" w:hAnsi="Arial" w:cs="Arial"/>
                <w:sz w:val="22"/>
                <w:lang w:val="en-ZA"/>
              </w:rPr>
              <w:t xml:space="preserve"> matters</w:t>
            </w:r>
            <w:r w:rsidR="00036381">
              <w:rPr>
                <w:rFonts w:ascii="Arial" w:eastAsiaTheme="minorEastAsia" w:hAnsi="Arial" w:cs="Arial"/>
                <w:sz w:val="22"/>
                <w:lang w:val="en-ZA"/>
              </w:rPr>
              <w:t xml:space="preserve"> of integration by all sphere of government are discussed and endorsed through the Integrated Developmental Plans (IDP).  Over and above, further consultative </w:t>
            </w:r>
            <w:r>
              <w:rPr>
                <w:rFonts w:ascii="Arial" w:eastAsiaTheme="minorEastAsia" w:hAnsi="Arial" w:cs="Arial"/>
                <w:sz w:val="22"/>
                <w:lang w:val="en-ZA"/>
              </w:rPr>
              <w:t>F</w:t>
            </w:r>
            <w:r w:rsidR="006D4AE6" w:rsidRPr="006D4AE6">
              <w:rPr>
                <w:rFonts w:ascii="Arial" w:eastAsiaTheme="minorEastAsia" w:hAnsi="Arial" w:cs="Arial"/>
                <w:sz w:val="22"/>
                <w:lang w:val="en-ZA"/>
              </w:rPr>
              <w:t>orums to discuss the province’s finances</w:t>
            </w:r>
            <w:r>
              <w:rPr>
                <w:rFonts w:ascii="Arial" w:eastAsiaTheme="minorEastAsia" w:hAnsi="Arial" w:cs="Arial"/>
                <w:sz w:val="22"/>
                <w:lang w:val="en-ZA"/>
              </w:rPr>
              <w:t xml:space="preserve"> </w:t>
            </w:r>
            <w:r w:rsidR="009478BD">
              <w:rPr>
                <w:rFonts w:ascii="Arial" w:eastAsiaTheme="minorEastAsia" w:hAnsi="Arial" w:cs="Arial"/>
                <w:sz w:val="22"/>
                <w:lang w:val="en-ZA"/>
              </w:rPr>
              <w:t xml:space="preserve">at a national space are also held </w:t>
            </w:r>
            <w:r w:rsidR="00036381">
              <w:rPr>
                <w:rFonts w:ascii="Arial" w:eastAsiaTheme="minorEastAsia" w:hAnsi="Arial" w:cs="Arial"/>
                <w:sz w:val="22"/>
                <w:lang w:val="en-ZA"/>
              </w:rPr>
              <w:t>as follows</w:t>
            </w:r>
            <w:r>
              <w:rPr>
                <w:rFonts w:ascii="Arial" w:eastAsiaTheme="minorEastAsia" w:hAnsi="Arial" w:cs="Arial"/>
                <w:sz w:val="22"/>
                <w:lang w:val="en-ZA"/>
              </w:rPr>
              <w:t xml:space="preserve"> </w:t>
            </w:r>
            <w:r w:rsidR="006D4AE6" w:rsidRPr="006D4AE6">
              <w:rPr>
                <w:rFonts w:ascii="Arial" w:eastAsiaTheme="minorEastAsia" w:hAnsi="Arial" w:cs="Arial"/>
                <w:sz w:val="22"/>
                <w:lang w:val="en-ZA"/>
              </w:rPr>
              <w:t>:</w:t>
            </w:r>
          </w:p>
          <w:p w:rsidR="009478BD" w:rsidRDefault="009478BD" w:rsidP="00036381">
            <w:pPr>
              <w:pStyle w:val="ListParagraph"/>
              <w:numPr>
                <w:ilvl w:val="1"/>
                <w:numId w:val="1"/>
              </w:numPr>
              <w:spacing w:after="160"/>
              <w:contextualSpacing w:val="0"/>
              <w:jc w:val="both"/>
              <w:rPr>
                <w:rFonts w:ascii="Arial" w:hAnsi="Arial" w:cs="Arial"/>
                <w:lang w:val="en-ZA" w:eastAsia="en-US"/>
              </w:rPr>
            </w:pPr>
            <w:r>
              <w:rPr>
                <w:rFonts w:ascii="Arial" w:hAnsi="Arial" w:cs="Arial"/>
                <w:sz w:val="22"/>
                <w:lang w:val="en-ZA"/>
              </w:rPr>
              <w:t xml:space="preserve">Sector </w:t>
            </w:r>
            <w:r w:rsidRPr="008E6351">
              <w:rPr>
                <w:rFonts w:ascii="Arial" w:hAnsi="Arial" w:cs="Arial"/>
                <w:sz w:val="22"/>
                <w:lang w:val="en-ZA" w:eastAsia="en-US"/>
              </w:rPr>
              <w:t xml:space="preserve">HEADCOMs </w:t>
            </w:r>
            <w:r>
              <w:rPr>
                <w:rFonts w:ascii="Arial" w:hAnsi="Arial" w:cs="Arial"/>
                <w:sz w:val="22"/>
                <w:lang w:val="en-ZA" w:eastAsia="en-US"/>
              </w:rPr>
              <w:t xml:space="preserve">and </w:t>
            </w:r>
            <w:r w:rsidRPr="008E6351">
              <w:rPr>
                <w:rFonts w:ascii="Arial" w:hAnsi="Arial" w:cs="Arial"/>
                <w:sz w:val="22"/>
                <w:lang w:val="en-ZA" w:eastAsia="en-US"/>
              </w:rPr>
              <w:t>MINIMECs</w:t>
            </w:r>
          </w:p>
          <w:p w:rsidR="006D4AE6" w:rsidRPr="00861F1F" w:rsidRDefault="006D4AE6" w:rsidP="00036381">
            <w:pPr>
              <w:pStyle w:val="ListParagraph"/>
              <w:numPr>
                <w:ilvl w:val="1"/>
                <w:numId w:val="1"/>
              </w:numPr>
              <w:spacing w:after="160"/>
              <w:contextualSpacing w:val="0"/>
              <w:jc w:val="both"/>
              <w:rPr>
                <w:rFonts w:ascii="Arial" w:hAnsi="Arial" w:cs="Arial"/>
                <w:lang w:val="en-ZA"/>
              </w:rPr>
            </w:pPr>
            <w:r w:rsidRPr="00861F1F">
              <w:rPr>
                <w:rFonts w:ascii="Arial" w:hAnsi="Arial" w:cs="Arial"/>
                <w:sz w:val="22"/>
                <w:lang w:val="en-ZA"/>
              </w:rPr>
              <w:t>10 x 10 sector meetings (Transport, Health, Education, Social Development) – National and Provincial Departments</w:t>
            </w:r>
          </w:p>
          <w:p w:rsidR="006D4AE6" w:rsidRPr="00861F1F" w:rsidRDefault="006D4AE6" w:rsidP="00036381">
            <w:pPr>
              <w:pStyle w:val="ListParagraph"/>
              <w:numPr>
                <w:ilvl w:val="1"/>
                <w:numId w:val="1"/>
              </w:numPr>
              <w:spacing w:after="160"/>
              <w:contextualSpacing w:val="0"/>
              <w:jc w:val="both"/>
              <w:rPr>
                <w:rFonts w:ascii="Arial" w:hAnsi="Arial" w:cs="Arial"/>
                <w:lang w:val="en-ZA"/>
              </w:rPr>
            </w:pPr>
            <w:r w:rsidRPr="00861F1F">
              <w:rPr>
                <w:rFonts w:ascii="Arial" w:hAnsi="Arial" w:cs="Arial"/>
                <w:sz w:val="22"/>
                <w:lang w:val="en-ZA"/>
              </w:rPr>
              <w:t>EC Benchmark meeting between National and Provincial Treasury</w:t>
            </w:r>
          </w:p>
          <w:p w:rsidR="006D4AE6" w:rsidRPr="00861F1F" w:rsidRDefault="006D4AE6" w:rsidP="00036381">
            <w:pPr>
              <w:pStyle w:val="ListParagraph"/>
              <w:numPr>
                <w:ilvl w:val="1"/>
                <w:numId w:val="1"/>
              </w:numPr>
              <w:spacing w:after="160"/>
              <w:contextualSpacing w:val="0"/>
              <w:jc w:val="both"/>
              <w:rPr>
                <w:rFonts w:ascii="Arial" w:hAnsi="Arial" w:cs="Arial"/>
                <w:lang w:val="en-ZA"/>
              </w:rPr>
            </w:pPr>
            <w:r w:rsidRPr="00861F1F">
              <w:rPr>
                <w:rFonts w:ascii="Arial" w:hAnsi="Arial" w:cs="Arial"/>
                <w:sz w:val="22"/>
                <w:lang w:val="en-ZA"/>
              </w:rPr>
              <w:t>Premiers Coordinating Forum – Office of the Premier, Provincial Treasury and Municipalities</w:t>
            </w:r>
          </w:p>
          <w:p w:rsidR="006D4AE6" w:rsidRPr="00861F1F" w:rsidRDefault="006D4AE6" w:rsidP="00036381">
            <w:pPr>
              <w:pStyle w:val="ListParagraph"/>
              <w:numPr>
                <w:ilvl w:val="1"/>
                <w:numId w:val="1"/>
              </w:numPr>
              <w:spacing w:after="160"/>
              <w:contextualSpacing w:val="0"/>
              <w:jc w:val="both"/>
              <w:rPr>
                <w:rFonts w:ascii="Arial" w:hAnsi="Arial" w:cs="Arial"/>
                <w:lang w:val="en-ZA"/>
              </w:rPr>
            </w:pPr>
            <w:r w:rsidRPr="00861F1F">
              <w:rPr>
                <w:rFonts w:ascii="Arial" w:hAnsi="Arial" w:cs="Arial"/>
                <w:sz w:val="22"/>
                <w:lang w:val="en-ZA"/>
              </w:rPr>
              <w:t>Division of Revenue Bill  Forums and Workshops</w:t>
            </w:r>
          </w:p>
          <w:p w:rsidR="006D4AE6" w:rsidRPr="00861F1F" w:rsidRDefault="006D4AE6" w:rsidP="00036381">
            <w:pPr>
              <w:pStyle w:val="ListParagraph"/>
              <w:numPr>
                <w:ilvl w:val="1"/>
                <w:numId w:val="1"/>
              </w:numPr>
              <w:spacing w:after="160"/>
              <w:contextualSpacing w:val="0"/>
              <w:jc w:val="both"/>
              <w:rPr>
                <w:rFonts w:ascii="Arial" w:hAnsi="Arial" w:cs="Arial"/>
                <w:lang w:val="en-ZA"/>
              </w:rPr>
            </w:pPr>
            <w:r w:rsidRPr="00861F1F">
              <w:rPr>
                <w:rFonts w:ascii="Arial" w:hAnsi="Arial" w:cs="Arial"/>
                <w:sz w:val="22"/>
                <w:lang w:val="en-ZA"/>
              </w:rPr>
              <w:t>Technical Committee on Finance – Heads of Treasuries and National Treasury</w:t>
            </w:r>
          </w:p>
          <w:p w:rsidR="006D4AE6" w:rsidRPr="00861F1F" w:rsidRDefault="006D4AE6" w:rsidP="00036381">
            <w:pPr>
              <w:pStyle w:val="ListParagraph"/>
              <w:numPr>
                <w:ilvl w:val="1"/>
                <w:numId w:val="1"/>
              </w:numPr>
              <w:spacing w:after="160"/>
              <w:contextualSpacing w:val="0"/>
              <w:jc w:val="both"/>
              <w:rPr>
                <w:rFonts w:ascii="Arial" w:hAnsi="Arial" w:cs="Arial"/>
                <w:lang w:val="en-ZA"/>
              </w:rPr>
            </w:pPr>
            <w:r w:rsidRPr="00861F1F">
              <w:rPr>
                <w:rFonts w:ascii="Arial" w:hAnsi="Arial" w:cs="Arial"/>
                <w:sz w:val="22"/>
                <w:lang w:val="en-ZA"/>
              </w:rPr>
              <w:t>Budget Council Meetings – MECs of Finances (Provinces) and Minister of Finance</w:t>
            </w:r>
          </w:p>
          <w:p w:rsidR="006D4AE6" w:rsidRPr="00861F1F" w:rsidRDefault="006D4AE6" w:rsidP="00036381">
            <w:pPr>
              <w:pStyle w:val="ListParagraph"/>
              <w:numPr>
                <w:ilvl w:val="1"/>
                <w:numId w:val="1"/>
              </w:numPr>
              <w:spacing w:after="160"/>
              <w:contextualSpacing w:val="0"/>
              <w:jc w:val="both"/>
              <w:rPr>
                <w:rFonts w:ascii="Arial" w:hAnsi="Arial" w:cs="Arial"/>
                <w:lang w:val="en-ZA"/>
              </w:rPr>
            </w:pPr>
            <w:r w:rsidRPr="00861F1F">
              <w:rPr>
                <w:rFonts w:ascii="Arial" w:hAnsi="Arial" w:cs="Arial"/>
                <w:sz w:val="22"/>
                <w:lang w:val="en-ZA"/>
              </w:rPr>
              <w:t>CFO Forums</w:t>
            </w:r>
          </w:p>
          <w:p w:rsidR="006D4AE6" w:rsidRDefault="006D4AE6" w:rsidP="00036381">
            <w:pPr>
              <w:pStyle w:val="ListParagraph"/>
              <w:numPr>
                <w:ilvl w:val="1"/>
                <w:numId w:val="1"/>
              </w:numPr>
              <w:spacing w:after="160"/>
              <w:contextualSpacing w:val="0"/>
              <w:jc w:val="both"/>
              <w:rPr>
                <w:rFonts w:ascii="Arial" w:hAnsi="Arial" w:cs="Arial"/>
                <w:lang w:val="en-ZA"/>
              </w:rPr>
            </w:pPr>
            <w:r w:rsidRPr="00861F1F">
              <w:rPr>
                <w:rFonts w:ascii="Arial" w:hAnsi="Arial" w:cs="Arial"/>
                <w:sz w:val="22"/>
                <w:lang w:val="en-ZA"/>
              </w:rPr>
              <w:t xml:space="preserve">PT evaluates the budget submission of municipalities as part of the PT’s Benchmark exercise with them </w:t>
            </w:r>
          </w:p>
          <w:p w:rsidR="006D4AE6" w:rsidRPr="006716A7" w:rsidRDefault="006D4AE6" w:rsidP="006D4AE6">
            <w:pPr>
              <w:pStyle w:val="ListParagraph"/>
              <w:ind w:left="360"/>
              <w:jc w:val="both"/>
              <w:rPr>
                <w:rFonts w:ascii="Arial" w:hAnsi="Arial" w:cs="Arial"/>
              </w:rPr>
            </w:pPr>
          </w:p>
        </w:tc>
      </w:tr>
    </w:tbl>
    <w:p w:rsidR="00FD1891" w:rsidRDefault="00FD1891"/>
    <w:p w:rsidR="00FD1891" w:rsidRDefault="00FD1891"/>
    <w:p w:rsidR="00FD1891" w:rsidRDefault="00FD1891" w:rsidP="009A2F17">
      <w:pPr>
        <w:spacing w:after="200" w:line="276" w:lineRule="auto"/>
      </w:pPr>
      <w:r>
        <w:br w:type="page"/>
      </w:r>
      <w:bookmarkStart w:id="0" w:name="_GoBack"/>
      <w:bookmarkEnd w:id="0"/>
    </w:p>
    <w:tbl>
      <w:tblPr>
        <w:tblW w:w="13907"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907"/>
      </w:tblGrid>
      <w:tr w:rsidR="00FD1891" w:rsidRPr="002175B7" w:rsidTr="001321AC">
        <w:trPr>
          <w:trHeight w:val="746"/>
        </w:trPr>
        <w:tc>
          <w:tcPr>
            <w:tcW w:w="13907" w:type="dxa"/>
            <w:tcBorders>
              <w:top w:val="single" w:sz="4" w:space="0" w:color="auto"/>
              <w:bottom w:val="single" w:sz="4" w:space="0" w:color="auto"/>
            </w:tcBorders>
            <w:shd w:val="clear" w:color="auto" w:fill="auto"/>
          </w:tcPr>
          <w:p w:rsidR="00FD1891" w:rsidRDefault="00FD1891" w:rsidP="00FD1891">
            <w:pPr>
              <w:spacing w:after="160"/>
              <w:jc w:val="both"/>
              <w:rPr>
                <w:rFonts w:ascii="Arial" w:eastAsiaTheme="majorEastAsia" w:hAnsi="Arial" w:cs="Arial"/>
                <w:b/>
              </w:rPr>
            </w:pPr>
            <w:r w:rsidRPr="008F58E3">
              <w:rPr>
                <w:rFonts w:ascii="Arial" w:eastAsiaTheme="majorEastAsia" w:hAnsi="Arial" w:cs="Arial"/>
                <w:b/>
              </w:rPr>
              <w:lastRenderedPageBreak/>
              <w:t>Approach to Integrating Planning and Budgeting:</w:t>
            </w:r>
          </w:p>
          <w:p w:rsidR="00FD1891" w:rsidRDefault="00FD1891" w:rsidP="006D4AE6">
            <w:pPr>
              <w:spacing w:line="360" w:lineRule="auto"/>
              <w:jc w:val="both"/>
              <w:rPr>
                <w:rFonts w:ascii="Arial" w:hAnsi="Arial" w:cs="Arial"/>
                <w:b/>
              </w:rPr>
            </w:pPr>
            <w:r>
              <w:rPr>
                <w:rFonts w:ascii="Arial" w:hAnsi="Arial" w:cs="Arial"/>
                <w:b/>
                <w:sz w:val="22"/>
              </w:rPr>
              <w:br/>
            </w:r>
            <w:r>
              <w:rPr>
                <w:rFonts w:ascii="Arial" w:hAnsi="Arial" w:cs="Arial"/>
                <w:b/>
                <w:noProof/>
                <w:sz w:val="22"/>
                <w:lang w:val="en-ZA" w:eastAsia="en-ZA"/>
              </w:rPr>
              <w:drawing>
                <wp:inline distT="0" distB="0" distL="0" distR="0">
                  <wp:extent cx="8298180" cy="4362450"/>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98180" cy="4362450"/>
                          </a:xfrm>
                          <a:prstGeom prst="rect">
                            <a:avLst/>
                          </a:prstGeom>
                          <a:noFill/>
                        </pic:spPr>
                      </pic:pic>
                    </a:graphicData>
                  </a:graphic>
                </wp:inline>
              </w:drawing>
            </w:r>
          </w:p>
          <w:p w:rsidR="00FD1891" w:rsidRPr="00E25F89" w:rsidRDefault="00FD1891" w:rsidP="006D4AE6">
            <w:pPr>
              <w:spacing w:line="360" w:lineRule="auto"/>
              <w:jc w:val="both"/>
              <w:rPr>
                <w:rFonts w:ascii="Arial" w:hAnsi="Arial" w:cs="Arial"/>
                <w:b/>
              </w:rPr>
            </w:pPr>
          </w:p>
        </w:tc>
      </w:tr>
    </w:tbl>
    <w:p w:rsidR="001321AC" w:rsidRDefault="001321AC"/>
    <w:p w:rsidR="001321AC" w:rsidRDefault="001321AC">
      <w:pPr>
        <w:spacing w:after="200" w:line="276" w:lineRule="auto"/>
      </w:pPr>
      <w:r>
        <w:br w:type="page"/>
      </w:r>
    </w:p>
    <w:p w:rsidR="001321AC" w:rsidRDefault="001321AC"/>
    <w:tbl>
      <w:tblPr>
        <w:tblW w:w="13907"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907"/>
      </w:tblGrid>
      <w:tr w:rsidR="008F58E3" w:rsidRPr="00E25F89" w:rsidTr="001F13D8">
        <w:trPr>
          <w:trHeight w:val="980"/>
        </w:trPr>
        <w:tc>
          <w:tcPr>
            <w:tcW w:w="13907" w:type="dxa"/>
            <w:tcBorders>
              <w:bottom w:val="single" w:sz="4" w:space="0" w:color="auto"/>
            </w:tcBorders>
            <w:shd w:val="clear" w:color="auto" w:fill="auto"/>
          </w:tcPr>
          <w:p w:rsidR="008F58E3" w:rsidRDefault="008F58E3" w:rsidP="008F58E3">
            <w:pPr>
              <w:spacing w:after="160"/>
              <w:jc w:val="both"/>
              <w:rPr>
                <w:rFonts w:ascii="Arial" w:hAnsi="Arial" w:cs="Arial"/>
                <w:b/>
              </w:rPr>
            </w:pPr>
            <w:r w:rsidRPr="008F58E3">
              <w:rPr>
                <w:rFonts w:ascii="Arial" w:hAnsi="Arial" w:cs="Arial"/>
                <w:b/>
              </w:rPr>
              <w:t>SIPs Applicable to the Eastern Cape Province</w:t>
            </w:r>
          </w:p>
          <w:p w:rsidR="009F1FF8" w:rsidRPr="001321AC" w:rsidRDefault="009F1FF8" w:rsidP="008F58E3">
            <w:pPr>
              <w:spacing w:after="160"/>
              <w:jc w:val="both"/>
              <w:rPr>
                <w:rFonts w:ascii="Arial" w:hAnsi="Arial" w:cs="Arial"/>
                <w:b/>
                <w:lang w:val="en-ZA"/>
              </w:rPr>
            </w:pPr>
          </w:p>
          <w:p w:rsidR="00541480" w:rsidRDefault="009F1FF8" w:rsidP="00327AB5">
            <w:pPr>
              <w:spacing w:after="160"/>
              <w:jc w:val="both"/>
              <w:rPr>
                <w:rFonts w:ascii="Arial" w:hAnsi="Arial" w:cs="Arial"/>
                <w:b/>
                <w:bCs/>
                <w:lang w:val="en-ZA"/>
              </w:rPr>
            </w:pPr>
            <w:r>
              <w:rPr>
                <w:rFonts w:ascii="Arial" w:hAnsi="Arial" w:cs="Arial"/>
                <w:b/>
                <w:bCs/>
                <w:noProof/>
                <w:lang w:val="en-ZA" w:eastAsia="en-ZA"/>
              </w:rPr>
              <w:drawing>
                <wp:inline distT="0" distB="0" distL="0" distR="0">
                  <wp:extent cx="8572500" cy="43662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00" cy="4366260"/>
                          </a:xfrm>
                          <a:prstGeom prst="rect">
                            <a:avLst/>
                          </a:prstGeom>
                          <a:noFill/>
                        </pic:spPr>
                      </pic:pic>
                    </a:graphicData>
                  </a:graphic>
                </wp:inline>
              </w:drawing>
            </w:r>
          </w:p>
          <w:p w:rsidR="009F1FF8" w:rsidRDefault="009F1FF8" w:rsidP="00327AB5">
            <w:pPr>
              <w:spacing w:after="160"/>
              <w:jc w:val="both"/>
              <w:rPr>
                <w:rFonts w:ascii="Arial" w:hAnsi="Arial" w:cs="Arial"/>
                <w:b/>
                <w:bCs/>
                <w:lang w:val="en-ZA"/>
              </w:rPr>
            </w:pPr>
          </w:p>
          <w:p w:rsidR="009F1FF8" w:rsidRDefault="009F1FF8" w:rsidP="00327AB5">
            <w:pPr>
              <w:spacing w:after="160"/>
              <w:jc w:val="both"/>
              <w:rPr>
                <w:rFonts w:ascii="Arial" w:hAnsi="Arial" w:cs="Arial"/>
                <w:b/>
                <w:bCs/>
                <w:lang w:val="en-ZA"/>
              </w:rPr>
            </w:pPr>
          </w:p>
          <w:p w:rsidR="00327AB5" w:rsidRDefault="00327AB5" w:rsidP="00327AB5">
            <w:pPr>
              <w:spacing w:after="160"/>
              <w:jc w:val="both"/>
              <w:rPr>
                <w:rFonts w:ascii="Arial" w:hAnsi="Arial" w:cs="Arial"/>
                <w:b/>
                <w:bCs/>
                <w:lang w:val="en-ZA"/>
              </w:rPr>
            </w:pPr>
            <w:r w:rsidRPr="00327AB5">
              <w:rPr>
                <w:rFonts w:ascii="Arial" w:hAnsi="Arial" w:cs="Arial"/>
                <w:b/>
                <w:bCs/>
                <w:lang w:val="en-ZA"/>
              </w:rPr>
              <w:lastRenderedPageBreak/>
              <w:t>The IDMS (2017) Placemat</w:t>
            </w:r>
          </w:p>
          <w:p w:rsidR="009F1FF8" w:rsidRDefault="009F1FF8" w:rsidP="00327AB5">
            <w:pPr>
              <w:spacing w:after="160"/>
              <w:jc w:val="both"/>
              <w:rPr>
                <w:rFonts w:ascii="Arial" w:hAnsi="Arial" w:cs="Arial"/>
                <w:b/>
                <w:bCs/>
                <w:lang w:val="en-ZA"/>
              </w:rPr>
            </w:pPr>
          </w:p>
          <w:p w:rsidR="00327AB5" w:rsidRPr="00327AB5" w:rsidRDefault="009F1FF8" w:rsidP="00327AB5">
            <w:pPr>
              <w:spacing w:after="160"/>
              <w:jc w:val="both"/>
              <w:rPr>
                <w:rFonts w:ascii="Arial" w:hAnsi="Arial" w:cs="Arial"/>
                <w:lang w:val="en-ZA"/>
              </w:rPr>
            </w:pPr>
            <w:r>
              <w:rPr>
                <w:rFonts w:ascii="Arial" w:hAnsi="Arial" w:cs="Arial"/>
                <w:noProof/>
                <w:lang w:val="en-ZA" w:eastAsia="en-ZA"/>
              </w:rPr>
              <w:drawing>
                <wp:inline distT="0" distB="0" distL="0" distR="0">
                  <wp:extent cx="8616950" cy="5160818"/>
                  <wp:effectExtent l="0" t="0" r="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24476" cy="5165325"/>
                          </a:xfrm>
                          <a:prstGeom prst="rect">
                            <a:avLst/>
                          </a:prstGeom>
                          <a:noFill/>
                        </pic:spPr>
                      </pic:pic>
                    </a:graphicData>
                  </a:graphic>
                </wp:inline>
              </w:drawing>
            </w:r>
          </w:p>
          <w:p w:rsidR="008F58E3" w:rsidRDefault="00327AB5" w:rsidP="008F58E3">
            <w:pPr>
              <w:spacing w:after="160"/>
              <w:jc w:val="both"/>
              <w:rPr>
                <w:rFonts w:ascii="Arial" w:hAnsi="Arial" w:cs="Arial"/>
                <w:b/>
                <w:bCs/>
              </w:rPr>
            </w:pPr>
            <w:r w:rsidRPr="00327AB5">
              <w:rPr>
                <w:rFonts w:ascii="Arial" w:hAnsi="Arial" w:cs="Arial"/>
                <w:b/>
                <w:bCs/>
              </w:rPr>
              <w:lastRenderedPageBreak/>
              <w:t>Provincial Infrastructure Delivery Model</w:t>
            </w:r>
          </w:p>
          <w:p w:rsidR="009F1FF8" w:rsidRDefault="009F1FF8" w:rsidP="008F58E3">
            <w:pPr>
              <w:spacing w:after="160"/>
              <w:jc w:val="both"/>
              <w:rPr>
                <w:rFonts w:ascii="Arial" w:hAnsi="Arial" w:cs="Arial"/>
                <w:b/>
                <w:bCs/>
              </w:rPr>
            </w:pPr>
          </w:p>
          <w:p w:rsidR="00515A64" w:rsidRPr="001F2877" w:rsidRDefault="009F1FF8" w:rsidP="001F2877">
            <w:pPr>
              <w:spacing w:after="160"/>
              <w:jc w:val="both"/>
              <w:rPr>
                <w:rFonts w:ascii="Arial" w:hAnsi="Arial" w:cs="Arial"/>
                <w:b/>
                <w:bCs/>
              </w:rPr>
            </w:pPr>
            <w:r>
              <w:rPr>
                <w:rFonts w:ascii="Arial" w:hAnsi="Arial" w:cs="Arial"/>
                <w:b/>
                <w:bCs/>
                <w:noProof/>
                <w:lang w:val="en-ZA" w:eastAsia="en-ZA"/>
              </w:rPr>
              <w:drawing>
                <wp:inline distT="0" distB="0" distL="0" distR="0">
                  <wp:extent cx="8481060" cy="505690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83722" cy="5058496"/>
                          </a:xfrm>
                          <a:prstGeom prst="rect">
                            <a:avLst/>
                          </a:prstGeom>
                          <a:noFill/>
                        </pic:spPr>
                      </pic:pic>
                    </a:graphicData>
                  </a:graphic>
                </wp:inline>
              </w:drawing>
            </w:r>
          </w:p>
        </w:tc>
      </w:tr>
    </w:tbl>
    <w:p w:rsidR="008F58E3" w:rsidRDefault="008F58E3">
      <w:pPr>
        <w:rPr>
          <w:sz w:val="22"/>
          <w:szCs w:val="22"/>
        </w:rPr>
      </w:pPr>
    </w:p>
    <w:p w:rsidR="008F58E3" w:rsidRDefault="008F58E3">
      <w:pPr>
        <w:rPr>
          <w:sz w:val="22"/>
          <w:szCs w:val="22"/>
        </w:rPr>
      </w:pPr>
    </w:p>
    <w:p w:rsidR="008F58E3" w:rsidRDefault="008F58E3">
      <w:pPr>
        <w:rPr>
          <w:sz w:val="22"/>
          <w:szCs w:val="22"/>
        </w:rPr>
      </w:pPr>
    </w:p>
    <w:tbl>
      <w:tblPr>
        <w:tblW w:w="13907"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907"/>
      </w:tblGrid>
      <w:tr w:rsidR="008F58E3" w:rsidRPr="00061610" w:rsidTr="001F13D8">
        <w:trPr>
          <w:trHeight w:val="378"/>
          <w:tblHeader/>
        </w:trPr>
        <w:tc>
          <w:tcPr>
            <w:tcW w:w="13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84806" w:themeFill="accent6" w:themeFillShade="80"/>
            <w:vAlign w:val="center"/>
          </w:tcPr>
          <w:p w:rsidR="008F58E3" w:rsidRPr="00061610" w:rsidRDefault="008F58E3" w:rsidP="001F13D8">
            <w:pPr>
              <w:jc w:val="center"/>
              <w:rPr>
                <w:rFonts w:ascii="Arial" w:eastAsiaTheme="majorEastAsia" w:hAnsi="Arial" w:cs="Arial"/>
                <w:b/>
                <w:bCs/>
                <w:color w:val="FFFFFF" w:themeColor="background1"/>
                <w:sz w:val="28"/>
                <w:szCs w:val="28"/>
              </w:rPr>
            </w:pPr>
            <w:r w:rsidRPr="00E25F89">
              <w:rPr>
                <w:rFonts w:ascii="Arial" w:eastAsiaTheme="majorEastAsia" w:hAnsi="Arial" w:cs="Arial"/>
                <w:b/>
                <w:bCs/>
                <w:color w:val="FFFFFF" w:themeColor="background1"/>
                <w:sz w:val="28"/>
                <w:szCs w:val="28"/>
              </w:rPr>
              <w:t>RESPONSES TO 2016/17 RECOMMENDATIONS</w:t>
            </w:r>
          </w:p>
        </w:tc>
      </w:tr>
      <w:tr w:rsidR="008F58E3" w:rsidRPr="00061610" w:rsidTr="001F13D8">
        <w:trPr>
          <w:trHeight w:val="450"/>
          <w:tblHeader/>
        </w:trPr>
        <w:tc>
          <w:tcPr>
            <w:tcW w:w="13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E2402"/>
            <w:vAlign w:val="center"/>
          </w:tcPr>
          <w:p w:rsidR="008F58E3" w:rsidRDefault="008F58E3" w:rsidP="001F13D8">
            <w:pPr>
              <w:keepNext/>
              <w:keepLines/>
              <w:jc w:val="center"/>
              <w:outlineLvl w:val="1"/>
              <w:rPr>
                <w:rFonts w:ascii="Arial" w:eastAsiaTheme="majorEastAsia" w:hAnsi="Arial" w:cs="Arial"/>
                <w:b/>
                <w:bCs/>
                <w:color w:val="FFFFFF" w:themeColor="background1"/>
                <w:sz w:val="28"/>
                <w:szCs w:val="28"/>
              </w:rPr>
            </w:pPr>
            <w:r>
              <w:rPr>
                <w:rFonts w:ascii="Arial" w:eastAsiaTheme="majorEastAsia" w:hAnsi="Arial" w:cs="Arial"/>
                <w:b/>
                <w:bCs/>
                <w:color w:val="FFFFFF" w:themeColor="background1"/>
                <w:sz w:val="28"/>
                <w:szCs w:val="28"/>
              </w:rPr>
              <w:t>RECOMMENDATION 12.8</w:t>
            </w:r>
          </w:p>
        </w:tc>
      </w:tr>
      <w:tr w:rsidR="008F58E3" w:rsidRPr="002175B7" w:rsidTr="001F13D8">
        <w:trPr>
          <w:trHeight w:val="746"/>
        </w:trPr>
        <w:tc>
          <w:tcPr>
            <w:tcW w:w="13907" w:type="dxa"/>
            <w:tcBorders>
              <w:top w:val="single" w:sz="4" w:space="0" w:color="FFFFFF" w:themeColor="background1"/>
              <w:bottom w:val="single" w:sz="4" w:space="0" w:color="auto"/>
            </w:tcBorders>
            <w:shd w:val="clear" w:color="auto" w:fill="auto"/>
          </w:tcPr>
          <w:p w:rsidR="008F58E3" w:rsidRPr="004F3AD7" w:rsidRDefault="00A96BD3" w:rsidP="0072252E">
            <w:pPr>
              <w:pStyle w:val="ListParagraph"/>
              <w:numPr>
                <w:ilvl w:val="0"/>
                <w:numId w:val="2"/>
              </w:numPr>
              <w:jc w:val="both"/>
            </w:pPr>
            <w:r w:rsidRPr="006716A7">
              <w:rPr>
                <w:rFonts w:ascii="Arial" w:hAnsi="Arial" w:cs="Arial"/>
                <w:sz w:val="22"/>
                <w:szCs w:val="22"/>
              </w:rPr>
              <w:t>Provincial Treasuries should be appropriately staffed with qualified, adequate and skilled employees so that they can conduct effective fiscal oversight over their respective departments and public entities and assist municipalities in their jurisdictions with the MFMA implementation</w:t>
            </w:r>
          </w:p>
          <w:p w:rsidR="004F3AD7" w:rsidRPr="002175B7" w:rsidRDefault="004F3AD7" w:rsidP="004F3AD7">
            <w:pPr>
              <w:pStyle w:val="ListParagraph"/>
              <w:ind w:left="360"/>
              <w:jc w:val="both"/>
            </w:pPr>
          </w:p>
        </w:tc>
      </w:tr>
      <w:tr w:rsidR="008F58E3" w:rsidRPr="00E25F89" w:rsidTr="001F13D8">
        <w:trPr>
          <w:trHeight w:val="980"/>
        </w:trPr>
        <w:tc>
          <w:tcPr>
            <w:tcW w:w="13907" w:type="dxa"/>
            <w:tcBorders>
              <w:bottom w:val="single" w:sz="4" w:space="0" w:color="auto"/>
            </w:tcBorders>
            <w:shd w:val="clear" w:color="auto" w:fill="auto"/>
          </w:tcPr>
          <w:p w:rsidR="008F58E3" w:rsidRPr="00E25F89" w:rsidRDefault="008F58E3" w:rsidP="001F13D8">
            <w:pPr>
              <w:spacing w:line="360" w:lineRule="auto"/>
              <w:jc w:val="both"/>
              <w:rPr>
                <w:rFonts w:ascii="Arial" w:hAnsi="Arial" w:cs="Arial"/>
                <w:b/>
              </w:rPr>
            </w:pPr>
            <w:r w:rsidRPr="00E25F89">
              <w:rPr>
                <w:rFonts w:ascii="Arial" w:hAnsi="Arial" w:cs="Arial"/>
                <w:b/>
                <w:sz w:val="22"/>
              </w:rPr>
              <w:t>PROGRESS:</w:t>
            </w:r>
          </w:p>
          <w:p w:rsidR="00E627D1" w:rsidRPr="00920184" w:rsidRDefault="0072252E" w:rsidP="0072252E">
            <w:pPr>
              <w:numPr>
                <w:ilvl w:val="0"/>
                <w:numId w:val="4"/>
              </w:numPr>
              <w:spacing w:after="160"/>
              <w:jc w:val="both"/>
              <w:rPr>
                <w:rFonts w:ascii="Arial" w:hAnsi="Arial" w:cs="Arial"/>
                <w:lang w:val="en-ZA"/>
              </w:rPr>
            </w:pPr>
            <w:r w:rsidRPr="00920184">
              <w:rPr>
                <w:rFonts w:ascii="Arial" w:hAnsi="Arial" w:cs="Arial"/>
                <w:sz w:val="22"/>
                <w:lang w:val="en-GB"/>
              </w:rPr>
              <w:t>The department of Public Services and Administration (DPSA) together with National Treasury (NT) developed Generic Structure for all Treasuries with a view to aligning current Departmental Structure with the Generic Structure. It is against this background that a diagnosis had to be conducted to identify anomalies and gaps in our Current Organisational Structure against the Generic Structure</w:t>
            </w:r>
          </w:p>
          <w:p w:rsidR="00E627D1" w:rsidRPr="00920184" w:rsidRDefault="0072252E" w:rsidP="0072252E">
            <w:pPr>
              <w:numPr>
                <w:ilvl w:val="0"/>
                <w:numId w:val="4"/>
              </w:numPr>
              <w:spacing w:after="160"/>
              <w:jc w:val="both"/>
              <w:rPr>
                <w:rFonts w:ascii="Arial" w:hAnsi="Arial" w:cs="Arial"/>
                <w:lang w:val="en-ZA"/>
              </w:rPr>
            </w:pPr>
            <w:r w:rsidRPr="00920184">
              <w:rPr>
                <w:rFonts w:ascii="Arial" w:hAnsi="Arial" w:cs="Arial"/>
                <w:sz w:val="22"/>
                <w:lang w:val="en-ZA"/>
              </w:rPr>
              <w:t>Some positions / jobs were redesigned to fit into the new mandate / focus</w:t>
            </w:r>
          </w:p>
          <w:p w:rsidR="00E627D1" w:rsidRPr="00920184" w:rsidRDefault="0072252E" w:rsidP="0072252E">
            <w:pPr>
              <w:numPr>
                <w:ilvl w:val="0"/>
                <w:numId w:val="4"/>
              </w:numPr>
              <w:spacing w:after="160"/>
              <w:jc w:val="both"/>
              <w:rPr>
                <w:rFonts w:ascii="Arial" w:hAnsi="Arial" w:cs="Arial"/>
                <w:lang w:val="en-ZA"/>
              </w:rPr>
            </w:pPr>
            <w:r w:rsidRPr="00920184">
              <w:rPr>
                <w:rFonts w:ascii="Arial" w:hAnsi="Arial" w:cs="Arial"/>
                <w:sz w:val="22"/>
                <w:lang w:val="en-ZA"/>
              </w:rPr>
              <w:t xml:space="preserve">Person to post matching exercise was conducted to ensure that only the best suitable candidate is place in a particular position ( this was done through competency assessment, level of education and knowledge and experience relevance assessment </w:t>
            </w:r>
          </w:p>
          <w:p w:rsidR="00E627D1" w:rsidRPr="00920184" w:rsidRDefault="0072252E" w:rsidP="0072252E">
            <w:pPr>
              <w:numPr>
                <w:ilvl w:val="0"/>
                <w:numId w:val="4"/>
              </w:numPr>
              <w:spacing w:after="160"/>
              <w:jc w:val="both"/>
              <w:rPr>
                <w:rFonts w:ascii="Arial" w:hAnsi="Arial" w:cs="Arial"/>
                <w:lang w:val="en-ZA"/>
              </w:rPr>
            </w:pPr>
            <w:r w:rsidRPr="00920184">
              <w:rPr>
                <w:rFonts w:ascii="Arial" w:hAnsi="Arial" w:cs="Arial"/>
                <w:sz w:val="22"/>
                <w:lang w:val="en-ZA"/>
              </w:rPr>
              <w:t> Those who had gabs were trained to close the gaps</w:t>
            </w:r>
          </w:p>
          <w:p w:rsidR="00920184" w:rsidRPr="004F3AD7" w:rsidRDefault="0072252E" w:rsidP="0072252E">
            <w:pPr>
              <w:numPr>
                <w:ilvl w:val="0"/>
                <w:numId w:val="4"/>
              </w:numPr>
              <w:spacing w:after="160"/>
              <w:jc w:val="both"/>
              <w:rPr>
                <w:rFonts w:ascii="Arial" w:hAnsi="Arial" w:cs="Arial"/>
                <w:lang w:val="en-ZA"/>
              </w:rPr>
            </w:pPr>
            <w:r w:rsidRPr="00920184">
              <w:rPr>
                <w:rFonts w:ascii="Arial" w:hAnsi="Arial" w:cs="Arial"/>
                <w:sz w:val="22"/>
                <w:lang w:val="en-ZA"/>
              </w:rPr>
              <w:t>The most recent exercise conducted to ensure maximum efficiency in providing support and reporting on MFMA, the business process modelling and re-engineering exercise was conducted to ensure that all the processes are streamlined and the resource need are scientifically determined, this was done to improve the way do business with our stake holders, given that our focus was not internally based only</w:t>
            </w:r>
            <w:r w:rsidR="004F3AD7">
              <w:rPr>
                <w:rFonts w:ascii="Arial" w:hAnsi="Arial" w:cs="Arial"/>
                <w:sz w:val="22"/>
                <w:lang w:val="en-ZA"/>
              </w:rPr>
              <w:t>.</w:t>
            </w:r>
          </w:p>
        </w:tc>
      </w:tr>
    </w:tbl>
    <w:p w:rsidR="008F58E3" w:rsidRDefault="008F58E3">
      <w:pPr>
        <w:rPr>
          <w:sz w:val="22"/>
          <w:szCs w:val="22"/>
        </w:rPr>
      </w:pPr>
    </w:p>
    <w:p w:rsidR="008F58E3" w:rsidRDefault="008F58E3">
      <w:pPr>
        <w:rPr>
          <w:sz w:val="22"/>
          <w:szCs w:val="22"/>
        </w:rPr>
      </w:pPr>
    </w:p>
    <w:p w:rsidR="008F58E3" w:rsidRDefault="008F58E3">
      <w:pPr>
        <w:rPr>
          <w:sz w:val="22"/>
          <w:szCs w:val="22"/>
        </w:rPr>
      </w:pPr>
    </w:p>
    <w:p w:rsidR="004F3AD7" w:rsidRDefault="004F3AD7">
      <w:pPr>
        <w:rPr>
          <w:sz w:val="22"/>
          <w:szCs w:val="22"/>
        </w:rPr>
      </w:pPr>
    </w:p>
    <w:p w:rsidR="004F3AD7" w:rsidRDefault="004F3AD7">
      <w:pPr>
        <w:rPr>
          <w:sz w:val="22"/>
          <w:szCs w:val="22"/>
        </w:rPr>
      </w:pPr>
    </w:p>
    <w:p w:rsidR="004F3AD7" w:rsidRDefault="004F3AD7">
      <w:pPr>
        <w:rPr>
          <w:sz w:val="22"/>
          <w:szCs w:val="22"/>
        </w:rPr>
      </w:pPr>
    </w:p>
    <w:p w:rsidR="004F3AD7" w:rsidRDefault="004F3AD7">
      <w:pPr>
        <w:rPr>
          <w:sz w:val="22"/>
          <w:szCs w:val="22"/>
        </w:rPr>
      </w:pPr>
    </w:p>
    <w:p w:rsidR="004F3AD7" w:rsidRDefault="004F3AD7">
      <w:pPr>
        <w:rPr>
          <w:sz w:val="22"/>
          <w:szCs w:val="22"/>
        </w:rPr>
      </w:pPr>
    </w:p>
    <w:tbl>
      <w:tblPr>
        <w:tblW w:w="13907"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907"/>
      </w:tblGrid>
      <w:tr w:rsidR="008F58E3" w:rsidRPr="00061610" w:rsidTr="001F13D8">
        <w:trPr>
          <w:trHeight w:val="378"/>
          <w:tblHeader/>
        </w:trPr>
        <w:tc>
          <w:tcPr>
            <w:tcW w:w="13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84806" w:themeFill="accent6" w:themeFillShade="80"/>
            <w:vAlign w:val="center"/>
          </w:tcPr>
          <w:p w:rsidR="008F58E3" w:rsidRPr="00061610" w:rsidRDefault="008F58E3" w:rsidP="001F13D8">
            <w:pPr>
              <w:jc w:val="center"/>
              <w:rPr>
                <w:rFonts w:ascii="Arial" w:eastAsiaTheme="majorEastAsia" w:hAnsi="Arial" w:cs="Arial"/>
                <w:b/>
                <w:bCs/>
                <w:color w:val="FFFFFF" w:themeColor="background1"/>
                <w:sz w:val="28"/>
                <w:szCs w:val="28"/>
              </w:rPr>
            </w:pPr>
            <w:r w:rsidRPr="00E25F89">
              <w:rPr>
                <w:rFonts w:ascii="Arial" w:eastAsiaTheme="majorEastAsia" w:hAnsi="Arial" w:cs="Arial"/>
                <w:b/>
                <w:bCs/>
                <w:color w:val="FFFFFF" w:themeColor="background1"/>
                <w:sz w:val="28"/>
                <w:szCs w:val="28"/>
              </w:rPr>
              <w:t>RESPONSES TO 2016/17 RECOMMENDATIONS</w:t>
            </w:r>
          </w:p>
        </w:tc>
      </w:tr>
      <w:tr w:rsidR="008F58E3" w:rsidRPr="00061610" w:rsidTr="001F13D8">
        <w:trPr>
          <w:trHeight w:val="450"/>
          <w:tblHeader/>
        </w:trPr>
        <w:tc>
          <w:tcPr>
            <w:tcW w:w="13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E2402"/>
            <w:vAlign w:val="center"/>
          </w:tcPr>
          <w:p w:rsidR="008F58E3" w:rsidRDefault="008F58E3" w:rsidP="001F13D8">
            <w:pPr>
              <w:keepNext/>
              <w:keepLines/>
              <w:jc w:val="center"/>
              <w:outlineLvl w:val="1"/>
              <w:rPr>
                <w:rFonts w:ascii="Arial" w:eastAsiaTheme="majorEastAsia" w:hAnsi="Arial" w:cs="Arial"/>
                <w:b/>
                <w:bCs/>
                <w:color w:val="FFFFFF" w:themeColor="background1"/>
                <w:sz w:val="28"/>
                <w:szCs w:val="28"/>
              </w:rPr>
            </w:pPr>
            <w:r>
              <w:rPr>
                <w:rFonts w:ascii="Arial" w:eastAsiaTheme="majorEastAsia" w:hAnsi="Arial" w:cs="Arial"/>
                <w:b/>
                <w:bCs/>
                <w:color w:val="FFFFFF" w:themeColor="background1"/>
                <w:sz w:val="28"/>
                <w:szCs w:val="28"/>
              </w:rPr>
              <w:lastRenderedPageBreak/>
              <w:t>RECOMMENDATION</w:t>
            </w:r>
            <w:r w:rsidR="007849D3">
              <w:rPr>
                <w:rFonts w:ascii="Arial" w:eastAsiaTheme="majorEastAsia" w:hAnsi="Arial" w:cs="Arial"/>
                <w:b/>
                <w:bCs/>
                <w:color w:val="FFFFFF" w:themeColor="background1"/>
                <w:sz w:val="28"/>
                <w:szCs w:val="28"/>
              </w:rPr>
              <w:t xml:space="preserve"> 12.9</w:t>
            </w:r>
          </w:p>
        </w:tc>
      </w:tr>
      <w:tr w:rsidR="008F58E3" w:rsidRPr="002175B7" w:rsidTr="001F13D8">
        <w:trPr>
          <w:trHeight w:val="746"/>
        </w:trPr>
        <w:tc>
          <w:tcPr>
            <w:tcW w:w="13907" w:type="dxa"/>
            <w:tcBorders>
              <w:top w:val="single" w:sz="4" w:space="0" w:color="FFFFFF" w:themeColor="background1"/>
              <w:bottom w:val="single" w:sz="4" w:space="0" w:color="auto"/>
            </w:tcBorders>
            <w:shd w:val="clear" w:color="auto" w:fill="auto"/>
          </w:tcPr>
          <w:p w:rsidR="008F58E3" w:rsidRPr="002175B7" w:rsidRDefault="007849D3" w:rsidP="0072252E">
            <w:pPr>
              <w:pStyle w:val="ListParagraph"/>
              <w:numPr>
                <w:ilvl w:val="0"/>
                <w:numId w:val="2"/>
              </w:numPr>
              <w:jc w:val="both"/>
            </w:pPr>
            <w:r w:rsidRPr="006716A7">
              <w:rPr>
                <w:rFonts w:ascii="Arial" w:hAnsi="Arial" w:cs="Arial"/>
                <w:sz w:val="22"/>
                <w:szCs w:val="22"/>
              </w:rPr>
              <w:t xml:space="preserve">Provinces should improve their planning, oversight and budget adequately by appointing appropriately qualified and skilled people; developing skills retention strategies, particularly in poorer rural Provinces; </w:t>
            </w:r>
            <w:proofErr w:type="spellStart"/>
            <w:r w:rsidRPr="006716A7">
              <w:rPr>
                <w:rFonts w:ascii="Arial" w:hAnsi="Arial" w:cs="Arial"/>
                <w:sz w:val="22"/>
                <w:szCs w:val="22"/>
              </w:rPr>
              <w:t>stabilising</w:t>
            </w:r>
            <w:proofErr w:type="spellEnd"/>
            <w:r w:rsidRPr="006716A7">
              <w:rPr>
                <w:rFonts w:ascii="Arial" w:hAnsi="Arial" w:cs="Arial"/>
                <w:sz w:val="22"/>
                <w:szCs w:val="22"/>
              </w:rPr>
              <w:t xml:space="preserve"> strategic leadership positions ranging from Director Generals and CFOs to ensure continuity of the administrative work and improve governance and effectively manage accruals and underspending</w:t>
            </w:r>
          </w:p>
        </w:tc>
      </w:tr>
      <w:tr w:rsidR="008F58E3" w:rsidRPr="00E25F89" w:rsidTr="001F13D8">
        <w:trPr>
          <w:trHeight w:val="980"/>
        </w:trPr>
        <w:tc>
          <w:tcPr>
            <w:tcW w:w="13907" w:type="dxa"/>
            <w:tcBorders>
              <w:bottom w:val="single" w:sz="4" w:space="0" w:color="auto"/>
            </w:tcBorders>
            <w:shd w:val="clear" w:color="auto" w:fill="auto"/>
          </w:tcPr>
          <w:p w:rsidR="00B63C7F" w:rsidRDefault="00B63C7F" w:rsidP="001F13D8">
            <w:pPr>
              <w:spacing w:line="360" w:lineRule="auto"/>
              <w:jc w:val="both"/>
              <w:rPr>
                <w:rFonts w:ascii="Arial" w:hAnsi="Arial" w:cs="Arial"/>
                <w:b/>
              </w:rPr>
            </w:pPr>
          </w:p>
          <w:p w:rsidR="008F58E3" w:rsidRPr="00E25F89" w:rsidRDefault="008F58E3" w:rsidP="001F13D8">
            <w:pPr>
              <w:spacing w:line="360" w:lineRule="auto"/>
              <w:jc w:val="both"/>
              <w:rPr>
                <w:rFonts w:ascii="Arial" w:hAnsi="Arial" w:cs="Arial"/>
                <w:b/>
              </w:rPr>
            </w:pPr>
            <w:r w:rsidRPr="00E25F89">
              <w:rPr>
                <w:rFonts w:ascii="Arial" w:hAnsi="Arial" w:cs="Arial"/>
                <w:b/>
                <w:sz w:val="22"/>
              </w:rPr>
              <w:t>PROGRESS:</w:t>
            </w:r>
          </w:p>
          <w:p w:rsidR="00E627D1" w:rsidRPr="007849D3" w:rsidRDefault="0072252E" w:rsidP="0072252E">
            <w:pPr>
              <w:pStyle w:val="ListParagraph"/>
              <w:numPr>
                <w:ilvl w:val="0"/>
                <w:numId w:val="1"/>
              </w:numPr>
              <w:spacing w:after="160"/>
              <w:ind w:left="357" w:hanging="357"/>
              <w:contextualSpacing w:val="0"/>
              <w:jc w:val="both"/>
              <w:rPr>
                <w:rFonts w:ascii="Arial" w:hAnsi="Arial" w:cs="Arial"/>
                <w:lang w:val="en-ZA"/>
              </w:rPr>
            </w:pPr>
            <w:r w:rsidRPr="007849D3">
              <w:rPr>
                <w:rFonts w:ascii="Arial" w:hAnsi="Arial" w:cs="Arial"/>
                <w:sz w:val="22"/>
                <w:lang w:val="en-GB"/>
              </w:rPr>
              <w:t>Regarding the appointment of appropriately qualified and skilled people, and stabilising the strategic leadership position of CFO’s, the progress is as follows:</w:t>
            </w:r>
          </w:p>
          <w:p w:rsidR="00E627D1" w:rsidRPr="007849D3" w:rsidRDefault="0072252E" w:rsidP="0072252E">
            <w:pPr>
              <w:pStyle w:val="ListParagraph"/>
              <w:numPr>
                <w:ilvl w:val="0"/>
                <w:numId w:val="1"/>
              </w:numPr>
              <w:spacing w:after="160"/>
              <w:ind w:left="357" w:hanging="357"/>
              <w:contextualSpacing w:val="0"/>
              <w:jc w:val="both"/>
              <w:rPr>
                <w:rFonts w:ascii="Arial" w:hAnsi="Arial" w:cs="Arial"/>
                <w:lang w:val="en-ZA"/>
              </w:rPr>
            </w:pPr>
            <w:r w:rsidRPr="007849D3">
              <w:rPr>
                <w:rFonts w:ascii="Arial" w:hAnsi="Arial" w:cs="Arial"/>
                <w:sz w:val="22"/>
                <w:lang w:val="en-GB"/>
              </w:rPr>
              <w:t xml:space="preserve">The Provincial Treasury (PT) is currently rolling out the Financial Management Capacity Study (FMCS) in the Eastern Cape provincial departments, since 2013/14, as well as other financial management capacity building support. The FMCS is utilised by PT as a diagnostic tool for identifying and addressing the structural gaps/weaknesses in financial management environment. </w:t>
            </w:r>
            <w:r w:rsidRPr="007849D3">
              <w:rPr>
                <w:rFonts w:ascii="Arial" w:hAnsi="Arial" w:cs="Arial"/>
                <w:b/>
                <w:bCs/>
                <w:sz w:val="22"/>
                <w:lang w:val="en-GB"/>
              </w:rPr>
              <w:t xml:space="preserve"> </w:t>
            </w:r>
            <w:r w:rsidRPr="007849D3">
              <w:rPr>
                <w:rFonts w:ascii="Arial" w:hAnsi="Arial" w:cs="Arial"/>
                <w:sz w:val="22"/>
                <w:lang w:val="en-GB"/>
              </w:rPr>
              <w:t xml:space="preserve">Twelve out of fourteen provincial department’s organogram are under review, with Department of Health, Economic Development, Office of the Premier and Human Settlement`s organogram having recently been approved by Minister for Public Services and Administration (MPSA). </w:t>
            </w:r>
          </w:p>
          <w:p w:rsidR="00E627D1" w:rsidRPr="007849D3" w:rsidRDefault="0072252E" w:rsidP="0072252E">
            <w:pPr>
              <w:pStyle w:val="ListParagraph"/>
              <w:numPr>
                <w:ilvl w:val="0"/>
                <w:numId w:val="1"/>
              </w:numPr>
              <w:spacing w:after="160"/>
              <w:ind w:left="357" w:hanging="357"/>
              <w:contextualSpacing w:val="0"/>
              <w:jc w:val="both"/>
              <w:rPr>
                <w:rFonts w:ascii="Arial" w:hAnsi="Arial" w:cs="Arial"/>
                <w:lang w:val="en-ZA"/>
              </w:rPr>
            </w:pPr>
            <w:r w:rsidRPr="007849D3">
              <w:rPr>
                <w:rFonts w:ascii="Arial" w:hAnsi="Arial" w:cs="Arial"/>
                <w:sz w:val="22"/>
                <w:lang w:val="en-GB"/>
              </w:rPr>
              <w:t xml:space="preserve">FMCS is part of a broader financial management capacity building strategy which focuses on ascertaining whether the functional structure of the Chief Financial Officer`s (CFO) branch covers the minimum functions in terms of the National Treasury and DPSA`s recommended functional structure for the CFO office; competency profiles of Financial Management (FM) personnel; the existence of documented standard operating procedures /process flows and finance policies as well as the applicability of finance delegations. </w:t>
            </w:r>
          </w:p>
          <w:p w:rsidR="00E627D1" w:rsidRPr="007849D3" w:rsidRDefault="0072252E" w:rsidP="0072252E">
            <w:pPr>
              <w:pStyle w:val="ListParagraph"/>
              <w:numPr>
                <w:ilvl w:val="0"/>
                <w:numId w:val="1"/>
              </w:numPr>
              <w:spacing w:after="160"/>
              <w:ind w:left="357" w:hanging="357"/>
              <w:contextualSpacing w:val="0"/>
              <w:jc w:val="both"/>
              <w:rPr>
                <w:rFonts w:ascii="Arial" w:hAnsi="Arial" w:cs="Arial"/>
                <w:lang w:val="en-ZA"/>
              </w:rPr>
            </w:pPr>
            <w:r w:rsidRPr="007849D3">
              <w:rPr>
                <w:rFonts w:ascii="Arial" w:hAnsi="Arial" w:cs="Arial"/>
                <w:sz w:val="22"/>
                <w:lang w:val="en-ZA"/>
              </w:rPr>
              <w:t>The study is informed by the Public Finance Management Act; National Treasury Regulations;</w:t>
            </w:r>
            <w:r w:rsidRPr="007849D3">
              <w:rPr>
                <w:rFonts w:ascii="Arial" w:hAnsi="Arial" w:cs="Arial"/>
                <w:sz w:val="22"/>
                <w:lang w:val="en-GB"/>
              </w:rPr>
              <w:t xml:space="preserve"> DPSA Amended Directive on Compulsory Capacity Development for SMS (2016); </w:t>
            </w:r>
            <w:r w:rsidRPr="007849D3">
              <w:rPr>
                <w:rFonts w:ascii="Arial" w:hAnsi="Arial" w:cs="Arial"/>
                <w:sz w:val="22"/>
                <w:lang w:val="en-ZA"/>
              </w:rPr>
              <w:t>National Treasury Capacity Development Strategy for Public Financial Management and Provincial Treasury Competency Framework.</w:t>
            </w:r>
          </w:p>
          <w:p w:rsidR="00E627D1" w:rsidRPr="007849D3" w:rsidRDefault="0072252E" w:rsidP="0072252E">
            <w:pPr>
              <w:pStyle w:val="ListParagraph"/>
              <w:numPr>
                <w:ilvl w:val="0"/>
                <w:numId w:val="1"/>
              </w:numPr>
              <w:spacing w:after="160"/>
              <w:ind w:left="357" w:hanging="357"/>
              <w:contextualSpacing w:val="0"/>
              <w:jc w:val="both"/>
              <w:rPr>
                <w:rFonts w:ascii="Arial" w:hAnsi="Arial" w:cs="Arial"/>
                <w:lang w:val="en-ZA"/>
              </w:rPr>
            </w:pPr>
            <w:r w:rsidRPr="007849D3">
              <w:rPr>
                <w:rFonts w:ascii="Arial" w:hAnsi="Arial" w:cs="Arial"/>
                <w:sz w:val="22"/>
                <w:lang w:val="en-GB"/>
              </w:rPr>
              <w:t xml:space="preserve">The FMCS is complemented by a draft CFO Framework that has recently been adopted by provincial Executive Committee (EXCO) in February 2018, as part of enhancing financial management support by PT towards provincial departments. The ultimate objective of the framework is to support improvement in the FM control environment by attracting and retaining a work force that is competent, effective and pioneering. </w:t>
            </w:r>
          </w:p>
          <w:p w:rsidR="008F58E3" w:rsidRPr="007849D3" w:rsidRDefault="008F58E3" w:rsidP="00B63C7F">
            <w:pPr>
              <w:pStyle w:val="ListParagraph"/>
              <w:spacing w:after="160"/>
              <w:ind w:left="357"/>
              <w:contextualSpacing w:val="0"/>
              <w:jc w:val="both"/>
              <w:rPr>
                <w:rFonts w:ascii="Arial" w:hAnsi="Arial" w:cs="Arial"/>
                <w:color w:val="FF0000"/>
                <w:lang w:val="en-ZA"/>
              </w:rPr>
            </w:pPr>
          </w:p>
        </w:tc>
      </w:tr>
    </w:tbl>
    <w:p w:rsidR="008F58E3" w:rsidRDefault="008F58E3">
      <w:pPr>
        <w:rPr>
          <w:sz w:val="22"/>
          <w:szCs w:val="22"/>
        </w:rPr>
      </w:pPr>
    </w:p>
    <w:p w:rsidR="008F58E3" w:rsidRDefault="008F58E3">
      <w:pPr>
        <w:rPr>
          <w:sz w:val="22"/>
          <w:szCs w:val="22"/>
        </w:rPr>
      </w:pPr>
    </w:p>
    <w:tbl>
      <w:tblPr>
        <w:tblW w:w="13907"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907"/>
      </w:tblGrid>
      <w:tr w:rsidR="008F58E3" w:rsidRPr="00061610" w:rsidTr="001F13D8">
        <w:trPr>
          <w:trHeight w:val="378"/>
          <w:tblHeader/>
        </w:trPr>
        <w:tc>
          <w:tcPr>
            <w:tcW w:w="13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84806" w:themeFill="accent6" w:themeFillShade="80"/>
            <w:vAlign w:val="center"/>
          </w:tcPr>
          <w:p w:rsidR="008F58E3" w:rsidRPr="00061610" w:rsidRDefault="008F58E3" w:rsidP="001F13D8">
            <w:pPr>
              <w:jc w:val="center"/>
              <w:rPr>
                <w:rFonts w:ascii="Arial" w:eastAsiaTheme="majorEastAsia" w:hAnsi="Arial" w:cs="Arial"/>
                <w:b/>
                <w:bCs/>
                <w:color w:val="FFFFFF" w:themeColor="background1"/>
                <w:sz w:val="28"/>
                <w:szCs w:val="28"/>
              </w:rPr>
            </w:pPr>
            <w:r w:rsidRPr="00E25F89">
              <w:rPr>
                <w:rFonts w:ascii="Arial" w:eastAsiaTheme="majorEastAsia" w:hAnsi="Arial" w:cs="Arial"/>
                <w:b/>
                <w:bCs/>
                <w:color w:val="FFFFFF" w:themeColor="background1"/>
                <w:sz w:val="28"/>
                <w:szCs w:val="28"/>
              </w:rPr>
              <w:t>RESPONSES TO 2016/17 RECOMMENDATIONS</w:t>
            </w:r>
          </w:p>
        </w:tc>
      </w:tr>
      <w:tr w:rsidR="008F58E3" w:rsidRPr="00061610" w:rsidTr="001F13D8">
        <w:trPr>
          <w:trHeight w:val="450"/>
          <w:tblHeader/>
        </w:trPr>
        <w:tc>
          <w:tcPr>
            <w:tcW w:w="13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E2402"/>
            <w:vAlign w:val="center"/>
          </w:tcPr>
          <w:p w:rsidR="008F58E3" w:rsidRDefault="008F58E3" w:rsidP="001F13D8">
            <w:pPr>
              <w:keepNext/>
              <w:keepLines/>
              <w:jc w:val="center"/>
              <w:outlineLvl w:val="1"/>
              <w:rPr>
                <w:rFonts w:ascii="Arial" w:eastAsiaTheme="majorEastAsia" w:hAnsi="Arial" w:cs="Arial"/>
                <w:b/>
                <w:bCs/>
                <w:color w:val="FFFFFF" w:themeColor="background1"/>
                <w:sz w:val="28"/>
                <w:szCs w:val="28"/>
              </w:rPr>
            </w:pPr>
            <w:r>
              <w:rPr>
                <w:rFonts w:ascii="Arial" w:eastAsiaTheme="majorEastAsia" w:hAnsi="Arial" w:cs="Arial"/>
                <w:b/>
                <w:bCs/>
                <w:color w:val="FFFFFF" w:themeColor="background1"/>
                <w:sz w:val="28"/>
                <w:szCs w:val="28"/>
              </w:rPr>
              <w:lastRenderedPageBreak/>
              <w:t>RECOMMENDATION</w:t>
            </w:r>
            <w:r w:rsidR="007849D3">
              <w:rPr>
                <w:rFonts w:ascii="Arial" w:eastAsiaTheme="majorEastAsia" w:hAnsi="Arial" w:cs="Arial"/>
                <w:b/>
                <w:bCs/>
                <w:color w:val="FFFFFF" w:themeColor="background1"/>
                <w:sz w:val="28"/>
                <w:szCs w:val="28"/>
              </w:rPr>
              <w:t xml:space="preserve"> 12.10</w:t>
            </w:r>
          </w:p>
        </w:tc>
      </w:tr>
      <w:tr w:rsidR="008F58E3" w:rsidRPr="002175B7" w:rsidTr="001F13D8">
        <w:trPr>
          <w:trHeight w:val="746"/>
        </w:trPr>
        <w:tc>
          <w:tcPr>
            <w:tcW w:w="13907" w:type="dxa"/>
            <w:tcBorders>
              <w:top w:val="single" w:sz="4" w:space="0" w:color="FFFFFF" w:themeColor="background1"/>
              <w:bottom w:val="single" w:sz="4" w:space="0" w:color="auto"/>
            </w:tcBorders>
            <w:shd w:val="clear" w:color="auto" w:fill="auto"/>
          </w:tcPr>
          <w:p w:rsidR="008F58E3" w:rsidRPr="00FB3B21" w:rsidRDefault="007849D3" w:rsidP="0072252E">
            <w:pPr>
              <w:pStyle w:val="ListParagraph"/>
              <w:numPr>
                <w:ilvl w:val="0"/>
                <w:numId w:val="2"/>
              </w:numPr>
              <w:jc w:val="both"/>
            </w:pPr>
            <w:r w:rsidRPr="006716A7">
              <w:rPr>
                <w:rFonts w:ascii="Arial" w:hAnsi="Arial" w:cs="Arial"/>
                <w:sz w:val="22"/>
                <w:szCs w:val="22"/>
              </w:rPr>
              <w:t>Provinces should strictly adhere to the PFMA and SCM principles in all areas of service delivery, particularly on implementation of infrastructure projects. This would assist in saving costs associated with procurement of medicine and medico legal claims in the Departments of Health as well as general improvement in provincial audit outcomes</w:t>
            </w:r>
          </w:p>
          <w:p w:rsidR="00FB3B21" w:rsidRPr="002175B7" w:rsidRDefault="00FB3B21" w:rsidP="00FB3B21">
            <w:pPr>
              <w:pStyle w:val="ListParagraph"/>
              <w:ind w:left="360"/>
              <w:jc w:val="both"/>
            </w:pPr>
          </w:p>
        </w:tc>
      </w:tr>
      <w:tr w:rsidR="008F58E3" w:rsidRPr="00E25F89" w:rsidTr="001F13D8">
        <w:trPr>
          <w:trHeight w:val="980"/>
        </w:trPr>
        <w:tc>
          <w:tcPr>
            <w:tcW w:w="13907" w:type="dxa"/>
            <w:tcBorders>
              <w:bottom w:val="single" w:sz="4" w:space="0" w:color="auto"/>
            </w:tcBorders>
            <w:shd w:val="clear" w:color="auto" w:fill="auto"/>
          </w:tcPr>
          <w:p w:rsidR="008F58E3" w:rsidRPr="00E25F89" w:rsidRDefault="008F58E3" w:rsidP="001F13D8">
            <w:pPr>
              <w:spacing w:line="360" w:lineRule="auto"/>
              <w:jc w:val="both"/>
              <w:rPr>
                <w:rFonts w:ascii="Arial" w:hAnsi="Arial" w:cs="Arial"/>
                <w:b/>
              </w:rPr>
            </w:pPr>
            <w:r w:rsidRPr="00E25F89">
              <w:rPr>
                <w:rFonts w:ascii="Arial" w:hAnsi="Arial" w:cs="Arial"/>
                <w:b/>
                <w:sz w:val="22"/>
              </w:rPr>
              <w:t>PROGRESS:</w:t>
            </w:r>
          </w:p>
          <w:p w:rsidR="008F58E3" w:rsidRPr="00FB3B21" w:rsidRDefault="007849D3" w:rsidP="007849D3">
            <w:pPr>
              <w:spacing w:after="160"/>
              <w:jc w:val="both"/>
              <w:rPr>
                <w:rFonts w:ascii="Arial" w:hAnsi="Arial" w:cs="Arial"/>
              </w:rPr>
            </w:pPr>
            <w:r w:rsidRPr="00FB3B21">
              <w:rPr>
                <w:rFonts w:ascii="Arial" w:eastAsiaTheme="majorEastAsia" w:hAnsi="Arial" w:cs="Arial"/>
                <w:b/>
                <w:bCs/>
                <w:sz w:val="22"/>
              </w:rPr>
              <w:t>Adherence to SCM and PFMA Principles-</w:t>
            </w:r>
          </w:p>
          <w:p w:rsidR="00E627D1" w:rsidRPr="007849D3" w:rsidRDefault="0072252E" w:rsidP="0072252E">
            <w:pPr>
              <w:numPr>
                <w:ilvl w:val="0"/>
                <w:numId w:val="1"/>
              </w:numPr>
              <w:spacing w:after="160"/>
              <w:jc w:val="both"/>
              <w:rPr>
                <w:rFonts w:ascii="Arial" w:hAnsi="Arial" w:cs="Arial"/>
                <w:lang w:val="en-ZA"/>
              </w:rPr>
            </w:pPr>
            <w:r w:rsidRPr="007849D3">
              <w:rPr>
                <w:rFonts w:ascii="Arial" w:hAnsi="Arial" w:cs="Arial"/>
                <w:sz w:val="22"/>
                <w:lang w:val="en-GB"/>
              </w:rPr>
              <w:t>With regard to construction procurement, the Province has adopted the Infrastructure Delivery Management System (IDMS) and the Standards for Infrastructure Procurement and Delivery Management (SIPDM) which regulates the control framework gates. The IDMS/SIPDM promotes efficiencies through the use of the alternative forms of contracting (Framework Agreements, Management Contractor, Design and Build etc.) and ensures that value for money is achieved</w:t>
            </w:r>
          </w:p>
          <w:p w:rsidR="00E627D1" w:rsidRPr="007849D3" w:rsidRDefault="00920184" w:rsidP="0072252E">
            <w:pPr>
              <w:numPr>
                <w:ilvl w:val="0"/>
                <w:numId w:val="1"/>
              </w:numPr>
              <w:spacing w:after="160"/>
              <w:jc w:val="both"/>
              <w:rPr>
                <w:rFonts w:ascii="Arial" w:hAnsi="Arial" w:cs="Arial"/>
                <w:lang w:val="en-ZA"/>
              </w:rPr>
            </w:pPr>
            <w:r w:rsidRPr="007849D3">
              <w:rPr>
                <w:rFonts w:ascii="Arial" w:hAnsi="Arial" w:cs="Arial"/>
                <w:sz w:val="22"/>
                <w:lang w:val="en-ZA"/>
              </w:rPr>
              <w:t>SCM capacitation and training has continued to be fastracked as the adequacy in terms of numbers in SCM units and Competencies is lacking as per OCPO report.  Training has been provided to SCM practitioners on the SIPDM, however more capacitation is required</w:t>
            </w:r>
            <w:r w:rsidR="00B63C7F">
              <w:rPr>
                <w:rFonts w:ascii="Arial" w:hAnsi="Arial" w:cs="Arial"/>
                <w:sz w:val="22"/>
                <w:lang w:val="en-ZA"/>
              </w:rPr>
              <w:t xml:space="preserve"> </w:t>
            </w:r>
            <w:r w:rsidR="0072252E" w:rsidRPr="007849D3">
              <w:rPr>
                <w:rFonts w:ascii="Arial" w:hAnsi="Arial" w:cs="Arial"/>
                <w:sz w:val="22"/>
                <w:lang w:val="en-ZA"/>
              </w:rPr>
              <w:t>SCM Circulars and Practise Notes are issued from time to time to</w:t>
            </w:r>
            <w:r w:rsidR="00B63C7F" w:rsidRPr="007849D3">
              <w:rPr>
                <w:rFonts w:ascii="Arial" w:hAnsi="Arial" w:cs="Arial"/>
                <w:sz w:val="22"/>
                <w:lang w:val="en-ZA"/>
              </w:rPr>
              <w:t> improve</w:t>
            </w:r>
            <w:r w:rsidR="0072252E" w:rsidRPr="007849D3">
              <w:rPr>
                <w:rFonts w:ascii="Arial" w:hAnsi="Arial" w:cs="Arial"/>
                <w:sz w:val="22"/>
                <w:lang w:val="en-ZA"/>
              </w:rPr>
              <w:t xml:space="preserve"> compliance. </w:t>
            </w:r>
          </w:p>
          <w:p w:rsidR="00E627D1" w:rsidRPr="007849D3" w:rsidRDefault="0072252E" w:rsidP="0072252E">
            <w:pPr>
              <w:numPr>
                <w:ilvl w:val="0"/>
                <w:numId w:val="1"/>
              </w:numPr>
              <w:spacing w:after="160"/>
              <w:jc w:val="both"/>
              <w:rPr>
                <w:rFonts w:ascii="Arial" w:hAnsi="Arial" w:cs="Arial"/>
                <w:lang w:val="en-ZA"/>
              </w:rPr>
            </w:pPr>
            <w:r w:rsidRPr="007849D3">
              <w:rPr>
                <w:rFonts w:ascii="Arial" w:hAnsi="Arial" w:cs="Arial"/>
                <w:sz w:val="22"/>
                <w:lang w:val="en-ZA"/>
              </w:rPr>
              <w:t>SCM Forum meetings are held with departments and public entities on quarterly basis,</w:t>
            </w:r>
          </w:p>
          <w:p w:rsidR="00E627D1" w:rsidRDefault="0072252E" w:rsidP="0072252E">
            <w:pPr>
              <w:numPr>
                <w:ilvl w:val="0"/>
                <w:numId w:val="1"/>
              </w:numPr>
              <w:spacing w:after="160"/>
              <w:jc w:val="both"/>
              <w:rPr>
                <w:rFonts w:ascii="Arial" w:hAnsi="Arial" w:cs="Arial"/>
                <w:lang w:val="en-ZA"/>
              </w:rPr>
            </w:pPr>
            <w:r w:rsidRPr="007849D3">
              <w:rPr>
                <w:rFonts w:ascii="Arial" w:hAnsi="Arial" w:cs="Arial"/>
                <w:sz w:val="22"/>
                <w:lang w:val="en-ZA"/>
              </w:rPr>
              <w:t>Adherence to procurement plans is monitored and deviations thereto are raised with the affected departments for corrective action to be taken</w:t>
            </w:r>
            <w:r w:rsidR="00FB3B21">
              <w:rPr>
                <w:rFonts w:ascii="Arial" w:hAnsi="Arial" w:cs="Arial"/>
                <w:sz w:val="22"/>
                <w:lang w:val="en-ZA"/>
              </w:rPr>
              <w:t>.</w:t>
            </w:r>
          </w:p>
          <w:p w:rsidR="00920184" w:rsidRPr="007849D3" w:rsidRDefault="00920184" w:rsidP="0072252E">
            <w:pPr>
              <w:numPr>
                <w:ilvl w:val="0"/>
                <w:numId w:val="1"/>
              </w:numPr>
              <w:spacing w:after="160"/>
              <w:jc w:val="both"/>
              <w:rPr>
                <w:rFonts w:ascii="Arial" w:hAnsi="Arial" w:cs="Arial"/>
                <w:lang w:val="en-ZA"/>
              </w:rPr>
            </w:pPr>
            <w:r w:rsidRPr="007849D3">
              <w:rPr>
                <w:rFonts w:ascii="Arial" w:hAnsi="Arial" w:cs="Arial"/>
                <w:sz w:val="22"/>
                <w:lang w:val="en-ZA"/>
              </w:rPr>
              <w:t>IBAC – Interim Bid advisory committee continues to review awards over certain threshold per Departments and advise Accounting officers where prescripts have not been followed for their remedial action.</w:t>
            </w:r>
          </w:p>
          <w:p w:rsidR="00920184" w:rsidRDefault="00920184" w:rsidP="0072252E">
            <w:pPr>
              <w:numPr>
                <w:ilvl w:val="0"/>
                <w:numId w:val="1"/>
              </w:numPr>
              <w:spacing w:after="160"/>
              <w:jc w:val="both"/>
              <w:rPr>
                <w:rFonts w:ascii="Arial" w:hAnsi="Arial" w:cs="Arial"/>
                <w:lang w:val="en-ZA"/>
              </w:rPr>
            </w:pPr>
            <w:r w:rsidRPr="007849D3">
              <w:rPr>
                <w:rFonts w:ascii="Arial" w:hAnsi="Arial" w:cs="Arial"/>
                <w:sz w:val="22"/>
                <w:lang w:val="en-ZA"/>
              </w:rPr>
              <w:t>An Infrastructure procurement specialist has been appointed by Eastern Cape Provincial Treasury to drive the SIPDM and set up the Infrastructure review committee in the Province.  Terms of reference for this committee have been developed, however appointments of specialists to this committee is underway.</w:t>
            </w:r>
          </w:p>
          <w:p w:rsidR="00FB3B21" w:rsidRPr="00B63C7F" w:rsidRDefault="00920184" w:rsidP="0072252E">
            <w:pPr>
              <w:numPr>
                <w:ilvl w:val="0"/>
                <w:numId w:val="1"/>
              </w:numPr>
              <w:spacing w:after="160"/>
              <w:jc w:val="both"/>
              <w:rPr>
                <w:rFonts w:ascii="Arial" w:hAnsi="Arial" w:cs="Arial"/>
                <w:lang w:val="en-ZA"/>
              </w:rPr>
            </w:pPr>
            <w:r w:rsidRPr="007849D3">
              <w:rPr>
                <w:rFonts w:ascii="Arial" w:hAnsi="Arial" w:cs="Arial"/>
                <w:sz w:val="22"/>
                <w:lang w:val="en-GB"/>
              </w:rPr>
              <w:t>If the SIPDM is fully implemented with adequate with skills then the saving of costs associated with the procurement will improve the audit outcomes (see diagram below)</w:t>
            </w:r>
          </w:p>
          <w:p w:rsidR="00FB3B21" w:rsidRDefault="00FB3B21" w:rsidP="00FB3B21">
            <w:pPr>
              <w:spacing w:after="160"/>
              <w:jc w:val="both"/>
              <w:rPr>
                <w:rFonts w:ascii="Arial" w:hAnsi="Arial" w:cs="Arial"/>
                <w:lang w:val="en-ZA"/>
              </w:rPr>
            </w:pPr>
          </w:p>
          <w:p w:rsidR="00B63C7F" w:rsidRPr="007849D3" w:rsidRDefault="00B63C7F" w:rsidP="00FB3B21">
            <w:pPr>
              <w:spacing w:after="160"/>
              <w:jc w:val="both"/>
              <w:rPr>
                <w:rFonts w:ascii="Arial" w:hAnsi="Arial" w:cs="Arial"/>
                <w:lang w:val="en-ZA"/>
              </w:rPr>
            </w:pPr>
          </w:p>
          <w:p w:rsidR="007849D3" w:rsidRPr="00FB3B21" w:rsidRDefault="007849D3" w:rsidP="007849D3">
            <w:pPr>
              <w:spacing w:after="160"/>
              <w:jc w:val="both"/>
              <w:rPr>
                <w:rFonts w:ascii="Arial" w:hAnsi="Arial" w:cs="Arial"/>
                <w:b/>
                <w:bCs/>
              </w:rPr>
            </w:pPr>
            <w:r w:rsidRPr="00FB3B21">
              <w:rPr>
                <w:rFonts w:ascii="Arial" w:hAnsi="Arial" w:cs="Arial"/>
                <w:b/>
                <w:bCs/>
                <w:sz w:val="22"/>
              </w:rPr>
              <w:t>The Auditor General compliance requirements for the SIPDM</w:t>
            </w:r>
          </w:p>
          <w:p w:rsidR="007849D3" w:rsidRPr="00654D55" w:rsidRDefault="00654D55" w:rsidP="00654D55">
            <w:pPr>
              <w:spacing w:after="160"/>
              <w:jc w:val="both"/>
              <w:rPr>
                <w:rFonts w:ascii="Arial" w:hAnsi="Arial" w:cs="Arial"/>
              </w:rPr>
            </w:pPr>
            <w:r>
              <w:rPr>
                <w:rFonts w:ascii="Arial" w:hAnsi="Arial" w:cs="Arial"/>
                <w:noProof/>
                <w:lang w:val="en-ZA" w:eastAsia="en-ZA"/>
              </w:rPr>
              <w:lastRenderedPageBreak/>
              <w:drawing>
                <wp:inline distT="0" distB="0" distL="0" distR="0">
                  <wp:extent cx="8693531" cy="48768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07297" cy="4884522"/>
                          </a:xfrm>
                          <a:prstGeom prst="rect">
                            <a:avLst/>
                          </a:prstGeom>
                          <a:noFill/>
                        </pic:spPr>
                      </pic:pic>
                    </a:graphicData>
                  </a:graphic>
                </wp:inline>
              </w:drawing>
            </w:r>
          </w:p>
        </w:tc>
      </w:tr>
    </w:tbl>
    <w:p w:rsidR="008F58E3" w:rsidRDefault="008F58E3">
      <w:pPr>
        <w:rPr>
          <w:sz w:val="22"/>
          <w:szCs w:val="22"/>
        </w:rPr>
      </w:pPr>
    </w:p>
    <w:tbl>
      <w:tblPr>
        <w:tblW w:w="13907"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907"/>
      </w:tblGrid>
      <w:tr w:rsidR="008F58E3" w:rsidRPr="00061610" w:rsidTr="001F13D8">
        <w:trPr>
          <w:trHeight w:val="378"/>
          <w:tblHeader/>
        </w:trPr>
        <w:tc>
          <w:tcPr>
            <w:tcW w:w="13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84806" w:themeFill="accent6" w:themeFillShade="80"/>
            <w:vAlign w:val="center"/>
          </w:tcPr>
          <w:p w:rsidR="008F58E3" w:rsidRPr="00061610" w:rsidRDefault="008F58E3" w:rsidP="001F13D8">
            <w:pPr>
              <w:jc w:val="center"/>
              <w:rPr>
                <w:rFonts w:ascii="Arial" w:eastAsiaTheme="majorEastAsia" w:hAnsi="Arial" w:cs="Arial"/>
                <w:b/>
                <w:bCs/>
                <w:color w:val="FFFFFF" w:themeColor="background1"/>
                <w:sz w:val="28"/>
                <w:szCs w:val="28"/>
              </w:rPr>
            </w:pPr>
            <w:r w:rsidRPr="00E25F89">
              <w:rPr>
                <w:rFonts w:ascii="Arial" w:eastAsiaTheme="majorEastAsia" w:hAnsi="Arial" w:cs="Arial"/>
                <w:b/>
                <w:bCs/>
                <w:color w:val="FFFFFF" w:themeColor="background1"/>
                <w:sz w:val="28"/>
                <w:szCs w:val="28"/>
              </w:rPr>
              <w:lastRenderedPageBreak/>
              <w:t>RESPONSES TO 2016/17 RECOMMENDATIONS</w:t>
            </w:r>
          </w:p>
        </w:tc>
      </w:tr>
      <w:tr w:rsidR="008F58E3" w:rsidRPr="00061610" w:rsidTr="001F13D8">
        <w:trPr>
          <w:trHeight w:val="450"/>
          <w:tblHeader/>
        </w:trPr>
        <w:tc>
          <w:tcPr>
            <w:tcW w:w="13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E2402"/>
            <w:vAlign w:val="center"/>
          </w:tcPr>
          <w:p w:rsidR="008F58E3" w:rsidRDefault="008F58E3" w:rsidP="001F13D8">
            <w:pPr>
              <w:keepNext/>
              <w:keepLines/>
              <w:jc w:val="center"/>
              <w:outlineLvl w:val="1"/>
              <w:rPr>
                <w:rFonts w:ascii="Arial" w:eastAsiaTheme="majorEastAsia" w:hAnsi="Arial" w:cs="Arial"/>
                <w:b/>
                <w:bCs/>
                <w:color w:val="FFFFFF" w:themeColor="background1"/>
                <w:sz w:val="28"/>
                <w:szCs w:val="28"/>
              </w:rPr>
            </w:pPr>
            <w:r>
              <w:rPr>
                <w:rFonts w:ascii="Arial" w:eastAsiaTheme="majorEastAsia" w:hAnsi="Arial" w:cs="Arial"/>
                <w:b/>
                <w:bCs/>
                <w:color w:val="FFFFFF" w:themeColor="background1"/>
                <w:sz w:val="28"/>
                <w:szCs w:val="28"/>
              </w:rPr>
              <w:t>RECOMMENDATION</w:t>
            </w:r>
            <w:r w:rsidR="007849D3">
              <w:rPr>
                <w:rFonts w:ascii="Arial" w:eastAsiaTheme="majorEastAsia" w:hAnsi="Arial" w:cs="Arial"/>
                <w:b/>
                <w:bCs/>
                <w:color w:val="FFFFFF" w:themeColor="background1"/>
                <w:sz w:val="28"/>
                <w:szCs w:val="28"/>
              </w:rPr>
              <w:t xml:space="preserve"> 12.11</w:t>
            </w:r>
          </w:p>
        </w:tc>
      </w:tr>
      <w:tr w:rsidR="008F58E3" w:rsidRPr="002175B7" w:rsidTr="001F13D8">
        <w:trPr>
          <w:trHeight w:val="746"/>
        </w:trPr>
        <w:tc>
          <w:tcPr>
            <w:tcW w:w="13907" w:type="dxa"/>
            <w:tcBorders>
              <w:top w:val="single" w:sz="4" w:space="0" w:color="FFFFFF" w:themeColor="background1"/>
              <w:bottom w:val="single" w:sz="4" w:space="0" w:color="auto"/>
            </w:tcBorders>
            <w:shd w:val="clear" w:color="auto" w:fill="auto"/>
          </w:tcPr>
          <w:p w:rsidR="008F58E3" w:rsidRPr="002175B7" w:rsidRDefault="007849D3" w:rsidP="0072252E">
            <w:pPr>
              <w:pStyle w:val="ListParagraph"/>
              <w:numPr>
                <w:ilvl w:val="0"/>
                <w:numId w:val="2"/>
              </w:numPr>
              <w:jc w:val="both"/>
            </w:pPr>
            <w:r w:rsidRPr="006716A7">
              <w:rPr>
                <w:rFonts w:ascii="Arial" w:hAnsi="Arial" w:cs="Arial"/>
                <w:sz w:val="22"/>
                <w:szCs w:val="22"/>
              </w:rPr>
              <w:t xml:space="preserve">Provinces can learn from the Gauteng Provinces’ best practices and innovations that are ensuring administrative efficiencies; improving revenue collection; generating savings; eliminating irregular expenditure and helping to avoid payment of legal fees and court cases. These </w:t>
            </w:r>
            <w:r w:rsidR="00654D55">
              <w:rPr>
                <w:rFonts w:ascii="Arial" w:hAnsi="Arial" w:cs="Arial"/>
                <w:sz w:val="22"/>
                <w:szCs w:val="22"/>
              </w:rPr>
              <w:t>include the biometrics</w:t>
            </w:r>
            <w:r w:rsidRPr="006716A7">
              <w:rPr>
                <w:rFonts w:ascii="Arial" w:hAnsi="Arial" w:cs="Arial"/>
                <w:sz w:val="22"/>
                <w:szCs w:val="22"/>
              </w:rPr>
              <w:t xml:space="preserve"> system in the Department of Health and open tender system. This could also assist with cross border pressures on Health and Education</w:t>
            </w:r>
          </w:p>
        </w:tc>
      </w:tr>
      <w:tr w:rsidR="008F58E3" w:rsidRPr="00E25F89" w:rsidTr="001F13D8">
        <w:trPr>
          <w:trHeight w:val="980"/>
        </w:trPr>
        <w:tc>
          <w:tcPr>
            <w:tcW w:w="13907" w:type="dxa"/>
            <w:tcBorders>
              <w:bottom w:val="single" w:sz="4" w:space="0" w:color="auto"/>
            </w:tcBorders>
            <w:shd w:val="clear" w:color="auto" w:fill="auto"/>
          </w:tcPr>
          <w:p w:rsidR="008F58E3" w:rsidRPr="00E25F89" w:rsidRDefault="008F58E3" w:rsidP="001F13D8">
            <w:pPr>
              <w:spacing w:line="360" w:lineRule="auto"/>
              <w:jc w:val="both"/>
              <w:rPr>
                <w:rFonts w:ascii="Arial" w:hAnsi="Arial" w:cs="Arial"/>
                <w:b/>
              </w:rPr>
            </w:pPr>
            <w:r w:rsidRPr="00E25F89">
              <w:rPr>
                <w:rFonts w:ascii="Arial" w:hAnsi="Arial" w:cs="Arial"/>
                <w:b/>
                <w:sz w:val="22"/>
              </w:rPr>
              <w:t>PROGRESS:</w:t>
            </w:r>
          </w:p>
          <w:p w:rsidR="00E627D1" w:rsidRPr="007849D3" w:rsidRDefault="0072252E" w:rsidP="0072252E">
            <w:pPr>
              <w:pStyle w:val="ListParagraph"/>
              <w:numPr>
                <w:ilvl w:val="0"/>
                <w:numId w:val="1"/>
              </w:numPr>
              <w:spacing w:after="160"/>
              <w:ind w:left="357" w:hanging="357"/>
              <w:contextualSpacing w:val="0"/>
              <w:jc w:val="both"/>
              <w:rPr>
                <w:rFonts w:ascii="Arial" w:hAnsi="Arial" w:cs="Arial"/>
                <w:lang w:val="en-ZA"/>
              </w:rPr>
            </w:pPr>
            <w:r w:rsidRPr="007849D3">
              <w:rPr>
                <w:rFonts w:ascii="Arial" w:hAnsi="Arial" w:cs="Arial"/>
                <w:sz w:val="22"/>
                <w:lang w:val="en-ZA"/>
              </w:rPr>
              <w:t>The Province’s strategy of eliminating irregular expenditure (IE) is identifying the root causes and developing intervention plans as a preventative measure. The main causes of IE identified are mainly transgression of the Supply Chain Management (SCM) prescripts which include amongst others the following:</w:t>
            </w:r>
          </w:p>
          <w:p w:rsidR="00E627D1" w:rsidRPr="007849D3" w:rsidRDefault="0072252E" w:rsidP="0072252E">
            <w:pPr>
              <w:pStyle w:val="ListParagraph"/>
              <w:numPr>
                <w:ilvl w:val="0"/>
                <w:numId w:val="1"/>
              </w:numPr>
              <w:spacing w:after="160"/>
              <w:ind w:left="357" w:hanging="357"/>
              <w:contextualSpacing w:val="0"/>
              <w:jc w:val="both"/>
              <w:rPr>
                <w:rFonts w:ascii="Arial" w:hAnsi="Arial" w:cs="Arial"/>
                <w:lang w:val="en-ZA"/>
              </w:rPr>
            </w:pPr>
            <w:r w:rsidRPr="007849D3">
              <w:rPr>
                <w:rFonts w:ascii="Arial" w:hAnsi="Arial" w:cs="Arial"/>
                <w:sz w:val="22"/>
                <w:lang w:val="en-ZA"/>
              </w:rPr>
              <w:t xml:space="preserve">Unjustified deviations from normal procurement processes due to poor procurement planning and/or poor contract management. </w:t>
            </w:r>
          </w:p>
          <w:p w:rsidR="00E627D1" w:rsidRPr="007849D3" w:rsidRDefault="0072252E" w:rsidP="0072252E">
            <w:pPr>
              <w:pStyle w:val="ListParagraph"/>
              <w:numPr>
                <w:ilvl w:val="0"/>
                <w:numId w:val="1"/>
              </w:numPr>
              <w:spacing w:after="160"/>
              <w:ind w:left="357" w:hanging="357"/>
              <w:contextualSpacing w:val="0"/>
              <w:jc w:val="both"/>
              <w:rPr>
                <w:rFonts w:ascii="Arial" w:hAnsi="Arial" w:cs="Arial"/>
                <w:lang w:val="en-ZA"/>
              </w:rPr>
            </w:pPr>
            <w:r w:rsidRPr="007849D3">
              <w:rPr>
                <w:rFonts w:ascii="Arial" w:hAnsi="Arial" w:cs="Arial"/>
                <w:sz w:val="22"/>
                <w:lang w:val="en-ZA"/>
              </w:rPr>
              <w:t xml:space="preserve">Weak internal controls over SCM processes </w:t>
            </w:r>
          </w:p>
          <w:p w:rsidR="00E627D1" w:rsidRPr="007849D3" w:rsidRDefault="0072252E" w:rsidP="0072252E">
            <w:pPr>
              <w:pStyle w:val="ListParagraph"/>
              <w:numPr>
                <w:ilvl w:val="0"/>
                <w:numId w:val="1"/>
              </w:numPr>
              <w:spacing w:after="160"/>
              <w:ind w:left="357" w:hanging="357"/>
              <w:contextualSpacing w:val="0"/>
              <w:jc w:val="both"/>
              <w:rPr>
                <w:rFonts w:ascii="Arial" w:hAnsi="Arial" w:cs="Arial"/>
                <w:lang w:val="en-ZA"/>
              </w:rPr>
            </w:pPr>
            <w:r w:rsidRPr="007849D3">
              <w:rPr>
                <w:rFonts w:ascii="Arial" w:hAnsi="Arial" w:cs="Arial"/>
                <w:sz w:val="22"/>
                <w:lang w:val="en-GB"/>
              </w:rPr>
              <w:t xml:space="preserve">The 2017/18 accumulated (unaudited) provincial irregular expenditure remains high at R5.3 billion as at 31 March 2018, of which up to 80.1% was incurred by the Provincial Departments of Education and Public Works. Focused attention and integrated support is currently being provided by PT to the departments with specific focus to the two departments through enhancement of internal controls as preventative measure as well providing assistance in the </w:t>
            </w:r>
            <w:proofErr w:type="spellStart"/>
            <w:r w:rsidRPr="007849D3">
              <w:rPr>
                <w:rFonts w:ascii="Arial" w:hAnsi="Arial" w:cs="Arial"/>
                <w:sz w:val="22"/>
                <w:lang w:val="en-GB"/>
              </w:rPr>
              <w:t>condonation</w:t>
            </w:r>
            <w:proofErr w:type="spellEnd"/>
            <w:r w:rsidRPr="007849D3">
              <w:rPr>
                <w:rFonts w:ascii="Arial" w:hAnsi="Arial" w:cs="Arial"/>
                <w:sz w:val="22"/>
                <w:lang w:val="en-GB"/>
              </w:rPr>
              <w:t xml:space="preserve"> process of the identified and disclosed irregular expenditure. A pre-condition in the </w:t>
            </w:r>
            <w:proofErr w:type="spellStart"/>
            <w:r w:rsidRPr="007849D3">
              <w:rPr>
                <w:rFonts w:ascii="Arial" w:hAnsi="Arial" w:cs="Arial"/>
                <w:sz w:val="22"/>
                <w:lang w:val="en-GB"/>
              </w:rPr>
              <w:t>condonation</w:t>
            </w:r>
            <w:proofErr w:type="spellEnd"/>
            <w:r w:rsidRPr="007849D3">
              <w:rPr>
                <w:rFonts w:ascii="Arial" w:hAnsi="Arial" w:cs="Arial"/>
                <w:sz w:val="22"/>
                <w:lang w:val="en-GB"/>
              </w:rPr>
              <w:t xml:space="preserve"> process is to ensure that these departments have implemented a consequence management as both a preventative and corrective measure for the re-occurrence of irregular expenditure. The impact of the intervention is evident in the decline in the irregular expenditure for the 2017/18 financial unaudited figures that have been reported. A large percentage of the reported figures comprise mainly of subsequent payments on contracts that have been identified in previous year as irregular which are currently in the process of </w:t>
            </w:r>
            <w:proofErr w:type="spellStart"/>
            <w:r w:rsidRPr="007849D3">
              <w:rPr>
                <w:rFonts w:ascii="Arial" w:hAnsi="Arial" w:cs="Arial"/>
                <w:sz w:val="22"/>
                <w:lang w:val="en-GB"/>
              </w:rPr>
              <w:t>condonation</w:t>
            </w:r>
            <w:proofErr w:type="spellEnd"/>
            <w:r w:rsidRPr="007849D3">
              <w:rPr>
                <w:rFonts w:ascii="Arial" w:hAnsi="Arial" w:cs="Arial"/>
                <w:sz w:val="22"/>
                <w:lang w:val="en-GB"/>
              </w:rPr>
              <w:t xml:space="preserve"> by the respective condoning authorities. </w:t>
            </w:r>
          </w:p>
          <w:p w:rsidR="008F58E3" w:rsidRPr="007849D3" w:rsidRDefault="0072252E" w:rsidP="0072252E">
            <w:pPr>
              <w:pStyle w:val="ListParagraph"/>
              <w:numPr>
                <w:ilvl w:val="0"/>
                <w:numId w:val="1"/>
              </w:numPr>
              <w:spacing w:after="160"/>
              <w:ind w:left="357" w:hanging="357"/>
              <w:contextualSpacing w:val="0"/>
              <w:jc w:val="both"/>
              <w:rPr>
                <w:rFonts w:ascii="Arial" w:hAnsi="Arial" w:cs="Arial"/>
                <w:lang w:val="en-ZA"/>
              </w:rPr>
            </w:pPr>
            <w:r w:rsidRPr="007849D3">
              <w:rPr>
                <w:rFonts w:ascii="Arial" w:hAnsi="Arial" w:cs="Arial"/>
                <w:b/>
                <w:bCs/>
                <w:sz w:val="22"/>
                <w:lang w:val="en-GB"/>
              </w:rPr>
              <w:t xml:space="preserve">Provincial Treasury </w:t>
            </w:r>
            <w:r w:rsidRPr="007849D3">
              <w:rPr>
                <w:rFonts w:ascii="Arial" w:hAnsi="Arial" w:cs="Arial"/>
                <w:sz w:val="22"/>
                <w:lang w:val="en-GB"/>
              </w:rPr>
              <w:t xml:space="preserve">has embarked on a benchmarking process with several provinces to share best practice solutions. Recently the Gauteng Provincial Treasury was visited where the automated invoice receipt and management system was viewed.  The best practice in-house developed invoice tracking system at Statistic South Africa was also viewed.  The Financial Information System Biometric Access Control System at KZN and Northern Cape has also been viewed to determine its effectiveness.  Further engagement with Gauteng Department of Health will be undertaken to view the Health Biometric Access control system as recommended. </w:t>
            </w:r>
          </w:p>
        </w:tc>
      </w:tr>
    </w:tbl>
    <w:p w:rsidR="008F58E3" w:rsidRDefault="008F58E3">
      <w:pPr>
        <w:rPr>
          <w:sz w:val="22"/>
          <w:szCs w:val="22"/>
        </w:rPr>
      </w:pPr>
    </w:p>
    <w:p w:rsidR="008F58E3" w:rsidRDefault="008F58E3">
      <w:pPr>
        <w:rPr>
          <w:sz w:val="22"/>
          <w:szCs w:val="22"/>
        </w:rPr>
      </w:pPr>
    </w:p>
    <w:p w:rsidR="008F58E3" w:rsidRDefault="008F58E3">
      <w:pPr>
        <w:rPr>
          <w:sz w:val="22"/>
          <w:szCs w:val="22"/>
        </w:rPr>
      </w:pPr>
    </w:p>
    <w:tbl>
      <w:tblPr>
        <w:tblW w:w="13907"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907"/>
      </w:tblGrid>
      <w:tr w:rsidR="008F58E3" w:rsidRPr="00061610" w:rsidTr="001F13D8">
        <w:trPr>
          <w:trHeight w:val="378"/>
          <w:tblHeader/>
        </w:trPr>
        <w:tc>
          <w:tcPr>
            <w:tcW w:w="13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84806" w:themeFill="accent6" w:themeFillShade="80"/>
            <w:vAlign w:val="center"/>
          </w:tcPr>
          <w:p w:rsidR="008F58E3" w:rsidRPr="00061610" w:rsidRDefault="008F58E3" w:rsidP="001F13D8">
            <w:pPr>
              <w:jc w:val="center"/>
              <w:rPr>
                <w:rFonts w:ascii="Arial" w:eastAsiaTheme="majorEastAsia" w:hAnsi="Arial" w:cs="Arial"/>
                <w:b/>
                <w:bCs/>
                <w:color w:val="FFFFFF" w:themeColor="background1"/>
                <w:sz w:val="28"/>
                <w:szCs w:val="28"/>
              </w:rPr>
            </w:pPr>
            <w:r w:rsidRPr="00E25F89">
              <w:rPr>
                <w:rFonts w:ascii="Arial" w:eastAsiaTheme="majorEastAsia" w:hAnsi="Arial" w:cs="Arial"/>
                <w:b/>
                <w:bCs/>
                <w:color w:val="FFFFFF" w:themeColor="background1"/>
                <w:sz w:val="28"/>
                <w:szCs w:val="28"/>
              </w:rPr>
              <w:t>RESPONSES TO 2016/17 RECOMMENDATIONS</w:t>
            </w:r>
          </w:p>
        </w:tc>
      </w:tr>
      <w:tr w:rsidR="008F58E3" w:rsidRPr="00061610" w:rsidTr="001F13D8">
        <w:trPr>
          <w:trHeight w:val="450"/>
          <w:tblHeader/>
        </w:trPr>
        <w:tc>
          <w:tcPr>
            <w:tcW w:w="13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E2402"/>
            <w:vAlign w:val="center"/>
          </w:tcPr>
          <w:p w:rsidR="008F58E3" w:rsidRDefault="008F58E3" w:rsidP="001F13D8">
            <w:pPr>
              <w:keepNext/>
              <w:keepLines/>
              <w:jc w:val="center"/>
              <w:outlineLvl w:val="1"/>
              <w:rPr>
                <w:rFonts w:ascii="Arial" w:eastAsiaTheme="majorEastAsia" w:hAnsi="Arial" w:cs="Arial"/>
                <w:b/>
                <w:bCs/>
                <w:color w:val="FFFFFF" w:themeColor="background1"/>
                <w:sz w:val="28"/>
                <w:szCs w:val="28"/>
              </w:rPr>
            </w:pPr>
            <w:r>
              <w:rPr>
                <w:rFonts w:ascii="Arial" w:eastAsiaTheme="majorEastAsia" w:hAnsi="Arial" w:cs="Arial"/>
                <w:b/>
                <w:bCs/>
                <w:color w:val="FFFFFF" w:themeColor="background1"/>
                <w:sz w:val="28"/>
                <w:szCs w:val="28"/>
              </w:rPr>
              <w:lastRenderedPageBreak/>
              <w:t>RECOMMENDATION</w:t>
            </w:r>
            <w:r w:rsidR="00852621">
              <w:rPr>
                <w:rFonts w:ascii="Arial" w:eastAsiaTheme="majorEastAsia" w:hAnsi="Arial" w:cs="Arial"/>
                <w:b/>
                <w:bCs/>
                <w:color w:val="FFFFFF" w:themeColor="background1"/>
                <w:sz w:val="28"/>
                <w:szCs w:val="28"/>
              </w:rPr>
              <w:t xml:space="preserve"> 12.12</w:t>
            </w:r>
          </w:p>
        </w:tc>
      </w:tr>
      <w:tr w:rsidR="008F58E3" w:rsidRPr="002175B7" w:rsidTr="001F13D8">
        <w:trPr>
          <w:trHeight w:val="746"/>
        </w:trPr>
        <w:tc>
          <w:tcPr>
            <w:tcW w:w="13907" w:type="dxa"/>
            <w:tcBorders>
              <w:top w:val="single" w:sz="4" w:space="0" w:color="FFFFFF" w:themeColor="background1"/>
              <w:bottom w:val="single" w:sz="4" w:space="0" w:color="auto"/>
            </w:tcBorders>
            <w:shd w:val="clear" w:color="auto" w:fill="auto"/>
          </w:tcPr>
          <w:p w:rsidR="008F58E3" w:rsidRPr="002175B7" w:rsidRDefault="00547405" w:rsidP="0072252E">
            <w:pPr>
              <w:pStyle w:val="ListParagraph"/>
              <w:numPr>
                <w:ilvl w:val="0"/>
                <w:numId w:val="2"/>
              </w:numPr>
              <w:jc w:val="both"/>
            </w:pPr>
            <w:r w:rsidRPr="006716A7">
              <w:rPr>
                <w:rFonts w:ascii="Arial" w:hAnsi="Arial" w:cs="Arial"/>
                <w:sz w:val="22"/>
                <w:szCs w:val="22"/>
              </w:rPr>
              <w:t xml:space="preserve">The National and Provincial Treasuries, provincial Health departments and the relevant stakeholders should to consider legislation that would govern the medico-legal claims to curb exorbitant claims that are compromising the provincial budgets and service delivery. The Health departments must </w:t>
            </w:r>
            <w:proofErr w:type="spellStart"/>
            <w:r w:rsidRPr="006716A7">
              <w:rPr>
                <w:rFonts w:ascii="Arial" w:hAnsi="Arial" w:cs="Arial"/>
                <w:sz w:val="22"/>
                <w:szCs w:val="22"/>
              </w:rPr>
              <w:t>minimise</w:t>
            </w:r>
            <w:proofErr w:type="spellEnd"/>
            <w:r w:rsidRPr="006716A7">
              <w:rPr>
                <w:rFonts w:ascii="Arial" w:hAnsi="Arial" w:cs="Arial"/>
                <w:sz w:val="22"/>
                <w:szCs w:val="22"/>
              </w:rPr>
              <w:t xml:space="preserve"> negligence associated with births of infants in hospitals and clinics by generally improving the administration of these facilities, and improve the quality of health workers. Provinces should also explore the Western Cape Provincial Government on a good model they have which addresses the Medico legal claims;</w:t>
            </w:r>
          </w:p>
        </w:tc>
      </w:tr>
      <w:tr w:rsidR="008F58E3" w:rsidRPr="00E25F89" w:rsidTr="001F13D8">
        <w:trPr>
          <w:trHeight w:val="980"/>
        </w:trPr>
        <w:tc>
          <w:tcPr>
            <w:tcW w:w="13907" w:type="dxa"/>
            <w:tcBorders>
              <w:bottom w:val="single" w:sz="4" w:space="0" w:color="auto"/>
            </w:tcBorders>
            <w:shd w:val="clear" w:color="auto" w:fill="auto"/>
          </w:tcPr>
          <w:p w:rsidR="008F58E3" w:rsidRPr="00E25F89" w:rsidRDefault="008F58E3" w:rsidP="001F13D8">
            <w:pPr>
              <w:spacing w:line="360" w:lineRule="auto"/>
              <w:jc w:val="both"/>
              <w:rPr>
                <w:rFonts w:ascii="Arial" w:hAnsi="Arial" w:cs="Arial"/>
                <w:b/>
              </w:rPr>
            </w:pPr>
            <w:r w:rsidRPr="00E25F89">
              <w:rPr>
                <w:rFonts w:ascii="Arial" w:hAnsi="Arial" w:cs="Arial"/>
                <w:b/>
                <w:sz w:val="22"/>
              </w:rPr>
              <w:t>PROGRESS:</w:t>
            </w:r>
          </w:p>
          <w:p w:rsidR="00E627D1" w:rsidRPr="00CC6E9D" w:rsidRDefault="0072252E" w:rsidP="0072252E">
            <w:pPr>
              <w:pStyle w:val="ListParagraph"/>
              <w:numPr>
                <w:ilvl w:val="0"/>
                <w:numId w:val="1"/>
              </w:numPr>
              <w:jc w:val="both"/>
              <w:rPr>
                <w:rFonts w:ascii="Arial" w:hAnsi="Arial" w:cs="Arial"/>
              </w:rPr>
            </w:pPr>
            <w:r w:rsidRPr="00CC6E9D">
              <w:rPr>
                <w:rFonts w:ascii="Arial" w:hAnsi="Arial" w:cs="Arial"/>
                <w:sz w:val="22"/>
                <w:szCs w:val="22"/>
              </w:rPr>
              <w:t>South Afric</w:t>
            </w:r>
            <w:r w:rsidR="0060534D" w:rsidRPr="00CC6E9D">
              <w:rPr>
                <w:rFonts w:ascii="Arial" w:hAnsi="Arial" w:cs="Arial"/>
                <w:sz w:val="22"/>
                <w:szCs w:val="22"/>
              </w:rPr>
              <w:t>an Law Reform drafted an issue P</w:t>
            </w:r>
            <w:r w:rsidRPr="00CC6E9D">
              <w:rPr>
                <w:rFonts w:ascii="Arial" w:hAnsi="Arial" w:cs="Arial"/>
                <w:sz w:val="22"/>
                <w:szCs w:val="22"/>
              </w:rPr>
              <w:t xml:space="preserve">aper 33 </w:t>
            </w:r>
            <w:r w:rsidR="004603F0" w:rsidRPr="00CC6E9D">
              <w:rPr>
                <w:rFonts w:ascii="Arial" w:hAnsi="Arial" w:cs="Arial"/>
                <w:sz w:val="22"/>
                <w:szCs w:val="22"/>
              </w:rPr>
              <w:t xml:space="preserve">that proposed strategies to deal </w:t>
            </w:r>
            <w:r w:rsidRPr="00CC6E9D">
              <w:rPr>
                <w:rFonts w:ascii="Arial" w:hAnsi="Arial" w:cs="Arial"/>
                <w:sz w:val="22"/>
                <w:szCs w:val="22"/>
              </w:rPr>
              <w:t xml:space="preserve">with </w:t>
            </w:r>
            <w:r w:rsidR="004603F0" w:rsidRPr="00CC6E9D">
              <w:rPr>
                <w:rFonts w:ascii="Arial" w:hAnsi="Arial" w:cs="Arial"/>
                <w:sz w:val="22"/>
                <w:szCs w:val="22"/>
              </w:rPr>
              <w:t xml:space="preserve">the </w:t>
            </w:r>
            <w:r w:rsidRPr="00CC6E9D">
              <w:rPr>
                <w:rFonts w:ascii="Arial" w:hAnsi="Arial" w:cs="Arial"/>
                <w:sz w:val="22"/>
                <w:szCs w:val="22"/>
              </w:rPr>
              <w:t>medic</w:t>
            </w:r>
            <w:r w:rsidR="004603F0" w:rsidRPr="00CC6E9D">
              <w:rPr>
                <w:rFonts w:ascii="Arial" w:hAnsi="Arial" w:cs="Arial"/>
                <w:sz w:val="22"/>
                <w:szCs w:val="22"/>
              </w:rPr>
              <w:t>o</w:t>
            </w:r>
            <w:r w:rsidRPr="00CC6E9D">
              <w:rPr>
                <w:rFonts w:ascii="Arial" w:hAnsi="Arial" w:cs="Arial"/>
                <w:sz w:val="22"/>
                <w:szCs w:val="22"/>
              </w:rPr>
              <w:t xml:space="preserve"> legal claims.  PT was given an opportunity to provide input into the </w:t>
            </w:r>
            <w:r w:rsidR="004603F0" w:rsidRPr="00CC6E9D">
              <w:rPr>
                <w:rFonts w:ascii="Arial" w:hAnsi="Arial" w:cs="Arial"/>
                <w:sz w:val="22"/>
                <w:szCs w:val="22"/>
              </w:rPr>
              <w:t>document.</w:t>
            </w:r>
            <w:r w:rsidRPr="00CC6E9D">
              <w:rPr>
                <w:rFonts w:ascii="Arial" w:hAnsi="Arial" w:cs="Arial"/>
                <w:sz w:val="22"/>
                <w:szCs w:val="22"/>
              </w:rPr>
              <w:t xml:space="preserve"> </w:t>
            </w:r>
          </w:p>
          <w:p w:rsidR="002D568A" w:rsidRDefault="0072252E" w:rsidP="00C64BD8">
            <w:pPr>
              <w:pStyle w:val="ListParagraph"/>
              <w:numPr>
                <w:ilvl w:val="0"/>
                <w:numId w:val="1"/>
              </w:numPr>
              <w:jc w:val="both"/>
              <w:rPr>
                <w:rFonts w:ascii="Arial" w:hAnsi="Arial" w:cs="Arial"/>
                <w:lang w:val="en-ZA"/>
              </w:rPr>
            </w:pPr>
            <w:r w:rsidRPr="002D568A">
              <w:rPr>
                <w:rFonts w:ascii="Arial" w:hAnsi="Arial" w:cs="Arial"/>
                <w:sz w:val="22"/>
                <w:lang w:val="en-ZA"/>
              </w:rPr>
              <w:t xml:space="preserve">The department has appointed a Health Ombudsman to mediate with claimants in an effort to negotiate settlements out of court.  In addition, the department has also appointed a Consortium to provide specialized legal services in new medical negligence and or labour law cases that have been lodged against the Department. </w:t>
            </w:r>
          </w:p>
          <w:p w:rsidR="00E627D1" w:rsidRPr="002D568A" w:rsidRDefault="0072252E" w:rsidP="00C64BD8">
            <w:pPr>
              <w:pStyle w:val="ListParagraph"/>
              <w:numPr>
                <w:ilvl w:val="0"/>
                <w:numId w:val="1"/>
              </w:numPr>
              <w:jc w:val="both"/>
              <w:rPr>
                <w:rFonts w:ascii="Arial" w:hAnsi="Arial" w:cs="Arial"/>
                <w:lang w:val="en-ZA"/>
              </w:rPr>
            </w:pPr>
            <w:r w:rsidRPr="002D568A">
              <w:rPr>
                <w:rFonts w:ascii="Arial" w:hAnsi="Arial" w:cs="Arial"/>
                <w:sz w:val="22"/>
                <w:lang w:val="en-ZA"/>
              </w:rPr>
              <w:t>PT visited the top 18 hospitals which contribute towards the bulk of medico legal claims. The report was shared with the Provincial Executive and it was resolved that funding be provided during the 2017/18 adjustment estimate as well as the carry through costs over the 2018 MTEF in an effort to deal with staff and medical equipment shortages in these facilities.</w:t>
            </w:r>
          </w:p>
          <w:p w:rsidR="008F58E3" w:rsidRPr="00E25F89" w:rsidRDefault="008F58E3" w:rsidP="00FB3B21">
            <w:pPr>
              <w:pStyle w:val="ListParagraph"/>
              <w:jc w:val="both"/>
              <w:rPr>
                <w:rFonts w:ascii="Arial" w:hAnsi="Arial" w:cs="Arial"/>
              </w:rPr>
            </w:pPr>
          </w:p>
        </w:tc>
      </w:tr>
    </w:tbl>
    <w:p w:rsidR="008F58E3" w:rsidRDefault="008F58E3">
      <w:pPr>
        <w:rPr>
          <w:sz w:val="22"/>
          <w:szCs w:val="22"/>
        </w:rPr>
      </w:pPr>
    </w:p>
    <w:p w:rsidR="008F58E3" w:rsidRDefault="008F58E3">
      <w:pPr>
        <w:rPr>
          <w:sz w:val="22"/>
          <w:szCs w:val="22"/>
        </w:rPr>
      </w:pPr>
    </w:p>
    <w:tbl>
      <w:tblPr>
        <w:tblW w:w="13907"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907"/>
      </w:tblGrid>
      <w:tr w:rsidR="008F58E3" w:rsidRPr="00061610" w:rsidTr="001F13D8">
        <w:trPr>
          <w:trHeight w:val="378"/>
          <w:tblHeader/>
        </w:trPr>
        <w:tc>
          <w:tcPr>
            <w:tcW w:w="13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84806" w:themeFill="accent6" w:themeFillShade="80"/>
            <w:vAlign w:val="center"/>
          </w:tcPr>
          <w:p w:rsidR="008F58E3" w:rsidRPr="00061610" w:rsidRDefault="008F58E3" w:rsidP="001F13D8">
            <w:pPr>
              <w:jc w:val="center"/>
              <w:rPr>
                <w:rFonts w:ascii="Arial" w:eastAsiaTheme="majorEastAsia" w:hAnsi="Arial" w:cs="Arial"/>
                <w:b/>
                <w:bCs/>
                <w:color w:val="FFFFFF" w:themeColor="background1"/>
                <w:sz w:val="28"/>
                <w:szCs w:val="28"/>
              </w:rPr>
            </w:pPr>
            <w:r w:rsidRPr="00E25F89">
              <w:rPr>
                <w:rFonts w:ascii="Arial" w:eastAsiaTheme="majorEastAsia" w:hAnsi="Arial" w:cs="Arial"/>
                <w:b/>
                <w:bCs/>
                <w:color w:val="FFFFFF" w:themeColor="background1"/>
                <w:sz w:val="28"/>
                <w:szCs w:val="28"/>
              </w:rPr>
              <w:t>RESPONSES TO 2016/17 RECOMMENDATIONS</w:t>
            </w:r>
          </w:p>
        </w:tc>
      </w:tr>
      <w:tr w:rsidR="008F58E3" w:rsidRPr="00061610" w:rsidTr="001F13D8">
        <w:trPr>
          <w:trHeight w:val="450"/>
          <w:tblHeader/>
        </w:trPr>
        <w:tc>
          <w:tcPr>
            <w:tcW w:w="13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E2402"/>
            <w:vAlign w:val="center"/>
          </w:tcPr>
          <w:p w:rsidR="008F58E3" w:rsidRDefault="008F58E3" w:rsidP="001F13D8">
            <w:pPr>
              <w:keepNext/>
              <w:keepLines/>
              <w:jc w:val="center"/>
              <w:outlineLvl w:val="1"/>
              <w:rPr>
                <w:rFonts w:ascii="Arial" w:eastAsiaTheme="majorEastAsia" w:hAnsi="Arial" w:cs="Arial"/>
                <w:b/>
                <w:bCs/>
                <w:color w:val="FFFFFF" w:themeColor="background1"/>
                <w:sz w:val="28"/>
                <w:szCs w:val="28"/>
              </w:rPr>
            </w:pPr>
            <w:r>
              <w:rPr>
                <w:rFonts w:ascii="Arial" w:eastAsiaTheme="majorEastAsia" w:hAnsi="Arial" w:cs="Arial"/>
                <w:b/>
                <w:bCs/>
                <w:color w:val="FFFFFF" w:themeColor="background1"/>
                <w:sz w:val="28"/>
                <w:szCs w:val="28"/>
              </w:rPr>
              <w:t>RECOMMENDATION</w:t>
            </w:r>
            <w:r w:rsidR="00547405">
              <w:rPr>
                <w:rFonts w:ascii="Arial" w:eastAsiaTheme="majorEastAsia" w:hAnsi="Arial" w:cs="Arial"/>
                <w:b/>
                <w:bCs/>
                <w:color w:val="FFFFFF" w:themeColor="background1"/>
                <w:sz w:val="28"/>
                <w:szCs w:val="28"/>
              </w:rPr>
              <w:t xml:space="preserve"> 12.13</w:t>
            </w:r>
          </w:p>
        </w:tc>
      </w:tr>
      <w:tr w:rsidR="008F58E3" w:rsidRPr="002175B7" w:rsidTr="001F13D8">
        <w:trPr>
          <w:trHeight w:val="746"/>
        </w:trPr>
        <w:tc>
          <w:tcPr>
            <w:tcW w:w="13907" w:type="dxa"/>
            <w:tcBorders>
              <w:top w:val="single" w:sz="4" w:space="0" w:color="FFFFFF" w:themeColor="background1"/>
              <w:bottom w:val="single" w:sz="4" w:space="0" w:color="auto"/>
            </w:tcBorders>
            <w:shd w:val="clear" w:color="auto" w:fill="auto"/>
          </w:tcPr>
          <w:p w:rsidR="008F58E3" w:rsidRPr="002175B7" w:rsidRDefault="00547405" w:rsidP="0072252E">
            <w:pPr>
              <w:pStyle w:val="ListParagraph"/>
              <w:numPr>
                <w:ilvl w:val="0"/>
                <w:numId w:val="2"/>
              </w:numPr>
              <w:jc w:val="both"/>
            </w:pPr>
            <w:r w:rsidRPr="006716A7">
              <w:rPr>
                <w:rFonts w:ascii="Arial" w:hAnsi="Arial" w:cs="Arial"/>
                <w:sz w:val="22"/>
                <w:szCs w:val="22"/>
              </w:rPr>
              <w:t>The disappointing audit opinions of departments and public entities in some Provinces require concerted effort and development of strategies to improve audit opinions in future. Public entities should also be subjected to the same principle used for provincial departments’ audits. Given pockets of excellence with regards to audit opinions, in some provinces, there is a need to work together and learn best practices;</w:t>
            </w:r>
          </w:p>
        </w:tc>
      </w:tr>
      <w:tr w:rsidR="008F58E3" w:rsidRPr="00E25F89" w:rsidTr="001F13D8">
        <w:trPr>
          <w:trHeight w:val="980"/>
        </w:trPr>
        <w:tc>
          <w:tcPr>
            <w:tcW w:w="13907" w:type="dxa"/>
            <w:tcBorders>
              <w:bottom w:val="single" w:sz="4" w:space="0" w:color="auto"/>
            </w:tcBorders>
            <w:shd w:val="clear" w:color="auto" w:fill="auto"/>
          </w:tcPr>
          <w:p w:rsidR="008F58E3" w:rsidRPr="00E25F89" w:rsidRDefault="008F58E3" w:rsidP="001F13D8">
            <w:pPr>
              <w:spacing w:line="360" w:lineRule="auto"/>
              <w:jc w:val="both"/>
              <w:rPr>
                <w:rFonts w:ascii="Arial" w:hAnsi="Arial" w:cs="Arial"/>
                <w:b/>
              </w:rPr>
            </w:pPr>
            <w:r w:rsidRPr="00E25F89">
              <w:rPr>
                <w:rFonts w:ascii="Arial" w:hAnsi="Arial" w:cs="Arial"/>
                <w:b/>
                <w:sz w:val="22"/>
              </w:rPr>
              <w:t>PROGRESS:</w:t>
            </w:r>
          </w:p>
          <w:p w:rsidR="00E627D1" w:rsidRPr="00547405" w:rsidRDefault="0072252E" w:rsidP="0072252E">
            <w:pPr>
              <w:pStyle w:val="ListParagraph"/>
              <w:numPr>
                <w:ilvl w:val="0"/>
                <w:numId w:val="1"/>
              </w:numPr>
              <w:spacing w:after="160"/>
              <w:ind w:left="357" w:hanging="357"/>
              <w:contextualSpacing w:val="0"/>
              <w:jc w:val="both"/>
              <w:rPr>
                <w:rFonts w:ascii="Arial" w:hAnsi="Arial" w:cs="Arial"/>
                <w:lang w:val="en-ZA"/>
              </w:rPr>
            </w:pPr>
            <w:r w:rsidRPr="00547405">
              <w:rPr>
                <w:rFonts w:ascii="Arial" w:hAnsi="Arial" w:cs="Arial"/>
                <w:sz w:val="22"/>
                <w:lang w:val="en-GB"/>
              </w:rPr>
              <w:t>In the 2016/17 financial year, three departments received clean audit outcomes with improvement by the Department of Rural Development and Agrarian Reform (DRDAR) moving from unqualified to clean audit outcome</w:t>
            </w:r>
          </w:p>
          <w:p w:rsidR="00E627D1" w:rsidRPr="00547405" w:rsidRDefault="0072252E" w:rsidP="0072252E">
            <w:pPr>
              <w:pStyle w:val="ListParagraph"/>
              <w:numPr>
                <w:ilvl w:val="0"/>
                <w:numId w:val="1"/>
              </w:numPr>
              <w:spacing w:after="160"/>
              <w:ind w:left="357" w:hanging="357"/>
              <w:contextualSpacing w:val="0"/>
              <w:rPr>
                <w:rFonts w:ascii="Arial" w:hAnsi="Arial" w:cs="Arial"/>
                <w:lang w:val="en-ZA"/>
              </w:rPr>
            </w:pPr>
            <w:r w:rsidRPr="00547405">
              <w:rPr>
                <w:rFonts w:ascii="Arial" w:hAnsi="Arial" w:cs="Arial"/>
                <w:sz w:val="22"/>
                <w:lang w:val="en-GB"/>
              </w:rPr>
              <w:t>The Department of Education, which accounts for 45 per cent of the provincial budget was the only department that received a qualified audit opinion. The appointment of a permanent Head of Department and the appointment of the CFO, will create the necessary leadership stability that is needed to achieve sustainable financial management maturity and positive audit outcome.</w:t>
            </w:r>
          </w:p>
          <w:p w:rsidR="008F58E3" w:rsidRPr="00547405" w:rsidRDefault="0072252E" w:rsidP="0072252E">
            <w:pPr>
              <w:pStyle w:val="ListParagraph"/>
              <w:numPr>
                <w:ilvl w:val="0"/>
                <w:numId w:val="1"/>
              </w:numPr>
              <w:spacing w:after="160"/>
              <w:ind w:left="357" w:hanging="357"/>
              <w:contextualSpacing w:val="0"/>
              <w:rPr>
                <w:rFonts w:ascii="Arial" w:hAnsi="Arial" w:cs="Arial"/>
                <w:lang w:val="en-ZA"/>
              </w:rPr>
            </w:pPr>
            <w:r w:rsidRPr="00547405">
              <w:rPr>
                <w:rFonts w:ascii="Arial" w:hAnsi="Arial" w:cs="Arial"/>
                <w:sz w:val="22"/>
                <w:lang w:val="en-GB"/>
              </w:rPr>
              <w:t xml:space="preserve">Provincial Treasury is currently providing technical and hands-on support to the Department of Education to improve audit outcomes and </w:t>
            </w:r>
            <w:r w:rsidRPr="00547405">
              <w:rPr>
                <w:rFonts w:ascii="Arial" w:hAnsi="Arial" w:cs="Arial"/>
                <w:sz w:val="22"/>
                <w:lang w:val="en-GB"/>
              </w:rPr>
              <w:lastRenderedPageBreak/>
              <w:t>in particular turn around the negative audit findings towards unqualified audit opinion.</w:t>
            </w:r>
          </w:p>
        </w:tc>
      </w:tr>
    </w:tbl>
    <w:p w:rsidR="008F58E3" w:rsidRDefault="008F58E3">
      <w:pPr>
        <w:rPr>
          <w:sz w:val="22"/>
          <w:szCs w:val="22"/>
        </w:rPr>
      </w:pPr>
    </w:p>
    <w:p w:rsidR="008F58E3" w:rsidRDefault="008F58E3">
      <w:pPr>
        <w:rPr>
          <w:sz w:val="22"/>
          <w:szCs w:val="22"/>
        </w:rPr>
      </w:pPr>
    </w:p>
    <w:tbl>
      <w:tblPr>
        <w:tblW w:w="13907"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907"/>
      </w:tblGrid>
      <w:tr w:rsidR="008F58E3" w:rsidRPr="00061610" w:rsidTr="001F13D8">
        <w:trPr>
          <w:trHeight w:val="378"/>
          <w:tblHeader/>
        </w:trPr>
        <w:tc>
          <w:tcPr>
            <w:tcW w:w="13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84806" w:themeFill="accent6" w:themeFillShade="80"/>
            <w:vAlign w:val="center"/>
          </w:tcPr>
          <w:p w:rsidR="008F58E3" w:rsidRPr="00061610" w:rsidRDefault="008F58E3" w:rsidP="001F13D8">
            <w:pPr>
              <w:jc w:val="center"/>
              <w:rPr>
                <w:rFonts w:ascii="Arial" w:eastAsiaTheme="majorEastAsia" w:hAnsi="Arial" w:cs="Arial"/>
                <w:b/>
                <w:bCs/>
                <w:color w:val="FFFFFF" w:themeColor="background1"/>
                <w:sz w:val="28"/>
                <w:szCs w:val="28"/>
              </w:rPr>
            </w:pPr>
            <w:r w:rsidRPr="00E25F89">
              <w:rPr>
                <w:rFonts w:ascii="Arial" w:eastAsiaTheme="majorEastAsia" w:hAnsi="Arial" w:cs="Arial"/>
                <w:b/>
                <w:bCs/>
                <w:color w:val="FFFFFF" w:themeColor="background1"/>
                <w:sz w:val="28"/>
                <w:szCs w:val="28"/>
              </w:rPr>
              <w:t>RESPONSES TO 2016/17 RECOMMENDATIONS</w:t>
            </w:r>
          </w:p>
        </w:tc>
      </w:tr>
      <w:tr w:rsidR="008F58E3" w:rsidRPr="00061610" w:rsidTr="001F13D8">
        <w:trPr>
          <w:trHeight w:val="450"/>
          <w:tblHeader/>
        </w:trPr>
        <w:tc>
          <w:tcPr>
            <w:tcW w:w="13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E2402"/>
            <w:vAlign w:val="center"/>
          </w:tcPr>
          <w:p w:rsidR="008F58E3" w:rsidRDefault="008F58E3" w:rsidP="001F13D8">
            <w:pPr>
              <w:keepNext/>
              <w:keepLines/>
              <w:jc w:val="center"/>
              <w:outlineLvl w:val="1"/>
              <w:rPr>
                <w:rFonts w:ascii="Arial" w:eastAsiaTheme="majorEastAsia" w:hAnsi="Arial" w:cs="Arial"/>
                <w:b/>
                <w:bCs/>
                <w:color w:val="FFFFFF" w:themeColor="background1"/>
                <w:sz w:val="28"/>
                <w:szCs w:val="28"/>
              </w:rPr>
            </w:pPr>
            <w:r>
              <w:rPr>
                <w:rFonts w:ascii="Arial" w:eastAsiaTheme="majorEastAsia" w:hAnsi="Arial" w:cs="Arial"/>
                <w:b/>
                <w:bCs/>
                <w:color w:val="FFFFFF" w:themeColor="background1"/>
                <w:sz w:val="28"/>
                <w:szCs w:val="28"/>
              </w:rPr>
              <w:t>RECOMMENDATION</w:t>
            </w:r>
            <w:r w:rsidR="00EE04F3">
              <w:rPr>
                <w:rFonts w:ascii="Arial" w:eastAsiaTheme="majorEastAsia" w:hAnsi="Arial" w:cs="Arial"/>
                <w:b/>
                <w:bCs/>
                <w:color w:val="FFFFFF" w:themeColor="background1"/>
                <w:sz w:val="28"/>
                <w:szCs w:val="28"/>
              </w:rPr>
              <w:t xml:space="preserve"> 12.14</w:t>
            </w:r>
          </w:p>
        </w:tc>
      </w:tr>
      <w:tr w:rsidR="008F58E3" w:rsidRPr="002175B7" w:rsidTr="001F13D8">
        <w:trPr>
          <w:trHeight w:val="746"/>
        </w:trPr>
        <w:tc>
          <w:tcPr>
            <w:tcW w:w="13907" w:type="dxa"/>
            <w:tcBorders>
              <w:top w:val="single" w:sz="4" w:space="0" w:color="FFFFFF" w:themeColor="background1"/>
              <w:bottom w:val="single" w:sz="4" w:space="0" w:color="auto"/>
            </w:tcBorders>
            <w:shd w:val="clear" w:color="auto" w:fill="auto"/>
          </w:tcPr>
          <w:p w:rsidR="008F58E3" w:rsidRPr="002175B7" w:rsidRDefault="00547405" w:rsidP="0072252E">
            <w:pPr>
              <w:pStyle w:val="ListParagraph"/>
              <w:numPr>
                <w:ilvl w:val="0"/>
                <w:numId w:val="2"/>
              </w:numPr>
              <w:jc w:val="both"/>
            </w:pPr>
            <w:r w:rsidRPr="006716A7">
              <w:rPr>
                <w:rFonts w:ascii="Arial" w:hAnsi="Arial" w:cs="Arial"/>
                <w:sz w:val="22"/>
                <w:szCs w:val="22"/>
              </w:rPr>
              <w:t xml:space="preserve">Provinces should consider </w:t>
            </w:r>
            <w:proofErr w:type="spellStart"/>
            <w:r w:rsidRPr="006716A7">
              <w:rPr>
                <w:rFonts w:ascii="Arial" w:hAnsi="Arial" w:cs="Arial"/>
                <w:sz w:val="22"/>
                <w:szCs w:val="22"/>
              </w:rPr>
              <w:t>utilising</w:t>
            </w:r>
            <w:proofErr w:type="spellEnd"/>
            <w:r w:rsidRPr="006716A7">
              <w:rPr>
                <w:rFonts w:ascii="Arial" w:hAnsi="Arial" w:cs="Arial"/>
                <w:sz w:val="22"/>
                <w:szCs w:val="22"/>
              </w:rPr>
              <w:t xml:space="preserve"> the services of the </w:t>
            </w:r>
            <w:r w:rsidR="003E335E">
              <w:rPr>
                <w:rFonts w:ascii="Arial" w:hAnsi="Arial" w:cs="Arial"/>
                <w:sz w:val="22"/>
                <w:szCs w:val="22"/>
              </w:rPr>
              <w:t xml:space="preserve">Anti-Corruption Task Team to </w:t>
            </w:r>
            <w:r w:rsidRPr="006716A7">
              <w:rPr>
                <w:rFonts w:ascii="Arial" w:hAnsi="Arial" w:cs="Arial"/>
                <w:sz w:val="22"/>
                <w:szCs w:val="22"/>
              </w:rPr>
              <w:t>enforce compliance with the PFMA, implement consequence management, fast track cases under investigation and recover money from officials found guilty of financial misconduct</w:t>
            </w:r>
          </w:p>
        </w:tc>
      </w:tr>
      <w:tr w:rsidR="008F58E3" w:rsidRPr="00E25F89" w:rsidTr="001F13D8">
        <w:trPr>
          <w:trHeight w:val="980"/>
        </w:trPr>
        <w:tc>
          <w:tcPr>
            <w:tcW w:w="13907" w:type="dxa"/>
            <w:tcBorders>
              <w:bottom w:val="single" w:sz="4" w:space="0" w:color="auto"/>
            </w:tcBorders>
            <w:shd w:val="clear" w:color="auto" w:fill="auto"/>
          </w:tcPr>
          <w:p w:rsidR="008F58E3" w:rsidRPr="00E25F89" w:rsidRDefault="008F58E3" w:rsidP="001F13D8">
            <w:pPr>
              <w:spacing w:line="360" w:lineRule="auto"/>
              <w:jc w:val="both"/>
              <w:rPr>
                <w:rFonts w:ascii="Arial" w:hAnsi="Arial" w:cs="Arial"/>
                <w:b/>
              </w:rPr>
            </w:pPr>
            <w:r w:rsidRPr="00E25F89">
              <w:rPr>
                <w:rFonts w:ascii="Arial" w:hAnsi="Arial" w:cs="Arial"/>
                <w:b/>
                <w:sz w:val="22"/>
              </w:rPr>
              <w:t>PROGRESS:</w:t>
            </w:r>
          </w:p>
          <w:p w:rsidR="00547405" w:rsidRPr="00547405" w:rsidRDefault="00547405" w:rsidP="0072252E">
            <w:pPr>
              <w:pStyle w:val="ListParagraph"/>
              <w:numPr>
                <w:ilvl w:val="0"/>
                <w:numId w:val="1"/>
              </w:numPr>
              <w:spacing w:after="160"/>
              <w:jc w:val="both"/>
              <w:rPr>
                <w:rFonts w:ascii="Arial" w:hAnsi="Arial" w:cs="Arial"/>
              </w:rPr>
            </w:pPr>
            <w:r w:rsidRPr="00547405">
              <w:rPr>
                <w:rFonts w:ascii="Arial" w:hAnsi="Arial" w:cs="Arial"/>
                <w:sz w:val="22"/>
              </w:rPr>
              <w:t>The recommendations from the SCOF is acknowledged and Treasury will be following up with the practice to enhance our oversight approaches. Currently the following systems are part of these approaches that will be enhance with the recommendations:</w:t>
            </w:r>
          </w:p>
          <w:p w:rsidR="00547405" w:rsidRPr="00547405" w:rsidRDefault="00547405" w:rsidP="0072252E">
            <w:pPr>
              <w:pStyle w:val="ListParagraph"/>
              <w:numPr>
                <w:ilvl w:val="0"/>
                <w:numId w:val="1"/>
              </w:numPr>
              <w:spacing w:after="160"/>
              <w:jc w:val="both"/>
              <w:rPr>
                <w:rFonts w:ascii="Arial" w:hAnsi="Arial" w:cs="Arial"/>
              </w:rPr>
            </w:pPr>
            <w:r w:rsidRPr="00547405">
              <w:rPr>
                <w:rFonts w:ascii="Arial" w:hAnsi="Arial" w:cs="Arial"/>
                <w:sz w:val="22"/>
              </w:rPr>
              <w:t>We are refining the case management of financial misconduct cases into a cumulative database where departments will be assisted to ensure that all financial misconduct cases are investigated with the standard of 90 days and that in cases where fraudulent activities are suspected, the provincial Forensic Unit services (which has activated from 2015/16 financial year) is brought in and law enforcement agencies (like the Hawks) are brought in where there are criminal cases, including instances where moneys needs to be recovered.</w:t>
            </w:r>
          </w:p>
          <w:p w:rsidR="00547405" w:rsidRPr="00547405" w:rsidRDefault="00547405" w:rsidP="0072252E">
            <w:pPr>
              <w:pStyle w:val="ListParagraph"/>
              <w:numPr>
                <w:ilvl w:val="0"/>
                <w:numId w:val="1"/>
              </w:numPr>
              <w:spacing w:after="160"/>
              <w:jc w:val="both"/>
              <w:rPr>
                <w:rFonts w:ascii="Arial" w:hAnsi="Arial" w:cs="Arial"/>
              </w:rPr>
            </w:pPr>
            <w:r w:rsidRPr="00547405">
              <w:rPr>
                <w:rFonts w:ascii="Arial" w:hAnsi="Arial" w:cs="Arial"/>
                <w:sz w:val="22"/>
              </w:rPr>
              <w:t>Provincial Treasury is collaborating with Office of The Premier where the Anti-Corruption is co-</w:t>
            </w:r>
            <w:proofErr w:type="spellStart"/>
            <w:r w:rsidRPr="00547405">
              <w:rPr>
                <w:rFonts w:ascii="Arial" w:hAnsi="Arial" w:cs="Arial"/>
                <w:sz w:val="22"/>
              </w:rPr>
              <w:t>ordinated</w:t>
            </w:r>
            <w:proofErr w:type="spellEnd"/>
            <w:r w:rsidRPr="00547405">
              <w:rPr>
                <w:rFonts w:ascii="Arial" w:hAnsi="Arial" w:cs="Arial"/>
                <w:sz w:val="22"/>
              </w:rPr>
              <w:t xml:space="preserve"> in the province to build capacities in departments and ensure issues where cases are not managed within the standards, these will be escalated.</w:t>
            </w:r>
          </w:p>
          <w:p w:rsidR="00547405" w:rsidRPr="00547405" w:rsidRDefault="00547405" w:rsidP="0072252E">
            <w:pPr>
              <w:pStyle w:val="ListParagraph"/>
              <w:numPr>
                <w:ilvl w:val="0"/>
                <w:numId w:val="1"/>
              </w:numPr>
              <w:spacing w:after="160"/>
              <w:jc w:val="both"/>
              <w:rPr>
                <w:rFonts w:ascii="Arial" w:hAnsi="Arial" w:cs="Arial"/>
              </w:rPr>
            </w:pPr>
            <w:r w:rsidRPr="00547405">
              <w:rPr>
                <w:rFonts w:ascii="Arial" w:hAnsi="Arial" w:cs="Arial"/>
                <w:sz w:val="22"/>
              </w:rPr>
              <w:t xml:space="preserve">Provincial Treasury is also involved in the quarterly Provincial Case review meeting that is attended by all Departments, SIU and Public Service Commission where all investigations are reviewed and delays or challenges are discussed, which operates similar to the Anti-Corruption Task Team. </w:t>
            </w:r>
          </w:p>
          <w:p w:rsidR="00547405" w:rsidRPr="00547405" w:rsidRDefault="00547405" w:rsidP="0072252E">
            <w:pPr>
              <w:pStyle w:val="ListParagraph"/>
              <w:numPr>
                <w:ilvl w:val="0"/>
                <w:numId w:val="1"/>
              </w:numPr>
              <w:spacing w:after="160"/>
              <w:jc w:val="both"/>
              <w:rPr>
                <w:rFonts w:ascii="Arial" w:hAnsi="Arial" w:cs="Arial"/>
              </w:rPr>
            </w:pPr>
            <w:r w:rsidRPr="00547405">
              <w:rPr>
                <w:rFonts w:ascii="Arial" w:hAnsi="Arial" w:cs="Arial"/>
                <w:sz w:val="22"/>
              </w:rPr>
              <w:t>Provincial Treasury is in the process of putting a circular out that will compel departments to register their cases, which will make it possible to ensure consequence management is implemented.</w:t>
            </w:r>
          </w:p>
          <w:p w:rsidR="00547405" w:rsidRPr="00547405" w:rsidRDefault="00547405" w:rsidP="0072252E">
            <w:pPr>
              <w:pStyle w:val="ListParagraph"/>
              <w:numPr>
                <w:ilvl w:val="0"/>
                <w:numId w:val="1"/>
              </w:numPr>
              <w:spacing w:after="160"/>
              <w:jc w:val="both"/>
              <w:rPr>
                <w:rFonts w:ascii="Arial" w:hAnsi="Arial" w:cs="Arial"/>
              </w:rPr>
            </w:pPr>
            <w:r w:rsidRPr="00547405">
              <w:rPr>
                <w:rFonts w:ascii="Arial" w:hAnsi="Arial" w:cs="Arial"/>
                <w:sz w:val="22"/>
              </w:rPr>
              <w:t>Provincial Treasury has established a panel of 21 investigators for a period of 3 years to assist the Departments and Public Entities who do not have the budget, capacity or are conflicted in conducting investigations themselves, which will help to fast track cases.</w:t>
            </w:r>
          </w:p>
          <w:p w:rsidR="008F58E3" w:rsidRPr="00547405" w:rsidRDefault="00547405" w:rsidP="0072252E">
            <w:pPr>
              <w:pStyle w:val="ListParagraph"/>
              <w:numPr>
                <w:ilvl w:val="0"/>
                <w:numId w:val="1"/>
              </w:numPr>
              <w:spacing w:after="160"/>
              <w:jc w:val="both"/>
              <w:rPr>
                <w:rFonts w:ascii="Arial" w:hAnsi="Arial" w:cs="Arial"/>
              </w:rPr>
            </w:pPr>
            <w:r w:rsidRPr="00547405">
              <w:rPr>
                <w:rFonts w:ascii="Arial" w:hAnsi="Arial" w:cs="Arial"/>
                <w:sz w:val="22"/>
              </w:rPr>
              <w:t>Provincial Treasury has partnered with the SIU specifically on cases where there is money to be recovered.</w:t>
            </w:r>
          </w:p>
        </w:tc>
      </w:tr>
    </w:tbl>
    <w:p w:rsidR="008F58E3" w:rsidRDefault="008F58E3">
      <w:pPr>
        <w:rPr>
          <w:sz w:val="22"/>
          <w:szCs w:val="22"/>
        </w:rPr>
      </w:pPr>
    </w:p>
    <w:tbl>
      <w:tblPr>
        <w:tblW w:w="13907"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907"/>
      </w:tblGrid>
      <w:tr w:rsidR="00547405" w:rsidRPr="00061610" w:rsidTr="001F13D8">
        <w:trPr>
          <w:trHeight w:val="378"/>
          <w:tblHeader/>
        </w:trPr>
        <w:tc>
          <w:tcPr>
            <w:tcW w:w="13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84806" w:themeFill="accent6" w:themeFillShade="80"/>
            <w:vAlign w:val="center"/>
          </w:tcPr>
          <w:p w:rsidR="00547405" w:rsidRPr="00061610" w:rsidRDefault="00547405" w:rsidP="001F13D8">
            <w:pPr>
              <w:jc w:val="center"/>
              <w:rPr>
                <w:rFonts w:ascii="Arial" w:eastAsiaTheme="majorEastAsia" w:hAnsi="Arial" w:cs="Arial"/>
                <w:b/>
                <w:bCs/>
                <w:color w:val="FFFFFF" w:themeColor="background1"/>
                <w:sz w:val="28"/>
                <w:szCs w:val="28"/>
              </w:rPr>
            </w:pPr>
            <w:r w:rsidRPr="00E25F89">
              <w:rPr>
                <w:rFonts w:ascii="Arial" w:eastAsiaTheme="majorEastAsia" w:hAnsi="Arial" w:cs="Arial"/>
                <w:b/>
                <w:bCs/>
                <w:color w:val="FFFFFF" w:themeColor="background1"/>
                <w:sz w:val="28"/>
                <w:szCs w:val="28"/>
              </w:rPr>
              <w:lastRenderedPageBreak/>
              <w:t>RESPONSES TO 2016/17 RECOMMENDATIONS</w:t>
            </w:r>
          </w:p>
        </w:tc>
      </w:tr>
      <w:tr w:rsidR="00547405" w:rsidRPr="00061610" w:rsidTr="001F13D8">
        <w:trPr>
          <w:trHeight w:val="450"/>
          <w:tblHeader/>
        </w:trPr>
        <w:tc>
          <w:tcPr>
            <w:tcW w:w="13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E2402"/>
            <w:vAlign w:val="center"/>
          </w:tcPr>
          <w:p w:rsidR="00547405" w:rsidRDefault="00547405" w:rsidP="001F13D8">
            <w:pPr>
              <w:keepNext/>
              <w:keepLines/>
              <w:jc w:val="center"/>
              <w:outlineLvl w:val="1"/>
              <w:rPr>
                <w:rFonts w:ascii="Arial" w:eastAsiaTheme="majorEastAsia" w:hAnsi="Arial" w:cs="Arial"/>
                <w:b/>
                <w:bCs/>
                <w:color w:val="FFFFFF" w:themeColor="background1"/>
                <w:sz w:val="28"/>
                <w:szCs w:val="28"/>
              </w:rPr>
            </w:pPr>
            <w:r>
              <w:rPr>
                <w:rFonts w:ascii="Arial" w:eastAsiaTheme="majorEastAsia" w:hAnsi="Arial" w:cs="Arial"/>
                <w:b/>
                <w:bCs/>
                <w:color w:val="FFFFFF" w:themeColor="background1"/>
                <w:sz w:val="28"/>
                <w:szCs w:val="28"/>
              </w:rPr>
              <w:t>RECOMMENDATION</w:t>
            </w:r>
            <w:r w:rsidR="00EE04F3">
              <w:rPr>
                <w:rFonts w:ascii="Arial" w:eastAsiaTheme="majorEastAsia" w:hAnsi="Arial" w:cs="Arial"/>
                <w:b/>
                <w:bCs/>
                <w:color w:val="FFFFFF" w:themeColor="background1"/>
                <w:sz w:val="28"/>
                <w:szCs w:val="28"/>
              </w:rPr>
              <w:t xml:space="preserve"> 12.15</w:t>
            </w:r>
          </w:p>
        </w:tc>
      </w:tr>
      <w:tr w:rsidR="00547405" w:rsidRPr="002175B7" w:rsidTr="001F13D8">
        <w:trPr>
          <w:trHeight w:val="746"/>
        </w:trPr>
        <w:tc>
          <w:tcPr>
            <w:tcW w:w="13907" w:type="dxa"/>
            <w:tcBorders>
              <w:top w:val="single" w:sz="4" w:space="0" w:color="FFFFFF" w:themeColor="background1"/>
              <w:bottom w:val="single" w:sz="4" w:space="0" w:color="auto"/>
            </w:tcBorders>
            <w:shd w:val="clear" w:color="auto" w:fill="auto"/>
          </w:tcPr>
          <w:p w:rsidR="00547405" w:rsidRPr="002175B7" w:rsidRDefault="00EE04F3" w:rsidP="0072252E">
            <w:pPr>
              <w:pStyle w:val="ListParagraph"/>
              <w:numPr>
                <w:ilvl w:val="0"/>
                <w:numId w:val="2"/>
              </w:numPr>
              <w:jc w:val="both"/>
            </w:pPr>
            <w:r w:rsidRPr="006716A7">
              <w:rPr>
                <w:rFonts w:ascii="Arial" w:hAnsi="Arial" w:cs="Arial"/>
                <w:sz w:val="22"/>
                <w:szCs w:val="22"/>
              </w:rPr>
              <w:t xml:space="preserve">Provinces should improve and </w:t>
            </w:r>
            <w:proofErr w:type="spellStart"/>
            <w:r w:rsidRPr="006716A7">
              <w:rPr>
                <w:rFonts w:ascii="Arial" w:hAnsi="Arial" w:cs="Arial"/>
                <w:sz w:val="22"/>
                <w:szCs w:val="22"/>
              </w:rPr>
              <w:t>prioritise</w:t>
            </w:r>
            <w:proofErr w:type="spellEnd"/>
            <w:r w:rsidRPr="006716A7">
              <w:rPr>
                <w:rFonts w:ascii="Arial" w:hAnsi="Arial" w:cs="Arial"/>
                <w:sz w:val="22"/>
                <w:szCs w:val="22"/>
              </w:rPr>
              <w:t xml:space="preserve"> spending on critical service delivery items such as timely delivery of LTSM at schools; delivery of infrastructure such as houses, schools, clinics and hospitals and reduce overspending on current expenditure such as Compensation of employees.  A Special school in </w:t>
            </w:r>
            <w:proofErr w:type="spellStart"/>
            <w:r w:rsidRPr="006716A7">
              <w:rPr>
                <w:rFonts w:ascii="Arial" w:hAnsi="Arial" w:cs="Arial"/>
                <w:sz w:val="22"/>
                <w:szCs w:val="22"/>
              </w:rPr>
              <w:t>Galeshewe</w:t>
            </w:r>
            <w:proofErr w:type="spellEnd"/>
            <w:r w:rsidRPr="006716A7">
              <w:rPr>
                <w:rFonts w:ascii="Arial" w:hAnsi="Arial" w:cs="Arial"/>
                <w:sz w:val="22"/>
                <w:szCs w:val="22"/>
              </w:rPr>
              <w:t xml:space="preserve"> in the Northern Cape, where learners have no braille and other necessary resources should be followed up and addressed. A trend of underspending on housing by the provincial departments of Human Settlements need to be addressed as it has a direct impact on service delivery;</w:t>
            </w:r>
          </w:p>
        </w:tc>
      </w:tr>
      <w:tr w:rsidR="00547405" w:rsidRPr="00E25F89" w:rsidTr="00A70E05">
        <w:trPr>
          <w:trHeight w:val="555"/>
        </w:trPr>
        <w:tc>
          <w:tcPr>
            <w:tcW w:w="13907" w:type="dxa"/>
            <w:tcBorders>
              <w:bottom w:val="single" w:sz="4" w:space="0" w:color="auto"/>
            </w:tcBorders>
            <w:shd w:val="clear" w:color="auto" w:fill="auto"/>
          </w:tcPr>
          <w:p w:rsidR="00547405" w:rsidRPr="00D76C6E" w:rsidRDefault="00547405" w:rsidP="001F13D8">
            <w:pPr>
              <w:spacing w:line="360" w:lineRule="auto"/>
              <w:jc w:val="both"/>
              <w:rPr>
                <w:rFonts w:ascii="Arial" w:hAnsi="Arial" w:cs="Arial"/>
                <w:b/>
              </w:rPr>
            </w:pPr>
            <w:r w:rsidRPr="00D76C6E">
              <w:rPr>
                <w:rFonts w:ascii="Arial" w:hAnsi="Arial" w:cs="Arial"/>
                <w:b/>
                <w:sz w:val="22"/>
              </w:rPr>
              <w:t>PROGRESS:</w:t>
            </w:r>
          </w:p>
          <w:p w:rsidR="00EE04F3" w:rsidRPr="00D76C6E" w:rsidRDefault="00EE04F3" w:rsidP="00EE04F3">
            <w:pPr>
              <w:spacing w:after="160"/>
              <w:jc w:val="both"/>
              <w:rPr>
                <w:rFonts w:ascii="Arial" w:hAnsi="Arial" w:cs="Arial"/>
                <w:b/>
              </w:rPr>
            </w:pPr>
            <w:r w:rsidRPr="00D76C6E">
              <w:rPr>
                <w:rFonts w:ascii="Arial" w:hAnsi="Arial" w:cs="Arial"/>
                <w:b/>
                <w:sz w:val="22"/>
              </w:rPr>
              <w:t>Learner Teacher Support Material (LTSM) – Stationery:</w:t>
            </w:r>
          </w:p>
          <w:p w:rsidR="00EE04F3" w:rsidRPr="00D76C6E" w:rsidRDefault="00EE04F3" w:rsidP="0072252E">
            <w:pPr>
              <w:pStyle w:val="ListParagraph"/>
              <w:numPr>
                <w:ilvl w:val="0"/>
                <w:numId w:val="1"/>
              </w:numPr>
              <w:spacing w:after="160"/>
              <w:jc w:val="both"/>
              <w:rPr>
                <w:rFonts w:ascii="Arial" w:hAnsi="Arial" w:cs="Arial"/>
              </w:rPr>
            </w:pPr>
            <w:r w:rsidRPr="00D76C6E">
              <w:rPr>
                <w:rFonts w:ascii="Arial" w:hAnsi="Arial" w:cs="Arial"/>
                <w:sz w:val="22"/>
              </w:rPr>
              <w:t xml:space="preserve">A total of 5 179 schools across all districts in the Eastern Cape, 5 145 of which is for quintiles 1, 2 and 3 and 34 for quintiles 4 and 5 schools (who opted in) were provided with stationery in preparation for the 2018 academic year. 78 per cent or 4 042 of the 5 179 public schools in the province received their ordered stationery packs on 8 December 2017, whilst the remaining 1 137 schools received their packs during January 2018.   </w:t>
            </w:r>
          </w:p>
          <w:p w:rsidR="00EE04F3" w:rsidRPr="00D76C6E" w:rsidRDefault="00EE04F3" w:rsidP="00EE04F3">
            <w:pPr>
              <w:pStyle w:val="ListParagraph"/>
              <w:spacing w:after="160"/>
              <w:jc w:val="both"/>
              <w:rPr>
                <w:rFonts w:ascii="Arial" w:hAnsi="Arial" w:cs="Arial"/>
              </w:rPr>
            </w:pPr>
          </w:p>
          <w:p w:rsidR="00EE04F3" w:rsidRPr="00D76C6E" w:rsidRDefault="00EE04F3" w:rsidP="00EE04F3">
            <w:pPr>
              <w:spacing w:after="160"/>
              <w:jc w:val="both"/>
              <w:rPr>
                <w:rFonts w:ascii="Arial" w:hAnsi="Arial" w:cs="Arial"/>
                <w:b/>
              </w:rPr>
            </w:pPr>
            <w:r w:rsidRPr="00D76C6E">
              <w:rPr>
                <w:rFonts w:ascii="Arial" w:hAnsi="Arial" w:cs="Arial"/>
                <w:b/>
                <w:sz w:val="22"/>
              </w:rPr>
              <w:t>LTSM - Textbooks</w:t>
            </w:r>
          </w:p>
          <w:p w:rsidR="00EE04F3" w:rsidRPr="00D76C6E" w:rsidRDefault="00EE04F3" w:rsidP="0072252E">
            <w:pPr>
              <w:pStyle w:val="ListParagraph"/>
              <w:numPr>
                <w:ilvl w:val="0"/>
                <w:numId w:val="1"/>
              </w:numPr>
              <w:spacing w:after="160"/>
              <w:jc w:val="both"/>
              <w:rPr>
                <w:rFonts w:ascii="Arial" w:hAnsi="Arial" w:cs="Arial"/>
              </w:rPr>
            </w:pPr>
            <w:r w:rsidRPr="00D76C6E">
              <w:rPr>
                <w:rFonts w:ascii="Arial" w:hAnsi="Arial" w:cs="Arial"/>
                <w:sz w:val="22"/>
              </w:rPr>
              <w:t xml:space="preserve">For the 2017/18 financial year, the department placed textbook orders for 4 123 schools across all districts. </w:t>
            </w:r>
            <w:r w:rsidR="00DA230A" w:rsidRPr="00D76C6E">
              <w:rPr>
                <w:rFonts w:ascii="Arial" w:hAnsi="Arial" w:cs="Arial"/>
                <w:sz w:val="22"/>
              </w:rPr>
              <w:t>A</w:t>
            </w:r>
            <w:r w:rsidRPr="00D76C6E">
              <w:rPr>
                <w:rFonts w:ascii="Arial" w:hAnsi="Arial" w:cs="Arial"/>
                <w:sz w:val="22"/>
              </w:rPr>
              <w:t xml:space="preserve">ll 938 341 textbooks ordered were delivered to schools. The following textbooks were </w:t>
            </w:r>
            <w:proofErr w:type="spellStart"/>
            <w:r w:rsidRPr="00D76C6E">
              <w:rPr>
                <w:rFonts w:ascii="Arial" w:hAnsi="Arial" w:cs="Arial"/>
                <w:sz w:val="22"/>
              </w:rPr>
              <w:t>prioritised</w:t>
            </w:r>
            <w:proofErr w:type="spellEnd"/>
            <w:r w:rsidRPr="00D76C6E">
              <w:rPr>
                <w:rFonts w:ascii="Arial" w:hAnsi="Arial" w:cs="Arial"/>
                <w:sz w:val="22"/>
              </w:rPr>
              <w:t xml:space="preserve"> for 2018:</w:t>
            </w:r>
          </w:p>
          <w:p w:rsidR="00EE04F3" w:rsidRPr="00D76C6E" w:rsidRDefault="00EE04F3" w:rsidP="009F3430">
            <w:pPr>
              <w:pStyle w:val="ListParagraph"/>
              <w:numPr>
                <w:ilvl w:val="1"/>
                <w:numId w:val="1"/>
              </w:numPr>
              <w:spacing w:after="160"/>
              <w:jc w:val="both"/>
              <w:rPr>
                <w:rFonts w:ascii="Arial" w:hAnsi="Arial" w:cs="Arial"/>
              </w:rPr>
            </w:pPr>
            <w:r w:rsidRPr="00D76C6E">
              <w:rPr>
                <w:rFonts w:ascii="Arial" w:hAnsi="Arial" w:cs="Arial"/>
                <w:sz w:val="22"/>
              </w:rPr>
              <w:t>New core readers for Grades R, 1 and Grades 4-9 to the value of R30.693 million;</w:t>
            </w:r>
          </w:p>
          <w:p w:rsidR="00EE04F3" w:rsidRPr="00D76C6E" w:rsidRDefault="00EE04F3" w:rsidP="009F3430">
            <w:pPr>
              <w:pStyle w:val="ListParagraph"/>
              <w:numPr>
                <w:ilvl w:val="1"/>
                <w:numId w:val="1"/>
              </w:numPr>
              <w:spacing w:after="160"/>
              <w:jc w:val="both"/>
              <w:rPr>
                <w:rFonts w:ascii="Arial" w:hAnsi="Arial" w:cs="Arial"/>
              </w:rPr>
            </w:pPr>
            <w:r w:rsidRPr="00D76C6E">
              <w:rPr>
                <w:rFonts w:ascii="Arial" w:hAnsi="Arial" w:cs="Arial"/>
                <w:sz w:val="22"/>
              </w:rPr>
              <w:t>Mandated orders – grade 10 Literature set-work books with a value of R35 million, Grade 12 Technical Mathematics and Science at R5 million and R200 thousand for Maritime Studies at the 2 schools in the province; and</w:t>
            </w:r>
          </w:p>
          <w:p w:rsidR="00A70E05" w:rsidRPr="00D76C6E" w:rsidRDefault="00EE04F3" w:rsidP="009F3430">
            <w:pPr>
              <w:pStyle w:val="ListParagraph"/>
              <w:numPr>
                <w:ilvl w:val="1"/>
                <w:numId w:val="1"/>
              </w:numPr>
              <w:spacing w:after="160"/>
              <w:jc w:val="both"/>
              <w:rPr>
                <w:rFonts w:ascii="Arial" w:hAnsi="Arial" w:cs="Arial"/>
              </w:rPr>
            </w:pPr>
            <w:r w:rsidRPr="00D76C6E">
              <w:rPr>
                <w:rFonts w:ascii="Arial" w:hAnsi="Arial" w:cs="Arial"/>
                <w:sz w:val="22"/>
              </w:rPr>
              <w:t>Top-up orders will be for those schools with increased enrolment of 40 plus learners and schools with extended curriculums</w:t>
            </w:r>
          </w:p>
          <w:p w:rsidR="00A916F0" w:rsidRPr="00D76C6E" w:rsidRDefault="00A916F0" w:rsidP="00A916F0">
            <w:pPr>
              <w:spacing w:after="160"/>
              <w:jc w:val="both"/>
              <w:rPr>
                <w:rFonts w:ascii="Arial" w:hAnsi="Arial" w:cs="Arial"/>
                <w:b/>
                <w:lang w:val="en-ZA"/>
              </w:rPr>
            </w:pPr>
            <w:r w:rsidRPr="00D76C6E">
              <w:rPr>
                <w:rFonts w:ascii="Arial" w:hAnsi="Arial" w:cs="Arial"/>
                <w:b/>
                <w:lang w:val="en-ZA"/>
              </w:rPr>
              <w:t>Learner Verification</w:t>
            </w:r>
          </w:p>
          <w:p w:rsidR="005C450E" w:rsidRPr="00D76C6E" w:rsidRDefault="0072252E" w:rsidP="0072252E">
            <w:pPr>
              <w:numPr>
                <w:ilvl w:val="0"/>
                <w:numId w:val="5"/>
              </w:numPr>
              <w:spacing w:after="160"/>
              <w:jc w:val="both"/>
              <w:rPr>
                <w:rFonts w:ascii="Arial" w:hAnsi="Arial" w:cs="Arial"/>
                <w:lang w:val="en-ZA"/>
              </w:rPr>
            </w:pPr>
            <w:r w:rsidRPr="00D76C6E">
              <w:rPr>
                <w:rFonts w:ascii="Arial" w:hAnsi="Arial" w:cs="Arial"/>
                <w:sz w:val="22"/>
                <w:szCs w:val="22"/>
                <w:lang w:val="en-ZA"/>
              </w:rPr>
              <w:t>Previously, the department acknowledge that there are in certain cases incidents outside the span of control of a school principal and/or School Governing Bodies (SGBs) in terms of learner verification, thus the collaboration with other relevant stakeholders such as Department of Home Affairs (DHA), Department of Social Developme</w:t>
            </w:r>
            <w:r w:rsidR="00E55F24" w:rsidRPr="00D76C6E">
              <w:rPr>
                <w:rFonts w:ascii="Arial" w:hAnsi="Arial" w:cs="Arial"/>
                <w:sz w:val="22"/>
                <w:szCs w:val="22"/>
                <w:lang w:val="en-ZA"/>
              </w:rPr>
              <w:t>nt (DSD) and Higher Education (</w:t>
            </w:r>
            <w:r w:rsidRPr="00D76C6E">
              <w:rPr>
                <w:rFonts w:ascii="Arial" w:hAnsi="Arial" w:cs="Arial"/>
                <w:sz w:val="22"/>
                <w:szCs w:val="22"/>
                <w:lang w:val="en-ZA"/>
              </w:rPr>
              <w:t xml:space="preserve">in respect of </w:t>
            </w:r>
            <w:proofErr w:type="spellStart"/>
            <w:r w:rsidRPr="00D76C6E">
              <w:rPr>
                <w:rFonts w:ascii="Arial" w:hAnsi="Arial" w:cs="Arial"/>
                <w:sz w:val="22"/>
                <w:szCs w:val="22"/>
                <w:lang w:val="en-ZA"/>
              </w:rPr>
              <w:t>Lurits</w:t>
            </w:r>
            <w:proofErr w:type="spellEnd"/>
            <w:r w:rsidRPr="00D76C6E">
              <w:rPr>
                <w:rFonts w:ascii="Arial" w:hAnsi="Arial" w:cs="Arial"/>
                <w:sz w:val="22"/>
                <w:szCs w:val="22"/>
                <w:lang w:val="en-ZA"/>
              </w:rPr>
              <w:t xml:space="preserve"> system) to ensure the validity of ID numbers and authenticate learners. </w:t>
            </w:r>
          </w:p>
          <w:p w:rsidR="00E55F24" w:rsidRPr="00D76C6E" w:rsidRDefault="00E55F24" w:rsidP="00A70E05">
            <w:pPr>
              <w:spacing w:after="160"/>
              <w:jc w:val="both"/>
              <w:rPr>
                <w:rFonts w:ascii="Arial" w:hAnsi="Arial" w:cs="Arial"/>
              </w:rPr>
            </w:pPr>
            <w:r w:rsidRPr="00D76C6E">
              <w:rPr>
                <w:rFonts w:ascii="Arial" w:hAnsi="Arial" w:cs="Arial"/>
                <w:noProof/>
                <w:sz w:val="22"/>
                <w:lang w:val="en-ZA" w:eastAsia="en-ZA"/>
              </w:rPr>
              <w:lastRenderedPageBreak/>
              <w:drawing>
                <wp:inline distT="0" distB="0" distL="0" distR="0">
                  <wp:extent cx="7937500" cy="185420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37500" cy="1854200"/>
                          </a:xfrm>
                          <a:prstGeom prst="rect">
                            <a:avLst/>
                          </a:prstGeom>
                          <a:noFill/>
                          <a:ln>
                            <a:noFill/>
                          </a:ln>
                        </pic:spPr>
                      </pic:pic>
                    </a:graphicData>
                  </a:graphic>
                </wp:inline>
              </w:drawing>
            </w:r>
          </w:p>
          <w:p w:rsidR="00E627D1" w:rsidRPr="00D76C6E" w:rsidRDefault="0072252E" w:rsidP="0072252E">
            <w:pPr>
              <w:numPr>
                <w:ilvl w:val="0"/>
                <w:numId w:val="6"/>
              </w:numPr>
              <w:tabs>
                <w:tab w:val="num" w:pos="720"/>
              </w:tabs>
              <w:spacing w:after="160"/>
              <w:jc w:val="both"/>
              <w:rPr>
                <w:rFonts w:ascii="Arial" w:hAnsi="Arial" w:cs="Arial"/>
                <w:lang w:val="en-ZA"/>
              </w:rPr>
            </w:pPr>
            <w:r w:rsidRPr="00D76C6E">
              <w:rPr>
                <w:rFonts w:ascii="Arial" w:hAnsi="Arial" w:cs="Arial"/>
                <w:sz w:val="22"/>
                <w:lang w:val="en-GB"/>
              </w:rPr>
              <w:t>PT provides feedback on a quarterly basis to the department on the financial and non-financial performance.  From 2015/16 to 2016/17 there is an improvement in the performance on both financial and non-financial.  With 2017/18, the department received during adjustment estimate period and additional amount of R145 million and has exceeded the performance on housing and has applied for a rollover.</w:t>
            </w:r>
          </w:p>
          <w:p w:rsidR="005C450E" w:rsidRPr="00D76C6E" w:rsidRDefault="005C450E" w:rsidP="005C450E">
            <w:pPr>
              <w:spacing w:after="160"/>
              <w:ind w:left="360"/>
              <w:jc w:val="both"/>
              <w:rPr>
                <w:rFonts w:ascii="Arial" w:hAnsi="Arial" w:cs="Arial"/>
                <w:lang w:val="en-GB"/>
              </w:rPr>
            </w:pPr>
          </w:p>
          <w:p w:rsidR="005C450E" w:rsidRPr="00D76C6E" w:rsidRDefault="005C450E" w:rsidP="005C450E">
            <w:pPr>
              <w:spacing w:after="160"/>
              <w:jc w:val="both"/>
              <w:rPr>
                <w:rFonts w:ascii="Arial" w:hAnsi="Arial" w:cs="Arial"/>
                <w:b/>
                <w:bCs/>
                <w:lang w:val="en-GB"/>
              </w:rPr>
            </w:pPr>
            <w:r w:rsidRPr="00D76C6E">
              <w:rPr>
                <w:rFonts w:ascii="Arial" w:hAnsi="Arial" w:cs="Arial"/>
                <w:b/>
                <w:bCs/>
                <w:sz w:val="22"/>
                <w:szCs w:val="22"/>
                <w:lang w:val="en-GB"/>
              </w:rPr>
              <w:t xml:space="preserve">Infrastructure </w:t>
            </w:r>
            <w:r w:rsidR="003172EC" w:rsidRPr="00D76C6E">
              <w:rPr>
                <w:rFonts w:ascii="Arial" w:hAnsi="Arial" w:cs="Arial"/>
                <w:b/>
                <w:bCs/>
                <w:sz w:val="22"/>
                <w:szCs w:val="22"/>
                <w:lang w:val="en-GB"/>
              </w:rPr>
              <w:t>I</w:t>
            </w:r>
            <w:r w:rsidRPr="00D76C6E">
              <w:rPr>
                <w:rFonts w:ascii="Arial" w:hAnsi="Arial" w:cs="Arial"/>
                <w:b/>
                <w:bCs/>
                <w:sz w:val="22"/>
                <w:szCs w:val="22"/>
                <w:lang w:val="en-GB"/>
              </w:rPr>
              <w:t>mprovements and prioritisation of spending on critical service delivery items</w:t>
            </w:r>
          </w:p>
          <w:p w:rsidR="005C450E" w:rsidRPr="00D76C6E" w:rsidRDefault="005C450E" w:rsidP="0072252E">
            <w:pPr>
              <w:pStyle w:val="ListParagraph"/>
              <w:numPr>
                <w:ilvl w:val="0"/>
                <w:numId w:val="7"/>
              </w:numPr>
              <w:spacing w:after="160"/>
              <w:jc w:val="both"/>
              <w:rPr>
                <w:rFonts w:ascii="Arial" w:eastAsia="Times New Roman" w:hAnsi="Arial" w:cs="Arial"/>
                <w:lang w:val="en-GB" w:eastAsia="en-US"/>
              </w:rPr>
            </w:pPr>
            <w:r w:rsidRPr="00D76C6E">
              <w:rPr>
                <w:rFonts w:ascii="Arial" w:eastAsia="Times New Roman" w:hAnsi="Arial" w:cs="Arial"/>
                <w:sz w:val="22"/>
                <w:lang w:val="en-GB" w:eastAsia="en-US"/>
              </w:rPr>
              <w:t xml:space="preserve">This has been done through the enhancing of the prioritisation of infrastructure to ensure that the credibility of infrastructure budgets are aligned to the Infrastructure Budget over the MTEF with the long and </w:t>
            </w:r>
            <w:proofErr w:type="gramStart"/>
            <w:r w:rsidRPr="00D76C6E">
              <w:rPr>
                <w:rFonts w:ascii="Arial" w:eastAsia="Times New Roman" w:hAnsi="Arial" w:cs="Arial"/>
                <w:sz w:val="22"/>
                <w:lang w:val="en-GB" w:eastAsia="en-US"/>
              </w:rPr>
              <w:t>Medium</w:t>
            </w:r>
            <w:proofErr w:type="gramEnd"/>
            <w:r w:rsidRPr="00D76C6E">
              <w:rPr>
                <w:rFonts w:ascii="Arial" w:eastAsia="Times New Roman" w:hAnsi="Arial" w:cs="Arial"/>
                <w:sz w:val="22"/>
                <w:lang w:val="en-GB" w:eastAsia="en-US"/>
              </w:rPr>
              <w:t xml:space="preserve"> term plans (User Asset Management plan, Built Environment Performance Plans (Metros), Precinct Plans, </w:t>
            </w:r>
            <w:r w:rsidR="003E335E" w:rsidRPr="00D76C6E">
              <w:rPr>
                <w:rFonts w:ascii="Arial" w:eastAsia="Times New Roman" w:hAnsi="Arial" w:cs="Arial"/>
                <w:sz w:val="22"/>
                <w:lang w:val="en-GB" w:eastAsia="en-US"/>
              </w:rPr>
              <w:t xml:space="preserve">IDP (municipalities) </w:t>
            </w:r>
            <w:r w:rsidRPr="00D76C6E">
              <w:rPr>
                <w:rFonts w:ascii="Arial" w:eastAsia="Times New Roman" w:hAnsi="Arial" w:cs="Arial"/>
                <w:sz w:val="22"/>
                <w:lang w:val="en-GB" w:eastAsia="en-US"/>
              </w:rPr>
              <w:t>and Infrastructure Program Management Plans) against the priorities.</w:t>
            </w:r>
          </w:p>
          <w:p w:rsidR="005C450E" w:rsidRPr="00D76C6E" w:rsidRDefault="005C450E" w:rsidP="0072252E">
            <w:pPr>
              <w:pStyle w:val="ListParagraph"/>
              <w:numPr>
                <w:ilvl w:val="0"/>
                <w:numId w:val="7"/>
              </w:numPr>
              <w:spacing w:after="160"/>
              <w:jc w:val="both"/>
              <w:rPr>
                <w:rFonts w:ascii="Arial" w:eastAsia="Times New Roman" w:hAnsi="Arial" w:cs="Arial"/>
                <w:lang w:val="en-GB" w:eastAsia="en-US"/>
              </w:rPr>
            </w:pPr>
            <w:r w:rsidRPr="00D76C6E">
              <w:rPr>
                <w:rFonts w:ascii="Arial" w:eastAsia="Times New Roman" w:hAnsi="Arial" w:cs="Arial"/>
                <w:sz w:val="22"/>
                <w:lang w:val="en-GB" w:eastAsia="en-US"/>
              </w:rPr>
              <w:t>The Eastern Cape adopted the Infrastructure Delivery Management System (IDMS) and Standards for Infrastructure Procurement and Delivery Management (SIPDM) as the guiding principles to deliver Infrastructure within the required timeframes, with the appropriate quality and within the control budget.</w:t>
            </w:r>
          </w:p>
          <w:p w:rsidR="005C450E" w:rsidRPr="00D76C6E" w:rsidRDefault="005C450E" w:rsidP="0072252E">
            <w:pPr>
              <w:pStyle w:val="ListParagraph"/>
              <w:numPr>
                <w:ilvl w:val="0"/>
                <w:numId w:val="7"/>
              </w:numPr>
              <w:spacing w:after="160"/>
              <w:jc w:val="both"/>
              <w:rPr>
                <w:rFonts w:ascii="Arial" w:eastAsia="Times New Roman" w:hAnsi="Arial" w:cs="Arial"/>
                <w:lang w:val="en-GB" w:eastAsia="en-US"/>
              </w:rPr>
            </w:pPr>
            <w:r w:rsidRPr="00D76C6E">
              <w:rPr>
                <w:rFonts w:ascii="Arial" w:eastAsia="Times New Roman" w:hAnsi="Arial" w:cs="Arial"/>
                <w:sz w:val="22"/>
                <w:lang w:val="en-GB" w:eastAsia="en-US"/>
              </w:rPr>
              <w:t>The Province is now in a process of finalizing the Provincial Spatial Development Framework which will direct the infrastructure investment to the appropriate developmental nodes.</w:t>
            </w:r>
          </w:p>
          <w:p w:rsidR="00E55F24" w:rsidRPr="00D76C6E" w:rsidRDefault="00AC040C" w:rsidP="0072252E">
            <w:pPr>
              <w:pStyle w:val="ListParagraph"/>
              <w:numPr>
                <w:ilvl w:val="0"/>
                <w:numId w:val="7"/>
              </w:numPr>
              <w:spacing w:after="160"/>
              <w:jc w:val="both"/>
              <w:rPr>
                <w:rFonts w:ascii="Arial" w:eastAsia="Times New Roman" w:hAnsi="Arial" w:cs="Arial"/>
                <w:lang w:val="en-GB" w:eastAsia="en-US"/>
              </w:rPr>
            </w:pPr>
            <w:r w:rsidRPr="00D76C6E">
              <w:rPr>
                <w:rFonts w:ascii="Arial" w:eastAsia="Times New Roman" w:hAnsi="Arial" w:cs="Arial"/>
                <w:sz w:val="22"/>
                <w:lang w:val="en-GB" w:eastAsia="en-US"/>
              </w:rPr>
              <w:t>In respect of Human Settlements, the department has been fully utilizing its infrastructure budget and is over committed.</w:t>
            </w:r>
          </w:p>
        </w:tc>
      </w:tr>
    </w:tbl>
    <w:p w:rsidR="00547405" w:rsidRDefault="00547405">
      <w:pPr>
        <w:rPr>
          <w:sz w:val="22"/>
          <w:szCs w:val="22"/>
        </w:rPr>
      </w:pPr>
    </w:p>
    <w:p w:rsidR="00547405" w:rsidRDefault="00547405">
      <w:pPr>
        <w:rPr>
          <w:sz w:val="22"/>
          <w:szCs w:val="22"/>
        </w:rPr>
      </w:pPr>
    </w:p>
    <w:p w:rsidR="003E335E" w:rsidRDefault="003E335E">
      <w:pPr>
        <w:rPr>
          <w:sz w:val="22"/>
          <w:szCs w:val="22"/>
        </w:rPr>
      </w:pPr>
    </w:p>
    <w:tbl>
      <w:tblPr>
        <w:tblW w:w="13907"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907"/>
      </w:tblGrid>
      <w:tr w:rsidR="00547405" w:rsidRPr="00061610" w:rsidTr="001F13D8">
        <w:trPr>
          <w:trHeight w:val="378"/>
          <w:tblHeader/>
        </w:trPr>
        <w:tc>
          <w:tcPr>
            <w:tcW w:w="13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84806" w:themeFill="accent6" w:themeFillShade="80"/>
            <w:vAlign w:val="center"/>
          </w:tcPr>
          <w:p w:rsidR="00547405" w:rsidRPr="00061610" w:rsidRDefault="00547405" w:rsidP="001F13D8">
            <w:pPr>
              <w:jc w:val="center"/>
              <w:rPr>
                <w:rFonts w:ascii="Arial" w:eastAsiaTheme="majorEastAsia" w:hAnsi="Arial" w:cs="Arial"/>
                <w:b/>
                <w:bCs/>
                <w:color w:val="FFFFFF" w:themeColor="background1"/>
                <w:sz w:val="28"/>
                <w:szCs w:val="28"/>
              </w:rPr>
            </w:pPr>
            <w:r w:rsidRPr="00E25F89">
              <w:rPr>
                <w:rFonts w:ascii="Arial" w:eastAsiaTheme="majorEastAsia" w:hAnsi="Arial" w:cs="Arial"/>
                <w:b/>
                <w:bCs/>
                <w:color w:val="FFFFFF" w:themeColor="background1"/>
                <w:sz w:val="28"/>
                <w:szCs w:val="28"/>
              </w:rPr>
              <w:t>RESPONSES TO 2016/17 RECOMMENDATIONS</w:t>
            </w:r>
          </w:p>
        </w:tc>
      </w:tr>
      <w:tr w:rsidR="00547405" w:rsidRPr="00061610" w:rsidTr="001F13D8">
        <w:trPr>
          <w:trHeight w:val="450"/>
          <w:tblHeader/>
        </w:trPr>
        <w:tc>
          <w:tcPr>
            <w:tcW w:w="13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E2402"/>
            <w:vAlign w:val="center"/>
          </w:tcPr>
          <w:p w:rsidR="00547405" w:rsidRDefault="00547405" w:rsidP="001F13D8">
            <w:pPr>
              <w:keepNext/>
              <w:keepLines/>
              <w:jc w:val="center"/>
              <w:outlineLvl w:val="1"/>
              <w:rPr>
                <w:rFonts w:ascii="Arial" w:eastAsiaTheme="majorEastAsia" w:hAnsi="Arial" w:cs="Arial"/>
                <w:b/>
                <w:bCs/>
                <w:color w:val="FFFFFF" w:themeColor="background1"/>
                <w:sz w:val="28"/>
                <w:szCs w:val="28"/>
              </w:rPr>
            </w:pPr>
            <w:r>
              <w:rPr>
                <w:rFonts w:ascii="Arial" w:eastAsiaTheme="majorEastAsia" w:hAnsi="Arial" w:cs="Arial"/>
                <w:b/>
                <w:bCs/>
                <w:color w:val="FFFFFF" w:themeColor="background1"/>
                <w:sz w:val="28"/>
                <w:szCs w:val="28"/>
              </w:rPr>
              <w:t>RECOMMENDATION</w:t>
            </w:r>
            <w:r w:rsidR="00A70E05">
              <w:rPr>
                <w:rFonts w:ascii="Arial" w:eastAsiaTheme="majorEastAsia" w:hAnsi="Arial" w:cs="Arial"/>
                <w:b/>
                <w:bCs/>
                <w:color w:val="FFFFFF" w:themeColor="background1"/>
                <w:sz w:val="28"/>
                <w:szCs w:val="28"/>
              </w:rPr>
              <w:t xml:space="preserve"> 12.</w:t>
            </w:r>
            <w:r w:rsidR="003E335E">
              <w:rPr>
                <w:rFonts w:ascii="Arial" w:eastAsiaTheme="majorEastAsia" w:hAnsi="Arial" w:cs="Arial"/>
                <w:b/>
                <w:bCs/>
                <w:color w:val="FFFFFF" w:themeColor="background1"/>
                <w:sz w:val="28"/>
                <w:szCs w:val="28"/>
              </w:rPr>
              <w:t>16</w:t>
            </w:r>
          </w:p>
        </w:tc>
      </w:tr>
      <w:tr w:rsidR="00547405" w:rsidRPr="002175B7" w:rsidTr="001F13D8">
        <w:trPr>
          <w:trHeight w:val="746"/>
        </w:trPr>
        <w:tc>
          <w:tcPr>
            <w:tcW w:w="13907" w:type="dxa"/>
            <w:tcBorders>
              <w:top w:val="single" w:sz="4" w:space="0" w:color="FFFFFF" w:themeColor="background1"/>
              <w:bottom w:val="single" w:sz="4" w:space="0" w:color="auto"/>
            </w:tcBorders>
            <w:shd w:val="clear" w:color="auto" w:fill="auto"/>
          </w:tcPr>
          <w:p w:rsidR="00547405" w:rsidRPr="002175B7" w:rsidRDefault="003E335E" w:rsidP="0072252E">
            <w:pPr>
              <w:pStyle w:val="ListParagraph"/>
              <w:numPr>
                <w:ilvl w:val="0"/>
                <w:numId w:val="2"/>
              </w:numPr>
              <w:jc w:val="both"/>
            </w:pPr>
            <w:r w:rsidRPr="006716A7">
              <w:rPr>
                <w:rFonts w:ascii="Arial" w:hAnsi="Arial" w:cs="Arial"/>
                <w:sz w:val="22"/>
                <w:szCs w:val="22"/>
              </w:rPr>
              <w:t xml:space="preserve">In reviewing the equitable share formula, the National Treasury’s task team should also work with the FFC and SALGA and Provinces should link up with the Free State Portfolio Committee on Finance regarding the study done by the University of Free State on the equitable share formula. In the interest of IGR, National Treasury should improve communication with the relevant provincial departments that stand to lose conditional grants due to underspending;  </w:t>
            </w:r>
          </w:p>
        </w:tc>
      </w:tr>
      <w:tr w:rsidR="00547405" w:rsidRPr="00E25F89" w:rsidTr="001F13D8">
        <w:trPr>
          <w:trHeight w:val="980"/>
        </w:trPr>
        <w:tc>
          <w:tcPr>
            <w:tcW w:w="13907" w:type="dxa"/>
            <w:tcBorders>
              <w:bottom w:val="single" w:sz="4" w:space="0" w:color="auto"/>
            </w:tcBorders>
            <w:shd w:val="clear" w:color="auto" w:fill="auto"/>
          </w:tcPr>
          <w:p w:rsidR="00547405" w:rsidRPr="003E335E" w:rsidRDefault="003E335E" w:rsidP="003E335E">
            <w:pPr>
              <w:spacing w:after="160"/>
              <w:jc w:val="both"/>
              <w:rPr>
                <w:rFonts w:ascii="Arial" w:hAnsi="Arial" w:cs="Arial"/>
              </w:rPr>
            </w:pPr>
            <w:r>
              <w:rPr>
                <w:rFonts w:ascii="Arial" w:hAnsi="Arial" w:cs="Arial"/>
                <w:sz w:val="22"/>
              </w:rPr>
              <w:t>National Treasury to respond.</w:t>
            </w:r>
          </w:p>
        </w:tc>
      </w:tr>
    </w:tbl>
    <w:p w:rsidR="00547405" w:rsidRDefault="00547405">
      <w:pPr>
        <w:rPr>
          <w:sz w:val="22"/>
          <w:szCs w:val="22"/>
        </w:rPr>
      </w:pPr>
    </w:p>
    <w:p w:rsidR="003E335E" w:rsidRDefault="003E335E">
      <w:pPr>
        <w:rPr>
          <w:sz w:val="22"/>
          <w:szCs w:val="22"/>
        </w:rPr>
      </w:pPr>
    </w:p>
    <w:tbl>
      <w:tblPr>
        <w:tblW w:w="13907"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907"/>
      </w:tblGrid>
      <w:tr w:rsidR="003E335E" w:rsidRPr="00061610" w:rsidTr="001F13D8">
        <w:trPr>
          <w:trHeight w:val="378"/>
          <w:tblHeader/>
        </w:trPr>
        <w:tc>
          <w:tcPr>
            <w:tcW w:w="13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84806" w:themeFill="accent6" w:themeFillShade="80"/>
            <w:vAlign w:val="center"/>
          </w:tcPr>
          <w:p w:rsidR="003E335E" w:rsidRPr="00061610" w:rsidRDefault="003E335E" w:rsidP="001F13D8">
            <w:pPr>
              <w:jc w:val="center"/>
              <w:rPr>
                <w:rFonts w:ascii="Arial" w:eastAsiaTheme="majorEastAsia" w:hAnsi="Arial" w:cs="Arial"/>
                <w:b/>
                <w:bCs/>
                <w:color w:val="FFFFFF" w:themeColor="background1"/>
                <w:sz w:val="28"/>
                <w:szCs w:val="28"/>
              </w:rPr>
            </w:pPr>
            <w:r w:rsidRPr="00E25F89">
              <w:rPr>
                <w:rFonts w:ascii="Arial" w:eastAsiaTheme="majorEastAsia" w:hAnsi="Arial" w:cs="Arial"/>
                <w:b/>
                <w:bCs/>
                <w:color w:val="FFFFFF" w:themeColor="background1"/>
                <w:sz w:val="28"/>
                <w:szCs w:val="28"/>
              </w:rPr>
              <w:t>RESPONSES TO 2016/17 RECOMMENDATIONS</w:t>
            </w:r>
          </w:p>
        </w:tc>
      </w:tr>
      <w:tr w:rsidR="003E335E" w:rsidRPr="00061610" w:rsidTr="001F13D8">
        <w:trPr>
          <w:trHeight w:val="450"/>
          <w:tblHeader/>
        </w:trPr>
        <w:tc>
          <w:tcPr>
            <w:tcW w:w="13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E2402"/>
            <w:vAlign w:val="center"/>
          </w:tcPr>
          <w:p w:rsidR="003E335E" w:rsidRDefault="003E335E" w:rsidP="001F13D8">
            <w:pPr>
              <w:keepNext/>
              <w:keepLines/>
              <w:jc w:val="center"/>
              <w:outlineLvl w:val="1"/>
              <w:rPr>
                <w:rFonts w:ascii="Arial" w:eastAsiaTheme="majorEastAsia" w:hAnsi="Arial" w:cs="Arial"/>
                <w:b/>
                <w:bCs/>
                <w:color w:val="FFFFFF" w:themeColor="background1"/>
                <w:sz w:val="28"/>
                <w:szCs w:val="28"/>
              </w:rPr>
            </w:pPr>
            <w:r>
              <w:rPr>
                <w:rFonts w:ascii="Arial" w:eastAsiaTheme="majorEastAsia" w:hAnsi="Arial" w:cs="Arial"/>
                <w:b/>
                <w:bCs/>
                <w:color w:val="FFFFFF" w:themeColor="background1"/>
                <w:sz w:val="28"/>
                <w:szCs w:val="28"/>
              </w:rPr>
              <w:t>RECOMMENDATION 12.17</w:t>
            </w:r>
          </w:p>
        </w:tc>
      </w:tr>
      <w:tr w:rsidR="003E335E" w:rsidRPr="002175B7" w:rsidTr="001F13D8">
        <w:trPr>
          <w:trHeight w:val="746"/>
        </w:trPr>
        <w:tc>
          <w:tcPr>
            <w:tcW w:w="13907" w:type="dxa"/>
            <w:tcBorders>
              <w:top w:val="single" w:sz="4" w:space="0" w:color="FFFFFF" w:themeColor="background1"/>
              <w:bottom w:val="single" w:sz="4" w:space="0" w:color="auto"/>
            </w:tcBorders>
            <w:shd w:val="clear" w:color="auto" w:fill="auto"/>
          </w:tcPr>
          <w:p w:rsidR="003E335E" w:rsidRPr="002175B7" w:rsidRDefault="003E335E" w:rsidP="0072252E">
            <w:pPr>
              <w:pStyle w:val="ListParagraph"/>
              <w:numPr>
                <w:ilvl w:val="0"/>
                <w:numId w:val="2"/>
              </w:numPr>
              <w:jc w:val="both"/>
            </w:pPr>
            <w:r w:rsidRPr="006716A7">
              <w:rPr>
                <w:rFonts w:ascii="Arial" w:hAnsi="Arial" w:cs="Arial"/>
                <w:sz w:val="22"/>
                <w:szCs w:val="22"/>
              </w:rPr>
              <w:t xml:space="preserve">The Provincial Treasuries that have placed the provincial departments of Health and Education under Section 18 of the PFMA should set timeframes for termination of these arrangements and allow the departments to </w:t>
            </w:r>
            <w:r w:rsidR="00635F40">
              <w:rPr>
                <w:rFonts w:ascii="Arial" w:hAnsi="Arial" w:cs="Arial"/>
                <w:sz w:val="22"/>
                <w:szCs w:val="22"/>
              </w:rPr>
              <w:t>stabilize.</w:t>
            </w:r>
          </w:p>
        </w:tc>
      </w:tr>
      <w:tr w:rsidR="003E335E" w:rsidRPr="00E25F89" w:rsidTr="001F13D8">
        <w:trPr>
          <w:trHeight w:val="980"/>
        </w:trPr>
        <w:tc>
          <w:tcPr>
            <w:tcW w:w="13907" w:type="dxa"/>
            <w:tcBorders>
              <w:bottom w:val="single" w:sz="4" w:space="0" w:color="auto"/>
            </w:tcBorders>
            <w:shd w:val="clear" w:color="auto" w:fill="auto"/>
          </w:tcPr>
          <w:p w:rsidR="003E335E" w:rsidRPr="00E25F89" w:rsidRDefault="003E335E" w:rsidP="001F13D8">
            <w:pPr>
              <w:spacing w:line="360" w:lineRule="auto"/>
              <w:jc w:val="both"/>
              <w:rPr>
                <w:rFonts w:ascii="Arial" w:hAnsi="Arial" w:cs="Arial"/>
                <w:b/>
              </w:rPr>
            </w:pPr>
            <w:r w:rsidRPr="00E25F89">
              <w:rPr>
                <w:rFonts w:ascii="Arial" w:hAnsi="Arial" w:cs="Arial"/>
                <w:b/>
                <w:sz w:val="22"/>
              </w:rPr>
              <w:t>PROGRESS:</w:t>
            </w:r>
          </w:p>
          <w:p w:rsidR="003E335E" w:rsidRPr="00E55F24" w:rsidRDefault="003E335E" w:rsidP="003E335E">
            <w:pPr>
              <w:spacing w:after="160"/>
              <w:jc w:val="both"/>
              <w:rPr>
                <w:rFonts w:ascii="Arial" w:hAnsi="Arial" w:cs="Arial"/>
              </w:rPr>
            </w:pPr>
            <w:r w:rsidRPr="003E335E">
              <w:rPr>
                <w:rFonts w:ascii="Arial" w:hAnsi="Arial" w:cs="Arial"/>
                <w:sz w:val="22"/>
              </w:rPr>
              <w:t xml:space="preserve">The PT has issued an Oversight Framework (OF) that has been endorsed by EXCO. This Framework seeks to ensure that the PT adopts a uniform approach when deciding which kind of </w:t>
            </w:r>
            <w:r w:rsidRPr="00E55F24">
              <w:rPr>
                <w:rFonts w:ascii="Arial" w:hAnsi="Arial" w:cs="Arial"/>
                <w:sz w:val="22"/>
              </w:rPr>
              <w:t>intervention, if any, is to be undertaken in a department. The OF further seeks to outline the indicators that will inform PT oversight approach and risks associated with the particular posture of oversight and governance arrangements applicable to different levels of oversight. The OF prescribes a blueprint and the minimum that should be decided before any form of intervention is undertaken:</w:t>
            </w:r>
          </w:p>
          <w:p w:rsidR="003E335E" w:rsidRPr="00E55F24" w:rsidRDefault="003E335E" w:rsidP="0072252E">
            <w:pPr>
              <w:pStyle w:val="ListParagraph"/>
              <w:numPr>
                <w:ilvl w:val="0"/>
                <w:numId w:val="1"/>
              </w:numPr>
              <w:spacing w:after="160"/>
              <w:jc w:val="both"/>
              <w:rPr>
                <w:rFonts w:ascii="Arial" w:hAnsi="Arial" w:cs="Arial"/>
              </w:rPr>
            </w:pPr>
            <w:r w:rsidRPr="00E55F24">
              <w:rPr>
                <w:rFonts w:ascii="Arial" w:hAnsi="Arial" w:cs="Arial"/>
                <w:sz w:val="22"/>
              </w:rPr>
              <w:t>There should be a problem statement detailing the nature of the incidents triggering the need for an intervention.</w:t>
            </w:r>
          </w:p>
          <w:p w:rsidR="003E335E" w:rsidRPr="00E55F24" w:rsidRDefault="003E335E" w:rsidP="0072252E">
            <w:pPr>
              <w:pStyle w:val="ListParagraph"/>
              <w:numPr>
                <w:ilvl w:val="0"/>
                <w:numId w:val="1"/>
              </w:numPr>
              <w:spacing w:after="160"/>
              <w:jc w:val="both"/>
              <w:rPr>
                <w:rFonts w:ascii="Arial" w:hAnsi="Arial" w:cs="Arial"/>
              </w:rPr>
            </w:pPr>
            <w:r w:rsidRPr="00E55F24">
              <w:rPr>
                <w:rFonts w:ascii="Arial" w:hAnsi="Arial" w:cs="Arial"/>
                <w:sz w:val="22"/>
              </w:rPr>
              <w:t xml:space="preserve">An EXCO resolution supporting the intervention </w:t>
            </w:r>
          </w:p>
          <w:p w:rsidR="003E335E" w:rsidRPr="00E55F24" w:rsidRDefault="003E335E" w:rsidP="0072252E">
            <w:pPr>
              <w:pStyle w:val="ListParagraph"/>
              <w:numPr>
                <w:ilvl w:val="0"/>
                <w:numId w:val="1"/>
              </w:numPr>
              <w:spacing w:after="160"/>
              <w:jc w:val="both"/>
              <w:rPr>
                <w:rFonts w:ascii="Arial" w:hAnsi="Arial" w:cs="Arial"/>
              </w:rPr>
            </w:pPr>
            <w:r w:rsidRPr="00E55F24">
              <w:rPr>
                <w:rFonts w:ascii="Arial" w:hAnsi="Arial" w:cs="Arial"/>
                <w:sz w:val="22"/>
              </w:rPr>
              <w:t>An MOU recording the terms and conditions of the intervention, including resources, roles and responsibilities and timeframes</w:t>
            </w:r>
          </w:p>
          <w:p w:rsidR="003E335E" w:rsidRPr="00E55F24" w:rsidRDefault="003E335E" w:rsidP="0072252E">
            <w:pPr>
              <w:pStyle w:val="ListParagraph"/>
              <w:numPr>
                <w:ilvl w:val="0"/>
                <w:numId w:val="1"/>
              </w:numPr>
              <w:spacing w:after="160"/>
              <w:jc w:val="both"/>
              <w:rPr>
                <w:rFonts w:ascii="Arial" w:hAnsi="Arial" w:cs="Arial"/>
              </w:rPr>
            </w:pPr>
            <w:r w:rsidRPr="00E55F24">
              <w:rPr>
                <w:rFonts w:ascii="Arial" w:hAnsi="Arial" w:cs="Arial"/>
                <w:sz w:val="22"/>
              </w:rPr>
              <w:t>Detailed takeover plan based on MOU with resource allocation, milestones and timeframes and</w:t>
            </w:r>
          </w:p>
          <w:p w:rsidR="003E335E" w:rsidRPr="00E55F24" w:rsidRDefault="003E335E" w:rsidP="0072252E">
            <w:pPr>
              <w:pStyle w:val="ListParagraph"/>
              <w:numPr>
                <w:ilvl w:val="0"/>
                <w:numId w:val="1"/>
              </w:numPr>
              <w:spacing w:after="160"/>
              <w:jc w:val="both"/>
              <w:rPr>
                <w:rFonts w:ascii="Arial" w:hAnsi="Arial" w:cs="Arial"/>
              </w:rPr>
            </w:pPr>
            <w:r w:rsidRPr="00E55F24">
              <w:rPr>
                <w:rFonts w:ascii="Arial" w:hAnsi="Arial" w:cs="Arial"/>
                <w:sz w:val="22"/>
              </w:rPr>
              <w:t>Suitably qualified resources to implement the intervention</w:t>
            </w:r>
          </w:p>
        </w:tc>
      </w:tr>
    </w:tbl>
    <w:p w:rsidR="003E335E" w:rsidRDefault="003E335E">
      <w:pPr>
        <w:rPr>
          <w:sz w:val="22"/>
          <w:szCs w:val="22"/>
        </w:rPr>
      </w:pPr>
    </w:p>
    <w:p w:rsidR="00547405" w:rsidRDefault="00547405">
      <w:pPr>
        <w:rPr>
          <w:sz w:val="22"/>
          <w:szCs w:val="22"/>
        </w:rPr>
      </w:pPr>
    </w:p>
    <w:tbl>
      <w:tblPr>
        <w:tblW w:w="13907"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907"/>
      </w:tblGrid>
      <w:tr w:rsidR="00547405" w:rsidRPr="00061610" w:rsidTr="001F13D8">
        <w:trPr>
          <w:trHeight w:val="378"/>
          <w:tblHeader/>
        </w:trPr>
        <w:tc>
          <w:tcPr>
            <w:tcW w:w="13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84806" w:themeFill="accent6" w:themeFillShade="80"/>
            <w:vAlign w:val="center"/>
          </w:tcPr>
          <w:p w:rsidR="00547405" w:rsidRPr="00061610" w:rsidRDefault="00547405" w:rsidP="001F13D8">
            <w:pPr>
              <w:jc w:val="center"/>
              <w:rPr>
                <w:rFonts w:ascii="Arial" w:eastAsiaTheme="majorEastAsia" w:hAnsi="Arial" w:cs="Arial"/>
                <w:b/>
                <w:bCs/>
                <w:color w:val="FFFFFF" w:themeColor="background1"/>
                <w:sz w:val="28"/>
                <w:szCs w:val="28"/>
              </w:rPr>
            </w:pPr>
            <w:r w:rsidRPr="00E25F89">
              <w:rPr>
                <w:rFonts w:ascii="Arial" w:eastAsiaTheme="majorEastAsia" w:hAnsi="Arial" w:cs="Arial"/>
                <w:b/>
                <w:bCs/>
                <w:color w:val="FFFFFF" w:themeColor="background1"/>
                <w:sz w:val="28"/>
                <w:szCs w:val="28"/>
              </w:rPr>
              <w:lastRenderedPageBreak/>
              <w:t>RESPONSES TO 2016/17 RECOMMENDATIONS</w:t>
            </w:r>
          </w:p>
        </w:tc>
      </w:tr>
      <w:tr w:rsidR="00547405" w:rsidRPr="00061610" w:rsidTr="001F13D8">
        <w:trPr>
          <w:trHeight w:val="450"/>
          <w:tblHeader/>
        </w:trPr>
        <w:tc>
          <w:tcPr>
            <w:tcW w:w="13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E2402"/>
            <w:vAlign w:val="center"/>
          </w:tcPr>
          <w:p w:rsidR="00547405" w:rsidRDefault="00547405" w:rsidP="001F13D8">
            <w:pPr>
              <w:keepNext/>
              <w:keepLines/>
              <w:jc w:val="center"/>
              <w:outlineLvl w:val="1"/>
              <w:rPr>
                <w:rFonts w:ascii="Arial" w:eastAsiaTheme="majorEastAsia" w:hAnsi="Arial" w:cs="Arial"/>
                <w:b/>
                <w:bCs/>
                <w:color w:val="FFFFFF" w:themeColor="background1"/>
                <w:sz w:val="28"/>
                <w:szCs w:val="28"/>
              </w:rPr>
            </w:pPr>
            <w:r>
              <w:rPr>
                <w:rFonts w:ascii="Arial" w:eastAsiaTheme="majorEastAsia" w:hAnsi="Arial" w:cs="Arial"/>
                <w:b/>
                <w:bCs/>
                <w:color w:val="FFFFFF" w:themeColor="background1"/>
                <w:sz w:val="28"/>
                <w:szCs w:val="28"/>
              </w:rPr>
              <w:t>RECOMMENDATION</w:t>
            </w:r>
            <w:r w:rsidR="00E55F24">
              <w:rPr>
                <w:rFonts w:ascii="Arial" w:eastAsiaTheme="majorEastAsia" w:hAnsi="Arial" w:cs="Arial"/>
                <w:b/>
                <w:bCs/>
                <w:color w:val="FFFFFF" w:themeColor="background1"/>
                <w:sz w:val="28"/>
                <w:szCs w:val="28"/>
              </w:rPr>
              <w:t xml:space="preserve"> 12.18</w:t>
            </w:r>
          </w:p>
        </w:tc>
      </w:tr>
      <w:tr w:rsidR="002321AF" w:rsidRPr="002321AF" w:rsidTr="001F13D8">
        <w:trPr>
          <w:trHeight w:val="746"/>
        </w:trPr>
        <w:tc>
          <w:tcPr>
            <w:tcW w:w="13907" w:type="dxa"/>
            <w:tcBorders>
              <w:top w:val="single" w:sz="4" w:space="0" w:color="FFFFFF" w:themeColor="background1"/>
              <w:bottom w:val="single" w:sz="4" w:space="0" w:color="auto"/>
            </w:tcBorders>
            <w:shd w:val="clear" w:color="auto" w:fill="auto"/>
          </w:tcPr>
          <w:p w:rsidR="00547405" w:rsidRPr="002321AF" w:rsidRDefault="00E55F24" w:rsidP="0072252E">
            <w:pPr>
              <w:pStyle w:val="ListParagraph"/>
              <w:numPr>
                <w:ilvl w:val="0"/>
                <w:numId w:val="2"/>
              </w:numPr>
              <w:jc w:val="both"/>
            </w:pPr>
            <w:r w:rsidRPr="002321AF">
              <w:rPr>
                <w:rFonts w:ascii="Arial" w:hAnsi="Arial" w:cs="Arial"/>
                <w:sz w:val="22"/>
                <w:szCs w:val="22"/>
              </w:rPr>
              <w:t xml:space="preserve">While positive bank balances and good fiscal positions are encouraged, the Provincial Treasuries must </w:t>
            </w:r>
            <w:proofErr w:type="spellStart"/>
            <w:r w:rsidRPr="002321AF">
              <w:rPr>
                <w:rFonts w:ascii="Arial" w:hAnsi="Arial" w:cs="Arial"/>
                <w:sz w:val="22"/>
                <w:szCs w:val="22"/>
              </w:rPr>
              <w:t>utilise</w:t>
            </w:r>
            <w:proofErr w:type="spellEnd"/>
            <w:r w:rsidRPr="002321AF">
              <w:rPr>
                <w:rFonts w:ascii="Arial" w:hAnsi="Arial" w:cs="Arial"/>
                <w:sz w:val="22"/>
                <w:szCs w:val="22"/>
              </w:rPr>
              <w:t xml:space="preserve"> the funds in their bank accounts to address service delivery backlogs and pay accruals on time</w:t>
            </w:r>
          </w:p>
        </w:tc>
      </w:tr>
      <w:tr w:rsidR="00547405" w:rsidRPr="00E25F89" w:rsidTr="001F13D8">
        <w:trPr>
          <w:trHeight w:val="980"/>
        </w:trPr>
        <w:tc>
          <w:tcPr>
            <w:tcW w:w="13907" w:type="dxa"/>
            <w:tcBorders>
              <w:bottom w:val="single" w:sz="4" w:space="0" w:color="auto"/>
            </w:tcBorders>
            <w:shd w:val="clear" w:color="auto" w:fill="auto"/>
          </w:tcPr>
          <w:p w:rsidR="00547405" w:rsidRPr="00E25F89" w:rsidRDefault="00547405" w:rsidP="001F13D8">
            <w:pPr>
              <w:spacing w:line="360" w:lineRule="auto"/>
              <w:jc w:val="both"/>
              <w:rPr>
                <w:rFonts w:ascii="Arial" w:hAnsi="Arial" w:cs="Arial"/>
                <w:b/>
              </w:rPr>
            </w:pPr>
            <w:r w:rsidRPr="00E25F89">
              <w:rPr>
                <w:rFonts w:ascii="Arial" w:hAnsi="Arial" w:cs="Arial"/>
                <w:b/>
                <w:sz w:val="22"/>
              </w:rPr>
              <w:t>PROGRESS:</w:t>
            </w:r>
          </w:p>
          <w:p w:rsidR="00336D7B" w:rsidRDefault="00336D7B" w:rsidP="00635F40">
            <w:pPr>
              <w:spacing w:after="160"/>
              <w:jc w:val="both"/>
              <w:rPr>
                <w:rFonts w:ascii="Arial" w:hAnsi="Arial" w:cs="Arial"/>
              </w:rPr>
            </w:pPr>
            <w:r w:rsidRPr="00635F40">
              <w:rPr>
                <w:rFonts w:ascii="Arial" w:hAnsi="Arial" w:cs="Arial"/>
                <w:sz w:val="22"/>
              </w:rPr>
              <w:t xml:space="preserve">The overall bank balances at the end of 2016/17 and 2017/18 financial years are R8.398 billion and R9.077 billion respectively. </w:t>
            </w:r>
            <w:r w:rsidRPr="00336D7B">
              <w:rPr>
                <w:rFonts w:ascii="Arial" w:hAnsi="Arial" w:cs="Arial"/>
                <w:sz w:val="22"/>
              </w:rPr>
              <w:t>The table below show how the 2017/18 overall balance is allocated over the MTEF to address the infrastructure backlogs relating to housing, sanitation, education and health facilities as well as broadband which the equitable share does not fully cater</w:t>
            </w:r>
            <w:r w:rsidRPr="00336D7B">
              <w:rPr>
                <w:rFonts w:ascii="Arial" w:hAnsi="Arial" w:cs="Arial"/>
              </w:rPr>
              <w:t>.</w:t>
            </w:r>
          </w:p>
          <w:p w:rsidR="00336D7B" w:rsidRPr="00336D7B" w:rsidRDefault="00336D7B" w:rsidP="00336D7B">
            <w:pPr>
              <w:pStyle w:val="ListParagraph"/>
              <w:spacing w:after="160"/>
              <w:jc w:val="both"/>
              <w:rPr>
                <w:rFonts w:ascii="Arial" w:hAnsi="Arial" w:cs="Arial"/>
              </w:rPr>
            </w:pPr>
          </w:p>
          <w:p w:rsidR="00547405" w:rsidRDefault="00336D7B" w:rsidP="00336D7B">
            <w:pPr>
              <w:pStyle w:val="ListParagraph"/>
              <w:spacing w:after="160"/>
              <w:jc w:val="both"/>
              <w:rPr>
                <w:rFonts w:ascii="Arial" w:hAnsi="Arial" w:cs="Arial"/>
              </w:rPr>
            </w:pPr>
            <w:r>
              <w:rPr>
                <w:rFonts w:ascii="Arial" w:hAnsi="Arial" w:cs="Arial"/>
                <w:noProof/>
                <w:lang w:val="en-ZA"/>
              </w:rPr>
              <w:drawing>
                <wp:inline distT="0" distB="0" distL="0" distR="0">
                  <wp:extent cx="5401310" cy="2573020"/>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1310" cy="2573020"/>
                          </a:xfrm>
                          <a:prstGeom prst="rect">
                            <a:avLst/>
                          </a:prstGeom>
                          <a:noFill/>
                        </pic:spPr>
                      </pic:pic>
                    </a:graphicData>
                  </a:graphic>
                </wp:inline>
              </w:drawing>
            </w:r>
          </w:p>
          <w:p w:rsidR="00336D7B" w:rsidRPr="00336D7B" w:rsidRDefault="00336D7B" w:rsidP="00336D7B">
            <w:pPr>
              <w:pStyle w:val="ListParagraph"/>
              <w:rPr>
                <w:rFonts w:ascii="Arial" w:hAnsi="Arial" w:cs="Arial"/>
              </w:rPr>
            </w:pPr>
          </w:p>
          <w:p w:rsidR="00336D7B" w:rsidRPr="00635F40" w:rsidRDefault="00336D7B" w:rsidP="00635F40">
            <w:pPr>
              <w:spacing w:after="160"/>
              <w:jc w:val="both"/>
              <w:rPr>
                <w:rFonts w:ascii="Arial" w:hAnsi="Arial" w:cs="Arial"/>
              </w:rPr>
            </w:pPr>
            <w:r w:rsidRPr="00635F40">
              <w:rPr>
                <w:rFonts w:ascii="Arial" w:hAnsi="Arial" w:cs="Arial"/>
                <w:sz w:val="22"/>
              </w:rPr>
              <w:t>Of the R2.9 billion surplus funds indicated in the table above, the following are some known obligations and contingencies that are likely to be addressed:</w:t>
            </w:r>
          </w:p>
          <w:p w:rsidR="00336D7B" w:rsidRPr="00336D7B" w:rsidRDefault="00336D7B" w:rsidP="0072252E">
            <w:pPr>
              <w:pStyle w:val="ListParagraph"/>
              <w:numPr>
                <w:ilvl w:val="0"/>
                <w:numId w:val="1"/>
              </w:numPr>
              <w:spacing w:after="160"/>
              <w:jc w:val="both"/>
              <w:rPr>
                <w:rFonts w:ascii="Arial" w:hAnsi="Arial" w:cs="Arial"/>
              </w:rPr>
            </w:pPr>
            <w:r w:rsidRPr="00336D7B">
              <w:rPr>
                <w:rFonts w:ascii="Arial" w:hAnsi="Arial" w:cs="Arial"/>
                <w:sz w:val="22"/>
              </w:rPr>
              <w:t xml:space="preserve">R16.658 billion for medico legal claims against the department of Health. </w:t>
            </w:r>
          </w:p>
          <w:p w:rsidR="00336D7B" w:rsidRPr="00336D7B" w:rsidRDefault="00336D7B" w:rsidP="0072252E">
            <w:pPr>
              <w:pStyle w:val="ListParagraph"/>
              <w:numPr>
                <w:ilvl w:val="0"/>
                <w:numId w:val="1"/>
              </w:numPr>
              <w:spacing w:after="160"/>
              <w:jc w:val="both"/>
              <w:rPr>
                <w:rFonts w:ascii="Arial" w:hAnsi="Arial" w:cs="Arial"/>
              </w:rPr>
            </w:pPr>
            <w:r w:rsidRPr="00336D7B">
              <w:rPr>
                <w:rFonts w:ascii="Arial" w:hAnsi="Arial" w:cs="Arial"/>
                <w:sz w:val="22"/>
              </w:rPr>
              <w:t>Broadband estimated at R6 billion to R12 billion.</w:t>
            </w:r>
          </w:p>
          <w:p w:rsidR="00336D7B" w:rsidRPr="00336D7B" w:rsidRDefault="00336D7B" w:rsidP="0072252E">
            <w:pPr>
              <w:pStyle w:val="ListParagraph"/>
              <w:numPr>
                <w:ilvl w:val="0"/>
                <w:numId w:val="1"/>
              </w:numPr>
              <w:spacing w:after="160"/>
              <w:jc w:val="both"/>
              <w:rPr>
                <w:rFonts w:ascii="Arial" w:hAnsi="Arial" w:cs="Arial"/>
              </w:rPr>
            </w:pPr>
            <w:r w:rsidRPr="00336D7B">
              <w:rPr>
                <w:rFonts w:ascii="Arial" w:hAnsi="Arial" w:cs="Arial"/>
                <w:sz w:val="22"/>
              </w:rPr>
              <w:t>Capped leave estimated at R6.2 billion (mostly for Health and Education)</w:t>
            </w:r>
          </w:p>
          <w:p w:rsidR="00336D7B" w:rsidRPr="00336D7B" w:rsidRDefault="00336D7B" w:rsidP="0072252E">
            <w:pPr>
              <w:pStyle w:val="ListParagraph"/>
              <w:numPr>
                <w:ilvl w:val="0"/>
                <w:numId w:val="1"/>
              </w:numPr>
              <w:spacing w:after="160"/>
              <w:jc w:val="both"/>
              <w:rPr>
                <w:rFonts w:ascii="Arial" w:hAnsi="Arial" w:cs="Arial"/>
              </w:rPr>
            </w:pPr>
            <w:r w:rsidRPr="00336D7B">
              <w:rPr>
                <w:rFonts w:ascii="Arial" w:hAnsi="Arial" w:cs="Arial"/>
                <w:sz w:val="22"/>
              </w:rPr>
              <w:lastRenderedPageBreak/>
              <w:t>Health accruals (affected by fluctuating prices).</w:t>
            </w:r>
          </w:p>
          <w:p w:rsidR="00336D7B" w:rsidRPr="00336D7B" w:rsidRDefault="00336D7B" w:rsidP="0072252E">
            <w:pPr>
              <w:pStyle w:val="ListParagraph"/>
              <w:numPr>
                <w:ilvl w:val="0"/>
                <w:numId w:val="1"/>
              </w:numPr>
              <w:spacing w:after="160"/>
              <w:jc w:val="both"/>
              <w:rPr>
                <w:rFonts w:ascii="Arial" w:hAnsi="Arial" w:cs="Arial"/>
              </w:rPr>
            </w:pPr>
            <w:r w:rsidRPr="00336D7B">
              <w:rPr>
                <w:rFonts w:ascii="Arial" w:hAnsi="Arial" w:cs="Arial"/>
                <w:sz w:val="22"/>
              </w:rPr>
              <w:t>Provincial infrastructure backlogs R151.103 billion.</w:t>
            </w:r>
          </w:p>
          <w:p w:rsidR="00336D7B" w:rsidRDefault="00336D7B" w:rsidP="0072252E">
            <w:pPr>
              <w:pStyle w:val="ListParagraph"/>
              <w:numPr>
                <w:ilvl w:val="0"/>
                <w:numId w:val="1"/>
              </w:numPr>
              <w:spacing w:after="160"/>
              <w:jc w:val="both"/>
              <w:rPr>
                <w:rFonts w:ascii="Arial" w:hAnsi="Arial" w:cs="Arial"/>
              </w:rPr>
            </w:pPr>
            <w:r w:rsidRPr="00336D7B">
              <w:rPr>
                <w:rFonts w:ascii="Arial" w:hAnsi="Arial" w:cs="Arial"/>
                <w:sz w:val="22"/>
              </w:rPr>
              <w:t>Preliminary accruals amount to R740.062 million, of which 40% relates to invoices less than 30 days. See table below:</w:t>
            </w:r>
          </w:p>
          <w:p w:rsidR="00336D7B" w:rsidRDefault="00336D7B" w:rsidP="00336D7B">
            <w:pPr>
              <w:pStyle w:val="ListParagraph"/>
              <w:spacing w:after="160"/>
              <w:jc w:val="both"/>
              <w:rPr>
                <w:rFonts w:ascii="Arial" w:hAnsi="Arial" w:cs="Arial"/>
              </w:rPr>
            </w:pPr>
          </w:p>
          <w:p w:rsidR="00635F40" w:rsidRPr="00635F40" w:rsidRDefault="00635F40" w:rsidP="00635F40">
            <w:pPr>
              <w:pStyle w:val="ListParagraph"/>
              <w:spacing w:after="160"/>
              <w:ind w:left="0"/>
              <w:jc w:val="both"/>
              <w:rPr>
                <w:rFonts w:ascii="Arial" w:hAnsi="Arial" w:cs="Arial"/>
                <w:b/>
              </w:rPr>
            </w:pPr>
            <w:r w:rsidRPr="00635F40">
              <w:rPr>
                <w:rFonts w:ascii="Arial" w:hAnsi="Arial" w:cs="Arial"/>
                <w:b/>
                <w:sz w:val="22"/>
              </w:rPr>
              <w:t>Accruals and Payables as at March 2018 (preliminary)</w:t>
            </w:r>
          </w:p>
          <w:tbl>
            <w:tblPr>
              <w:tblW w:w="8549" w:type="dxa"/>
              <w:tblLayout w:type="fixed"/>
              <w:tblLook w:val="04A0"/>
            </w:tblPr>
            <w:tblGrid>
              <w:gridCol w:w="1424"/>
              <w:gridCol w:w="1425"/>
              <w:gridCol w:w="1425"/>
              <w:gridCol w:w="1425"/>
              <w:gridCol w:w="1425"/>
              <w:gridCol w:w="1425"/>
            </w:tblGrid>
            <w:tr w:rsidR="00C71DF2" w:rsidRPr="00883C71" w:rsidTr="00C71DF2">
              <w:trPr>
                <w:trHeight w:val="290"/>
              </w:trPr>
              <w:tc>
                <w:tcPr>
                  <w:tcW w:w="14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1DF2" w:rsidRPr="00883C71" w:rsidRDefault="00C71DF2" w:rsidP="00C71DF2">
                  <w:pPr>
                    <w:rPr>
                      <w:color w:val="000000"/>
                      <w:lang w:eastAsia="en-ZA"/>
                    </w:rPr>
                  </w:pPr>
                </w:p>
              </w:tc>
              <w:tc>
                <w:tcPr>
                  <w:tcW w:w="1425" w:type="dxa"/>
                  <w:tcBorders>
                    <w:top w:val="single" w:sz="4" w:space="0" w:color="auto"/>
                    <w:left w:val="nil"/>
                    <w:bottom w:val="single" w:sz="4" w:space="0" w:color="auto"/>
                    <w:right w:val="single" w:sz="4" w:space="0" w:color="auto"/>
                  </w:tcBorders>
                  <w:shd w:val="clear" w:color="auto" w:fill="auto"/>
                  <w:noWrap/>
                  <w:vAlign w:val="bottom"/>
                  <w:hideMark/>
                </w:tcPr>
                <w:p w:rsidR="00C71DF2" w:rsidRPr="00883C71" w:rsidRDefault="00C71DF2" w:rsidP="00C71DF2">
                  <w:pPr>
                    <w:jc w:val="center"/>
                    <w:rPr>
                      <w:b/>
                      <w:bCs/>
                      <w:color w:val="000000"/>
                      <w:lang w:eastAsia="en-ZA"/>
                    </w:rPr>
                  </w:pPr>
                  <w:r w:rsidRPr="00883C71">
                    <w:rPr>
                      <w:b/>
                      <w:bCs/>
                      <w:color w:val="000000"/>
                      <w:lang w:eastAsia="en-ZA"/>
                    </w:rPr>
                    <w:t>0-30 DAYS</w:t>
                  </w:r>
                </w:p>
              </w:tc>
              <w:tc>
                <w:tcPr>
                  <w:tcW w:w="1425" w:type="dxa"/>
                  <w:tcBorders>
                    <w:top w:val="single" w:sz="4" w:space="0" w:color="auto"/>
                    <w:left w:val="nil"/>
                    <w:bottom w:val="single" w:sz="4" w:space="0" w:color="auto"/>
                    <w:right w:val="single" w:sz="4" w:space="0" w:color="auto"/>
                  </w:tcBorders>
                  <w:shd w:val="clear" w:color="auto" w:fill="auto"/>
                  <w:noWrap/>
                  <w:vAlign w:val="bottom"/>
                  <w:hideMark/>
                </w:tcPr>
                <w:p w:rsidR="00C71DF2" w:rsidRPr="00883C71" w:rsidRDefault="00C71DF2" w:rsidP="00C71DF2">
                  <w:pPr>
                    <w:jc w:val="center"/>
                    <w:rPr>
                      <w:b/>
                      <w:bCs/>
                      <w:color w:val="000000"/>
                      <w:lang w:eastAsia="en-ZA"/>
                    </w:rPr>
                  </w:pPr>
                  <w:r w:rsidRPr="00883C71">
                    <w:rPr>
                      <w:b/>
                      <w:bCs/>
                      <w:color w:val="000000"/>
                      <w:lang w:eastAsia="en-ZA"/>
                    </w:rPr>
                    <w:t>30 - 60 DAYS</w:t>
                  </w:r>
                </w:p>
              </w:tc>
              <w:tc>
                <w:tcPr>
                  <w:tcW w:w="1425" w:type="dxa"/>
                  <w:tcBorders>
                    <w:top w:val="single" w:sz="4" w:space="0" w:color="auto"/>
                    <w:left w:val="nil"/>
                    <w:bottom w:val="single" w:sz="4" w:space="0" w:color="auto"/>
                    <w:right w:val="single" w:sz="4" w:space="0" w:color="auto"/>
                  </w:tcBorders>
                  <w:shd w:val="clear" w:color="auto" w:fill="auto"/>
                  <w:noWrap/>
                  <w:vAlign w:val="bottom"/>
                  <w:hideMark/>
                </w:tcPr>
                <w:p w:rsidR="00C71DF2" w:rsidRPr="00883C71" w:rsidRDefault="00C71DF2" w:rsidP="00C71DF2">
                  <w:pPr>
                    <w:jc w:val="center"/>
                    <w:rPr>
                      <w:b/>
                      <w:bCs/>
                      <w:color w:val="000000"/>
                      <w:lang w:eastAsia="en-ZA"/>
                    </w:rPr>
                  </w:pPr>
                  <w:r w:rsidRPr="00883C71">
                    <w:rPr>
                      <w:b/>
                      <w:bCs/>
                      <w:color w:val="000000"/>
                      <w:lang w:eastAsia="en-ZA"/>
                    </w:rPr>
                    <w:t>60-90 DAYS</w:t>
                  </w:r>
                </w:p>
              </w:tc>
              <w:tc>
                <w:tcPr>
                  <w:tcW w:w="1425" w:type="dxa"/>
                  <w:tcBorders>
                    <w:top w:val="single" w:sz="4" w:space="0" w:color="auto"/>
                    <w:left w:val="nil"/>
                    <w:bottom w:val="single" w:sz="4" w:space="0" w:color="auto"/>
                    <w:right w:val="single" w:sz="4" w:space="0" w:color="auto"/>
                  </w:tcBorders>
                  <w:shd w:val="clear" w:color="auto" w:fill="auto"/>
                  <w:noWrap/>
                  <w:vAlign w:val="bottom"/>
                  <w:hideMark/>
                </w:tcPr>
                <w:p w:rsidR="00C71DF2" w:rsidRPr="00883C71" w:rsidRDefault="00C71DF2" w:rsidP="00C71DF2">
                  <w:pPr>
                    <w:jc w:val="center"/>
                    <w:rPr>
                      <w:b/>
                      <w:bCs/>
                      <w:color w:val="000000"/>
                      <w:lang w:eastAsia="en-ZA"/>
                    </w:rPr>
                  </w:pPr>
                  <w:r w:rsidRPr="00883C71">
                    <w:rPr>
                      <w:b/>
                      <w:bCs/>
                      <w:color w:val="000000"/>
                      <w:lang w:eastAsia="en-ZA"/>
                    </w:rPr>
                    <w:t>90 + DAYS</w:t>
                  </w:r>
                </w:p>
              </w:tc>
              <w:tc>
                <w:tcPr>
                  <w:tcW w:w="1425" w:type="dxa"/>
                  <w:tcBorders>
                    <w:top w:val="single" w:sz="4" w:space="0" w:color="auto"/>
                    <w:left w:val="nil"/>
                    <w:bottom w:val="single" w:sz="4" w:space="0" w:color="auto"/>
                    <w:right w:val="single" w:sz="4" w:space="0" w:color="auto"/>
                  </w:tcBorders>
                  <w:shd w:val="clear" w:color="auto" w:fill="auto"/>
                  <w:noWrap/>
                  <w:vAlign w:val="bottom"/>
                  <w:hideMark/>
                </w:tcPr>
                <w:p w:rsidR="00C71DF2" w:rsidRPr="00883C71" w:rsidRDefault="00C71DF2" w:rsidP="00C71DF2">
                  <w:pPr>
                    <w:jc w:val="center"/>
                    <w:rPr>
                      <w:b/>
                      <w:bCs/>
                      <w:color w:val="000000"/>
                      <w:lang w:eastAsia="en-ZA"/>
                    </w:rPr>
                  </w:pPr>
                  <w:r w:rsidRPr="00883C71">
                    <w:rPr>
                      <w:b/>
                      <w:bCs/>
                      <w:color w:val="000000"/>
                      <w:lang w:eastAsia="en-ZA"/>
                    </w:rPr>
                    <w:t>TOTAL</w:t>
                  </w:r>
                </w:p>
              </w:tc>
            </w:tr>
            <w:tr w:rsidR="00C71DF2" w:rsidRPr="00883C71" w:rsidTr="00C71DF2">
              <w:trPr>
                <w:trHeight w:val="290"/>
              </w:trPr>
              <w:tc>
                <w:tcPr>
                  <w:tcW w:w="1424" w:type="dxa"/>
                  <w:tcBorders>
                    <w:top w:val="nil"/>
                    <w:left w:val="single" w:sz="4" w:space="0" w:color="auto"/>
                    <w:bottom w:val="single" w:sz="4" w:space="0" w:color="auto"/>
                    <w:right w:val="single" w:sz="4" w:space="0" w:color="auto"/>
                  </w:tcBorders>
                  <w:shd w:val="clear" w:color="auto" w:fill="auto"/>
                  <w:noWrap/>
                  <w:vAlign w:val="bottom"/>
                  <w:hideMark/>
                </w:tcPr>
                <w:p w:rsidR="00C71DF2" w:rsidRPr="00883C71" w:rsidRDefault="00C71DF2" w:rsidP="00C71DF2">
                  <w:pPr>
                    <w:rPr>
                      <w:color w:val="000000"/>
                      <w:lang w:eastAsia="en-ZA"/>
                    </w:rPr>
                  </w:pPr>
                  <w:r w:rsidRPr="00883C71">
                    <w:rPr>
                      <w:color w:val="000000"/>
                      <w:lang w:eastAsia="en-ZA"/>
                    </w:rPr>
                    <w:t>Accruals</w:t>
                  </w:r>
                </w:p>
              </w:tc>
              <w:tc>
                <w:tcPr>
                  <w:tcW w:w="1425" w:type="dxa"/>
                  <w:tcBorders>
                    <w:top w:val="nil"/>
                    <w:left w:val="nil"/>
                    <w:bottom w:val="single" w:sz="4" w:space="0" w:color="auto"/>
                    <w:right w:val="single" w:sz="4" w:space="0" w:color="auto"/>
                  </w:tcBorders>
                  <w:shd w:val="clear" w:color="auto" w:fill="auto"/>
                  <w:noWrap/>
                  <w:vAlign w:val="bottom"/>
                  <w:hideMark/>
                </w:tcPr>
                <w:p w:rsidR="00C71DF2" w:rsidRPr="00883C71" w:rsidRDefault="00C71DF2" w:rsidP="00C71DF2">
                  <w:pPr>
                    <w:jc w:val="center"/>
                    <w:rPr>
                      <w:color w:val="000000"/>
                      <w:lang w:eastAsia="en-ZA"/>
                    </w:rPr>
                  </w:pPr>
                  <w:r w:rsidRPr="00883C71">
                    <w:rPr>
                      <w:color w:val="000000"/>
                      <w:lang w:eastAsia="en-ZA"/>
                    </w:rPr>
                    <w:t>107 924</w:t>
                  </w:r>
                </w:p>
              </w:tc>
              <w:tc>
                <w:tcPr>
                  <w:tcW w:w="1425" w:type="dxa"/>
                  <w:tcBorders>
                    <w:top w:val="nil"/>
                    <w:left w:val="nil"/>
                    <w:bottom w:val="single" w:sz="4" w:space="0" w:color="auto"/>
                    <w:right w:val="single" w:sz="4" w:space="0" w:color="auto"/>
                  </w:tcBorders>
                  <w:shd w:val="clear" w:color="auto" w:fill="auto"/>
                  <w:noWrap/>
                  <w:vAlign w:val="bottom"/>
                  <w:hideMark/>
                </w:tcPr>
                <w:p w:rsidR="00C71DF2" w:rsidRPr="00883C71" w:rsidRDefault="00C71DF2" w:rsidP="00C71DF2">
                  <w:pPr>
                    <w:jc w:val="center"/>
                    <w:rPr>
                      <w:color w:val="000000"/>
                      <w:lang w:eastAsia="en-ZA"/>
                    </w:rPr>
                  </w:pPr>
                  <w:r w:rsidRPr="00883C71">
                    <w:rPr>
                      <w:color w:val="000000"/>
                      <w:lang w:eastAsia="en-ZA"/>
                    </w:rPr>
                    <w:t>27 489</w:t>
                  </w:r>
                </w:p>
              </w:tc>
              <w:tc>
                <w:tcPr>
                  <w:tcW w:w="1425" w:type="dxa"/>
                  <w:tcBorders>
                    <w:top w:val="nil"/>
                    <w:left w:val="nil"/>
                    <w:bottom w:val="single" w:sz="4" w:space="0" w:color="auto"/>
                    <w:right w:val="single" w:sz="4" w:space="0" w:color="auto"/>
                  </w:tcBorders>
                  <w:shd w:val="clear" w:color="auto" w:fill="auto"/>
                  <w:noWrap/>
                  <w:vAlign w:val="bottom"/>
                  <w:hideMark/>
                </w:tcPr>
                <w:p w:rsidR="00C71DF2" w:rsidRPr="00883C71" w:rsidRDefault="00C71DF2" w:rsidP="00C71DF2">
                  <w:pPr>
                    <w:jc w:val="center"/>
                    <w:rPr>
                      <w:color w:val="000000"/>
                      <w:lang w:eastAsia="en-ZA"/>
                    </w:rPr>
                  </w:pPr>
                  <w:r w:rsidRPr="00883C71">
                    <w:rPr>
                      <w:color w:val="000000"/>
                      <w:lang w:eastAsia="en-ZA"/>
                    </w:rPr>
                    <w:t>28 998</w:t>
                  </w:r>
                </w:p>
              </w:tc>
              <w:tc>
                <w:tcPr>
                  <w:tcW w:w="1425" w:type="dxa"/>
                  <w:tcBorders>
                    <w:top w:val="nil"/>
                    <w:left w:val="nil"/>
                    <w:bottom w:val="single" w:sz="4" w:space="0" w:color="auto"/>
                    <w:right w:val="single" w:sz="4" w:space="0" w:color="auto"/>
                  </w:tcBorders>
                  <w:shd w:val="clear" w:color="auto" w:fill="auto"/>
                  <w:noWrap/>
                  <w:vAlign w:val="bottom"/>
                  <w:hideMark/>
                </w:tcPr>
                <w:p w:rsidR="00C71DF2" w:rsidRPr="00883C71" w:rsidRDefault="00C71DF2" w:rsidP="00C71DF2">
                  <w:pPr>
                    <w:jc w:val="center"/>
                    <w:rPr>
                      <w:color w:val="000000"/>
                      <w:lang w:eastAsia="en-ZA"/>
                    </w:rPr>
                  </w:pPr>
                  <w:r w:rsidRPr="00883C71">
                    <w:rPr>
                      <w:color w:val="000000"/>
                      <w:lang w:eastAsia="en-ZA"/>
                    </w:rPr>
                    <w:t>92 398</w:t>
                  </w:r>
                </w:p>
              </w:tc>
              <w:tc>
                <w:tcPr>
                  <w:tcW w:w="1425" w:type="dxa"/>
                  <w:tcBorders>
                    <w:top w:val="nil"/>
                    <w:left w:val="nil"/>
                    <w:bottom w:val="single" w:sz="4" w:space="0" w:color="auto"/>
                    <w:right w:val="single" w:sz="4" w:space="0" w:color="auto"/>
                  </w:tcBorders>
                  <w:shd w:val="clear" w:color="auto" w:fill="auto"/>
                  <w:noWrap/>
                  <w:vAlign w:val="bottom"/>
                  <w:hideMark/>
                </w:tcPr>
                <w:p w:rsidR="00C71DF2" w:rsidRPr="00883C71" w:rsidRDefault="00C71DF2" w:rsidP="00C71DF2">
                  <w:pPr>
                    <w:jc w:val="center"/>
                    <w:rPr>
                      <w:color w:val="000000"/>
                      <w:lang w:eastAsia="en-ZA"/>
                    </w:rPr>
                  </w:pPr>
                  <w:r w:rsidRPr="00883C71">
                    <w:rPr>
                      <w:color w:val="000000"/>
                      <w:lang w:eastAsia="en-ZA"/>
                    </w:rPr>
                    <w:t>256 809</w:t>
                  </w:r>
                </w:p>
              </w:tc>
            </w:tr>
            <w:tr w:rsidR="00C71DF2" w:rsidRPr="00883C71" w:rsidTr="00C71DF2">
              <w:trPr>
                <w:trHeight w:val="290"/>
              </w:trPr>
              <w:tc>
                <w:tcPr>
                  <w:tcW w:w="1424" w:type="dxa"/>
                  <w:tcBorders>
                    <w:top w:val="nil"/>
                    <w:left w:val="single" w:sz="4" w:space="0" w:color="auto"/>
                    <w:bottom w:val="single" w:sz="4" w:space="0" w:color="auto"/>
                    <w:right w:val="single" w:sz="4" w:space="0" w:color="auto"/>
                  </w:tcBorders>
                  <w:shd w:val="clear" w:color="auto" w:fill="auto"/>
                  <w:noWrap/>
                  <w:vAlign w:val="bottom"/>
                  <w:hideMark/>
                </w:tcPr>
                <w:p w:rsidR="00C71DF2" w:rsidRPr="00883C71" w:rsidRDefault="00C71DF2" w:rsidP="00C71DF2">
                  <w:pPr>
                    <w:rPr>
                      <w:color w:val="000000"/>
                      <w:lang w:eastAsia="en-ZA"/>
                    </w:rPr>
                  </w:pPr>
                  <w:r w:rsidRPr="00883C71">
                    <w:rPr>
                      <w:color w:val="000000"/>
                      <w:lang w:eastAsia="en-ZA"/>
                    </w:rPr>
                    <w:t>Payables</w:t>
                  </w:r>
                </w:p>
              </w:tc>
              <w:tc>
                <w:tcPr>
                  <w:tcW w:w="1425" w:type="dxa"/>
                  <w:tcBorders>
                    <w:top w:val="nil"/>
                    <w:left w:val="nil"/>
                    <w:bottom w:val="single" w:sz="4" w:space="0" w:color="auto"/>
                    <w:right w:val="single" w:sz="4" w:space="0" w:color="auto"/>
                  </w:tcBorders>
                  <w:shd w:val="clear" w:color="auto" w:fill="auto"/>
                  <w:noWrap/>
                  <w:vAlign w:val="bottom"/>
                  <w:hideMark/>
                </w:tcPr>
                <w:p w:rsidR="00C71DF2" w:rsidRPr="00883C71" w:rsidRDefault="00C71DF2" w:rsidP="00C71DF2">
                  <w:pPr>
                    <w:jc w:val="center"/>
                    <w:rPr>
                      <w:color w:val="000000"/>
                      <w:lang w:eastAsia="en-ZA"/>
                    </w:rPr>
                  </w:pPr>
                  <w:r w:rsidRPr="00883C71">
                    <w:rPr>
                      <w:color w:val="000000"/>
                      <w:lang w:eastAsia="en-ZA"/>
                    </w:rPr>
                    <w:t>189 548</w:t>
                  </w:r>
                </w:p>
              </w:tc>
              <w:tc>
                <w:tcPr>
                  <w:tcW w:w="1425" w:type="dxa"/>
                  <w:tcBorders>
                    <w:top w:val="nil"/>
                    <w:left w:val="nil"/>
                    <w:bottom w:val="single" w:sz="4" w:space="0" w:color="auto"/>
                    <w:right w:val="single" w:sz="4" w:space="0" w:color="auto"/>
                  </w:tcBorders>
                  <w:shd w:val="clear" w:color="auto" w:fill="auto"/>
                  <w:noWrap/>
                  <w:vAlign w:val="bottom"/>
                  <w:hideMark/>
                </w:tcPr>
                <w:p w:rsidR="00C71DF2" w:rsidRPr="00883C71" w:rsidRDefault="00C71DF2" w:rsidP="00C71DF2">
                  <w:pPr>
                    <w:jc w:val="center"/>
                    <w:rPr>
                      <w:color w:val="000000"/>
                      <w:lang w:eastAsia="en-ZA"/>
                    </w:rPr>
                  </w:pPr>
                  <w:r w:rsidRPr="00883C71">
                    <w:rPr>
                      <w:color w:val="000000"/>
                      <w:lang w:eastAsia="en-ZA"/>
                    </w:rPr>
                    <w:t>108 472</w:t>
                  </w:r>
                </w:p>
              </w:tc>
              <w:tc>
                <w:tcPr>
                  <w:tcW w:w="1425" w:type="dxa"/>
                  <w:tcBorders>
                    <w:top w:val="nil"/>
                    <w:left w:val="nil"/>
                    <w:bottom w:val="single" w:sz="4" w:space="0" w:color="auto"/>
                    <w:right w:val="single" w:sz="4" w:space="0" w:color="auto"/>
                  </w:tcBorders>
                  <w:shd w:val="clear" w:color="auto" w:fill="auto"/>
                  <w:noWrap/>
                  <w:vAlign w:val="bottom"/>
                  <w:hideMark/>
                </w:tcPr>
                <w:p w:rsidR="00C71DF2" w:rsidRPr="00883C71" w:rsidRDefault="00C71DF2" w:rsidP="00C71DF2">
                  <w:pPr>
                    <w:jc w:val="center"/>
                    <w:rPr>
                      <w:color w:val="000000"/>
                      <w:lang w:eastAsia="en-ZA"/>
                    </w:rPr>
                  </w:pPr>
                  <w:r w:rsidRPr="00883C71">
                    <w:rPr>
                      <w:color w:val="000000"/>
                      <w:lang w:eastAsia="en-ZA"/>
                    </w:rPr>
                    <w:t>58 013</w:t>
                  </w:r>
                </w:p>
              </w:tc>
              <w:tc>
                <w:tcPr>
                  <w:tcW w:w="1425" w:type="dxa"/>
                  <w:tcBorders>
                    <w:top w:val="nil"/>
                    <w:left w:val="nil"/>
                    <w:bottom w:val="single" w:sz="4" w:space="0" w:color="auto"/>
                    <w:right w:val="single" w:sz="4" w:space="0" w:color="auto"/>
                  </w:tcBorders>
                  <w:shd w:val="clear" w:color="auto" w:fill="auto"/>
                  <w:noWrap/>
                  <w:vAlign w:val="bottom"/>
                  <w:hideMark/>
                </w:tcPr>
                <w:p w:rsidR="00C71DF2" w:rsidRPr="00883C71" w:rsidRDefault="00C71DF2" w:rsidP="00C71DF2">
                  <w:pPr>
                    <w:jc w:val="center"/>
                    <w:rPr>
                      <w:color w:val="000000"/>
                      <w:lang w:eastAsia="en-ZA"/>
                    </w:rPr>
                  </w:pPr>
                  <w:r w:rsidRPr="00883C71">
                    <w:rPr>
                      <w:color w:val="000000"/>
                      <w:lang w:eastAsia="en-ZA"/>
                    </w:rPr>
                    <w:t>127 220</w:t>
                  </w:r>
                </w:p>
              </w:tc>
              <w:tc>
                <w:tcPr>
                  <w:tcW w:w="1425" w:type="dxa"/>
                  <w:tcBorders>
                    <w:top w:val="nil"/>
                    <w:left w:val="nil"/>
                    <w:bottom w:val="single" w:sz="4" w:space="0" w:color="auto"/>
                    <w:right w:val="single" w:sz="4" w:space="0" w:color="auto"/>
                  </w:tcBorders>
                  <w:shd w:val="clear" w:color="auto" w:fill="auto"/>
                  <w:noWrap/>
                  <w:vAlign w:val="bottom"/>
                  <w:hideMark/>
                </w:tcPr>
                <w:p w:rsidR="00C71DF2" w:rsidRPr="00883C71" w:rsidRDefault="00C71DF2" w:rsidP="00C71DF2">
                  <w:pPr>
                    <w:jc w:val="center"/>
                    <w:rPr>
                      <w:color w:val="000000"/>
                      <w:lang w:eastAsia="en-ZA"/>
                    </w:rPr>
                  </w:pPr>
                  <w:r w:rsidRPr="00883C71">
                    <w:rPr>
                      <w:color w:val="000000"/>
                      <w:lang w:eastAsia="en-ZA"/>
                    </w:rPr>
                    <w:t>483 253</w:t>
                  </w:r>
                </w:p>
              </w:tc>
            </w:tr>
            <w:tr w:rsidR="00C71DF2" w:rsidRPr="00883C71" w:rsidTr="00C71DF2">
              <w:trPr>
                <w:trHeight w:val="290"/>
              </w:trPr>
              <w:tc>
                <w:tcPr>
                  <w:tcW w:w="1424" w:type="dxa"/>
                  <w:tcBorders>
                    <w:top w:val="nil"/>
                    <w:left w:val="single" w:sz="4" w:space="0" w:color="auto"/>
                    <w:bottom w:val="single" w:sz="4" w:space="0" w:color="auto"/>
                    <w:right w:val="single" w:sz="4" w:space="0" w:color="auto"/>
                  </w:tcBorders>
                  <w:shd w:val="clear" w:color="auto" w:fill="auto"/>
                  <w:noWrap/>
                  <w:vAlign w:val="bottom"/>
                  <w:hideMark/>
                </w:tcPr>
                <w:p w:rsidR="00C71DF2" w:rsidRPr="00883C71" w:rsidRDefault="00C71DF2" w:rsidP="00C71DF2">
                  <w:pPr>
                    <w:rPr>
                      <w:b/>
                      <w:bCs/>
                      <w:color w:val="000000"/>
                      <w:lang w:eastAsia="en-ZA"/>
                    </w:rPr>
                  </w:pPr>
                  <w:r w:rsidRPr="00883C71">
                    <w:rPr>
                      <w:b/>
                      <w:bCs/>
                      <w:color w:val="000000"/>
                      <w:lang w:eastAsia="en-ZA"/>
                    </w:rPr>
                    <w:t>TOTALS</w:t>
                  </w:r>
                </w:p>
              </w:tc>
              <w:tc>
                <w:tcPr>
                  <w:tcW w:w="1425" w:type="dxa"/>
                  <w:tcBorders>
                    <w:top w:val="nil"/>
                    <w:left w:val="nil"/>
                    <w:bottom w:val="single" w:sz="4" w:space="0" w:color="auto"/>
                    <w:right w:val="single" w:sz="4" w:space="0" w:color="auto"/>
                  </w:tcBorders>
                  <w:shd w:val="clear" w:color="auto" w:fill="auto"/>
                  <w:noWrap/>
                  <w:vAlign w:val="bottom"/>
                  <w:hideMark/>
                </w:tcPr>
                <w:p w:rsidR="00C71DF2" w:rsidRPr="00883C71" w:rsidRDefault="00C71DF2" w:rsidP="00C71DF2">
                  <w:pPr>
                    <w:jc w:val="center"/>
                    <w:rPr>
                      <w:b/>
                      <w:bCs/>
                      <w:color w:val="000000"/>
                      <w:lang w:eastAsia="en-ZA"/>
                    </w:rPr>
                  </w:pPr>
                  <w:r w:rsidRPr="00883C71">
                    <w:rPr>
                      <w:b/>
                      <w:bCs/>
                      <w:color w:val="000000"/>
                      <w:lang w:eastAsia="en-ZA"/>
                    </w:rPr>
                    <w:t>297 472</w:t>
                  </w:r>
                </w:p>
              </w:tc>
              <w:tc>
                <w:tcPr>
                  <w:tcW w:w="1425" w:type="dxa"/>
                  <w:tcBorders>
                    <w:top w:val="nil"/>
                    <w:left w:val="nil"/>
                    <w:bottom w:val="single" w:sz="4" w:space="0" w:color="auto"/>
                    <w:right w:val="single" w:sz="4" w:space="0" w:color="auto"/>
                  </w:tcBorders>
                  <w:shd w:val="clear" w:color="auto" w:fill="auto"/>
                  <w:noWrap/>
                  <w:vAlign w:val="bottom"/>
                  <w:hideMark/>
                </w:tcPr>
                <w:p w:rsidR="00C71DF2" w:rsidRPr="00883C71" w:rsidRDefault="00C71DF2" w:rsidP="00C71DF2">
                  <w:pPr>
                    <w:jc w:val="center"/>
                    <w:rPr>
                      <w:b/>
                      <w:bCs/>
                      <w:color w:val="000000"/>
                      <w:lang w:eastAsia="en-ZA"/>
                    </w:rPr>
                  </w:pPr>
                  <w:r w:rsidRPr="00883C71">
                    <w:rPr>
                      <w:b/>
                      <w:bCs/>
                      <w:color w:val="000000"/>
                      <w:lang w:eastAsia="en-ZA"/>
                    </w:rPr>
                    <w:t>135 961</w:t>
                  </w:r>
                </w:p>
              </w:tc>
              <w:tc>
                <w:tcPr>
                  <w:tcW w:w="1425" w:type="dxa"/>
                  <w:tcBorders>
                    <w:top w:val="nil"/>
                    <w:left w:val="nil"/>
                    <w:bottom w:val="single" w:sz="4" w:space="0" w:color="auto"/>
                    <w:right w:val="single" w:sz="4" w:space="0" w:color="auto"/>
                  </w:tcBorders>
                  <w:shd w:val="clear" w:color="auto" w:fill="auto"/>
                  <w:noWrap/>
                  <w:vAlign w:val="bottom"/>
                  <w:hideMark/>
                </w:tcPr>
                <w:p w:rsidR="00C71DF2" w:rsidRPr="00883C71" w:rsidRDefault="00C71DF2" w:rsidP="00C71DF2">
                  <w:pPr>
                    <w:jc w:val="center"/>
                    <w:rPr>
                      <w:b/>
                      <w:bCs/>
                      <w:color w:val="000000"/>
                      <w:lang w:eastAsia="en-ZA"/>
                    </w:rPr>
                  </w:pPr>
                  <w:r w:rsidRPr="00883C71">
                    <w:rPr>
                      <w:b/>
                      <w:bCs/>
                      <w:color w:val="000000"/>
                      <w:lang w:eastAsia="en-ZA"/>
                    </w:rPr>
                    <w:t>87 011</w:t>
                  </w:r>
                </w:p>
              </w:tc>
              <w:tc>
                <w:tcPr>
                  <w:tcW w:w="1425" w:type="dxa"/>
                  <w:tcBorders>
                    <w:top w:val="nil"/>
                    <w:left w:val="nil"/>
                    <w:bottom w:val="single" w:sz="4" w:space="0" w:color="auto"/>
                    <w:right w:val="single" w:sz="4" w:space="0" w:color="auto"/>
                  </w:tcBorders>
                  <w:shd w:val="clear" w:color="auto" w:fill="auto"/>
                  <w:noWrap/>
                  <w:vAlign w:val="bottom"/>
                  <w:hideMark/>
                </w:tcPr>
                <w:p w:rsidR="00C71DF2" w:rsidRPr="00883C71" w:rsidRDefault="00C71DF2" w:rsidP="00C71DF2">
                  <w:pPr>
                    <w:jc w:val="center"/>
                    <w:rPr>
                      <w:b/>
                      <w:bCs/>
                      <w:color w:val="000000"/>
                      <w:lang w:eastAsia="en-ZA"/>
                    </w:rPr>
                  </w:pPr>
                  <w:r w:rsidRPr="00883C71">
                    <w:rPr>
                      <w:b/>
                      <w:bCs/>
                      <w:color w:val="000000"/>
                      <w:lang w:eastAsia="en-ZA"/>
                    </w:rPr>
                    <w:t>219 618</w:t>
                  </w:r>
                </w:p>
              </w:tc>
              <w:tc>
                <w:tcPr>
                  <w:tcW w:w="1425" w:type="dxa"/>
                  <w:tcBorders>
                    <w:top w:val="nil"/>
                    <w:left w:val="nil"/>
                    <w:bottom w:val="single" w:sz="4" w:space="0" w:color="auto"/>
                    <w:right w:val="single" w:sz="4" w:space="0" w:color="auto"/>
                  </w:tcBorders>
                  <w:shd w:val="clear" w:color="auto" w:fill="auto"/>
                  <w:noWrap/>
                  <w:vAlign w:val="bottom"/>
                  <w:hideMark/>
                </w:tcPr>
                <w:p w:rsidR="00C71DF2" w:rsidRPr="00883C71" w:rsidRDefault="00C71DF2" w:rsidP="00C71DF2">
                  <w:pPr>
                    <w:jc w:val="center"/>
                    <w:rPr>
                      <w:b/>
                      <w:bCs/>
                      <w:color w:val="000000"/>
                      <w:lang w:eastAsia="en-ZA"/>
                    </w:rPr>
                  </w:pPr>
                  <w:r w:rsidRPr="00883C71">
                    <w:rPr>
                      <w:b/>
                      <w:bCs/>
                      <w:color w:val="000000"/>
                      <w:lang w:eastAsia="en-ZA"/>
                    </w:rPr>
                    <w:t>740 062</w:t>
                  </w:r>
                </w:p>
              </w:tc>
            </w:tr>
            <w:tr w:rsidR="00C71DF2" w:rsidRPr="00883C71" w:rsidTr="00C71DF2">
              <w:trPr>
                <w:trHeight w:val="290"/>
              </w:trPr>
              <w:tc>
                <w:tcPr>
                  <w:tcW w:w="1424" w:type="dxa"/>
                  <w:tcBorders>
                    <w:top w:val="nil"/>
                    <w:left w:val="single" w:sz="4" w:space="0" w:color="auto"/>
                    <w:bottom w:val="single" w:sz="4" w:space="0" w:color="auto"/>
                    <w:right w:val="single" w:sz="4" w:space="0" w:color="auto"/>
                  </w:tcBorders>
                  <w:shd w:val="clear" w:color="auto" w:fill="auto"/>
                  <w:noWrap/>
                  <w:vAlign w:val="bottom"/>
                  <w:hideMark/>
                </w:tcPr>
                <w:p w:rsidR="00C71DF2" w:rsidRPr="00883C71" w:rsidRDefault="00C71DF2" w:rsidP="00C71DF2">
                  <w:pPr>
                    <w:rPr>
                      <w:color w:val="000000"/>
                      <w:lang w:eastAsia="en-ZA"/>
                    </w:rPr>
                  </w:pPr>
                  <w:r w:rsidRPr="00883C71">
                    <w:rPr>
                      <w:color w:val="000000"/>
                      <w:lang w:eastAsia="en-ZA"/>
                    </w:rPr>
                    <w:t>Percentages</w:t>
                  </w:r>
                </w:p>
              </w:tc>
              <w:tc>
                <w:tcPr>
                  <w:tcW w:w="1425" w:type="dxa"/>
                  <w:tcBorders>
                    <w:top w:val="nil"/>
                    <w:left w:val="nil"/>
                    <w:bottom w:val="single" w:sz="4" w:space="0" w:color="auto"/>
                    <w:right w:val="single" w:sz="4" w:space="0" w:color="auto"/>
                  </w:tcBorders>
                  <w:shd w:val="clear" w:color="auto" w:fill="auto"/>
                  <w:noWrap/>
                  <w:vAlign w:val="bottom"/>
                  <w:hideMark/>
                </w:tcPr>
                <w:p w:rsidR="00C71DF2" w:rsidRPr="00883C71" w:rsidRDefault="00C71DF2" w:rsidP="00C71DF2">
                  <w:pPr>
                    <w:jc w:val="center"/>
                    <w:rPr>
                      <w:color w:val="000000"/>
                      <w:lang w:eastAsia="en-ZA"/>
                    </w:rPr>
                  </w:pPr>
                  <w:r w:rsidRPr="00883C71">
                    <w:rPr>
                      <w:color w:val="000000"/>
                      <w:lang w:eastAsia="en-ZA"/>
                    </w:rPr>
                    <w:t>40%</w:t>
                  </w:r>
                </w:p>
              </w:tc>
              <w:tc>
                <w:tcPr>
                  <w:tcW w:w="1425" w:type="dxa"/>
                  <w:tcBorders>
                    <w:top w:val="nil"/>
                    <w:left w:val="nil"/>
                    <w:bottom w:val="single" w:sz="4" w:space="0" w:color="auto"/>
                    <w:right w:val="single" w:sz="4" w:space="0" w:color="auto"/>
                  </w:tcBorders>
                  <w:shd w:val="clear" w:color="auto" w:fill="auto"/>
                  <w:noWrap/>
                  <w:vAlign w:val="bottom"/>
                  <w:hideMark/>
                </w:tcPr>
                <w:p w:rsidR="00C71DF2" w:rsidRPr="00883C71" w:rsidRDefault="00C71DF2" w:rsidP="00C71DF2">
                  <w:pPr>
                    <w:jc w:val="center"/>
                    <w:rPr>
                      <w:color w:val="000000"/>
                      <w:lang w:eastAsia="en-ZA"/>
                    </w:rPr>
                  </w:pPr>
                  <w:r w:rsidRPr="00883C71">
                    <w:rPr>
                      <w:color w:val="000000"/>
                      <w:lang w:eastAsia="en-ZA"/>
                    </w:rPr>
                    <w:t>18%</w:t>
                  </w:r>
                </w:p>
              </w:tc>
              <w:tc>
                <w:tcPr>
                  <w:tcW w:w="1425" w:type="dxa"/>
                  <w:tcBorders>
                    <w:top w:val="nil"/>
                    <w:left w:val="nil"/>
                    <w:bottom w:val="single" w:sz="4" w:space="0" w:color="auto"/>
                    <w:right w:val="single" w:sz="4" w:space="0" w:color="auto"/>
                  </w:tcBorders>
                  <w:shd w:val="clear" w:color="auto" w:fill="auto"/>
                  <w:noWrap/>
                  <w:vAlign w:val="bottom"/>
                  <w:hideMark/>
                </w:tcPr>
                <w:p w:rsidR="00C71DF2" w:rsidRPr="00883C71" w:rsidRDefault="00C71DF2" w:rsidP="00C71DF2">
                  <w:pPr>
                    <w:jc w:val="center"/>
                    <w:rPr>
                      <w:color w:val="000000"/>
                      <w:lang w:eastAsia="en-ZA"/>
                    </w:rPr>
                  </w:pPr>
                  <w:r w:rsidRPr="00883C71">
                    <w:rPr>
                      <w:color w:val="000000"/>
                      <w:lang w:eastAsia="en-ZA"/>
                    </w:rPr>
                    <w:t>12%</w:t>
                  </w:r>
                </w:p>
              </w:tc>
              <w:tc>
                <w:tcPr>
                  <w:tcW w:w="1425" w:type="dxa"/>
                  <w:tcBorders>
                    <w:top w:val="nil"/>
                    <w:left w:val="nil"/>
                    <w:bottom w:val="single" w:sz="4" w:space="0" w:color="auto"/>
                    <w:right w:val="single" w:sz="4" w:space="0" w:color="auto"/>
                  </w:tcBorders>
                  <w:shd w:val="clear" w:color="auto" w:fill="auto"/>
                  <w:noWrap/>
                  <w:vAlign w:val="bottom"/>
                  <w:hideMark/>
                </w:tcPr>
                <w:p w:rsidR="00C71DF2" w:rsidRPr="00883C71" w:rsidRDefault="00C71DF2" w:rsidP="00C71DF2">
                  <w:pPr>
                    <w:jc w:val="center"/>
                    <w:rPr>
                      <w:color w:val="000000"/>
                      <w:lang w:eastAsia="en-ZA"/>
                    </w:rPr>
                  </w:pPr>
                  <w:r w:rsidRPr="00883C71">
                    <w:rPr>
                      <w:color w:val="000000"/>
                      <w:lang w:eastAsia="en-ZA"/>
                    </w:rPr>
                    <w:t>30%</w:t>
                  </w:r>
                </w:p>
              </w:tc>
              <w:tc>
                <w:tcPr>
                  <w:tcW w:w="1425" w:type="dxa"/>
                  <w:tcBorders>
                    <w:top w:val="nil"/>
                    <w:left w:val="nil"/>
                    <w:bottom w:val="single" w:sz="4" w:space="0" w:color="auto"/>
                    <w:right w:val="single" w:sz="4" w:space="0" w:color="auto"/>
                  </w:tcBorders>
                  <w:shd w:val="clear" w:color="auto" w:fill="auto"/>
                  <w:noWrap/>
                  <w:vAlign w:val="bottom"/>
                  <w:hideMark/>
                </w:tcPr>
                <w:p w:rsidR="00C71DF2" w:rsidRPr="00883C71" w:rsidRDefault="00C71DF2" w:rsidP="00C71DF2">
                  <w:pPr>
                    <w:jc w:val="center"/>
                    <w:rPr>
                      <w:color w:val="000000"/>
                      <w:lang w:eastAsia="en-ZA"/>
                    </w:rPr>
                  </w:pPr>
                  <w:r w:rsidRPr="00883C71">
                    <w:rPr>
                      <w:color w:val="000000"/>
                      <w:lang w:eastAsia="en-ZA"/>
                    </w:rPr>
                    <w:t>100%</w:t>
                  </w:r>
                </w:p>
              </w:tc>
            </w:tr>
          </w:tbl>
          <w:p w:rsidR="00336D7B" w:rsidRPr="00C71DF2" w:rsidRDefault="00336D7B" w:rsidP="00C71DF2">
            <w:pPr>
              <w:spacing w:after="160"/>
              <w:jc w:val="both"/>
              <w:rPr>
                <w:rFonts w:ascii="Arial" w:hAnsi="Arial" w:cs="Arial"/>
              </w:rPr>
            </w:pPr>
          </w:p>
          <w:p w:rsidR="00336D7B" w:rsidRPr="00DA560B" w:rsidRDefault="00336D7B" w:rsidP="00DA560B">
            <w:pPr>
              <w:jc w:val="both"/>
              <w:rPr>
                <w:rFonts w:ascii="Arial" w:eastAsiaTheme="minorEastAsia" w:hAnsi="Arial" w:cs="Arial"/>
                <w:lang w:eastAsia="en-ZA"/>
              </w:rPr>
            </w:pPr>
            <w:r w:rsidRPr="00C71DF2">
              <w:rPr>
                <w:rFonts w:ascii="Arial" w:eastAsiaTheme="minorEastAsia" w:hAnsi="Arial" w:cs="Arial"/>
                <w:sz w:val="22"/>
                <w:lang w:eastAsia="en-ZA"/>
              </w:rPr>
              <w:t>Accruals for the Department of Health resulted mainly from lack of cash, as funds were used to pay for unbudgeted medical legal claims. The accruals for the rest of the province relates to the fact that invoices were not processed timely (payables) due to system closures or not received (accruals).</w:t>
            </w:r>
          </w:p>
        </w:tc>
      </w:tr>
    </w:tbl>
    <w:p w:rsidR="00547405" w:rsidRDefault="00547405">
      <w:pPr>
        <w:rPr>
          <w:sz w:val="22"/>
          <w:szCs w:val="22"/>
        </w:rPr>
      </w:pPr>
    </w:p>
    <w:p w:rsidR="00FB3B21" w:rsidRDefault="00FB3B21">
      <w:pPr>
        <w:rPr>
          <w:sz w:val="22"/>
          <w:szCs w:val="22"/>
        </w:rPr>
      </w:pPr>
    </w:p>
    <w:p w:rsidR="00FB3B21" w:rsidRDefault="00FB3B21">
      <w:pPr>
        <w:rPr>
          <w:sz w:val="22"/>
          <w:szCs w:val="22"/>
        </w:rPr>
      </w:pPr>
    </w:p>
    <w:tbl>
      <w:tblPr>
        <w:tblW w:w="13907"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907"/>
      </w:tblGrid>
      <w:tr w:rsidR="00547405" w:rsidRPr="00061610" w:rsidTr="001F13D8">
        <w:trPr>
          <w:trHeight w:val="378"/>
          <w:tblHeader/>
        </w:trPr>
        <w:tc>
          <w:tcPr>
            <w:tcW w:w="13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84806" w:themeFill="accent6" w:themeFillShade="80"/>
            <w:vAlign w:val="center"/>
          </w:tcPr>
          <w:p w:rsidR="00547405" w:rsidRPr="00061610" w:rsidRDefault="00547405" w:rsidP="001F13D8">
            <w:pPr>
              <w:jc w:val="center"/>
              <w:rPr>
                <w:rFonts w:ascii="Arial" w:eastAsiaTheme="majorEastAsia" w:hAnsi="Arial" w:cs="Arial"/>
                <w:b/>
                <w:bCs/>
                <w:color w:val="FFFFFF" w:themeColor="background1"/>
                <w:sz w:val="28"/>
                <w:szCs w:val="28"/>
              </w:rPr>
            </w:pPr>
            <w:r w:rsidRPr="00E25F89">
              <w:rPr>
                <w:rFonts w:ascii="Arial" w:eastAsiaTheme="majorEastAsia" w:hAnsi="Arial" w:cs="Arial"/>
                <w:b/>
                <w:bCs/>
                <w:color w:val="FFFFFF" w:themeColor="background1"/>
                <w:sz w:val="28"/>
                <w:szCs w:val="28"/>
              </w:rPr>
              <w:t>RESPONSES TO 2016/17 RECOMMENDATIONS</w:t>
            </w:r>
          </w:p>
        </w:tc>
      </w:tr>
      <w:tr w:rsidR="00547405" w:rsidRPr="00061610" w:rsidTr="001F13D8">
        <w:trPr>
          <w:trHeight w:val="450"/>
          <w:tblHeader/>
        </w:trPr>
        <w:tc>
          <w:tcPr>
            <w:tcW w:w="139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E2402"/>
            <w:vAlign w:val="center"/>
          </w:tcPr>
          <w:p w:rsidR="00547405" w:rsidRDefault="00547405" w:rsidP="001F13D8">
            <w:pPr>
              <w:keepNext/>
              <w:keepLines/>
              <w:jc w:val="center"/>
              <w:outlineLvl w:val="1"/>
              <w:rPr>
                <w:rFonts w:ascii="Arial" w:eastAsiaTheme="majorEastAsia" w:hAnsi="Arial" w:cs="Arial"/>
                <w:b/>
                <w:bCs/>
                <w:color w:val="FFFFFF" w:themeColor="background1"/>
                <w:sz w:val="28"/>
                <w:szCs w:val="28"/>
              </w:rPr>
            </w:pPr>
            <w:r>
              <w:rPr>
                <w:rFonts w:ascii="Arial" w:eastAsiaTheme="majorEastAsia" w:hAnsi="Arial" w:cs="Arial"/>
                <w:b/>
                <w:bCs/>
                <w:color w:val="FFFFFF" w:themeColor="background1"/>
                <w:sz w:val="28"/>
                <w:szCs w:val="28"/>
              </w:rPr>
              <w:t>RECOMMENDATION</w:t>
            </w:r>
            <w:r w:rsidR="00E55F24">
              <w:rPr>
                <w:rFonts w:ascii="Arial" w:eastAsiaTheme="majorEastAsia" w:hAnsi="Arial" w:cs="Arial"/>
                <w:b/>
                <w:bCs/>
                <w:color w:val="FFFFFF" w:themeColor="background1"/>
                <w:sz w:val="28"/>
                <w:szCs w:val="28"/>
              </w:rPr>
              <w:t xml:space="preserve"> 12.19</w:t>
            </w:r>
          </w:p>
        </w:tc>
      </w:tr>
      <w:tr w:rsidR="00547405" w:rsidRPr="002175B7" w:rsidTr="001F13D8">
        <w:trPr>
          <w:trHeight w:val="746"/>
        </w:trPr>
        <w:tc>
          <w:tcPr>
            <w:tcW w:w="13907" w:type="dxa"/>
            <w:tcBorders>
              <w:top w:val="single" w:sz="4" w:space="0" w:color="FFFFFF" w:themeColor="background1"/>
              <w:bottom w:val="single" w:sz="4" w:space="0" w:color="auto"/>
            </w:tcBorders>
            <w:shd w:val="clear" w:color="auto" w:fill="auto"/>
          </w:tcPr>
          <w:p w:rsidR="00547405" w:rsidRPr="002175B7" w:rsidRDefault="00E55F24" w:rsidP="0072252E">
            <w:pPr>
              <w:pStyle w:val="ListParagraph"/>
              <w:numPr>
                <w:ilvl w:val="0"/>
                <w:numId w:val="2"/>
              </w:numPr>
              <w:jc w:val="both"/>
            </w:pPr>
            <w:r w:rsidRPr="006716A7">
              <w:rPr>
                <w:rFonts w:ascii="Arial" w:hAnsi="Arial" w:cs="Arial"/>
                <w:sz w:val="22"/>
                <w:szCs w:val="22"/>
              </w:rPr>
              <w:t>Provinces should review the feasibility of the Cuban doctor’s programme beyond the dates of the currently signed agreements, which is 2022, whether it will be financially sustainable</w:t>
            </w:r>
          </w:p>
        </w:tc>
      </w:tr>
      <w:tr w:rsidR="00547405" w:rsidRPr="00E25F89" w:rsidTr="001F13D8">
        <w:trPr>
          <w:trHeight w:val="980"/>
        </w:trPr>
        <w:tc>
          <w:tcPr>
            <w:tcW w:w="13907" w:type="dxa"/>
            <w:tcBorders>
              <w:bottom w:val="single" w:sz="4" w:space="0" w:color="auto"/>
            </w:tcBorders>
            <w:shd w:val="clear" w:color="auto" w:fill="auto"/>
          </w:tcPr>
          <w:p w:rsidR="00547405" w:rsidRPr="00E25F89" w:rsidRDefault="00547405" w:rsidP="001F13D8">
            <w:pPr>
              <w:spacing w:line="360" w:lineRule="auto"/>
              <w:jc w:val="both"/>
              <w:rPr>
                <w:rFonts w:ascii="Arial" w:hAnsi="Arial" w:cs="Arial"/>
                <w:b/>
              </w:rPr>
            </w:pPr>
            <w:r w:rsidRPr="00E25F89">
              <w:rPr>
                <w:rFonts w:ascii="Arial" w:hAnsi="Arial" w:cs="Arial"/>
                <w:b/>
                <w:sz w:val="22"/>
              </w:rPr>
              <w:t>PROGRESS:</w:t>
            </w:r>
          </w:p>
          <w:p w:rsidR="00547405" w:rsidRPr="00E55F24" w:rsidRDefault="0072252E" w:rsidP="0072252E">
            <w:pPr>
              <w:pStyle w:val="ListParagraph"/>
              <w:numPr>
                <w:ilvl w:val="0"/>
                <w:numId w:val="1"/>
              </w:numPr>
              <w:spacing w:after="160"/>
              <w:ind w:left="357" w:hanging="357"/>
              <w:contextualSpacing w:val="0"/>
              <w:jc w:val="both"/>
              <w:rPr>
                <w:rFonts w:ascii="Arial" w:hAnsi="Arial" w:cs="Arial"/>
                <w:lang w:val="en-ZA"/>
              </w:rPr>
            </w:pPr>
            <w:r w:rsidRPr="00E55F24">
              <w:rPr>
                <w:rFonts w:ascii="Arial" w:hAnsi="Arial" w:cs="Arial"/>
                <w:sz w:val="22"/>
                <w:lang w:val="en-GB"/>
              </w:rPr>
              <w:t xml:space="preserve">Despite the additional funding provided for the Cuban programme in the past, no funding has been provided for the absorption of the returning Cuban students. Therefore, given that the funding of the absorption of the students is not within the baseline of the department, it is not financially sustainable in the long term, as these students would need to be absorbed as medical officers at a higher cost. </w:t>
            </w:r>
          </w:p>
        </w:tc>
      </w:tr>
    </w:tbl>
    <w:p w:rsidR="00547405" w:rsidRDefault="00547405">
      <w:pPr>
        <w:rPr>
          <w:sz w:val="22"/>
          <w:szCs w:val="22"/>
        </w:rPr>
      </w:pPr>
    </w:p>
    <w:p w:rsidR="00547405" w:rsidRDefault="00547405">
      <w:pPr>
        <w:rPr>
          <w:sz w:val="22"/>
          <w:szCs w:val="22"/>
        </w:rPr>
      </w:pPr>
    </w:p>
    <w:sectPr w:rsidR="00547405" w:rsidSect="003E27BF">
      <w:pgSz w:w="15840" w:h="12240" w:orient="landscape"/>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3FA7" w:rsidRDefault="00433FA7" w:rsidP="00722C89">
      <w:r>
        <w:separator/>
      </w:r>
    </w:p>
  </w:endnote>
  <w:endnote w:type="continuationSeparator" w:id="0">
    <w:p w:rsidR="00433FA7" w:rsidRDefault="00433FA7" w:rsidP="00722C8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7511974"/>
      <w:docPartObj>
        <w:docPartGallery w:val="Page Numbers (Bottom of Page)"/>
        <w:docPartUnique/>
      </w:docPartObj>
    </w:sdtPr>
    <w:sdtEndPr>
      <w:rPr>
        <w:color w:val="7F7F7F" w:themeColor="background1" w:themeShade="7F"/>
        <w:spacing w:val="60"/>
      </w:rPr>
    </w:sdtEndPr>
    <w:sdtContent>
      <w:p w:rsidR="001C3DB0" w:rsidRDefault="00DA191C">
        <w:pPr>
          <w:pStyle w:val="Footer"/>
          <w:pBdr>
            <w:top w:val="single" w:sz="4" w:space="1" w:color="D9D9D9" w:themeColor="background1" w:themeShade="D9"/>
          </w:pBdr>
          <w:jc w:val="right"/>
        </w:pPr>
        <w:r>
          <w:fldChar w:fldCharType="begin"/>
        </w:r>
        <w:r w:rsidR="001C3DB0">
          <w:instrText xml:space="preserve"> PAGE   \* MERGEFORMAT </w:instrText>
        </w:r>
        <w:r>
          <w:fldChar w:fldCharType="separate"/>
        </w:r>
        <w:r w:rsidR="00067EC7">
          <w:rPr>
            <w:noProof/>
          </w:rPr>
          <w:t>1</w:t>
        </w:r>
        <w:r>
          <w:rPr>
            <w:noProof/>
          </w:rPr>
          <w:fldChar w:fldCharType="end"/>
        </w:r>
        <w:r w:rsidR="001C3DB0">
          <w:t xml:space="preserve"> | </w:t>
        </w:r>
        <w:r w:rsidR="001C3DB0">
          <w:rPr>
            <w:color w:val="7F7F7F" w:themeColor="background1" w:themeShade="7F"/>
            <w:spacing w:val="60"/>
          </w:rPr>
          <w:t>Page</w:t>
        </w:r>
      </w:p>
    </w:sdtContent>
  </w:sdt>
  <w:p w:rsidR="00722C89" w:rsidRDefault="00722C8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3FA7" w:rsidRDefault="00433FA7" w:rsidP="00722C89">
      <w:r>
        <w:separator/>
      </w:r>
    </w:p>
  </w:footnote>
  <w:footnote w:type="continuationSeparator" w:id="0">
    <w:p w:rsidR="00433FA7" w:rsidRDefault="00433FA7" w:rsidP="00722C8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D95152"/>
    <w:multiLevelType w:val="hybridMultilevel"/>
    <w:tmpl w:val="F80EC8B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nsid w:val="47901690"/>
    <w:multiLevelType w:val="hybridMultilevel"/>
    <w:tmpl w:val="A408705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
    <w:nsid w:val="4DCB29B7"/>
    <w:multiLevelType w:val="hybridMultilevel"/>
    <w:tmpl w:val="1010998A"/>
    <w:lvl w:ilvl="0" w:tplc="F2649ED2">
      <w:start w:val="1"/>
      <w:numFmt w:val="bullet"/>
      <w:lvlText w:val="•"/>
      <w:lvlJc w:val="left"/>
      <w:pPr>
        <w:tabs>
          <w:tab w:val="num" w:pos="720"/>
        </w:tabs>
        <w:ind w:left="720" w:hanging="360"/>
      </w:pPr>
      <w:rPr>
        <w:rFonts w:ascii="Arial" w:hAnsi="Arial" w:hint="default"/>
      </w:rPr>
    </w:lvl>
    <w:lvl w:ilvl="1" w:tplc="49A6E296">
      <w:start w:val="1"/>
      <w:numFmt w:val="bullet"/>
      <w:lvlText w:val="•"/>
      <w:lvlJc w:val="left"/>
      <w:pPr>
        <w:tabs>
          <w:tab w:val="num" w:pos="1440"/>
        </w:tabs>
        <w:ind w:left="1440" w:hanging="360"/>
      </w:pPr>
      <w:rPr>
        <w:rFonts w:ascii="Arial" w:hAnsi="Arial" w:hint="default"/>
      </w:rPr>
    </w:lvl>
    <w:lvl w:ilvl="2" w:tplc="361C41CC" w:tentative="1">
      <w:start w:val="1"/>
      <w:numFmt w:val="bullet"/>
      <w:lvlText w:val="•"/>
      <w:lvlJc w:val="left"/>
      <w:pPr>
        <w:tabs>
          <w:tab w:val="num" w:pos="2160"/>
        </w:tabs>
        <w:ind w:left="2160" w:hanging="360"/>
      </w:pPr>
      <w:rPr>
        <w:rFonts w:ascii="Arial" w:hAnsi="Arial" w:hint="default"/>
      </w:rPr>
    </w:lvl>
    <w:lvl w:ilvl="3" w:tplc="821870C0" w:tentative="1">
      <w:start w:val="1"/>
      <w:numFmt w:val="bullet"/>
      <w:lvlText w:val="•"/>
      <w:lvlJc w:val="left"/>
      <w:pPr>
        <w:tabs>
          <w:tab w:val="num" w:pos="2880"/>
        </w:tabs>
        <w:ind w:left="2880" w:hanging="360"/>
      </w:pPr>
      <w:rPr>
        <w:rFonts w:ascii="Arial" w:hAnsi="Arial" w:hint="default"/>
      </w:rPr>
    </w:lvl>
    <w:lvl w:ilvl="4" w:tplc="DD580236" w:tentative="1">
      <w:start w:val="1"/>
      <w:numFmt w:val="bullet"/>
      <w:lvlText w:val="•"/>
      <w:lvlJc w:val="left"/>
      <w:pPr>
        <w:tabs>
          <w:tab w:val="num" w:pos="3600"/>
        </w:tabs>
        <w:ind w:left="3600" w:hanging="360"/>
      </w:pPr>
      <w:rPr>
        <w:rFonts w:ascii="Arial" w:hAnsi="Arial" w:hint="default"/>
      </w:rPr>
    </w:lvl>
    <w:lvl w:ilvl="5" w:tplc="3C70FB80" w:tentative="1">
      <w:start w:val="1"/>
      <w:numFmt w:val="bullet"/>
      <w:lvlText w:val="•"/>
      <w:lvlJc w:val="left"/>
      <w:pPr>
        <w:tabs>
          <w:tab w:val="num" w:pos="4320"/>
        </w:tabs>
        <w:ind w:left="4320" w:hanging="360"/>
      </w:pPr>
      <w:rPr>
        <w:rFonts w:ascii="Arial" w:hAnsi="Arial" w:hint="default"/>
      </w:rPr>
    </w:lvl>
    <w:lvl w:ilvl="6" w:tplc="F38A8E7C" w:tentative="1">
      <w:start w:val="1"/>
      <w:numFmt w:val="bullet"/>
      <w:lvlText w:val="•"/>
      <w:lvlJc w:val="left"/>
      <w:pPr>
        <w:tabs>
          <w:tab w:val="num" w:pos="5040"/>
        </w:tabs>
        <w:ind w:left="5040" w:hanging="360"/>
      </w:pPr>
      <w:rPr>
        <w:rFonts w:ascii="Arial" w:hAnsi="Arial" w:hint="default"/>
      </w:rPr>
    </w:lvl>
    <w:lvl w:ilvl="7" w:tplc="AB9AD3F6" w:tentative="1">
      <w:start w:val="1"/>
      <w:numFmt w:val="bullet"/>
      <w:lvlText w:val="•"/>
      <w:lvlJc w:val="left"/>
      <w:pPr>
        <w:tabs>
          <w:tab w:val="num" w:pos="5760"/>
        </w:tabs>
        <w:ind w:left="5760" w:hanging="360"/>
      </w:pPr>
      <w:rPr>
        <w:rFonts w:ascii="Arial" w:hAnsi="Arial" w:hint="default"/>
      </w:rPr>
    </w:lvl>
    <w:lvl w:ilvl="8" w:tplc="2B6C26EE" w:tentative="1">
      <w:start w:val="1"/>
      <w:numFmt w:val="bullet"/>
      <w:lvlText w:val="•"/>
      <w:lvlJc w:val="left"/>
      <w:pPr>
        <w:tabs>
          <w:tab w:val="num" w:pos="6480"/>
        </w:tabs>
        <w:ind w:left="6480" w:hanging="360"/>
      </w:pPr>
      <w:rPr>
        <w:rFonts w:ascii="Arial" w:hAnsi="Arial" w:hint="default"/>
      </w:rPr>
    </w:lvl>
  </w:abstractNum>
  <w:abstractNum w:abstractNumId="3">
    <w:nsid w:val="503D05EC"/>
    <w:multiLevelType w:val="hybridMultilevel"/>
    <w:tmpl w:val="D494C69C"/>
    <w:lvl w:ilvl="0" w:tplc="CF881064">
      <w:start w:val="1"/>
      <w:numFmt w:val="bullet"/>
      <w:lvlText w:val="•"/>
      <w:lvlJc w:val="left"/>
      <w:pPr>
        <w:tabs>
          <w:tab w:val="num" w:pos="360"/>
        </w:tabs>
        <w:ind w:left="360" w:hanging="360"/>
      </w:pPr>
      <w:rPr>
        <w:rFonts w:ascii="Arial" w:hAnsi="Arial" w:hint="default"/>
      </w:rPr>
    </w:lvl>
    <w:lvl w:ilvl="1" w:tplc="14F6A778" w:tentative="1">
      <w:start w:val="1"/>
      <w:numFmt w:val="bullet"/>
      <w:lvlText w:val="•"/>
      <w:lvlJc w:val="left"/>
      <w:pPr>
        <w:tabs>
          <w:tab w:val="num" w:pos="1080"/>
        </w:tabs>
        <w:ind w:left="1080" w:hanging="360"/>
      </w:pPr>
      <w:rPr>
        <w:rFonts w:ascii="Arial" w:hAnsi="Arial" w:hint="default"/>
      </w:rPr>
    </w:lvl>
    <w:lvl w:ilvl="2" w:tplc="1668033C" w:tentative="1">
      <w:start w:val="1"/>
      <w:numFmt w:val="bullet"/>
      <w:lvlText w:val="•"/>
      <w:lvlJc w:val="left"/>
      <w:pPr>
        <w:tabs>
          <w:tab w:val="num" w:pos="1800"/>
        </w:tabs>
        <w:ind w:left="1800" w:hanging="360"/>
      </w:pPr>
      <w:rPr>
        <w:rFonts w:ascii="Arial" w:hAnsi="Arial" w:hint="default"/>
      </w:rPr>
    </w:lvl>
    <w:lvl w:ilvl="3" w:tplc="560A5038" w:tentative="1">
      <w:start w:val="1"/>
      <w:numFmt w:val="bullet"/>
      <w:lvlText w:val="•"/>
      <w:lvlJc w:val="left"/>
      <w:pPr>
        <w:tabs>
          <w:tab w:val="num" w:pos="2520"/>
        </w:tabs>
        <w:ind w:left="2520" w:hanging="360"/>
      </w:pPr>
      <w:rPr>
        <w:rFonts w:ascii="Arial" w:hAnsi="Arial" w:hint="default"/>
      </w:rPr>
    </w:lvl>
    <w:lvl w:ilvl="4" w:tplc="E4FAD7E0" w:tentative="1">
      <w:start w:val="1"/>
      <w:numFmt w:val="bullet"/>
      <w:lvlText w:val="•"/>
      <w:lvlJc w:val="left"/>
      <w:pPr>
        <w:tabs>
          <w:tab w:val="num" w:pos="3240"/>
        </w:tabs>
        <w:ind w:left="3240" w:hanging="360"/>
      </w:pPr>
      <w:rPr>
        <w:rFonts w:ascii="Arial" w:hAnsi="Arial" w:hint="default"/>
      </w:rPr>
    </w:lvl>
    <w:lvl w:ilvl="5" w:tplc="33FA51C8" w:tentative="1">
      <w:start w:val="1"/>
      <w:numFmt w:val="bullet"/>
      <w:lvlText w:val="•"/>
      <w:lvlJc w:val="left"/>
      <w:pPr>
        <w:tabs>
          <w:tab w:val="num" w:pos="3960"/>
        </w:tabs>
        <w:ind w:left="3960" w:hanging="360"/>
      </w:pPr>
      <w:rPr>
        <w:rFonts w:ascii="Arial" w:hAnsi="Arial" w:hint="default"/>
      </w:rPr>
    </w:lvl>
    <w:lvl w:ilvl="6" w:tplc="CA6AF236" w:tentative="1">
      <w:start w:val="1"/>
      <w:numFmt w:val="bullet"/>
      <w:lvlText w:val="•"/>
      <w:lvlJc w:val="left"/>
      <w:pPr>
        <w:tabs>
          <w:tab w:val="num" w:pos="4680"/>
        </w:tabs>
        <w:ind w:left="4680" w:hanging="360"/>
      </w:pPr>
      <w:rPr>
        <w:rFonts w:ascii="Arial" w:hAnsi="Arial" w:hint="default"/>
      </w:rPr>
    </w:lvl>
    <w:lvl w:ilvl="7" w:tplc="B68C9B7A" w:tentative="1">
      <w:start w:val="1"/>
      <w:numFmt w:val="bullet"/>
      <w:lvlText w:val="•"/>
      <w:lvlJc w:val="left"/>
      <w:pPr>
        <w:tabs>
          <w:tab w:val="num" w:pos="5400"/>
        </w:tabs>
        <w:ind w:left="5400" w:hanging="360"/>
      </w:pPr>
      <w:rPr>
        <w:rFonts w:ascii="Arial" w:hAnsi="Arial" w:hint="default"/>
      </w:rPr>
    </w:lvl>
    <w:lvl w:ilvl="8" w:tplc="2A2EB358" w:tentative="1">
      <w:start w:val="1"/>
      <w:numFmt w:val="bullet"/>
      <w:lvlText w:val="•"/>
      <w:lvlJc w:val="left"/>
      <w:pPr>
        <w:tabs>
          <w:tab w:val="num" w:pos="6120"/>
        </w:tabs>
        <w:ind w:left="6120" w:hanging="360"/>
      </w:pPr>
      <w:rPr>
        <w:rFonts w:ascii="Arial" w:hAnsi="Arial" w:hint="default"/>
      </w:rPr>
    </w:lvl>
  </w:abstractNum>
  <w:abstractNum w:abstractNumId="4">
    <w:nsid w:val="5BB57AC8"/>
    <w:multiLevelType w:val="hybridMultilevel"/>
    <w:tmpl w:val="3600124E"/>
    <w:lvl w:ilvl="0" w:tplc="0CF445BC">
      <w:start w:val="1"/>
      <w:numFmt w:val="bullet"/>
      <w:lvlText w:val="•"/>
      <w:lvlJc w:val="left"/>
      <w:pPr>
        <w:ind w:left="360" w:hanging="360"/>
      </w:pPr>
      <w:rPr>
        <w:rFonts w:ascii="Arial" w:hAnsi="Aria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
    <w:nsid w:val="60DA6334"/>
    <w:multiLevelType w:val="hybridMultilevel"/>
    <w:tmpl w:val="35EAB198"/>
    <w:lvl w:ilvl="0" w:tplc="86002616">
      <w:start w:val="1"/>
      <w:numFmt w:val="bullet"/>
      <w:lvlText w:val="•"/>
      <w:lvlJc w:val="left"/>
      <w:pPr>
        <w:tabs>
          <w:tab w:val="num" w:pos="720"/>
        </w:tabs>
        <w:ind w:left="720" w:hanging="360"/>
      </w:pPr>
      <w:rPr>
        <w:rFonts w:ascii="Arial" w:hAnsi="Arial" w:hint="default"/>
      </w:rPr>
    </w:lvl>
    <w:lvl w:ilvl="1" w:tplc="9CD2CDDE">
      <w:start w:val="86"/>
      <w:numFmt w:val="bullet"/>
      <w:lvlText w:val=""/>
      <w:lvlJc w:val="left"/>
      <w:pPr>
        <w:tabs>
          <w:tab w:val="num" w:pos="1440"/>
        </w:tabs>
        <w:ind w:left="1440" w:hanging="360"/>
      </w:pPr>
      <w:rPr>
        <w:rFonts w:ascii="Wingdings" w:hAnsi="Wingdings" w:hint="default"/>
      </w:rPr>
    </w:lvl>
    <w:lvl w:ilvl="2" w:tplc="67FA72F0" w:tentative="1">
      <w:start w:val="1"/>
      <w:numFmt w:val="bullet"/>
      <w:lvlText w:val="•"/>
      <w:lvlJc w:val="left"/>
      <w:pPr>
        <w:tabs>
          <w:tab w:val="num" w:pos="2160"/>
        </w:tabs>
        <w:ind w:left="2160" w:hanging="360"/>
      </w:pPr>
      <w:rPr>
        <w:rFonts w:ascii="Arial" w:hAnsi="Arial" w:hint="default"/>
      </w:rPr>
    </w:lvl>
    <w:lvl w:ilvl="3" w:tplc="F20A1A8C" w:tentative="1">
      <w:start w:val="1"/>
      <w:numFmt w:val="bullet"/>
      <w:lvlText w:val="•"/>
      <w:lvlJc w:val="left"/>
      <w:pPr>
        <w:tabs>
          <w:tab w:val="num" w:pos="2880"/>
        </w:tabs>
        <w:ind w:left="2880" w:hanging="360"/>
      </w:pPr>
      <w:rPr>
        <w:rFonts w:ascii="Arial" w:hAnsi="Arial" w:hint="default"/>
      </w:rPr>
    </w:lvl>
    <w:lvl w:ilvl="4" w:tplc="D7C668BC" w:tentative="1">
      <w:start w:val="1"/>
      <w:numFmt w:val="bullet"/>
      <w:lvlText w:val="•"/>
      <w:lvlJc w:val="left"/>
      <w:pPr>
        <w:tabs>
          <w:tab w:val="num" w:pos="3600"/>
        </w:tabs>
        <w:ind w:left="3600" w:hanging="360"/>
      </w:pPr>
      <w:rPr>
        <w:rFonts w:ascii="Arial" w:hAnsi="Arial" w:hint="default"/>
      </w:rPr>
    </w:lvl>
    <w:lvl w:ilvl="5" w:tplc="742C1904" w:tentative="1">
      <w:start w:val="1"/>
      <w:numFmt w:val="bullet"/>
      <w:lvlText w:val="•"/>
      <w:lvlJc w:val="left"/>
      <w:pPr>
        <w:tabs>
          <w:tab w:val="num" w:pos="4320"/>
        </w:tabs>
        <w:ind w:left="4320" w:hanging="360"/>
      </w:pPr>
      <w:rPr>
        <w:rFonts w:ascii="Arial" w:hAnsi="Arial" w:hint="default"/>
      </w:rPr>
    </w:lvl>
    <w:lvl w:ilvl="6" w:tplc="F11427BE" w:tentative="1">
      <w:start w:val="1"/>
      <w:numFmt w:val="bullet"/>
      <w:lvlText w:val="•"/>
      <w:lvlJc w:val="left"/>
      <w:pPr>
        <w:tabs>
          <w:tab w:val="num" w:pos="5040"/>
        </w:tabs>
        <w:ind w:left="5040" w:hanging="360"/>
      </w:pPr>
      <w:rPr>
        <w:rFonts w:ascii="Arial" w:hAnsi="Arial" w:hint="default"/>
      </w:rPr>
    </w:lvl>
    <w:lvl w:ilvl="7" w:tplc="F20A3426" w:tentative="1">
      <w:start w:val="1"/>
      <w:numFmt w:val="bullet"/>
      <w:lvlText w:val="•"/>
      <w:lvlJc w:val="left"/>
      <w:pPr>
        <w:tabs>
          <w:tab w:val="num" w:pos="5760"/>
        </w:tabs>
        <w:ind w:left="5760" w:hanging="360"/>
      </w:pPr>
      <w:rPr>
        <w:rFonts w:ascii="Arial" w:hAnsi="Arial" w:hint="default"/>
      </w:rPr>
    </w:lvl>
    <w:lvl w:ilvl="8" w:tplc="F274D98E" w:tentative="1">
      <w:start w:val="1"/>
      <w:numFmt w:val="bullet"/>
      <w:lvlText w:val="•"/>
      <w:lvlJc w:val="left"/>
      <w:pPr>
        <w:tabs>
          <w:tab w:val="num" w:pos="6480"/>
        </w:tabs>
        <w:ind w:left="6480" w:hanging="360"/>
      </w:pPr>
      <w:rPr>
        <w:rFonts w:ascii="Arial" w:hAnsi="Arial" w:hint="default"/>
      </w:rPr>
    </w:lvl>
  </w:abstractNum>
  <w:abstractNum w:abstractNumId="6">
    <w:nsid w:val="75690375"/>
    <w:multiLevelType w:val="hybridMultilevel"/>
    <w:tmpl w:val="94A0580A"/>
    <w:lvl w:ilvl="0" w:tplc="0CF445BC">
      <w:start w:val="1"/>
      <w:numFmt w:val="bullet"/>
      <w:lvlText w:val="•"/>
      <w:lvlJc w:val="left"/>
      <w:pPr>
        <w:ind w:left="360" w:hanging="360"/>
      </w:pPr>
      <w:rPr>
        <w:rFonts w:ascii="Arial" w:hAnsi="Aria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
    <w:nsid w:val="795213A9"/>
    <w:multiLevelType w:val="hybridMultilevel"/>
    <w:tmpl w:val="EAB00124"/>
    <w:lvl w:ilvl="0" w:tplc="0CF445BC">
      <w:start w:val="1"/>
      <w:numFmt w:val="bullet"/>
      <w:lvlText w:val="•"/>
      <w:lvlJc w:val="left"/>
      <w:pPr>
        <w:tabs>
          <w:tab w:val="num" w:pos="720"/>
        </w:tabs>
        <w:ind w:left="720" w:hanging="360"/>
      </w:pPr>
      <w:rPr>
        <w:rFonts w:ascii="Arial" w:hAnsi="Arial" w:hint="default"/>
      </w:rPr>
    </w:lvl>
    <w:lvl w:ilvl="1" w:tplc="9266CA8A" w:tentative="1">
      <w:start w:val="1"/>
      <w:numFmt w:val="bullet"/>
      <w:lvlText w:val="•"/>
      <w:lvlJc w:val="left"/>
      <w:pPr>
        <w:tabs>
          <w:tab w:val="num" w:pos="1440"/>
        </w:tabs>
        <w:ind w:left="1440" w:hanging="360"/>
      </w:pPr>
      <w:rPr>
        <w:rFonts w:ascii="Arial" w:hAnsi="Arial" w:hint="default"/>
      </w:rPr>
    </w:lvl>
    <w:lvl w:ilvl="2" w:tplc="A81229C2" w:tentative="1">
      <w:start w:val="1"/>
      <w:numFmt w:val="bullet"/>
      <w:lvlText w:val="•"/>
      <w:lvlJc w:val="left"/>
      <w:pPr>
        <w:tabs>
          <w:tab w:val="num" w:pos="2160"/>
        </w:tabs>
        <w:ind w:left="2160" w:hanging="360"/>
      </w:pPr>
      <w:rPr>
        <w:rFonts w:ascii="Arial" w:hAnsi="Arial" w:hint="default"/>
      </w:rPr>
    </w:lvl>
    <w:lvl w:ilvl="3" w:tplc="45A2E006" w:tentative="1">
      <w:start w:val="1"/>
      <w:numFmt w:val="bullet"/>
      <w:lvlText w:val="•"/>
      <w:lvlJc w:val="left"/>
      <w:pPr>
        <w:tabs>
          <w:tab w:val="num" w:pos="2880"/>
        </w:tabs>
        <w:ind w:left="2880" w:hanging="360"/>
      </w:pPr>
      <w:rPr>
        <w:rFonts w:ascii="Arial" w:hAnsi="Arial" w:hint="default"/>
      </w:rPr>
    </w:lvl>
    <w:lvl w:ilvl="4" w:tplc="0686992A" w:tentative="1">
      <w:start w:val="1"/>
      <w:numFmt w:val="bullet"/>
      <w:lvlText w:val="•"/>
      <w:lvlJc w:val="left"/>
      <w:pPr>
        <w:tabs>
          <w:tab w:val="num" w:pos="3600"/>
        </w:tabs>
        <w:ind w:left="3600" w:hanging="360"/>
      </w:pPr>
      <w:rPr>
        <w:rFonts w:ascii="Arial" w:hAnsi="Arial" w:hint="default"/>
      </w:rPr>
    </w:lvl>
    <w:lvl w:ilvl="5" w:tplc="8B2ED224" w:tentative="1">
      <w:start w:val="1"/>
      <w:numFmt w:val="bullet"/>
      <w:lvlText w:val="•"/>
      <w:lvlJc w:val="left"/>
      <w:pPr>
        <w:tabs>
          <w:tab w:val="num" w:pos="4320"/>
        </w:tabs>
        <w:ind w:left="4320" w:hanging="360"/>
      </w:pPr>
      <w:rPr>
        <w:rFonts w:ascii="Arial" w:hAnsi="Arial" w:hint="default"/>
      </w:rPr>
    </w:lvl>
    <w:lvl w:ilvl="6" w:tplc="4546E334" w:tentative="1">
      <w:start w:val="1"/>
      <w:numFmt w:val="bullet"/>
      <w:lvlText w:val="•"/>
      <w:lvlJc w:val="left"/>
      <w:pPr>
        <w:tabs>
          <w:tab w:val="num" w:pos="5040"/>
        </w:tabs>
        <w:ind w:left="5040" w:hanging="360"/>
      </w:pPr>
      <w:rPr>
        <w:rFonts w:ascii="Arial" w:hAnsi="Arial" w:hint="default"/>
      </w:rPr>
    </w:lvl>
    <w:lvl w:ilvl="7" w:tplc="F8E63EE4" w:tentative="1">
      <w:start w:val="1"/>
      <w:numFmt w:val="bullet"/>
      <w:lvlText w:val="•"/>
      <w:lvlJc w:val="left"/>
      <w:pPr>
        <w:tabs>
          <w:tab w:val="num" w:pos="5760"/>
        </w:tabs>
        <w:ind w:left="5760" w:hanging="360"/>
      </w:pPr>
      <w:rPr>
        <w:rFonts w:ascii="Arial" w:hAnsi="Arial" w:hint="default"/>
      </w:rPr>
    </w:lvl>
    <w:lvl w:ilvl="8" w:tplc="4400FF20"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 w:numId="3">
    <w:abstractNumId w:val="7"/>
  </w:num>
  <w:num w:numId="4">
    <w:abstractNumId w:val="5"/>
  </w:num>
  <w:num w:numId="5">
    <w:abstractNumId w:val="2"/>
  </w:num>
  <w:num w:numId="6">
    <w:abstractNumId w:val="3"/>
  </w:num>
  <w:num w:numId="7">
    <w:abstractNumId w:val="4"/>
  </w:num>
  <w:num w:numId="8">
    <w:abstractNumId w:val="6"/>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footnotePr>
    <w:footnote w:id="-1"/>
    <w:footnote w:id="0"/>
  </w:footnotePr>
  <w:endnotePr>
    <w:endnote w:id="-1"/>
    <w:endnote w:id="0"/>
  </w:endnotePr>
  <w:compat/>
  <w:rsids>
    <w:rsidRoot w:val="003E27BF"/>
    <w:rsid w:val="00003090"/>
    <w:rsid w:val="0000419B"/>
    <w:rsid w:val="00006A5F"/>
    <w:rsid w:val="0001163C"/>
    <w:rsid w:val="00016C53"/>
    <w:rsid w:val="00036381"/>
    <w:rsid w:val="0003653E"/>
    <w:rsid w:val="000406C2"/>
    <w:rsid w:val="00040702"/>
    <w:rsid w:val="000411EB"/>
    <w:rsid w:val="00042310"/>
    <w:rsid w:val="00045AA6"/>
    <w:rsid w:val="00045BE6"/>
    <w:rsid w:val="00047E0C"/>
    <w:rsid w:val="00051FB3"/>
    <w:rsid w:val="000559B4"/>
    <w:rsid w:val="00061610"/>
    <w:rsid w:val="00062863"/>
    <w:rsid w:val="00067EC7"/>
    <w:rsid w:val="000703DF"/>
    <w:rsid w:val="00075467"/>
    <w:rsid w:val="00075F77"/>
    <w:rsid w:val="00086FC9"/>
    <w:rsid w:val="000959D0"/>
    <w:rsid w:val="000C2687"/>
    <w:rsid w:val="000D0246"/>
    <w:rsid w:val="000D0F79"/>
    <w:rsid w:val="000D36F9"/>
    <w:rsid w:val="000E6B3E"/>
    <w:rsid w:val="000E6F27"/>
    <w:rsid w:val="000F129D"/>
    <w:rsid w:val="000F2CA0"/>
    <w:rsid w:val="000F4093"/>
    <w:rsid w:val="00104E74"/>
    <w:rsid w:val="0011394B"/>
    <w:rsid w:val="00120982"/>
    <w:rsid w:val="00123091"/>
    <w:rsid w:val="001235B5"/>
    <w:rsid w:val="00124B48"/>
    <w:rsid w:val="00131E22"/>
    <w:rsid w:val="001321AC"/>
    <w:rsid w:val="00147840"/>
    <w:rsid w:val="00154AA1"/>
    <w:rsid w:val="00161003"/>
    <w:rsid w:val="00166192"/>
    <w:rsid w:val="001673E5"/>
    <w:rsid w:val="00172643"/>
    <w:rsid w:val="001747BB"/>
    <w:rsid w:val="00175AC2"/>
    <w:rsid w:val="0019061D"/>
    <w:rsid w:val="0019335F"/>
    <w:rsid w:val="00193DF6"/>
    <w:rsid w:val="001A0439"/>
    <w:rsid w:val="001A749C"/>
    <w:rsid w:val="001C3DB0"/>
    <w:rsid w:val="001C4D57"/>
    <w:rsid w:val="001C5FB2"/>
    <w:rsid w:val="001D327F"/>
    <w:rsid w:val="001E3B2E"/>
    <w:rsid w:val="001F055D"/>
    <w:rsid w:val="001F219A"/>
    <w:rsid w:val="001F2877"/>
    <w:rsid w:val="001F75AE"/>
    <w:rsid w:val="00200066"/>
    <w:rsid w:val="002149E3"/>
    <w:rsid w:val="002175B7"/>
    <w:rsid w:val="00220BE9"/>
    <w:rsid w:val="002321AF"/>
    <w:rsid w:val="002349C3"/>
    <w:rsid w:val="00236E40"/>
    <w:rsid w:val="00247A61"/>
    <w:rsid w:val="002509B6"/>
    <w:rsid w:val="0025216B"/>
    <w:rsid w:val="002545D9"/>
    <w:rsid w:val="00263376"/>
    <w:rsid w:val="00271970"/>
    <w:rsid w:val="0027263E"/>
    <w:rsid w:val="002734F1"/>
    <w:rsid w:val="0027385D"/>
    <w:rsid w:val="00275529"/>
    <w:rsid w:val="00276CF0"/>
    <w:rsid w:val="00280100"/>
    <w:rsid w:val="00296E15"/>
    <w:rsid w:val="00297149"/>
    <w:rsid w:val="002A379B"/>
    <w:rsid w:val="002A405A"/>
    <w:rsid w:val="002A6938"/>
    <w:rsid w:val="002A6DD6"/>
    <w:rsid w:val="002B06D0"/>
    <w:rsid w:val="002B3667"/>
    <w:rsid w:val="002C7D2A"/>
    <w:rsid w:val="002D412D"/>
    <w:rsid w:val="002D4FC1"/>
    <w:rsid w:val="002D568A"/>
    <w:rsid w:val="002E110B"/>
    <w:rsid w:val="002E17B7"/>
    <w:rsid w:val="002E2528"/>
    <w:rsid w:val="002E7692"/>
    <w:rsid w:val="002E7970"/>
    <w:rsid w:val="00300862"/>
    <w:rsid w:val="00303C4D"/>
    <w:rsid w:val="00306C8C"/>
    <w:rsid w:val="00310CBF"/>
    <w:rsid w:val="00312837"/>
    <w:rsid w:val="00314EDE"/>
    <w:rsid w:val="003164D1"/>
    <w:rsid w:val="00316FE9"/>
    <w:rsid w:val="003172EC"/>
    <w:rsid w:val="003268E4"/>
    <w:rsid w:val="00327AB5"/>
    <w:rsid w:val="00336D7B"/>
    <w:rsid w:val="00340EEC"/>
    <w:rsid w:val="003477A4"/>
    <w:rsid w:val="00357F37"/>
    <w:rsid w:val="003635FD"/>
    <w:rsid w:val="00367D48"/>
    <w:rsid w:val="00374562"/>
    <w:rsid w:val="00384A5F"/>
    <w:rsid w:val="003935D5"/>
    <w:rsid w:val="003A05E3"/>
    <w:rsid w:val="003B4B7E"/>
    <w:rsid w:val="003C26DE"/>
    <w:rsid w:val="003C36AA"/>
    <w:rsid w:val="003C39D4"/>
    <w:rsid w:val="003C49C1"/>
    <w:rsid w:val="003C6126"/>
    <w:rsid w:val="003C7F2B"/>
    <w:rsid w:val="003E27BF"/>
    <w:rsid w:val="003E335E"/>
    <w:rsid w:val="003E5008"/>
    <w:rsid w:val="003F1087"/>
    <w:rsid w:val="003F4690"/>
    <w:rsid w:val="003F6FA6"/>
    <w:rsid w:val="004013CD"/>
    <w:rsid w:val="00415E96"/>
    <w:rsid w:val="00416197"/>
    <w:rsid w:val="004164C7"/>
    <w:rsid w:val="00417B35"/>
    <w:rsid w:val="00417CF8"/>
    <w:rsid w:val="00432254"/>
    <w:rsid w:val="00433FA7"/>
    <w:rsid w:val="004341DD"/>
    <w:rsid w:val="00436E37"/>
    <w:rsid w:val="004378B1"/>
    <w:rsid w:val="00440CF5"/>
    <w:rsid w:val="00447FBD"/>
    <w:rsid w:val="00454433"/>
    <w:rsid w:val="004603F0"/>
    <w:rsid w:val="00470181"/>
    <w:rsid w:val="0047533C"/>
    <w:rsid w:val="004904F0"/>
    <w:rsid w:val="004A01DF"/>
    <w:rsid w:val="004A2654"/>
    <w:rsid w:val="004A3204"/>
    <w:rsid w:val="004A5F39"/>
    <w:rsid w:val="004B6CC8"/>
    <w:rsid w:val="004C056E"/>
    <w:rsid w:val="004C41F7"/>
    <w:rsid w:val="004D0230"/>
    <w:rsid w:val="004D2CD0"/>
    <w:rsid w:val="004E4C01"/>
    <w:rsid w:val="004F3AD7"/>
    <w:rsid w:val="00506EE1"/>
    <w:rsid w:val="00513ADB"/>
    <w:rsid w:val="00515A64"/>
    <w:rsid w:val="0051686A"/>
    <w:rsid w:val="00522F6F"/>
    <w:rsid w:val="0054078F"/>
    <w:rsid w:val="00541480"/>
    <w:rsid w:val="00547405"/>
    <w:rsid w:val="005501F7"/>
    <w:rsid w:val="00550D54"/>
    <w:rsid w:val="00555C55"/>
    <w:rsid w:val="00556F85"/>
    <w:rsid w:val="00581D45"/>
    <w:rsid w:val="00587C0A"/>
    <w:rsid w:val="00596DEA"/>
    <w:rsid w:val="005A1E4D"/>
    <w:rsid w:val="005A38F3"/>
    <w:rsid w:val="005A40B5"/>
    <w:rsid w:val="005B3C6B"/>
    <w:rsid w:val="005B511A"/>
    <w:rsid w:val="005B5549"/>
    <w:rsid w:val="005C450E"/>
    <w:rsid w:val="005C4AB0"/>
    <w:rsid w:val="005C5E5C"/>
    <w:rsid w:val="005D2D40"/>
    <w:rsid w:val="005D5B9A"/>
    <w:rsid w:val="005D6909"/>
    <w:rsid w:val="005E31FF"/>
    <w:rsid w:val="005F32D8"/>
    <w:rsid w:val="005F4E96"/>
    <w:rsid w:val="0060534D"/>
    <w:rsid w:val="00606BF8"/>
    <w:rsid w:val="00606D67"/>
    <w:rsid w:val="006103EC"/>
    <w:rsid w:val="00612445"/>
    <w:rsid w:val="00616AA2"/>
    <w:rsid w:val="00635F40"/>
    <w:rsid w:val="0064188F"/>
    <w:rsid w:val="00641E35"/>
    <w:rsid w:val="00654D55"/>
    <w:rsid w:val="00654E26"/>
    <w:rsid w:val="00675C71"/>
    <w:rsid w:val="00676AEB"/>
    <w:rsid w:val="00692798"/>
    <w:rsid w:val="006A09F3"/>
    <w:rsid w:val="006A3369"/>
    <w:rsid w:val="006A5E2F"/>
    <w:rsid w:val="006B38C6"/>
    <w:rsid w:val="006D0039"/>
    <w:rsid w:val="006D07ED"/>
    <w:rsid w:val="006D4AE6"/>
    <w:rsid w:val="006D4B12"/>
    <w:rsid w:val="006E40D0"/>
    <w:rsid w:val="006E4D5C"/>
    <w:rsid w:val="006E6453"/>
    <w:rsid w:val="006F7EC7"/>
    <w:rsid w:val="00700A38"/>
    <w:rsid w:val="00704431"/>
    <w:rsid w:val="0070464F"/>
    <w:rsid w:val="0070582F"/>
    <w:rsid w:val="0071150A"/>
    <w:rsid w:val="00712F00"/>
    <w:rsid w:val="007220C0"/>
    <w:rsid w:val="0072252E"/>
    <w:rsid w:val="00722C89"/>
    <w:rsid w:val="00725060"/>
    <w:rsid w:val="0073073B"/>
    <w:rsid w:val="00731945"/>
    <w:rsid w:val="007370B1"/>
    <w:rsid w:val="00743258"/>
    <w:rsid w:val="007434C2"/>
    <w:rsid w:val="00744C15"/>
    <w:rsid w:val="00750884"/>
    <w:rsid w:val="0075686A"/>
    <w:rsid w:val="00763622"/>
    <w:rsid w:val="007848DD"/>
    <w:rsid w:val="007849D3"/>
    <w:rsid w:val="007873FE"/>
    <w:rsid w:val="00790D88"/>
    <w:rsid w:val="007A201B"/>
    <w:rsid w:val="007A5CCC"/>
    <w:rsid w:val="007B4398"/>
    <w:rsid w:val="007B6F47"/>
    <w:rsid w:val="007C598B"/>
    <w:rsid w:val="007C7E8A"/>
    <w:rsid w:val="007D1A8A"/>
    <w:rsid w:val="007E4C38"/>
    <w:rsid w:val="007E62AD"/>
    <w:rsid w:val="007F54DA"/>
    <w:rsid w:val="008205E6"/>
    <w:rsid w:val="008232FB"/>
    <w:rsid w:val="0082527F"/>
    <w:rsid w:val="0083283E"/>
    <w:rsid w:val="008339A4"/>
    <w:rsid w:val="00851DAF"/>
    <w:rsid w:val="00852621"/>
    <w:rsid w:val="00856FB4"/>
    <w:rsid w:val="00861F1F"/>
    <w:rsid w:val="00862C0F"/>
    <w:rsid w:val="00871C5D"/>
    <w:rsid w:val="00872860"/>
    <w:rsid w:val="00872D02"/>
    <w:rsid w:val="008730C7"/>
    <w:rsid w:val="0087314A"/>
    <w:rsid w:val="00877F51"/>
    <w:rsid w:val="00880285"/>
    <w:rsid w:val="008839D3"/>
    <w:rsid w:val="008869C1"/>
    <w:rsid w:val="008A5508"/>
    <w:rsid w:val="008A57BB"/>
    <w:rsid w:val="008B11EB"/>
    <w:rsid w:val="008B2179"/>
    <w:rsid w:val="008B2557"/>
    <w:rsid w:val="008D65DA"/>
    <w:rsid w:val="008D6C83"/>
    <w:rsid w:val="008D736D"/>
    <w:rsid w:val="008E6351"/>
    <w:rsid w:val="008F58E3"/>
    <w:rsid w:val="008F64D1"/>
    <w:rsid w:val="0090095E"/>
    <w:rsid w:val="00907124"/>
    <w:rsid w:val="00910952"/>
    <w:rsid w:val="00920184"/>
    <w:rsid w:val="00933E13"/>
    <w:rsid w:val="00937B6E"/>
    <w:rsid w:val="009406C6"/>
    <w:rsid w:val="00946810"/>
    <w:rsid w:val="00946830"/>
    <w:rsid w:val="009478BD"/>
    <w:rsid w:val="009536AB"/>
    <w:rsid w:val="00957FC0"/>
    <w:rsid w:val="009642FD"/>
    <w:rsid w:val="00967B24"/>
    <w:rsid w:val="00971AC4"/>
    <w:rsid w:val="009810E3"/>
    <w:rsid w:val="0098638B"/>
    <w:rsid w:val="00996321"/>
    <w:rsid w:val="00996CA2"/>
    <w:rsid w:val="009A2F17"/>
    <w:rsid w:val="009A4EE6"/>
    <w:rsid w:val="009C1A3F"/>
    <w:rsid w:val="009D09DD"/>
    <w:rsid w:val="009D12DF"/>
    <w:rsid w:val="009D68E8"/>
    <w:rsid w:val="009E0AF8"/>
    <w:rsid w:val="009E3BEB"/>
    <w:rsid w:val="009E4EBB"/>
    <w:rsid w:val="009F1FF8"/>
    <w:rsid w:val="009F3430"/>
    <w:rsid w:val="009F38BE"/>
    <w:rsid w:val="009F4898"/>
    <w:rsid w:val="009F4BC8"/>
    <w:rsid w:val="009F7EEC"/>
    <w:rsid w:val="00A20C67"/>
    <w:rsid w:val="00A43FC9"/>
    <w:rsid w:val="00A447AF"/>
    <w:rsid w:val="00A70E05"/>
    <w:rsid w:val="00A73093"/>
    <w:rsid w:val="00A73532"/>
    <w:rsid w:val="00A819B3"/>
    <w:rsid w:val="00A83038"/>
    <w:rsid w:val="00A838BA"/>
    <w:rsid w:val="00A916F0"/>
    <w:rsid w:val="00A91B3B"/>
    <w:rsid w:val="00A9402A"/>
    <w:rsid w:val="00A94D9C"/>
    <w:rsid w:val="00A96BD3"/>
    <w:rsid w:val="00AA2E8C"/>
    <w:rsid w:val="00AB0FC5"/>
    <w:rsid w:val="00AC040C"/>
    <w:rsid w:val="00AC544A"/>
    <w:rsid w:val="00AD5AE7"/>
    <w:rsid w:val="00AE30F7"/>
    <w:rsid w:val="00AE4E36"/>
    <w:rsid w:val="00AE6856"/>
    <w:rsid w:val="00AF3553"/>
    <w:rsid w:val="00AF76EE"/>
    <w:rsid w:val="00B04776"/>
    <w:rsid w:val="00B04FBB"/>
    <w:rsid w:val="00B11686"/>
    <w:rsid w:val="00B13F60"/>
    <w:rsid w:val="00B2324E"/>
    <w:rsid w:val="00B27978"/>
    <w:rsid w:val="00B32AFC"/>
    <w:rsid w:val="00B3713F"/>
    <w:rsid w:val="00B37256"/>
    <w:rsid w:val="00B47B3C"/>
    <w:rsid w:val="00B60907"/>
    <w:rsid w:val="00B61348"/>
    <w:rsid w:val="00B63C7F"/>
    <w:rsid w:val="00B66BFB"/>
    <w:rsid w:val="00B72DC0"/>
    <w:rsid w:val="00B84B80"/>
    <w:rsid w:val="00B8580A"/>
    <w:rsid w:val="00BA05CC"/>
    <w:rsid w:val="00BA683E"/>
    <w:rsid w:val="00BB0DBF"/>
    <w:rsid w:val="00BB3474"/>
    <w:rsid w:val="00BB395E"/>
    <w:rsid w:val="00BB3B5E"/>
    <w:rsid w:val="00BC0F4D"/>
    <w:rsid w:val="00BC4FA8"/>
    <w:rsid w:val="00BD26AD"/>
    <w:rsid w:val="00BD3909"/>
    <w:rsid w:val="00BD5922"/>
    <w:rsid w:val="00BE5AD5"/>
    <w:rsid w:val="00C021D3"/>
    <w:rsid w:val="00C10598"/>
    <w:rsid w:val="00C15806"/>
    <w:rsid w:val="00C21919"/>
    <w:rsid w:val="00C30A02"/>
    <w:rsid w:val="00C33C30"/>
    <w:rsid w:val="00C37742"/>
    <w:rsid w:val="00C57F94"/>
    <w:rsid w:val="00C71DF2"/>
    <w:rsid w:val="00C72D10"/>
    <w:rsid w:val="00C73D8B"/>
    <w:rsid w:val="00C76433"/>
    <w:rsid w:val="00C81A47"/>
    <w:rsid w:val="00C81C75"/>
    <w:rsid w:val="00C82B01"/>
    <w:rsid w:val="00C84D59"/>
    <w:rsid w:val="00C85BE7"/>
    <w:rsid w:val="00CA10F4"/>
    <w:rsid w:val="00CA21EF"/>
    <w:rsid w:val="00CA5337"/>
    <w:rsid w:val="00CA5860"/>
    <w:rsid w:val="00CC3DC3"/>
    <w:rsid w:val="00CC5F95"/>
    <w:rsid w:val="00CC6E9D"/>
    <w:rsid w:val="00CD3303"/>
    <w:rsid w:val="00CD42A3"/>
    <w:rsid w:val="00CD7D2B"/>
    <w:rsid w:val="00CE0BAA"/>
    <w:rsid w:val="00CE4343"/>
    <w:rsid w:val="00CE7A21"/>
    <w:rsid w:val="00CF059E"/>
    <w:rsid w:val="00CF6CD9"/>
    <w:rsid w:val="00CF76BE"/>
    <w:rsid w:val="00D06E6D"/>
    <w:rsid w:val="00D15349"/>
    <w:rsid w:val="00D238FC"/>
    <w:rsid w:val="00D24E27"/>
    <w:rsid w:val="00D36345"/>
    <w:rsid w:val="00D553D8"/>
    <w:rsid w:val="00D554DF"/>
    <w:rsid w:val="00D6378F"/>
    <w:rsid w:val="00D72635"/>
    <w:rsid w:val="00D75B19"/>
    <w:rsid w:val="00D76C6E"/>
    <w:rsid w:val="00D80C2F"/>
    <w:rsid w:val="00D930BA"/>
    <w:rsid w:val="00DA191C"/>
    <w:rsid w:val="00DA230A"/>
    <w:rsid w:val="00DA346D"/>
    <w:rsid w:val="00DA560B"/>
    <w:rsid w:val="00DA7508"/>
    <w:rsid w:val="00DC453B"/>
    <w:rsid w:val="00DD0E26"/>
    <w:rsid w:val="00DD470D"/>
    <w:rsid w:val="00DE3A4F"/>
    <w:rsid w:val="00DF243A"/>
    <w:rsid w:val="00DF34E1"/>
    <w:rsid w:val="00DF7D47"/>
    <w:rsid w:val="00E151A6"/>
    <w:rsid w:val="00E2162B"/>
    <w:rsid w:val="00E21F22"/>
    <w:rsid w:val="00E24490"/>
    <w:rsid w:val="00E25F89"/>
    <w:rsid w:val="00E43AF3"/>
    <w:rsid w:val="00E5203A"/>
    <w:rsid w:val="00E54D24"/>
    <w:rsid w:val="00E55F24"/>
    <w:rsid w:val="00E578B4"/>
    <w:rsid w:val="00E57EEC"/>
    <w:rsid w:val="00E627D1"/>
    <w:rsid w:val="00E74F28"/>
    <w:rsid w:val="00E85F61"/>
    <w:rsid w:val="00E95313"/>
    <w:rsid w:val="00EA4C21"/>
    <w:rsid w:val="00EB033B"/>
    <w:rsid w:val="00EB45B7"/>
    <w:rsid w:val="00EB5AB8"/>
    <w:rsid w:val="00EB74B9"/>
    <w:rsid w:val="00EC0750"/>
    <w:rsid w:val="00ED3424"/>
    <w:rsid w:val="00ED58F6"/>
    <w:rsid w:val="00ED6D17"/>
    <w:rsid w:val="00EE02FA"/>
    <w:rsid w:val="00EE04F3"/>
    <w:rsid w:val="00EE3635"/>
    <w:rsid w:val="00EE69F1"/>
    <w:rsid w:val="00F1608C"/>
    <w:rsid w:val="00F16A2B"/>
    <w:rsid w:val="00F1761F"/>
    <w:rsid w:val="00F21BF0"/>
    <w:rsid w:val="00F25913"/>
    <w:rsid w:val="00F33469"/>
    <w:rsid w:val="00F35337"/>
    <w:rsid w:val="00F36F12"/>
    <w:rsid w:val="00F4015A"/>
    <w:rsid w:val="00F50267"/>
    <w:rsid w:val="00F5484D"/>
    <w:rsid w:val="00F54A35"/>
    <w:rsid w:val="00F55BC3"/>
    <w:rsid w:val="00F63A1F"/>
    <w:rsid w:val="00F66CE7"/>
    <w:rsid w:val="00F71B93"/>
    <w:rsid w:val="00F77DD3"/>
    <w:rsid w:val="00F812E1"/>
    <w:rsid w:val="00F83074"/>
    <w:rsid w:val="00F87331"/>
    <w:rsid w:val="00F92D6E"/>
    <w:rsid w:val="00F9470C"/>
    <w:rsid w:val="00FA7302"/>
    <w:rsid w:val="00FB3B21"/>
    <w:rsid w:val="00FB761F"/>
    <w:rsid w:val="00FC39A7"/>
    <w:rsid w:val="00FC5832"/>
    <w:rsid w:val="00FC6B24"/>
    <w:rsid w:val="00FD0381"/>
    <w:rsid w:val="00FD145B"/>
    <w:rsid w:val="00FD1891"/>
    <w:rsid w:val="00FE0CB3"/>
    <w:rsid w:val="00FF2211"/>
    <w:rsid w:val="00FF773D"/>
  </w:rsids>
  <m:mathPr>
    <m:mathFont m:val="Cambria Math"/>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129D"/>
    <w:pPr>
      <w:spacing w:after="0" w:line="240" w:lineRule="auto"/>
    </w:pPr>
    <w:rPr>
      <w:rFonts w:ascii="Gill Sans MT" w:eastAsia="Times New Roman" w:hAnsi="Gill Sans MT"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27BF"/>
    <w:rPr>
      <w:rFonts w:ascii="Tahoma" w:hAnsi="Tahoma" w:cs="Tahoma"/>
      <w:sz w:val="16"/>
      <w:szCs w:val="16"/>
    </w:rPr>
  </w:style>
  <w:style w:type="character" w:customStyle="1" w:styleId="BalloonTextChar">
    <w:name w:val="Balloon Text Char"/>
    <w:basedOn w:val="DefaultParagraphFont"/>
    <w:link w:val="BalloonText"/>
    <w:uiPriority w:val="99"/>
    <w:semiHidden/>
    <w:rsid w:val="003E27BF"/>
    <w:rPr>
      <w:rFonts w:ascii="Tahoma" w:hAnsi="Tahoma" w:cs="Tahoma"/>
      <w:sz w:val="16"/>
      <w:szCs w:val="16"/>
    </w:rPr>
  </w:style>
  <w:style w:type="paragraph" w:styleId="Header">
    <w:name w:val="header"/>
    <w:basedOn w:val="Normal"/>
    <w:link w:val="HeaderChar"/>
    <w:uiPriority w:val="99"/>
    <w:unhideWhenUsed/>
    <w:rsid w:val="00722C89"/>
    <w:pPr>
      <w:tabs>
        <w:tab w:val="center" w:pos="4680"/>
        <w:tab w:val="right" w:pos="9360"/>
      </w:tabs>
    </w:pPr>
  </w:style>
  <w:style w:type="character" w:customStyle="1" w:styleId="HeaderChar">
    <w:name w:val="Header Char"/>
    <w:basedOn w:val="DefaultParagraphFont"/>
    <w:link w:val="Header"/>
    <w:uiPriority w:val="99"/>
    <w:rsid w:val="00722C89"/>
  </w:style>
  <w:style w:type="paragraph" w:styleId="Footer">
    <w:name w:val="footer"/>
    <w:basedOn w:val="Normal"/>
    <w:link w:val="FooterChar"/>
    <w:uiPriority w:val="99"/>
    <w:unhideWhenUsed/>
    <w:rsid w:val="00722C89"/>
    <w:pPr>
      <w:tabs>
        <w:tab w:val="center" w:pos="4680"/>
        <w:tab w:val="right" w:pos="9360"/>
      </w:tabs>
    </w:pPr>
  </w:style>
  <w:style w:type="character" w:customStyle="1" w:styleId="FooterChar">
    <w:name w:val="Footer Char"/>
    <w:basedOn w:val="DefaultParagraphFont"/>
    <w:link w:val="Footer"/>
    <w:uiPriority w:val="99"/>
    <w:rsid w:val="00722C89"/>
  </w:style>
  <w:style w:type="paragraph" w:styleId="ListParagraph">
    <w:name w:val="List Paragraph"/>
    <w:aliases w:val="Figure_name,Table of contents numbered"/>
    <w:basedOn w:val="Normal"/>
    <w:link w:val="ListParagraphChar"/>
    <w:uiPriority w:val="34"/>
    <w:qFormat/>
    <w:rsid w:val="00DE3A4F"/>
    <w:pPr>
      <w:ind w:left="720"/>
      <w:contextualSpacing/>
    </w:pPr>
    <w:rPr>
      <w:rFonts w:eastAsiaTheme="minorEastAsia"/>
      <w:lang w:eastAsia="en-ZA"/>
    </w:rPr>
  </w:style>
  <w:style w:type="character" w:customStyle="1" w:styleId="ListParagraphChar">
    <w:name w:val="List Paragraph Char"/>
    <w:aliases w:val="Figure_name Char,Table of contents numbered Char"/>
    <w:link w:val="ListParagraph"/>
    <w:uiPriority w:val="34"/>
    <w:rsid w:val="00DE3A4F"/>
    <w:rPr>
      <w:rFonts w:eastAsiaTheme="minorEastAsia"/>
      <w:lang w:eastAsia="en-ZA"/>
    </w:rPr>
  </w:style>
  <w:style w:type="character" w:customStyle="1" w:styleId="tgc">
    <w:name w:val="_tgc"/>
    <w:basedOn w:val="DefaultParagraphFont"/>
    <w:rsid w:val="004A3204"/>
  </w:style>
  <w:style w:type="paragraph" w:styleId="FootnoteText">
    <w:name w:val="footnote text"/>
    <w:basedOn w:val="Normal"/>
    <w:link w:val="FootnoteTextChar"/>
    <w:uiPriority w:val="99"/>
    <w:semiHidden/>
    <w:unhideWhenUsed/>
    <w:rsid w:val="005C4AB0"/>
    <w:rPr>
      <w:rFonts w:asciiTheme="minorHAnsi" w:eastAsiaTheme="minorEastAsia" w:hAnsiTheme="minorHAnsi" w:cstheme="minorBidi"/>
      <w:sz w:val="20"/>
      <w:szCs w:val="20"/>
      <w:lang w:val="en-ZA" w:eastAsia="en-ZA"/>
    </w:rPr>
  </w:style>
  <w:style w:type="character" w:customStyle="1" w:styleId="FootnoteTextChar">
    <w:name w:val="Footnote Text Char"/>
    <w:basedOn w:val="DefaultParagraphFont"/>
    <w:link w:val="FootnoteText"/>
    <w:uiPriority w:val="99"/>
    <w:semiHidden/>
    <w:rsid w:val="005C4AB0"/>
    <w:rPr>
      <w:rFonts w:eastAsiaTheme="minorEastAsia"/>
      <w:sz w:val="20"/>
      <w:szCs w:val="20"/>
      <w:lang w:eastAsia="en-ZA"/>
    </w:rPr>
  </w:style>
  <w:style w:type="character" w:styleId="FootnoteReference">
    <w:name w:val="footnote reference"/>
    <w:basedOn w:val="DefaultParagraphFont"/>
    <w:uiPriority w:val="99"/>
    <w:semiHidden/>
    <w:unhideWhenUsed/>
    <w:rsid w:val="005C4AB0"/>
    <w:rPr>
      <w:vertAlign w:val="superscript"/>
    </w:rPr>
  </w:style>
</w:styles>
</file>

<file path=word/webSettings.xml><?xml version="1.0" encoding="utf-8"?>
<w:webSettings xmlns:r="http://schemas.openxmlformats.org/officeDocument/2006/relationships" xmlns:w="http://schemas.openxmlformats.org/wordprocessingml/2006/main">
  <w:divs>
    <w:div w:id="31155950">
      <w:bodyDiv w:val="1"/>
      <w:marLeft w:val="0"/>
      <w:marRight w:val="0"/>
      <w:marTop w:val="0"/>
      <w:marBottom w:val="0"/>
      <w:divBdr>
        <w:top w:val="none" w:sz="0" w:space="0" w:color="auto"/>
        <w:left w:val="none" w:sz="0" w:space="0" w:color="auto"/>
        <w:bottom w:val="none" w:sz="0" w:space="0" w:color="auto"/>
        <w:right w:val="none" w:sz="0" w:space="0" w:color="auto"/>
      </w:divBdr>
    </w:div>
    <w:div w:id="76824379">
      <w:bodyDiv w:val="1"/>
      <w:marLeft w:val="0"/>
      <w:marRight w:val="0"/>
      <w:marTop w:val="0"/>
      <w:marBottom w:val="0"/>
      <w:divBdr>
        <w:top w:val="none" w:sz="0" w:space="0" w:color="auto"/>
        <w:left w:val="none" w:sz="0" w:space="0" w:color="auto"/>
        <w:bottom w:val="none" w:sz="0" w:space="0" w:color="auto"/>
        <w:right w:val="none" w:sz="0" w:space="0" w:color="auto"/>
      </w:divBdr>
      <w:divsChild>
        <w:div w:id="851066867">
          <w:marLeft w:val="331"/>
          <w:marRight w:val="0"/>
          <w:marTop w:val="181"/>
          <w:marBottom w:val="0"/>
          <w:divBdr>
            <w:top w:val="none" w:sz="0" w:space="0" w:color="auto"/>
            <w:left w:val="none" w:sz="0" w:space="0" w:color="auto"/>
            <w:bottom w:val="none" w:sz="0" w:space="0" w:color="auto"/>
            <w:right w:val="none" w:sz="0" w:space="0" w:color="auto"/>
          </w:divBdr>
        </w:div>
        <w:div w:id="1314405580">
          <w:marLeft w:val="331"/>
          <w:marRight w:val="0"/>
          <w:marTop w:val="181"/>
          <w:marBottom w:val="0"/>
          <w:divBdr>
            <w:top w:val="none" w:sz="0" w:space="0" w:color="auto"/>
            <w:left w:val="none" w:sz="0" w:space="0" w:color="auto"/>
            <w:bottom w:val="none" w:sz="0" w:space="0" w:color="auto"/>
            <w:right w:val="none" w:sz="0" w:space="0" w:color="auto"/>
          </w:divBdr>
        </w:div>
        <w:div w:id="1310356001">
          <w:marLeft w:val="547"/>
          <w:marRight w:val="0"/>
          <w:marTop w:val="181"/>
          <w:marBottom w:val="0"/>
          <w:divBdr>
            <w:top w:val="none" w:sz="0" w:space="0" w:color="auto"/>
            <w:left w:val="none" w:sz="0" w:space="0" w:color="auto"/>
            <w:bottom w:val="none" w:sz="0" w:space="0" w:color="auto"/>
            <w:right w:val="none" w:sz="0" w:space="0" w:color="auto"/>
          </w:divBdr>
        </w:div>
      </w:divsChild>
    </w:div>
    <w:div w:id="114911715">
      <w:bodyDiv w:val="1"/>
      <w:marLeft w:val="0"/>
      <w:marRight w:val="0"/>
      <w:marTop w:val="0"/>
      <w:marBottom w:val="0"/>
      <w:divBdr>
        <w:top w:val="none" w:sz="0" w:space="0" w:color="auto"/>
        <w:left w:val="none" w:sz="0" w:space="0" w:color="auto"/>
        <w:bottom w:val="none" w:sz="0" w:space="0" w:color="auto"/>
        <w:right w:val="none" w:sz="0" w:space="0" w:color="auto"/>
      </w:divBdr>
      <w:divsChild>
        <w:div w:id="13197050">
          <w:marLeft w:val="547"/>
          <w:marRight w:val="0"/>
          <w:marTop w:val="181"/>
          <w:marBottom w:val="0"/>
          <w:divBdr>
            <w:top w:val="none" w:sz="0" w:space="0" w:color="auto"/>
            <w:left w:val="none" w:sz="0" w:space="0" w:color="auto"/>
            <w:bottom w:val="none" w:sz="0" w:space="0" w:color="auto"/>
            <w:right w:val="none" w:sz="0" w:space="0" w:color="auto"/>
          </w:divBdr>
        </w:div>
        <w:div w:id="728305544">
          <w:marLeft w:val="547"/>
          <w:marRight w:val="0"/>
          <w:marTop w:val="181"/>
          <w:marBottom w:val="0"/>
          <w:divBdr>
            <w:top w:val="none" w:sz="0" w:space="0" w:color="auto"/>
            <w:left w:val="none" w:sz="0" w:space="0" w:color="auto"/>
            <w:bottom w:val="none" w:sz="0" w:space="0" w:color="auto"/>
            <w:right w:val="none" w:sz="0" w:space="0" w:color="auto"/>
          </w:divBdr>
        </w:div>
        <w:div w:id="2105031421">
          <w:marLeft w:val="331"/>
          <w:marRight w:val="0"/>
          <w:marTop w:val="181"/>
          <w:marBottom w:val="0"/>
          <w:divBdr>
            <w:top w:val="none" w:sz="0" w:space="0" w:color="auto"/>
            <w:left w:val="none" w:sz="0" w:space="0" w:color="auto"/>
            <w:bottom w:val="none" w:sz="0" w:space="0" w:color="auto"/>
            <w:right w:val="none" w:sz="0" w:space="0" w:color="auto"/>
          </w:divBdr>
        </w:div>
        <w:div w:id="904297322">
          <w:marLeft w:val="1195"/>
          <w:marRight w:val="0"/>
          <w:marTop w:val="91"/>
          <w:marBottom w:val="0"/>
          <w:divBdr>
            <w:top w:val="none" w:sz="0" w:space="0" w:color="auto"/>
            <w:left w:val="none" w:sz="0" w:space="0" w:color="auto"/>
            <w:bottom w:val="none" w:sz="0" w:space="0" w:color="auto"/>
            <w:right w:val="none" w:sz="0" w:space="0" w:color="auto"/>
          </w:divBdr>
        </w:div>
        <w:div w:id="619068288">
          <w:marLeft w:val="1195"/>
          <w:marRight w:val="0"/>
          <w:marTop w:val="91"/>
          <w:marBottom w:val="0"/>
          <w:divBdr>
            <w:top w:val="none" w:sz="0" w:space="0" w:color="auto"/>
            <w:left w:val="none" w:sz="0" w:space="0" w:color="auto"/>
            <w:bottom w:val="none" w:sz="0" w:space="0" w:color="auto"/>
            <w:right w:val="none" w:sz="0" w:space="0" w:color="auto"/>
          </w:divBdr>
        </w:div>
        <w:div w:id="1163467564">
          <w:marLeft w:val="1195"/>
          <w:marRight w:val="0"/>
          <w:marTop w:val="91"/>
          <w:marBottom w:val="0"/>
          <w:divBdr>
            <w:top w:val="none" w:sz="0" w:space="0" w:color="auto"/>
            <w:left w:val="none" w:sz="0" w:space="0" w:color="auto"/>
            <w:bottom w:val="none" w:sz="0" w:space="0" w:color="auto"/>
            <w:right w:val="none" w:sz="0" w:space="0" w:color="auto"/>
          </w:divBdr>
        </w:div>
      </w:divsChild>
    </w:div>
    <w:div w:id="116870990">
      <w:bodyDiv w:val="1"/>
      <w:marLeft w:val="0"/>
      <w:marRight w:val="0"/>
      <w:marTop w:val="0"/>
      <w:marBottom w:val="0"/>
      <w:divBdr>
        <w:top w:val="none" w:sz="0" w:space="0" w:color="auto"/>
        <w:left w:val="none" w:sz="0" w:space="0" w:color="auto"/>
        <w:bottom w:val="none" w:sz="0" w:space="0" w:color="auto"/>
        <w:right w:val="none" w:sz="0" w:space="0" w:color="auto"/>
      </w:divBdr>
      <w:divsChild>
        <w:div w:id="1828476827">
          <w:marLeft w:val="360"/>
          <w:marRight w:val="0"/>
          <w:marTop w:val="200"/>
          <w:marBottom w:val="0"/>
          <w:divBdr>
            <w:top w:val="none" w:sz="0" w:space="0" w:color="auto"/>
            <w:left w:val="none" w:sz="0" w:space="0" w:color="auto"/>
            <w:bottom w:val="none" w:sz="0" w:space="0" w:color="auto"/>
            <w:right w:val="none" w:sz="0" w:space="0" w:color="auto"/>
          </w:divBdr>
        </w:div>
        <w:div w:id="146897528">
          <w:marLeft w:val="360"/>
          <w:marRight w:val="0"/>
          <w:marTop w:val="200"/>
          <w:marBottom w:val="0"/>
          <w:divBdr>
            <w:top w:val="none" w:sz="0" w:space="0" w:color="auto"/>
            <w:left w:val="none" w:sz="0" w:space="0" w:color="auto"/>
            <w:bottom w:val="none" w:sz="0" w:space="0" w:color="auto"/>
            <w:right w:val="none" w:sz="0" w:space="0" w:color="auto"/>
          </w:divBdr>
        </w:div>
        <w:div w:id="64232341">
          <w:marLeft w:val="1080"/>
          <w:marRight w:val="0"/>
          <w:marTop w:val="100"/>
          <w:marBottom w:val="0"/>
          <w:divBdr>
            <w:top w:val="none" w:sz="0" w:space="0" w:color="auto"/>
            <w:left w:val="none" w:sz="0" w:space="0" w:color="auto"/>
            <w:bottom w:val="none" w:sz="0" w:space="0" w:color="auto"/>
            <w:right w:val="none" w:sz="0" w:space="0" w:color="auto"/>
          </w:divBdr>
        </w:div>
        <w:div w:id="273631047">
          <w:marLeft w:val="1080"/>
          <w:marRight w:val="0"/>
          <w:marTop w:val="100"/>
          <w:marBottom w:val="0"/>
          <w:divBdr>
            <w:top w:val="none" w:sz="0" w:space="0" w:color="auto"/>
            <w:left w:val="none" w:sz="0" w:space="0" w:color="auto"/>
            <w:bottom w:val="none" w:sz="0" w:space="0" w:color="auto"/>
            <w:right w:val="none" w:sz="0" w:space="0" w:color="auto"/>
          </w:divBdr>
        </w:div>
        <w:div w:id="549546">
          <w:marLeft w:val="1080"/>
          <w:marRight w:val="0"/>
          <w:marTop w:val="100"/>
          <w:marBottom w:val="0"/>
          <w:divBdr>
            <w:top w:val="none" w:sz="0" w:space="0" w:color="auto"/>
            <w:left w:val="none" w:sz="0" w:space="0" w:color="auto"/>
            <w:bottom w:val="none" w:sz="0" w:space="0" w:color="auto"/>
            <w:right w:val="none" w:sz="0" w:space="0" w:color="auto"/>
          </w:divBdr>
        </w:div>
        <w:div w:id="641232160">
          <w:marLeft w:val="360"/>
          <w:marRight w:val="0"/>
          <w:marTop w:val="200"/>
          <w:marBottom w:val="0"/>
          <w:divBdr>
            <w:top w:val="none" w:sz="0" w:space="0" w:color="auto"/>
            <w:left w:val="none" w:sz="0" w:space="0" w:color="auto"/>
            <w:bottom w:val="none" w:sz="0" w:space="0" w:color="auto"/>
            <w:right w:val="none" w:sz="0" w:space="0" w:color="auto"/>
          </w:divBdr>
        </w:div>
        <w:div w:id="93015689">
          <w:marLeft w:val="360"/>
          <w:marRight w:val="0"/>
          <w:marTop w:val="200"/>
          <w:marBottom w:val="0"/>
          <w:divBdr>
            <w:top w:val="none" w:sz="0" w:space="0" w:color="auto"/>
            <w:left w:val="none" w:sz="0" w:space="0" w:color="auto"/>
            <w:bottom w:val="none" w:sz="0" w:space="0" w:color="auto"/>
            <w:right w:val="none" w:sz="0" w:space="0" w:color="auto"/>
          </w:divBdr>
        </w:div>
        <w:div w:id="318189736">
          <w:marLeft w:val="360"/>
          <w:marRight w:val="0"/>
          <w:marTop w:val="200"/>
          <w:marBottom w:val="0"/>
          <w:divBdr>
            <w:top w:val="none" w:sz="0" w:space="0" w:color="auto"/>
            <w:left w:val="none" w:sz="0" w:space="0" w:color="auto"/>
            <w:bottom w:val="none" w:sz="0" w:space="0" w:color="auto"/>
            <w:right w:val="none" w:sz="0" w:space="0" w:color="auto"/>
          </w:divBdr>
        </w:div>
        <w:div w:id="1157189788">
          <w:marLeft w:val="360"/>
          <w:marRight w:val="0"/>
          <w:marTop w:val="200"/>
          <w:marBottom w:val="0"/>
          <w:divBdr>
            <w:top w:val="none" w:sz="0" w:space="0" w:color="auto"/>
            <w:left w:val="none" w:sz="0" w:space="0" w:color="auto"/>
            <w:bottom w:val="none" w:sz="0" w:space="0" w:color="auto"/>
            <w:right w:val="none" w:sz="0" w:space="0" w:color="auto"/>
          </w:divBdr>
        </w:div>
      </w:divsChild>
    </w:div>
    <w:div w:id="159539972">
      <w:bodyDiv w:val="1"/>
      <w:marLeft w:val="0"/>
      <w:marRight w:val="0"/>
      <w:marTop w:val="0"/>
      <w:marBottom w:val="0"/>
      <w:divBdr>
        <w:top w:val="none" w:sz="0" w:space="0" w:color="auto"/>
        <w:left w:val="none" w:sz="0" w:space="0" w:color="auto"/>
        <w:bottom w:val="none" w:sz="0" w:space="0" w:color="auto"/>
        <w:right w:val="none" w:sz="0" w:space="0" w:color="auto"/>
      </w:divBdr>
    </w:div>
    <w:div w:id="173764829">
      <w:bodyDiv w:val="1"/>
      <w:marLeft w:val="0"/>
      <w:marRight w:val="0"/>
      <w:marTop w:val="0"/>
      <w:marBottom w:val="0"/>
      <w:divBdr>
        <w:top w:val="none" w:sz="0" w:space="0" w:color="auto"/>
        <w:left w:val="none" w:sz="0" w:space="0" w:color="auto"/>
        <w:bottom w:val="none" w:sz="0" w:space="0" w:color="auto"/>
        <w:right w:val="none" w:sz="0" w:space="0" w:color="auto"/>
      </w:divBdr>
    </w:div>
    <w:div w:id="243150678">
      <w:bodyDiv w:val="1"/>
      <w:marLeft w:val="0"/>
      <w:marRight w:val="0"/>
      <w:marTop w:val="0"/>
      <w:marBottom w:val="0"/>
      <w:divBdr>
        <w:top w:val="none" w:sz="0" w:space="0" w:color="auto"/>
        <w:left w:val="none" w:sz="0" w:space="0" w:color="auto"/>
        <w:bottom w:val="none" w:sz="0" w:space="0" w:color="auto"/>
        <w:right w:val="none" w:sz="0" w:space="0" w:color="auto"/>
      </w:divBdr>
    </w:div>
    <w:div w:id="296647307">
      <w:bodyDiv w:val="1"/>
      <w:marLeft w:val="0"/>
      <w:marRight w:val="0"/>
      <w:marTop w:val="0"/>
      <w:marBottom w:val="0"/>
      <w:divBdr>
        <w:top w:val="none" w:sz="0" w:space="0" w:color="auto"/>
        <w:left w:val="none" w:sz="0" w:space="0" w:color="auto"/>
        <w:bottom w:val="none" w:sz="0" w:space="0" w:color="auto"/>
        <w:right w:val="none" w:sz="0" w:space="0" w:color="auto"/>
      </w:divBdr>
      <w:divsChild>
        <w:div w:id="1162312906">
          <w:marLeft w:val="547"/>
          <w:marRight w:val="0"/>
          <w:marTop w:val="181"/>
          <w:marBottom w:val="0"/>
          <w:divBdr>
            <w:top w:val="none" w:sz="0" w:space="0" w:color="auto"/>
            <w:left w:val="none" w:sz="0" w:space="0" w:color="auto"/>
            <w:bottom w:val="none" w:sz="0" w:space="0" w:color="auto"/>
            <w:right w:val="none" w:sz="0" w:space="0" w:color="auto"/>
          </w:divBdr>
        </w:div>
        <w:div w:id="1406533909">
          <w:marLeft w:val="1195"/>
          <w:marRight w:val="0"/>
          <w:marTop w:val="91"/>
          <w:marBottom w:val="0"/>
          <w:divBdr>
            <w:top w:val="none" w:sz="0" w:space="0" w:color="auto"/>
            <w:left w:val="none" w:sz="0" w:space="0" w:color="auto"/>
            <w:bottom w:val="none" w:sz="0" w:space="0" w:color="auto"/>
            <w:right w:val="none" w:sz="0" w:space="0" w:color="auto"/>
          </w:divBdr>
        </w:div>
        <w:div w:id="1213930158">
          <w:marLeft w:val="1195"/>
          <w:marRight w:val="0"/>
          <w:marTop w:val="91"/>
          <w:marBottom w:val="0"/>
          <w:divBdr>
            <w:top w:val="none" w:sz="0" w:space="0" w:color="auto"/>
            <w:left w:val="none" w:sz="0" w:space="0" w:color="auto"/>
            <w:bottom w:val="none" w:sz="0" w:space="0" w:color="auto"/>
            <w:right w:val="none" w:sz="0" w:space="0" w:color="auto"/>
          </w:divBdr>
        </w:div>
        <w:div w:id="1190878939">
          <w:marLeft w:val="1195"/>
          <w:marRight w:val="0"/>
          <w:marTop w:val="91"/>
          <w:marBottom w:val="0"/>
          <w:divBdr>
            <w:top w:val="none" w:sz="0" w:space="0" w:color="auto"/>
            <w:left w:val="none" w:sz="0" w:space="0" w:color="auto"/>
            <w:bottom w:val="none" w:sz="0" w:space="0" w:color="auto"/>
            <w:right w:val="none" w:sz="0" w:space="0" w:color="auto"/>
          </w:divBdr>
        </w:div>
        <w:div w:id="1277981856">
          <w:marLeft w:val="1195"/>
          <w:marRight w:val="0"/>
          <w:marTop w:val="91"/>
          <w:marBottom w:val="0"/>
          <w:divBdr>
            <w:top w:val="none" w:sz="0" w:space="0" w:color="auto"/>
            <w:left w:val="none" w:sz="0" w:space="0" w:color="auto"/>
            <w:bottom w:val="none" w:sz="0" w:space="0" w:color="auto"/>
            <w:right w:val="none" w:sz="0" w:space="0" w:color="auto"/>
          </w:divBdr>
        </w:div>
        <w:div w:id="340012134">
          <w:marLeft w:val="1195"/>
          <w:marRight w:val="0"/>
          <w:marTop w:val="91"/>
          <w:marBottom w:val="0"/>
          <w:divBdr>
            <w:top w:val="none" w:sz="0" w:space="0" w:color="auto"/>
            <w:left w:val="none" w:sz="0" w:space="0" w:color="auto"/>
            <w:bottom w:val="none" w:sz="0" w:space="0" w:color="auto"/>
            <w:right w:val="none" w:sz="0" w:space="0" w:color="auto"/>
          </w:divBdr>
        </w:div>
        <w:div w:id="1689599154">
          <w:marLeft w:val="1195"/>
          <w:marRight w:val="0"/>
          <w:marTop w:val="91"/>
          <w:marBottom w:val="0"/>
          <w:divBdr>
            <w:top w:val="none" w:sz="0" w:space="0" w:color="auto"/>
            <w:left w:val="none" w:sz="0" w:space="0" w:color="auto"/>
            <w:bottom w:val="none" w:sz="0" w:space="0" w:color="auto"/>
            <w:right w:val="none" w:sz="0" w:space="0" w:color="auto"/>
          </w:divBdr>
        </w:div>
        <w:div w:id="1665548476">
          <w:marLeft w:val="1195"/>
          <w:marRight w:val="0"/>
          <w:marTop w:val="91"/>
          <w:marBottom w:val="0"/>
          <w:divBdr>
            <w:top w:val="none" w:sz="0" w:space="0" w:color="auto"/>
            <w:left w:val="none" w:sz="0" w:space="0" w:color="auto"/>
            <w:bottom w:val="none" w:sz="0" w:space="0" w:color="auto"/>
            <w:right w:val="none" w:sz="0" w:space="0" w:color="auto"/>
          </w:divBdr>
        </w:div>
        <w:div w:id="177474237">
          <w:marLeft w:val="1195"/>
          <w:marRight w:val="0"/>
          <w:marTop w:val="91"/>
          <w:marBottom w:val="0"/>
          <w:divBdr>
            <w:top w:val="none" w:sz="0" w:space="0" w:color="auto"/>
            <w:left w:val="none" w:sz="0" w:space="0" w:color="auto"/>
            <w:bottom w:val="none" w:sz="0" w:space="0" w:color="auto"/>
            <w:right w:val="none" w:sz="0" w:space="0" w:color="auto"/>
          </w:divBdr>
        </w:div>
      </w:divsChild>
    </w:div>
    <w:div w:id="365759556">
      <w:bodyDiv w:val="1"/>
      <w:marLeft w:val="0"/>
      <w:marRight w:val="0"/>
      <w:marTop w:val="0"/>
      <w:marBottom w:val="0"/>
      <w:divBdr>
        <w:top w:val="none" w:sz="0" w:space="0" w:color="auto"/>
        <w:left w:val="none" w:sz="0" w:space="0" w:color="auto"/>
        <w:bottom w:val="none" w:sz="0" w:space="0" w:color="auto"/>
        <w:right w:val="none" w:sz="0" w:space="0" w:color="auto"/>
      </w:divBdr>
      <w:divsChild>
        <w:div w:id="611209005">
          <w:marLeft w:val="547"/>
          <w:marRight w:val="0"/>
          <w:marTop w:val="181"/>
          <w:marBottom w:val="0"/>
          <w:divBdr>
            <w:top w:val="none" w:sz="0" w:space="0" w:color="auto"/>
            <w:left w:val="none" w:sz="0" w:space="0" w:color="auto"/>
            <w:bottom w:val="none" w:sz="0" w:space="0" w:color="auto"/>
            <w:right w:val="none" w:sz="0" w:space="0" w:color="auto"/>
          </w:divBdr>
        </w:div>
        <w:div w:id="1017120086">
          <w:marLeft w:val="547"/>
          <w:marRight w:val="0"/>
          <w:marTop w:val="181"/>
          <w:marBottom w:val="0"/>
          <w:divBdr>
            <w:top w:val="none" w:sz="0" w:space="0" w:color="auto"/>
            <w:left w:val="none" w:sz="0" w:space="0" w:color="auto"/>
            <w:bottom w:val="none" w:sz="0" w:space="0" w:color="auto"/>
            <w:right w:val="none" w:sz="0" w:space="0" w:color="auto"/>
          </w:divBdr>
        </w:div>
        <w:div w:id="183058444">
          <w:marLeft w:val="547"/>
          <w:marRight w:val="0"/>
          <w:marTop w:val="181"/>
          <w:marBottom w:val="0"/>
          <w:divBdr>
            <w:top w:val="none" w:sz="0" w:space="0" w:color="auto"/>
            <w:left w:val="none" w:sz="0" w:space="0" w:color="auto"/>
            <w:bottom w:val="none" w:sz="0" w:space="0" w:color="auto"/>
            <w:right w:val="none" w:sz="0" w:space="0" w:color="auto"/>
          </w:divBdr>
        </w:div>
        <w:div w:id="5596274">
          <w:marLeft w:val="547"/>
          <w:marRight w:val="0"/>
          <w:marTop w:val="181"/>
          <w:marBottom w:val="0"/>
          <w:divBdr>
            <w:top w:val="none" w:sz="0" w:space="0" w:color="auto"/>
            <w:left w:val="none" w:sz="0" w:space="0" w:color="auto"/>
            <w:bottom w:val="none" w:sz="0" w:space="0" w:color="auto"/>
            <w:right w:val="none" w:sz="0" w:space="0" w:color="auto"/>
          </w:divBdr>
        </w:div>
      </w:divsChild>
    </w:div>
    <w:div w:id="470905558">
      <w:bodyDiv w:val="1"/>
      <w:marLeft w:val="0"/>
      <w:marRight w:val="0"/>
      <w:marTop w:val="0"/>
      <w:marBottom w:val="0"/>
      <w:divBdr>
        <w:top w:val="none" w:sz="0" w:space="0" w:color="auto"/>
        <w:left w:val="none" w:sz="0" w:space="0" w:color="auto"/>
        <w:bottom w:val="none" w:sz="0" w:space="0" w:color="auto"/>
        <w:right w:val="none" w:sz="0" w:space="0" w:color="auto"/>
      </w:divBdr>
      <w:divsChild>
        <w:div w:id="1559054051">
          <w:marLeft w:val="331"/>
          <w:marRight w:val="0"/>
          <w:marTop w:val="181"/>
          <w:marBottom w:val="0"/>
          <w:divBdr>
            <w:top w:val="none" w:sz="0" w:space="0" w:color="auto"/>
            <w:left w:val="none" w:sz="0" w:space="0" w:color="auto"/>
            <w:bottom w:val="none" w:sz="0" w:space="0" w:color="auto"/>
            <w:right w:val="none" w:sz="0" w:space="0" w:color="auto"/>
          </w:divBdr>
        </w:div>
        <w:div w:id="1854025311">
          <w:marLeft w:val="331"/>
          <w:marRight w:val="0"/>
          <w:marTop w:val="181"/>
          <w:marBottom w:val="0"/>
          <w:divBdr>
            <w:top w:val="none" w:sz="0" w:space="0" w:color="auto"/>
            <w:left w:val="none" w:sz="0" w:space="0" w:color="auto"/>
            <w:bottom w:val="none" w:sz="0" w:space="0" w:color="auto"/>
            <w:right w:val="none" w:sz="0" w:space="0" w:color="auto"/>
          </w:divBdr>
        </w:div>
        <w:div w:id="606430753">
          <w:marLeft w:val="331"/>
          <w:marRight w:val="0"/>
          <w:marTop w:val="181"/>
          <w:marBottom w:val="0"/>
          <w:divBdr>
            <w:top w:val="none" w:sz="0" w:space="0" w:color="auto"/>
            <w:left w:val="none" w:sz="0" w:space="0" w:color="auto"/>
            <w:bottom w:val="none" w:sz="0" w:space="0" w:color="auto"/>
            <w:right w:val="none" w:sz="0" w:space="0" w:color="auto"/>
          </w:divBdr>
        </w:div>
        <w:div w:id="659624058">
          <w:marLeft w:val="331"/>
          <w:marRight w:val="0"/>
          <w:marTop w:val="181"/>
          <w:marBottom w:val="0"/>
          <w:divBdr>
            <w:top w:val="none" w:sz="0" w:space="0" w:color="auto"/>
            <w:left w:val="none" w:sz="0" w:space="0" w:color="auto"/>
            <w:bottom w:val="none" w:sz="0" w:space="0" w:color="auto"/>
            <w:right w:val="none" w:sz="0" w:space="0" w:color="auto"/>
          </w:divBdr>
        </w:div>
      </w:divsChild>
    </w:div>
    <w:div w:id="525867195">
      <w:bodyDiv w:val="1"/>
      <w:marLeft w:val="0"/>
      <w:marRight w:val="0"/>
      <w:marTop w:val="0"/>
      <w:marBottom w:val="0"/>
      <w:divBdr>
        <w:top w:val="none" w:sz="0" w:space="0" w:color="auto"/>
        <w:left w:val="none" w:sz="0" w:space="0" w:color="auto"/>
        <w:bottom w:val="none" w:sz="0" w:space="0" w:color="auto"/>
        <w:right w:val="none" w:sz="0" w:space="0" w:color="auto"/>
      </w:divBdr>
      <w:divsChild>
        <w:div w:id="1617954295">
          <w:marLeft w:val="547"/>
          <w:marRight w:val="0"/>
          <w:marTop w:val="181"/>
          <w:marBottom w:val="0"/>
          <w:divBdr>
            <w:top w:val="none" w:sz="0" w:space="0" w:color="auto"/>
            <w:left w:val="none" w:sz="0" w:space="0" w:color="auto"/>
            <w:bottom w:val="none" w:sz="0" w:space="0" w:color="auto"/>
            <w:right w:val="none" w:sz="0" w:space="0" w:color="auto"/>
          </w:divBdr>
        </w:div>
        <w:div w:id="554316199">
          <w:marLeft w:val="547"/>
          <w:marRight w:val="0"/>
          <w:marTop w:val="181"/>
          <w:marBottom w:val="0"/>
          <w:divBdr>
            <w:top w:val="none" w:sz="0" w:space="0" w:color="auto"/>
            <w:left w:val="none" w:sz="0" w:space="0" w:color="auto"/>
            <w:bottom w:val="none" w:sz="0" w:space="0" w:color="auto"/>
            <w:right w:val="none" w:sz="0" w:space="0" w:color="auto"/>
          </w:divBdr>
        </w:div>
        <w:div w:id="1536969507">
          <w:marLeft w:val="547"/>
          <w:marRight w:val="0"/>
          <w:marTop w:val="181"/>
          <w:marBottom w:val="0"/>
          <w:divBdr>
            <w:top w:val="none" w:sz="0" w:space="0" w:color="auto"/>
            <w:left w:val="none" w:sz="0" w:space="0" w:color="auto"/>
            <w:bottom w:val="none" w:sz="0" w:space="0" w:color="auto"/>
            <w:right w:val="none" w:sz="0" w:space="0" w:color="auto"/>
          </w:divBdr>
        </w:div>
      </w:divsChild>
    </w:div>
    <w:div w:id="579221575">
      <w:bodyDiv w:val="1"/>
      <w:marLeft w:val="0"/>
      <w:marRight w:val="0"/>
      <w:marTop w:val="0"/>
      <w:marBottom w:val="0"/>
      <w:divBdr>
        <w:top w:val="none" w:sz="0" w:space="0" w:color="auto"/>
        <w:left w:val="none" w:sz="0" w:space="0" w:color="auto"/>
        <w:bottom w:val="none" w:sz="0" w:space="0" w:color="auto"/>
        <w:right w:val="none" w:sz="0" w:space="0" w:color="auto"/>
      </w:divBdr>
    </w:div>
    <w:div w:id="620918714">
      <w:bodyDiv w:val="1"/>
      <w:marLeft w:val="0"/>
      <w:marRight w:val="0"/>
      <w:marTop w:val="0"/>
      <w:marBottom w:val="0"/>
      <w:divBdr>
        <w:top w:val="none" w:sz="0" w:space="0" w:color="auto"/>
        <w:left w:val="none" w:sz="0" w:space="0" w:color="auto"/>
        <w:bottom w:val="none" w:sz="0" w:space="0" w:color="auto"/>
        <w:right w:val="none" w:sz="0" w:space="0" w:color="auto"/>
      </w:divBdr>
    </w:div>
    <w:div w:id="643510241">
      <w:bodyDiv w:val="1"/>
      <w:marLeft w:val="0"/>
      <w:marRight w:val="0"/>
      <w:marTop w:val="0"/>
      <w:marBottom w:val="0"/>
      <w:divBdr>
        <w:top w:val="none" w:sz="0" w:space="0" w:color="auto"/>
        <w:left w:val="none" w:sz="0" w:space="0" w:color="auto"/>
        <w:bottom w:val="none" w:sz="0" w:space="0" w:color="auto"/>
        <w:right w:val="none" w:sz="0" w:space="0" w:color="auto"/>
      </w:divBdr>
    </w:div>
    <w:div w:id="758020312">
      <w:bodyDiv w:val="1"/>
      <w:marLeft w:val="0"/>
      <w:marRight w:val="0"/>
      <w:marTop w:val="0"/>
      <w:marBottom w:val="0"/>
      <w:divBdr>
        <w:top w:val="none" w:sz="0" w:space="0" w:color="auto"/>
        <w:left w:val="none" w:sz="0" w:space="0" w:color="auto"/>
        <w:bottom w:val="none" w:sz="0" w:space="0" w:color="auto"/>
        <w:right w:val="none" w:sz="0" w:space="0" w:color="auto"/>
      </w:divBdr>
    </w:div>
    <w:div w:id="772826013">
      <w:bodyDiv w:val="1"/>
      <w:marLeft w:val="0"/>
      <w:marRight w:val="0"/>
      <w:marTop w:val="0"/>
      <w:marBottom w:val="0"/>
      <w:divBdr>
        <w:top w:val="none" w:sz="0" w:space="0" w:color="auto"/>
        <w:left w:val="none" w:sz="0" w:space="0" w:color="auto"/>
        <w:bottom w:val="none" w:sz="0" w:space="0" w:color="auto"/>
        <w:right w:val="none" w:sz="0" w:space="0" w:color="auto"/>
      </w:divBdr>
      <w:divsChild>
        <w:div w:id="1751076369">
          <w:marLeft w:val="331"/>
          <w:marRight w:val="0"/>
          <w:marTop w:val="181"/>
          <w:marBottom w:val="0"/>
          <w:divBdr>
            <w:top w:val="none" w:sz="0" w:space="0" w:color="auto"/>
            <w:left w:val="none" w:sz="0" w:space="0" w:color="auto"/>
            <w:bottom w:val="none" w:sz="0" w:space="0" w:color="auto"/>
            <w:right w:val="none" w:sz="0" w:space="0" w:color="auto"/>
          </w:divBdr>
        </w:div>
        <w:div w:id="1559049159">
          <w:marLeft w:val="331"/>
          <w:marRight w:val="0"/>
          <w:marTop w:val="181"/>
          <w:marBottom w:val="0"/>
          <w:divBdr>
            <w:top w:val="none" w:sz="0" w:space="0" w:color="auto"/>
            <w:left w:val="none" w:sz="0" w:space="0" w:color="auto"/>
            <w:bottom w:val="none" w:sz="0" w:space="0" w:color="auto"/>
            <w:right w:val="none" w:sz="0" w:space="0" w:color="auto"/>
          </w:divBdr>
        </w:div>
        <w:div w:id="1175076962">
          <w:marLeft w:val="331"/>
          <w:marRight w:val="0"/>
          <w:marTop w:val="181"/>
          <w:marBottom w:val="0"/>
          <w:divBdr>
            <w:top w:val="none" w:sz="0" w:space="0" w:color="auto"/>
            <w:left w:val="none" w:sz="0" w:space="0" w:color="auto"/>
            <w:bottom w:val="none" w:sz="0" w:space="0" w:color="auto"/>
            <w:right w:val="none" w:sz="0" w:space="0" w:color="auto"/>
          </w:divBdr>
        </w:div>
        <w:div w:id="949123438">
          <w:marLeft w:val="331"/>
          <w:marRight w:val="0"/>
          <w:marTop w:val="181"/>
          <w:marBottom w:val="0"/>
          <w:divBdr>
            <w:top w:val="none" w:sz="0" w:space="0" w:color="auto"/>
            <w:left w:val="none" w:sz="0" w:space="0" w:color="auto"/>
            <w:bottom w:val="none" w:sz="0" w:space="0" w:color="auto"/>
            <w:right w:val="none" w:sz="0" w:space="0" w:color="auto"/>
          </w:divBdr>
        </w:div>
      </w:divsChild>
    </w:div>
    <w:div w:id="797340538">
      <w:bodyDiv w:val="1"/>
      <w:marLeft w:val="0"/>
      <w:marRight w:val="0"/>
      <w:marTop w:val="0"/>
      <w:marBottom w:val="0"/>
      <w:divBdr>
        <w:top w:val="none" w:sz="0" w:space="0" w:color="auto"/>
        <w:left w:val="none" w:sz="0" w:space="0" w:color="auto"/>
        <w:bottom w:val="none" w:sz="0" w:space="0" w:color="auto"/>
        <w:right w:val="none" w:sz="0" w:space="0" w:color="auto"/>
      </w:divBdr>
      <w:divsChild>
        <w:div w:id="1845389224">
          <w:marLeft w:val="907"/>
          <w:marRight w:val="0"/>
          <w:marTop w:val="91"/>
          <w:marBottom w:val="0"/>
          <w:divBdr>
            <w:top w:val="none" w:sz="0" w:space="0" w:color="auto"/>
            <w:left w:val="none" w:sz="0" w:space="0" w:color="auto"/>
            <w:bottom w:val="none" w:sz="0" w:space="0" w:color="auto"/>
            <w:right w:val="none" w:sz="0" w:space="0" w:color="auto"/>
          </w:divBdr>
        </w:div>
      </w:divsChild>
    </w:div>
    <w:div w:id="825123570">
      <w:bodyDiv w:val="1"/>
      <w:marLeft w:val="0"/>
      <w:marRight w:val="0"/>
      <w:marTop w:val="0"/>
      <w:marBottom w:val="0"/>
      <w:divBdr>
        <w:top w:val="none" w:sz="0" w:space="0" w:color="auto"/>
        <w:left w:val="none" w:sz="0" w:space="0" w:color="auto"/>
        <w:bottom w:val="none" w:sz="0" w:space="0" w:color="auto"/>
        <w:right w:val="none" w:sz="0" w:space="0" w:color="auto"/>
      </w:divBdr>
      <w:divsChild>
        <w:div w:id="404451412">
          <w:marLeft w:val="360"/>
          <w:marRight w:val="0"/>
          <w:marTop w:val="200"/>
          <w:marBottom w:val="0"/>
          <w:divBdr>
            <w:top w:val="none" w:sz="0" w:space="0" w:color="auto"/>
            <w:left w:val="none" w:sz="0" w:space="0" w:color="auto"/>
            <w:bottom w:val="none" w:sz="0" w:space="0" w:color="auto"/>
            <w:right w:val="none" w:sz="0" w:space="0" w:color="auto"/>
          </w:divBdr>
        </w:div>
        <w:div w:id="1591112117">
          <w:marLeft w:val="360"/>
          <w:marRight w:val="0"/>
          <w:marTop w:val="200"/>
          <w:marBottom w:val="0"/>
          <w:divBdr>
            <w:top w:val="none" w:sz="0" w:space="0" w:color="auto"/>
            <w:left w:val="none" w:sz="0" w:space="0" w:color="auto"/>
            <w:bottom w:val="none" w:sz="0" w:space="0" w:color="auto"/>
            <w:right w:val="none" w:sz="0" w:space="0" w:color="auto"/>
          </w:divBdr>
        </w:div>
        <w:div w:id="2109428672">
          <w:marLeft w:val="360"/>
          <w:marRight w:val="0"/>
          <w:marTop w:val="200"/>
          <w:marBottom w:val="0"/>
          <w:divBdr>
            <w:top w:val="none" w:sz="0" w:space="0" w:color="auto"/>
            <w:left w:val="none" w:sz="0" w:space="0" w:color="auto"/>
            <w:bottom w:val="none" w:sz="0" w:space="0" w:color="auto"/>
            <w:right w:val="none" w:sz="0" w:space="0" w:color="auto"/>
          </w:divBdr>
        </w:div>
        <w:div w:id="1725979218">
          <w:marLeft w:val="360"/>
          <w:marRight w:val="0"/>
          <w:marTop w:val="200"/>
          <w:marBottom w:val="0"/>
          <w:divBdr>
            <w:top w:val="none" w:sz="0" w:space="0" w:color="auto"/>
            <w:left w:val="none" w:sz="0" w:space="0" w:color="auto"/>
            <w:bottom w:val="none" w:sz="0" w:space="0" w:color="auto"/>
            <w:right w:val="none" w:sz="0" w:space="0" w:color="auto"/>
          </w:divBdr>
        </w:div>
        <w:div w:id="4866776">
          <w:marLeft w:val="360"/>
          <w:marRight w:val="0"/>
          <w:marTop w:val="200"/>
          <w:marBottom w:val="0"/>
          <w:divBdr>
            <w:top w:val="none" w:sz="0" w:space="0" w:color="auto"/>
            <w:left w:val="none" w:sz="0" w:space="0" w:color="auto"/>
            <w:bottom w:val="none" w:sz="0" w:space="0" w:color="auto"/>
            <w:right w:val="none" w:sz="0" w:space="0" w:color="auto"/>
          </w:divBdr>
        </w:div>
        <w:div w:id="423498851">
          <w:marLeft w:val="360"/>
          <w:marRight w:val="0"/>
          <w:marTop w:val="200"/>
          <w:marBottom w:val="0"/>
          <w:divBdr>
            <w:top w:val="none" w:sz="0" w:space="0" w:color="auto"/>
            <w:left w:val="none" w:sz="0" w:space="0" w:color="auto"/>
            <w:bottom w:val="none" w:sz="0" w:space="0" w:color="auto"/>
            <w:right w:val="none" w:sz="0" w:space="0" w:color="auto"/>
          </w:divBdr>
        </w:div>
      </w:divsChild>
    </w:div>
    <w:div w:id="975834484">
      <w:bodyDiv w:val="1"/>
      <w:marLeft w:val="0"/>
      <w:marRight w:val="0"/>
      <w:marTop w:val="0"/>
      <w:marBottom w:val="0"/>
      <w:divBdr>
        <w:top w:val="none" w:sz="0" w:space="0" w:color="auto"/>
        <w:left w:val="none" w:sz="0" w:space="0" w:color="auto"/>
        <w:bottom w:val="none" w:sz="0" w:space="0" w:color="auto"/>
        <w:right w:val="none" w:sz="0" w:space="0" w:color="auto"/>
      </w:divBdr>
      <w:divsChild>
        <w:div w:id="533662383">
          <w:marLeft w:val="331"/>
          <w:marRight w:val="0"/>
          <w:marTop w:val="181"/>
          <w:marBottom w:val="0"/>
          <w:divBdr>
            <w:top w:val="none" w:sz="0" w:space="0" w:color="auto"/>
            <w:left w:val="none" w:sz="0" w:space="0" w:color="auto"/>
            <w:bottom w:val="none" w:sz="0" w:space="0" w:color="auto"/>
            <w:right w:val="none" w:sz="0" w:space="0" w:color="auto"/>
          </w:divBdr>
        </w:div>
        <w:div w:id="1745251567">
          <w:marLeft w:val="331"/>
          <w:marRight w:val="0"/>
          <w:marTop w:val="181"/>
          <w:marBottom w:val="0"/>
          <w:divBdr>
            <w:top w:val="none" w:sz="0" w:space="0" w:color="auto"/>
            <w:left w:val="none" w:sz="0" w:space="0" w:color="auto"/>
            <w:bottom w:val="none" w:sz="0" w:space="0" w:color="auto"/>
            <w:right w:val="none" w:sz="0" w:space="0" w:color="auto"/>
          </w:divBdr>
        </w:div>
        <w:div w:id="1949656778">
          <w:marLeft w:val="331"/>
          <w:marRight w:val="0"/>
          <w:marTop w:val="181"/>
          <w:marBottom w:val="0"/>
          <w:divBdr>
            <w:top w:val="none" w:sz="0" w:space="0" w:color="auto"/>
            <w:left w:val="none" w:sz="0" w:space="0" w:color="auto"/>
            <w:bottom w:val="none" w:sz="0" w:space="0" w:color="auto"/>
            <w:right w:val="none" w:sz="0" w:space="0" w:color="auto"/>
          </w:divBdr>
        </w:div>
        <w:div w:id="1799445419">
          <w:marLeft w:val="331"/>
          <w:marRight w:val="0"/>
          <w:marTop w:val="181"/>
          <w:marBottom w:val="0"/>
          <w:divBdr>
            <w:top w:val="none" w:sz="0" w:space="0" w:color="auto"/>
            <w:left w:val="none" w:sz="0" w:space="0" w:color="auto"/>
            <w:bottom w:val="none" w:sz="0" w:space="0" w:color="auto"/>
            <w:right w:val="none" w:sz="0" w:space="0" w:color="auto"/>
          </w:divBdr>
        </w:div>
        <w:div w:id="82772587">
          <w:marLeft w:val="331"/>
          <w:marRight w:val="0"/>
          <w:marTop w:val="181"/>
          <w:marBottom w:val="0"/>
          <w:divBdr>
            <w:top w:val="none" w:sz="0" w:space="0" w:color="auto"/>
            <w:left w:val="none" w:sz="0" w:space="0" w:color="auto"/>
            <w:bottom w:val="none" w:sz="0" w:space="0" w:color="auto"/>
            <w:right w:val="none" w:sz="0" w:space="0" w:color="auto"/>
          </w:divBdr>
        </w:div>
        <w:div w:id="554661837">
          <w:marLeft w:val="331"/>
          <w:marRight w:val="0"/>
          <w:marTop w:val="181"/>
          <w:marBottom w:val="0"/>
          <w:divBdr>
            <w:top w:val="none" w:sz="0" w:space="0" w:color="auto"/>
            <w:left w:val="none" w:sz="0" w:space="0" w:color="auto"/>
            <w:bottom w:val="none" w:sz="0" w:space="0" w:color="auto"/>
            <w:right w:val="none" w:sz="0" w:space="0" w:color="auto"/>
          </w:divBdr>
        </w:div>
        <w:div w:id="785395942">
          <w:marLeft w:val="331"/>
          <w:marRight w:val="0"/>
          <w:marTop w:val="181"/>
          <w:marBottom w:val="0"/>
          <w:divBdr>
            <w:top w:val="none" w:sz="0" w:space="0" w:color="auto"/>
            <w:left w:val="none" w:sz="0" w:space="0" w:color="auto"/>
            <w:bottom w:val="none" w:sz="0" w:space="0" w:color="auto"/>
            <w:right w:val="none" w:sz="0" w:space="0" w:color="auto"/>
          </w:divBdr>
        </w:div>
        <w:div w:id="990671708">
          <w:marLeft w:val="331"/>
          <w:marRight w:val="0"/>
          <w:marTop w:val="181"/>
          <w:marBottom w:val="0"/>
          <w:divBdr>
            <w:top w:val="none" w:sz="0" w:space="0" w:color="auto"/>
            <w:left w:val="none" w:sz="0" w:space="0" w:color="auto"/>
            <w:bottom w:val="none" w:sz="0" w:space="0" w:color="auto"/>
            <w:right w:val="none" w:sz="0" w:space="0" w:color="auto"/>
          </w:divBdr>
        </w:div>
        <w:div w:id="407072025">
          <w:marLeft w:val="331"/>
          <w:marRight w:val="0"/>
          <w:marTop w:val="181"/>
          <w:marBottom w:val="0"/>
          <w:divBdr>
            <w:top w:val="none" w:sz="0" w:space="0" w:color="auto"/>
            <w:left w:val="none" w:sz="0" w:space="0" w:color="auto"/>
            <w:bottom w:val="none" w:sz="0" w:space="0" w:color="auto"/>
            <w:right w:val="none" w:sz="0" w:space="0" w:color="auto"/>
          </w:divBdr>
        </w:div>
        <w:div w:id="1133138389">
          <w:marLeft w:val="331"/>
          <w:marRight w:val="0"/>
          <w:marTop w:val="181"/>
          <w:marBottom w:val="0"/>
          <w:divBdr>
            <w:top w:val="none" w:sz="0" w:space="0" w:color="auto"/>
            <w:left w:val="none" w:sz="0" w:space="0" w:color="auto"/>
            <w:bottom w:val="none" w:sz="0" w:space="0" w:color="auto"/>
            <w:right w:val="none" w:sz="0" w:space="0" w:color="auto"/>
          </w:divBdr>
        </w:div>
        <w:div w:id="1220285340">
          <w:marLeft w:val="331"/>
          <w:marRight w:val="0"/>
          <w:marTop w:val="181"/>
          <w:marBottom w:val="0"/>
          <w:divBdr>
            <w:top w:val="none" w:sz="0" w:space="0" w:color="auto"/>
            <w:left w:val="none" w:sz="0" w:space="0" w:color="auto"/>
            <w:bottom w:val="none" w:sz="0" w:space="0" w:color="auto"/>
            <w:right w:val="none" w:sz="0" w:space="0" w:color="auto"/>
          </w:divBdr>
        </w:div>
        <w:div w:id="1097793537">
          <w:marLeft w:val="331"/>
          <w:marRight w:val="0"/>
          <w:marTop w:val="181"/>
          <w:marBottom w:val="0"/>
          <w:divBdr>
            <w:top w:val="none" w:sz="0" w:space="0" w:color="auto"/>
            <w:left w:val="none" w:sz="0" w:space="0" w:color="auto"/>
            <w:bottom w:val="none" w:sz="0" w:space="0" w:color="auto"/>
            <w:right w:val="none" w:sz="0" w:space="0" w:color="auto"/>
          </w:divBdr>
        </w:div>
      </w:divsChild>
    </w:div>
    <w:div w:id="991982501">
      <w:bodyDiv w:val="1"/>
      <w:marLeft w:val="0"/>
      <w:marRight w:val="0"/>
      <w:marTop w:val="0"/>
      <w:marBottom w:val="0"/>
      <w:divBdr>
        <w:top w:val="none" w:sz="0" w:space="0" w:color="auto"/>
        <w:left w:val="none" w:sz="0" w:space="0" w:color="auto"/>
        <w:bottom w:val="none" w:sz="0" w:space="0" w:color="auto"/>
        <w:right w:val="none" w:sz="0" w:space="0" w:color="auto"/>
      </w:divBdr>
    </w:div>
    <w:div w:id="1007831906">
      <w:bodyDiv w:val="1"/>
      <w:marLeft w:val="0"/>
      <w:marRight w:val="0"/>
      <w:marTop w:val="0"/>
      <w:marBottom w:val="0"/>
      <w:divBdr>
        <w:top w:val="none" w:sz="0" w:space="0" w:color="auto"/>
        <w:left w:val="none" w:sz="0" w:space="0" w:color="auto"/>
        <w:bottom w:val="none" w:sz="0" w:space="0" w:color="auto"/>
        <w:right w:val="none" w:sz="0" w:space="0" w:color="auto"/>
      </w:divBdr>
      <w:divsChild>
        <w:div w:id="748116765">
          <w:marLeft w:val="360"/>
          <w:marRight w:val="0"/>
          <w:marTop w:val="200"/>
          <w:marBottom w:val="0"/>
          <w:divBdr>
            <w:top w:val="none" w:sz="0" w:space="0" w:color="auto"/>
            <w:left w:val="none" w:sz="0" w:space="0" w:color="auto"/>
            <w:bottom w:val="none" w:sz="0" w:space="0" w:color="auto"/>
            <w:right w:val="none" w:sz="0" w:space="0" w:color="auto"/>
          </w:divBdr>
        </w:div>
        <w:div w:id="811092432">
          <w:marLeft w:val="360"/>
          <w:marRight w:val="0"/>
          <w:marTop w:val="200"/>
          <w:marBottom w:val="0"/>
          <w:divBdr>
            <w:top w:val="none" w:sz="0" w:space="0" w:color="auto"/>
            <w:left w:val="none" w:sz="0" w:space="0" w:color="auto"/>
            <w:bottom w:val="none" w:sz="0" w:space="0" w:color="auto"/>
            <w:right w:val="none" w:sz="0" w:space="0" w:color="auto"/>
          </w:divBdr>
        </w:div>
        <w:div w:id="873348619">
          <w:marLeft w:val="360"/>
          <w:marRight w:val="0"/>
          <w:marTop w:val="200"/>
          <w:marBottom w:val="0"/>
          <w:divBdr>
            <w:top w:val="none" w:sz="0" w:space="0" w:color="auto"/>
            <w:left w:val="none" w:sz="0" w:space="0" w:color="auto"/>
            <w:bottom w:val="none" w:sz="0" w:space="0" w:color="auto"/>
            <w:right w:val="none" w:sz="0" w:space="0" w:color="auto"/>
          </w:divBdr>
        </w:div>
      </w:divsChild>
    </w:div>
    <w:div w:id="1140538526">
      <w:bodyDiv w:val="1"/>
      <w:marLeft w:val="0"/>
      <w:marRight w:val="0"/>
      <w:marTop w:val="0"/>
      <w:marBottom w:val="0"/>
      <w:divBdr>
        <w:top w:val="none" w:sz="0" w:space="0" w:color="auto"/>
        <w:left w:val="none" w:sz="0" w:space="0" w:color="auto"/>
        <w:bottom w:val="none" w:sz="0" w:space="0" w:color="auto"/>
        <w:right w:val="none" w:sz="0" w:space="0" w:color="auto"/>
      </w:divBdr>
      <w:divsChild>
        <w:div w:id="1157116140">
          <w:marLeft w:val="360"/>
          <w:marRight w:val="0"/>
          <w:marTop w:val="200"/>
          <w:marBottom w:val="0"/>
          <w:divBdr>
            <w:top w:val="none" w:sz="0" w:space="0" w:color="auto"/>
            <w:left w:val="none" w:sz="0" w:space="0" w:color="auto"/>
            <w:bottom w:val="none" w:sz="0" w:space="0" w:color="auto"/>
            <w:right w:val="none" w:sz="0" w:space="0" w:color="auto"/>
          </w:divBdr>
        </w:div>
        <w:div w:id="1461607321">
          <w:marLeft w:val="360"/>
          <w:marRight w:val="0"/>
          <w:marTop w:val="200"/>
          <w:marBottom w:val="0"/>
          <w:divBdr>
            <w:top w:val="none" w:sz="0" w:space="0" w:color="auto"/>
            <w:left w:val="none" w:sz="0" w:space="0" w:color="auto"/>
            <w:bottom w:val="none" w:sz="0" w:space="0" w:color="auto"/>
            <w:right w:val="none" w:sz="0" w:space="0" w:color="auto"/>
          </w:divBdr>
        </w:div>
        <w:div w:id="1018853991">
          <w:marLeft w:val="360"/>
          <w:marRight w:val="0"/>
          <w:marTop w:val="200"/>
          <w:marBottom w:val="0"/>
          <w:divBdr>
            <w:top w:val="none" w:sz="0" w:space="0" w:color="auto"/>
            <w:left w:val="none" w:sz="0" w:space="0" w:color="auto"/>
            <w:bottom w:val="none" w:sz="0" w:space="0" w:color="auto"/>
            <w:right w:val="none" w:sz="0" w:space="0" w:color="auto"/>
          </w:divBdr>
        </w:div>
        <w:div w:id="22246766">
          <w:marLeft w:val="360"/>
          <w:marRight w:val="0"/>
          <w:marTop w:val="200"/>
          <w:marBottom w:val="0"/>
          <w:divBdr>
            <w:top w:val="none" w:sz="0" w:space="0" w:color="auto"/>
            <w:left w:val="none" w:sz="0" w:space="0" w:color="auto"/>
            <w:bottom w:val="none" w:sz="0" w:space="0" w:color="auto"/>
            <w:right w:val="none" w:sz="0" w:space="0" w:color="auto"/>
          </w:divBdr>
        </w:div>
        <w:div w:id="713702422">
          <w:marLeft w:val="360"/>
          <w:marRight w:val="0"/>
          <w:marTop w:val="200"/>
          <w:marBottom w:val="0"/>
          <w:divBdr>
            <w:top w:val="none" w:sz="0" w:space="0" w:color="auto"/>
            <w:left w:val="none" w:sz="0" w:space="0" w:color="auto"/>
            <w:bottom w:val="none" w:sz="0" w:space="0" w:color="auto"/>
            <w:right w:val="none" w:sz="0" w:space="0" w:color="auto"/>
          </w:divBdr>
        </w:div>
        <w:div w:id="1062023276">
          <w:marLeft w:val="360"/>
          <w:marRight w:val="0"/>
          <w:marTop w:val="200"/>
          <w:marBottom w:val="0"/>
          <w:divBdr>
            <w:top w:val="none" w:sz="0" w:space="0" w:color="auto"/>
            <w:left w:val="none" w:sz="0" w:space="0" w:color="auto"/>
            <w:bottom w:val="none" w:sz="0" w:space="0" w:color="auto"/>
            <w:right w:val="none" w:sz="0" w:space="0" w:color="auto"/>
          </w:divBdr>
        </w:div>
      </w:divsChild>
    </w:div>
    <w:div w:id="1154030736">
      <w:bodyDiv w:val="1"/>
      <w:marLeft w:val="0"/>
      <w:marRight w:val="0"/>
      <w:marTop w:val="0"/>
      <w:marBottom w:val="0"/>
      <w:divBdr>
        <w:top w:val="none" w:sz="0" w:space="0" w:color="auto"/>
        <w:left w:val="none" w:sz="0" w:space="0" w:color="auto"/>
        <w:bottom w:val="none" w:sz="0" w:space="0" w:color="auto"/>
        <w:right w:val="none" w:sz="0" w:space="0" w:color="auto"/>
      </w:divBdr>
      <w:divsChild>
        <w:div w:id="70279010">
          <w:marLeft w:val="331"/>
          <w:marRight w:val="0"/>
          <w:marTop w:val="181"/>
          <w:marBottom w:val="0"/>
          <w:divBdr>
            <w:top w:val="none" w:sz="0" w:space="0" w:color="auto"/>
            <w:left w:val="none" w:sz="0" w:space="0" w:color="auto"/>
            <w:bottom w:val="none" w:sz="0" w:space="0" w:color="auto"/>
            <w:right w:val="none" w:sz="0" w:space="0" w:color="auto"/>
          </w:divBdr>
        </w:div>
        <w:div w:id="2013530376">
          <w:marLeft w:val="331"/>
          <w:marRight w:val="0"/>
          <w:marTop w:val="181"/>
          <w:marBottom w:val="0"/>
          <w:divBdr>
            <w:top w:val="none" w:sz="0" w:space="0" w:color="auto"/>
            <w:left w:val="none" w:sz="0" w:space="0" w:color="auto"/>
            <w:bottom w:val="none" w:sz="0" w:space="0" w:color="auto"/>
            <w:right w:val="none" w:sz="0" w:space="0" w:color="auto"/>
          </w:divBdr>
        </w:div>
        <w:div w:id="1229459689">
          <w:marLeft w:val="331"/>
          <w:marRight w:val="0"/>
          <w:marTop w:val="181"/>
          <w:marBottom w:val="0"/>
          <w:divBdr>
            <w:top w:val="none" w:sz="0" w:space="0" w:color="auto"/>
            <w:left w:val="none" w:sz="0" w:space="0" w:color="auto"/>
            <w:bottom w:val="none" w:sz="0" w:space="0" w:color="auto"/>
            <w:right w:val="none" w:sz="0" w:space="0" w:color="auto"/>
          </w:divBdr>
        </w:div>
      </w:divsChild>
    </w:div>
    <w:div w:id="1219123194">
      <w:bodyDiv w:val="1"/>
      <w:marLeft w:val="0"/>
      <w:marRight w:val="0"/>
      <w:marTop w:val="0"/>
      <w:marBottom w:val="0"/>
      <w:divBdr>
        <w:top w:val="none" w:sz="0" w:space="0" w:color="auto"/>
        <w:left w:val="none" w:sz="0" w:space="0" w:color="auto"/>
        <w:bottom w:val="none" w:sz="0" w:space="0" w:color="auto"/>
        <w:right w:val="none" w:sz="0" w:space="0" w:color="auto"/>
      </w:divBdr>
      <w:divsChild>
        <w:div w:id="1220168088">
          <w:marLeft w:val="331"/>
          <w:marRight w:val="0"/>
          <w:marTop w:val="181"/>
          <w:marBottom w:val="0"/>
          <w:divBdr>
            <w:top w:val="none" w:sz="0" w:space="0" w:color="auto"/>
            <w:left w:val="none" w:sz="0" w:space="0" w:color="auto"/>
            <w:bottom w:val="none" w:sz="0" w:space="0" w:color="auto"/>
            <w:right w:val="none" w:sz="0" w:space="0" w:color="auto"/>
          </w:divBdr>
        </w:div>
        <w:div w:id="1986466627">
          <w:marLeft w:val="331"/>
          <w:marRight w:val="0"/>
          <w:marTop w:val="181"/>
          <w:marBottom w:val="0"/>
          <w:divBdr>
            <w:top w:val="none" w:sz="0" w:space="0" w:color="auto"/>
            <w:left w:val="none" w:sz="0" w:space="0" w:color="auto"/>
            <w:bottom w:val="none" w:sz="0" w:space="0" w:color="auto"/>
            <w:right w:val="none" w:sz="0" w:space="0" w:color="auto"/>
          </w:divBdr>
        </w:div>
        <w:div w:id="947392436">
          <w:marLeft w:val="331"/>
          <w:marRight w:val="0"/>
          <w:marTop w:val="181"/>
          <w:marBottom w:val="0"/>
          <w:divBdr>
            <w:top w:val="none" w:sz="0" w:space="0" w:color="auto"/>
            <w:left w:val="none" w:sz="0" w:space="0" w:color="auto"/>
            <w:bottom w:val="none" w:sz="0" w:space="0" w:color="auto"/>
            <w:right w:val="none" w:sz="0" w:space="0" w:color="auto"/>
          </w:divBdr>
        </w:div>
        <w:div w:id="527716766">
          <w:marLeft w:val="331"/>
          <w:marRight w:val="0"/>
          <w:marTop w:val="181"/>
          <w:marBottom w:val="0"/>
          <w:divBdr>
            <w:top w:val="none" w:sz="0" w:space="0" w:color="auto"/>
            <w:left w:val="none" w:sz="0" w:space="0" w:color="auto"/>
            <w:bottom w:val="none" w:sz="0" w:space="0" w:color="auto"/>
            <w:right w:val="none" w:sz="0" w:space="0" w:color="auto"/>
          </w:divBdr>
        </w:div>
      </w:divsChild>
    </w:div>
    <w:div w:id="1248660844">
      <w:bodyDiv w:val="1"/>
      <w:marLeft w:val="0"/>
      <w:marRight w:val="0"/>
      <w:marTop w:val="0"/>
      <w:marBottom w:val="0"/>
      <w:divBdr>
        <w:top w:val="none" w:sz="0" w:space="0" w:color="auto"/>
        <w:left w:val="none" w:sz="0" w:space="0" w:color="auto"/>
        <w:bottom w:val="none" w:sz="0" w:space="0" w:color="auto"/>
        <w:right w:val="none" w:sz="0" w:space="0" w:color="auto"/>
      </w:divBdr>
      <w:divsChild>
        <w:div w:id="95028022">
          <w:marLeft w:val="547"/>
          <w:marRight w:val="0"/>
          <w:marTop w:val="181"/>
          <w:marBottom w:val="0"/>
          <w:divBdr>
            <w:top w:val="none" w:sz="0" w:space="0" w:color="auto"/>
            <w:left w:val="none" w:sz="0" w:space="0" w:color="auto"/>
            <w:bottom w:val="none" w:sz="0" w:space="0" w:color="auto"/>
            <w:right w:val="none" w:sz="0" w:space="0" w:color="auto"/>
          </w:divBdr>
        </w:div>
        <w:div w:id="609704460">
          <w:marLeft w:val="547"/>
          <w:marRight w:val="0"/>
          <w:marTop w:val="181"/>
          <w:marBottom w:val="0"/>
          <w:divBdr>
            <w:top w:val="none" w:sz="0" w:space="0" w:color="auto"/>
            <w:left w:val="none" w:sz="0" w:space="0" w:color="auto"/>
            <w:bottom w:val="none" w:sz="0" w:space="0" w:color="auto"/>
            <w:right w:val="none" w:sz="0" w:space="0" w:color="auto"/>
          </w:divBdr>
        </w:div>
        <w:div w:id="1368261442">
          <w:marLeft w:val="547"/>
          <w:marRight w:val="0"/>
          <w:marTop w:val="181"/>
          <w:marBottom w:val="0"/>
          <w:divBdr>
            <w:top w:val="none" w:sz="0" w:space="0" w:color="auto"/>
            <w:left w:val="none" w:sz="0" w:space="0" w:color="auto"/>
            <w:bottom w:val="none" w:sz="0" w:space="0" w:color="auto"/>
            <w:right w:val="none" w:sz="0" w:space="0" w:color="auto"/>
          </w:divBdr>
        </w:div>
        <w:div w:id="1256791191">
          <w:marLeft w:val="547"/>
          <w:marRight w:val="0"/>
          <w:marTop w:val="181"/>
          <w:marBottom w:val="0"/>
          <w:divBdr>
            <w:top w:val="none" w:sz="0" w:space="0" w:color="auto"/>
            <w:left w:val="none" w:sz="0" w:space="0" w:color="auto"/>
            <w:bottom w:val="none" w:sz="0" w:space="0" w:color="auto"/>
            <w:right w:val="none" w:sz="0" w:space="0" w:color="auto"/>
          </w:divBdr>
        </w:div>
        <w:div w:id="1070080866">
          <w:marLeft w:val="547"/>
          <w:marRight w:val="0"/>
          <w:marTop w:val="181"/>
          <w:marBottom w:val="0"/>
          <w:divBdr>
            <w:top w:val="none" w:sz="0" w:space="0" w:color="auto"/>
            <w:left w:val="none" w:sz="0" w:space="0" w:color="auto"/>
            <w:bottom w:val="none" w:sz="0" w:space="0" w:color="auto"/>
            <w:right w:val="none" w:sz="0" w:space="0" w:color="auto"/>
          </w:divBdr>
        </w:div>
        <w:div w:id="1588885778">
          <w:marLeft w:val="547"/>
          <w:marRight w:val="0"/>
          <w:marTop w:val="181"/>
          <w:marBottom w:val="0"/>
          <w:divBdr>
            <w:top w:val="none" w:sz="0" w:space="0" w:color="auto"/>
            <w:left w:val="none" w:sz="0" w:space="0" w:color="auto"/>
            <w:bottom w:val="none" w:sz="0" w:space="0" w:color="auto"/>
            <w:right w:val="none" w:sz="0" w:space="0" w:color="auto"/>
          </w:divBdr>
        </w:div>
        <w:div w:id="1660961078">
          <w:marLeft w:val="547"/>
          <w:marRight w:val="0"/>
          <w:marTop w:val="181"/>
          <w:marBottom w:val="0"/>
          <w:divBdr>
            <w:top w:val="none" w:sz="0" w:space="0" w:color="auto"/>
            <w:left w:val="none" w:sz="0" w:space="0" w:color="auto"/>
            <w:bottom w:val="none" w:sz="0" w:space="0" w:color="auto"/>
            <w:right w:val="none" w:sz="0" w:space="0" w:color="auto"/>
          </w:divBdr>
        </w:div>
      </w:divsChild>
    </w:div>
    <w:div w:id="1272084306">
      <w:bodyDiv w:val="1"/>
      <w:marLeft w:val="0"/>
      <w:marRight w:val="0"/>
      <w:marTop w:val="0"/>
      <w:marBottom w:val="0"/>
      <w:divBdr>
        <w:top w:val="none" w:sz="0" w:space="0" w:color="auto"/>
        <w:left w:val="none" w:sz="0" w:space="0" w:color="auto"/>
        <w:bottom w:val="none" w:sz="0" w:space="0" w:color="auto"/>
        <w:right w:val="none" w:sz="0" w:space="0" w:color="auto"/>
      </w:divBdr>
    </w:div>
    <w:div w:id="1326056253">
      <w:bodyDiv w:val="1"/>
      <w:marLeft w:val="0"/>
      <w:marRight w:val="0"/>
      <w:marTop w:val="0"/>
      <w:marBottom w:val="0"/>
      <w:divBdr>
        <w:top w:val="none" w:sz="0" w:space="0" w:color="auto"/>
        <w:left w:val="none" w:sz="0" w:space="0" w:color="auto"/>
        <w:bottom w:val="none" w:sz="0" w:space="0" w:color="auto"/>
        <w:right w:val="none" w:sz="0" w:space="0" w:color="auto"/>
      </w:divBdr>
      <w:divsChild>
        <w:div w:id="876816986">
          <w:marLeft w:val="547"/>
          <w:marRight w:val="0"/>
          <w:marTop w:val="181"/>
          <w:marBottom w:val="0"/>
          <w:divBdr>
            <w:top w:val="none" w:sz="0" w:space="0" w:color="auto"/>
            <w:left w:val="none" w:sz="0" w:space="0" w:color="auto"/>
            <w:bottom w:val="none" w:sz="0" w:space="0" w:color="auto"/>
            <w:right w:val="none" w:sz="0" w:space="0" w:color="auto"/>
          </w:divBdr>
        </w:div>
      </w:divsChild>
    </w:div>
    <w:div w:id="1415394088">
      <w:bodyDiv w:val="1"/>
      <w:marLeft w:val="0"/>
      <w:marRight w:val="0"/>
      <w:marTop w:val="0"/>
      <w:marBottom w:val="0"/>
      <w:divBdr>
        <w:top w:val="none" w:sz="0" w:space="0" w:color="auto"/>
        <w:left w:val="none" w:sz="0" w:space="0" w:color="auto"/>
        <w:bottom w:val="none" w:sz="0" w:space="0" w:color="auto"/>
        <w:right w:val="none" w:sz="0" w:space="0" w:color="auto"/>
      </w:divBdr>
      <w:divsChild>
        <w:div w:id="2038851934">
          <w:marLeft w:val="331"/>
          <w:marRight w:val="0"/>
          <w:marTop w:val="181"/>
          <w:marBottom w:val="0"/>
          <w:divBdr>
            <w:top w:val="none" w:sz="0" w:space="0" w:color="auto"/>
            <w:left w:val="none" w:sz="0" w:space="0" w:color="auto"/>
            <w:bottom w:val="none" w:sz="0" w:space="0" w:color="auto"/>
            <w:right w:val="none" w:sz="0" w:space="0" w:color="auto"/>
          </w:divBdr>
        </w:div>
        <w:div w:id="1192569595">
          <w:marLeft w:val="331"/>
          <w:marRight w:val="0"/>
          <w:marTop w:val="181"/>
          <w:marBottom w:val="0"/>
          <w:divBdr>
            <w:top w:val="none" w:sz="0" w:space="0" w:color="auto"/>
            <w:left w:val="none" w:sz="0" w:space="0" w:color="auto"/>
            <w:bottom w:val="none" w:sz="0" w:space="0" w:color="auto"/>
            <w:right w:val="none" w:sz="0" w:space="0" w:color="auto"/>
          </w:divBdr>
        </w:div>
        <w:div w:id="67581614">
          <w:marLeft w:val="331"/>
          <w:marRight w:val="0"/>
          <w:marTop w:val="181"/>
          <w:marBottom w:val="0"/>
          <w:divBdr>
            <w:top w:val="none" w:sz="0" w:space="0" w:color="auto"/>
            <w:left w:val="none" w:sz="0" w:space="0" w:color="auto"/>
            <w:bottom w:val="none" w:sz="0" w:space="0" w:color="auto"/>
            <w:right w:val="none" w:sz="0" w:space="0" w:color="auto"/>
          </w:divBdr>
        </w:div>
      </w:divsChild>
    </w:div>
    <w:div w:id="1441604501">
      <w:bodyDiv w:val="1"/>
      <w:marLeft w:val="0"/>
      <w:marRight w:val="0"/>
      <w:marTop w:val="0"/>
      <w:marBottom w:val="0"/>
      <w:divBdr>
        <w:top w:val="none" w:sz="0" w:space="0" w:color="auto"/>
        <w:left w:val="none" w:sz="0" w:space="0" w:color="auto"/>
        <w:bottom w:val="none" w:sz="0" w:space="0" w:color="auto"/>
        <w:right w:val="none" w:sz="0" w:space="0" w:color="auto"/>
      </w:divBdr>
      <w:divsChild>
        <w:div w:id="1279410535">
          <w:marLeft w:val="331"/>
          <w:marRight w:val="0"/>
          <w:marTop w:val="181"/>
          <w:marBottom w:val="0"/>
          <w:divBdr>
            <w:top w:val="none" w:sz="0" w:space="0" w:color="auto"/>
            <w:left w:val="none" w:sz="0" w:space="0" w:color="auto"/>
            <w:bottom w:val="none" w:sz="0" w:space="0" w:color="auto"/>
            <w:right w:val="none" w:sz="0" w:space="0" w:color="auto"/>
          </w:divBdr>
        </w:div>
        <w:div w:id="1331131995">
          <w:marLeft w:val="979"/>
          <w:marRight w:val="0"/>
          <w:marTop w:val="91"/>
          <w:marBottom w:val="0"/>
          <w:divBdr>
            <w:top w:val="none" w:sz="0" w:space="0" w:color="auto"/>
            <w:left w:val="none" w:sz="0" w:space="0" w:color="auto"/>
            <w:bottom w:val="none" w:sz="0" w:space="0" w:color="auto"/>
            <w:right w:val="none" w:sz="0" w:space="0" w:color="auto"/>
          </w:divBdr>
        </w:div>
        <w:div w:id="1557934878">
          <w:marLeft w:val="979"/>
          <w:marRight w:val="0"/>
          <w:marTop w:val="91"/>
          <w:marBottom w:val="0"/>
          <w:divBdr>
            <w:top w:val="none" w:sz="0" w:space="0" w:color="auto"/>
            <w:left w:val="none" w:sz="0" w:space="0" w:color="auto"/>
            <w:bottom w:val="none" w:sz="0" w:space="0" w:color="auto"/>
            <w:right w:val="none" w:sz="0" w:space="0" w:color="auto"/>
          </w:divBdr>
        </w:div>
        <w:div w:id="2079395907">
          <w:marLeft w:val="979"/>
          <w:marRight w:val="0"/>
          <w:marTop w:val="91"/>
          <w:marBottom w:val="0"/>
          <w:divBdr>
            <w:top w:val="none" w:sz="0" w:space="0" w:color="auto"/>
            <w:left w:val="none" w:sz="0" w:space="0" w:color="auto"/>
            <w:bottom w:val="none" w:sz="0" w:space="0" w:color="auto"/>
            <w:right w:val="none" w:sz="0" w:space="0" w:color="auto"/>
          </w:divBdr>
        </w:div>
        <w:div w:id="573664786">
          <w:marLeft w:val="979"/>
          <w:marRight w:val="0"/>
          <w:marTop w:val="91"/>
          <w:marBottom w:val="0"/>
          <w:divBdr>
            <w:top w:val="none" w:sz="0" w:space="0" w:color="auto"/>
            <w:left w:val="none" w:sz="0" w:space="0" w:color="auto"/>
            <w:bottom w:val="none" w:sz="0" w:space="0" w:color="auto"/>
            <w:right w:val="none" w:sz="0" w:space="0" w:color="auto"/>
          </w:divBdr>
        </w:div>
      </w:divsChild>
    </w:div>
    <w:div w:id="1509056700">
      <w:bodyDiv w:val="1"/>
      <w:marLeft w:val="0"/>
      <w:marRight w:val="0"/>
      <w:marTop w:val="0"/>
      <w:marBottom w:val="0"/>
      <w:divBdr>
        <w:top w:val="none" w:sz="0" w:space="0" w:color="auto"/>
        <w:left w:val="none" w:sz="0" w:space="0" w:color="auto"/>
        <w:bottom w:val="none" w:sz="0" w:space="0" w:color="auto"/>
        <w:right w:val="none" w:sz="0" w:space="0" w:color="auto"/>
      </w:divBdr>
      <w:divsChild>
        <w:div w:id="1211499843">
          <w:marLeft w:val="360"/>
          <w:marRight w:val="0"/>
          <w:marTop w:val="200"/>
          <w:marBottom w:val="0"/>
          <w:divBdr>
            <w:top w:val="none" w:sz="0" w:space="0" w:color="auto"/>
            <w:left w:val="none" w:sz="0" w:space="0" w:color="auto"/>
            <w:bottom w:val="none" w:sz="0" w:space="0" w:color="auto"/>
            <w:right w:val="none" w:sz="0" w:space="0" w:color="auto"/>
          </w:divBdr>
        </w:div>
        <w:div w:id="1685401712">
          <w:marLeft w:val="360"/>
          <w:marRight w:val="0"/>
          <w:marTop w:val="200"/>
          <w:marBottom w:val="0"/>
          <w:divBdr>
            <w:top w:val="none" w:sz="0" w:space="0" w:color="auto"/>
            <w:left w:val="none" w:sz="0" w:space="0" w:color="auto"/>
            <w:bottom w:val="none" w:sz="0" w:space="0" w:color="auto"/>
            <w:right w:val="none" w:sz="0" w:space="0" w:color="auto"/>
          </w:divBdr>
        </w:div>
        <w:div w:id="588391771">
          <w:marLeft w:val="360"/>
          <w:marRight w:val="0"/>
          <w:marTop w:val="200"/>
          <w:marBottom w:val="0"/>
          <w:divBdr>
            <w:top w:val="none" w:sz="0" w:space="0" w:color="auto"/>
            <w:left w:val="none" w:sz="0" w:space="0" w:color="auto"/>
            <w:bottom w:val="none" w:sz="0" w:space="0" w:color="auto"/>
            <w:right w:val="none" w:sz="0" w:space="0" w:color="auto"/>
          </w:divBdr>
        </w:div>
        <w:div w:id="1185368504">
          <w:marLeft w:val="360"/>
          <w:marRight w:val="0"/>
          <w:marTop w:val="200"/>
          <w:marBottom w:val="0"/>
          <w:divBdr>
            <w:top w:val="none" w:sz="0" w:space="0" w:color="auto"/>
            <w:left w:val="none" w:sz="0" w:space="0" w:color="auto"/>
            <w:bottom w:val="none" w:sz="0" w:space="0" w:color="auto"/>
            <w:right w:val="none" w:sz="0" w:space="0" w:color="auto"/>
          </w:divBdr>
        </w:div>
        <w:div w:id="1127968564">
          <w:marLeft w:val="360"/>
          <w:marRight w:val="0"/>
          <w:marTop w:val="200"/>
          <w:marBottom w:val="0"/>
          <w:divBdr>
            <w:top w:val="none" w:sz="0" w:space="0" w:color="auto"/>
            <w:left w:val="none" w:sz="0" w:space="0" w:color="auto"/>
            <w:bottom w:val="none" w:sz="0" w:space="0" w:color="auto"/>
            <w:right w:val="none" w:sz="0" w:space="0" w:color="auto"/>
          </w:divBdr>
        </w:div>
      </w:divsChild>
    </w:div>
    <w:div w:id="1558928062">
      <w:bodyDiv w:val="1"/>
      <w:marLeft w:val="0"/>
      <w:marRight w:val="0"/>
      <w:marTop w:val="0"/>
      <w:marBottom w:val="0"/>
      <w:divBdr>
        <w:top w:val="none" w:sz="0" w:space="0" w:color="auto"/>
        <w:left w:val="none" w:sz="0" w:space="0" w:color="auto"/>
        <w:bottom w:val="none" w:sz="0" w:space="0" w:color="auto"/>
        <w:right w:val="none" w:sz="0" w:space="0" w:color="auto"/>
      </w:divBdr>
      <w:divsChild>
        <w:div w:id="1107970119">
          <w:marLeft w:val="360"/>
          <w:marRight w:val="0"/>
          <w:marTop w:val="200"/>
          <w:marBottom w:val="0"/>
          <w:divBdr>
            <w:top w:val="none" w:sz="0" w:space="0" w:color="auto"/>
            <w:left w:val="none" w:sz="0" w:space="0" w:color="auto"/>
            <w:bottom w:val="none" w:sz="0" w:space="0" w:color="auto"/>
            <w:right w:val="none" w:sz="0" w:space="0" w:color="auto"/>
          </w:divBdr>
        </w:div>
      </w:divsChild>
    </w:div>
    <w:div w:id="1589919787">
      <w:bodyDiv w:val="1"/>
      <w:marLeft w:val="0"/>
      <w:marRight w:val="0"/>
      <w:marTop w:val="0"/>
      <w:marBottom w:val="0"/>
      <w:divBdr>
        <w:top w:val="none" w:sz="0" w:space="0" w:color="auto"/>
        <w:left w:val="none" w:sz="0" w:space="0" w:color="auto"/>
        <w:bottom w:val="none" w:sz="0" w:space="0" w:color="auto"/>
        <w:right w:val="none" w:sz="0" w:space="0" w:color="auto"/>
      </w:divBdr>
      <w:divsChild>
        <w:div w:id="39601459">
          <w:marLeft w:val="547"/>
          <w:marRight w:val="0"/>
          <w:marTop w:val="181"/>
          <w:marBottom w:val="0"/>
          <w:divBdr>
            <w:top w:val="none" w:sz="0" w:space="0" w:color="auto"/>
            <w:left w:val="none" w:sz="0" w:space="0" w:color="auto"/>
            <w:bottom w:val="none" w:sz="0" w:space="0" w:color="auto"/>
            <w:right w:val="none" w:sz="0" w:space="0" w:color="auto"/>
          </w:divBdr>
        </w:div>
      </w:divsChild>
    </w:div>
    <w:div w:id="1607157432">
      <w:bodyDiv w:val="1"/>
      <w:marLeft w:val="0"/>
      <w:marRight w:val="0"/>
      <w:marTop w:val="0"/>
      <w:marBottom w:val="0"/>
      <w:divBdr>
        <w:top w:val="none" w:sz="0" w:space="0" w:color="auto"/>
        <w:left w:val="none" w:sz="0" w:space="0" w:color="auto"/>
        <w:bottom w:val="none" w:sz="0" w:space="0" w:color="auto"/>
        <w:right w:val="none" w:sz="0" w:space="0" w:color="auto"/>
      </w:divBdr>
    </w:div>
    <w:div w:id="1886067217">
      <w:bodyDiv w:val="1"/>
      <w:marLeft w:val="0"/>
      <w:marRight w:val="0"/>
      <w:marTop w:val="0"/>
      <w:marBottom w:val="0"/>
      <w:divBdr>
        <w:top w:val="none" w:sz="0" w:space="0" w:color="auto"/>
        <w:left w:val="none" w:sz="0" w:space="0" w:color="auto"/>
        <w:bottom w:val="none" w:sz="0" w:space="0" w:color="auto"/>
        <w:right w:val="none" w:sz="0" w:space="0" w:color="auto"/>
      </w:divBdr>
      <w:divsChild>
        <w:div w:id="1751729798">
          <w:marLeft w:val="547"/>
          <w:marRight w:val="0"/>
          <w:marTop w:val="181"/>
          <w:marBottom w:val="0"/>
          <w:divBdr>
            <w:top w:val="none" w:sz="0" w:space="0" w:color="auto"/>
            <w:left w:val="none" w:sz="0" w:space="0" w:color="auto"/>
            <w:bottom w:val="none" w:sz="0" w:space="0" w:color="auto"/>
            <w:right w:val="none" w:sz="0" w:space="0" w:color="auto"/>
          </w:divBdr>
        </w:div>
        <w:div w:id="1844709064">
          <w:marLeft w:val="547"/>
          <w:marRight w:val="0"/>
          <w:marTop w:val="181"/>
          <w:marBottom w:val="0"/>
          <w:divBdr>
            <w:top w:val="none" w:sz="0" w:space="0" w:color="auto"/>
            <w:left w:val="none" w:sz="0" w:space="0" w:color="auto"/>
            <w:bottom w:val="none" w:sz="0" w:space="0" w:color="auto"/>
            <w:right w:val="none" w:sz="0" w:space="0" w:color="auto"/>
          </w:divBdr>
        </w:div>
        <w:div w:id="638729984">
          <w:marLeft w:val="547"/>
          <w:marRight w:val="0"/>
          <w:marTop w:val="181"/>
          <w:marBottom w:val="0"/>
          <w:divBdr>
            <w:top w:val="none" w:sz="0" w:space="0" w:color="auto"/>
            <w:left w:val="none" w:sz="0" w:space="0" w:color="auto"/>
            <w:bottom w:val="none" w:sz="0" w:space="0" w:color="auto"/>
            <w:right w:val="none" w:sz="0" w:space="0" w:color="auto"/>
          </w:divBdr>
        </w:div>
      </w:divsChild>
    </w:div>
    <w:div w:id="1941984835">
      <w:bodyDiv w:val="1"/>
      <w:marLeft w:val="0"/>
      <w:marRight w:val="0"/>
      <w:marTop w:val="0"/>
      <w:marBottom w:val="0"/>
      <w:divBdr>
        <w:top w:val="none" w:sz="0" w:space="0" w:color="auto"/>
        <w:left w:val="none" w:sz="0" w:space="0" w:color="auto"/>
        <w:bottom w:val="none" w:sz="0" w:space="0" w:color="auto"/>
        <w:right w:val="none" w:sz="0" w:space="0" w:color="auto"/>
      </w:divBdr>
      <w:divsChild>
        <w:div w:id="950671338">
          <w:marLeft w:val="331"/>
          <w:marRight w:val="0"/>
          <w:marTop w:val="181"/>
          <w:marBottom w:val="0"/>
          <w:divBdr>
            <w:top w:val="none" w:sz="0" w:space="0" w:color="auto"/>
            <w:left w:val="none" w:sz="0" w:space="0" w:color="auto"/>
            <w:bottom w:val="none" w:sz="0" w:space="0" w:color="auto"/>
            <w:right w:val="none" w:sz="0" w:space="0" w:color="auto"/>
          </w:divBdr>
        </w:div>
        <w:div w:id="217016439">
          <w:marLeft w:val="331"/>
          <w:marRight w:val="0"/>
          <w:marTop w:val="181"/>
          <w:marBottom w:val="0"/>
          <w:divBdr>
            <w:top w:val="none" w:sz="0" w:space="0" w:color="auto"/>
            <w:left w:val="none" w:sz="0" w:space="0" w:color="auto"/>
            <w:bottom w:val="none" w:sz="0" w:space="0" w:color="auto"/>
            <w:right w:val="none" w:sz="0" w:space="0" w:color="auto"/>
          </w:divBdr>
        </w:div>
        <w:div w:id="1559705080">
          <w:marLeft w:val="331"/>
          <w:marRight w:val="0"/>
          <w:marTop w:val="181"/>
          <w:marBottom w:val="0"/>
          <w:divBdr>
            <w:top w:val="none" w:sz="0" w:space="0" w:color="auto"/>
            <w:left w:val="none" w:sz="0" w:space="0" w:color="auto"/>
            <w:bottom w:val="none" w:sz="0" w:space="0" w:color="auto"/>
            <w:right w:val="none" w:sz="0" w:space="0" w:color="auto"/>
          </w:divBdr>
        </w:div>
      </w:divsChild>
    </w:div>
    <w:div w:id="1972591312">
      <w:bodyDiv w:val="1"/>
      <w:marLeft w:val="0"/>
      <w:marRight w:val="0"/>
      <w:marTop w:val="0"/>
      <w:marBottom w:val="0"/>
      <w:divBdr>
        <w:top w:val="none" w:sz="0" w:space="0" w:color="auto"/>
        <w:left w:val="none" w:sz="0" w:space="0" w:color="auto"/>
        <w:bottom w:val="none" w:sz="0" w:space="0" w:color="auto"/>
        <w:right w:val="none" w:sz="0" w:space="0" w:color="auto"/>
      </w:divBdr>
      <w:divsChild>
        <w:div w:id="1855917690">
          <w:marLeft w:val="331"/>
          <w:marRight w:val="0"/>
          <w:marTop w:val="181"/>
          <w:marBottom w:val="0"/>
          <w:divBdr>
            <w:top w:val="none" w:sz="0" w:space="0" w:color="auto"/>
            <w:left w:val="none" w:sz="0" w:space="0" w:color="auto"/>
            <w:bottom w:val="none" w:sz="0" w:space="0" w:color="auto"/>
            <w:right w:val="none" w:sz="0" w:space="0" w:color="auto"/>
          </w:divBdr>
        </w:div>
      </w:divsChild>
    </w:div>
    <w:div w:id="2093816501">
      <w:bodyDiv w:val="1"/>
      <w:marLeft w:val="0"/>
      <w:marRight w:val="0"/>
      <w:marTop w:val="0"/>
      <w:marBottom w:val="0"/>
      <w:divBdr>
        <w:top w:val="none" w:sz="0" w:space="0" w:color="auto"/>
        <w:left w:val="none" w:sz="0" w:space="0" w:color="auto"/>
        <w:bottom w:val="none" w:sz="0" w:space="0" w:color="auto"/>
        <w:right w:val="none" w:sz="0" w:space="0" w:color="auto"/>
      </w:divBdr>
      <w:divsChild>
        <w:div w:id="1593734960">
          <w:marLeft w:val="331"/>
          <w:marRight w:val="0"/>
          <w:marTop w:val="181"/>
          <w:marBottom w:val="0"/>
          <w:divBdr>
            <w:top w:val="none" w:sz="0" w:space="0" w:color="auto"/>
            <w:left w:val="none" w:sz="0" w:space="0" w:color="auto"/>
            <w:bottom w:val="none" w:sz="0" w:space="0" w:color="auto"/>
            <w:right w:val="none" w:sz="0" w:space="0" w:color="auto"/>
          </w:divBdr>
        </w:div>
        <w:div w:id="1937591424">
          <w:marLeft w:val="331"/>
          <w:marRight w:val="0"/>
          <w:marTop w:val="181"/>
          <w:marBottom w:val="0"/>
          <w:divBdr>
            <w:top w:val="none" w:sz="0" w:space="0" w:color="auto"/>
            <w:left w:val="none" w:sz="0" w:space="0" w:color="auto"/>
            <w:bottom w:val="none" w:sz="0" w:space="0" w:color="auto"/>
            <w:right w:val="none" w:sz="0" w:space="0" w:color="auto"/>
          </w:divBdr>
        </w:div>
        <w:div w:id="1536429937">
          <w:marLeft w:val="331"/>
          <w:marRight w:val="0"/>
          <w:marTop w:val="181"/>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e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735978-207B-4E62-9214-68082D658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4774</Words>
  <Characters>27218</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31929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Athi Mapoma</dc:creator>
  <cp:lastModifiedBy>PUMZA</cp:lastModifiedBy>
  <cp:revision>2</cp:revision>
  <cp:lastPrinted>2018-05-11T17:03:00Z</cp:lastPrinted>
  <dcterms:created xsi:type="dcterms:W3CDTF">2018-05-17T08:44:00Z</dcterms:created>
  <dcterms:modified xsi:type="dcterms:W3CDTF">2018-05-17T08:44:00Z</dcterms:modified>
</cp:coreProperties>
</file>