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17583" w14:textId="77777777" w:rsidR="009857AF" w:rsidRPr="00EA5BBC" w:rsidRDefault="00F51BA9" w:rsidP="00EA5BBC">
      <w:pPr>
        <w:widowControl w:val="0"/>
        <w:autoSpaceDE w:val="0"/>
        <w:autoSpaceDN w:val="0"/>
        <w:adjustRightInd w:val="0"/>
        <w:spacing w:line="360" w:lineRule="auto"/>
        <w:jc w:val="both"/>
        <w:rPr>
          <w:rFonts w:ascii="Times New Roman" w:hAnsi="Times New Roman"/>
          <w:b/>
          <w:bCs/>
        </w:rPr>
      </w:pPr>
      <w:bookmarkStart w:id="0" w:name="_GoBack"/>
      <w:bookmarkEnd w:id="0"/>
      <w:r>
        <w:rPr>
          <w:rFonts w:ascii="Times New Roman" w:hAnsi="Times New Roman"/>
          <w:b/>
          <w:bCs/>
        </w:rPr>
        <w:t xml:space="preserve">1. </w:t>
      </w:r>
      <w:r w:rsidR="009857AF" w:rsidRPr="00EA5BBC">
        <w:rPr>
          <w:rFonts w:ascii="Times New Roman" w:hAnsi="Times New Roman"/>
          <w:b/>
          <w:bCs/>
        </w:rPr>
        <w:t xml:space="preserve">REPORT OF THE STANDING COMMITTEE ON FINANCE </w:t>
      </w:r>
      <w:r w:rsidR="009F559D" w:rsidRPr="00EA5BBC">
        <w:rPr>
          <w:rFonts w:ascii="Times New Roman" w:hAnsi="Times New Roman"/>
          <w:b/>
          <w:bCs/>
        </w:rPr>
        <w:t xml:space="preserve">ON </w:t>
      </w:r>
      <w:r w:rsidR="009857AF" w:rsidRPr="00EA5BBC">
        <w:rPr>
          <w:rFonts w:ascii="Times New Roman" w:hAnsi="Times New Roman"/>
          <w:b/>
          <w:bCs/>
        </w:rPr>
        <w:t>BUDGET VOTE</w:t>
      </w:r>
      <w:r w:rsidR="009A15F7" w:rsidRPr="00EA5BBC">
        <w:rPr>
          <w:rFonts w:ascii="Times New Roman" w:hAnsi="Times New Roman"/>
          <w:b/>
          <w:bCs/>
        </w:rPr>
        <w:t xml:space="preserve"> 7: NATIONAL TREASURY, DATED 15 </w:t>
      </w:r>
      <w:r w:rsidR="009857AF" w:rsidRPr="00EA5BBC">
        <w:rPr>
          <w:rFonts w:ascii="Times New Roman" w:hAnsi="Times New Roman"/>
          <w:b/>
          <w:bCs/>
        </w:rPr>
        <w:t>MAY 201</w:t>
      </w:r>
      <w:r w:rsidR="009A15F7" w:rsidRPr="00EA5BBC">
        <w:rPr>
          <w:rFonts w:ascii="Times New Roman" w:hAnsi="Times New Roman"/>
          <w:b/>
          <w:bCs/>
        </w:rPr>
        <w:t>8</w:t>
      </w:r>
    </w:p>
    <w:p w14:paraId="2CC5EEDE" w14:textId="77777777" w:rsidR="009857AF" w:rsidRPr="00EA5BBC" w:rsidRDefault="009857AF" w:rsidP="00EA5BBC">
      <w:pPr>
        <w:widowControl w:val="0"/>
        <w:autoSpaceDE w:val="0"/>
        <w:autoSpaceDN w:val="0"/>
        <w:adjustRightInd w:val="0"/>
        <w:spacing w:line="360" w:lineRule="auto"/>
        <w:jc w:val="both"/>
        <w:rPr>
          <w:rFonts w:ascii="Times New Roman" w:hAnsi="Times New Roman"/>
          <w:b/>
          <w:bCs/>
        </w:rPr>
      </w:pPr>
    </w:p>
    <w:p w14:paraId="4069910B" w14:textId="77777777" w:rsidR="009857AF" w:rsidRPr="00EA5BBC" w:rsidRDefault="009857AF" w:rsidP="00EA5BBC">
      <w:pPr>
        <w:widowControl w:val="0"/>
        <w:autoSpaceDE w:val="0"/>
        <w:autoSpaceDN w:val="0"/>
        <w:adjustRightInd w:val="0"/>
        <w:spacing w:line="360" w:lineRule="auto"/>
        <w:jc w:val="both"/>
        <w:rPr>
          <w:rFonts w:ascii="Times New Roman" w:hAnsi="Times New Roman"/>
        </w:rPr>
      </w:pPr>
      <w:r w:rsidRPr="00EA5BBC">
        <w:rPr>
          <w:rFonts w:ascii="Times New Roman" w:hAnsi="Times New Roman"/>
        </w:rPr>
        <w:t>The Standing Committee on Finance (SCOF</w:t>
      </w:r>
      <w:r w:rsidR="00463D55" w:rsidRPr="00EA5BBC">
        <w:rPr>
          <w:rFonts w:ascii="Times New Roman" w:hAnsi="Times New Roman"/>
        </w:rPr>
        <w:t>/ the Committee</w:t>
      </w:r>
      <w:r w:rsidRPr="00EA5BBC">
        <w:rPr>
          <w:rFonts w:ascii="Times New Roman" w:hAnsi="Times New Roman"/>
        </w:rPr>
        <w:t>), having considered the National Treasury’s (NT) 201</w:t>
      </w:r>
      <w:r w:rsidR="009A15F7" w:rsidRPr="00EA5BBC">
        <w:rPr>
          <w:rFonts w:ascii="Times New Roman" w:hAnsi="Times New Roman"/>
        </w:rPr>
        <w:t xml:space="preserve">8/19 </w:t>
      </w:r>
      <w:r w:rsidRPr="00EA5BBC">
        <w:rPr>
          <w:rFonts w:ascii="Times New Roman" w:hAnsi="Times New Roman"/>
        </w:rPr>
        <w:t xml:space="preserve">budget and </w:t>
      </w:r>
      <w:r w:rsidR="001A3E50" w:rsidRPr="00EA5BBC">
        <w:rPr>
          <w:rFonts w:ascii="Times New Roman" w:hAnsi="Times New Roman"/>
        </w:rPr>
        <w:t>Annual Performance Plan</w:t>
      </w:r>
      <w:r w:rsidR="0040217E" w:rsidRPr="00EA5BBC">
        <w:rPr>
          <w:rFonts w:ascii="Times New Roman" w:hAnsi="Times New Roman"/>
        </w:rPr>
        <w:t xml:space="preserve"> </w:t>
      </w:r>
      <w:r w:rsidRPr="00EA5BBC">
        <w:rPr>
          <w:rFonts w:ascii="Times New Roman" w:hAnsi="Times New Roman"/>
        </w:rPr>
        <w:t>reports as follows</w:t>
      </w:r>
      <w:r w:rsidR="00F033A7">
        <w:rPr>
          <w:rFonts w:ascii="Times New Roman" w:hAnsi="Times New Roman"/>
        </w:rPr>
        <w:t>:</w:t>
      </w:r>
    </w:p>
    <w:p w14:paraId="2CEE1708" w14:textId="77777777" w:rsidR="002D66AB" w:rsidRPr="00EA5BBC" w:rsidRDefault="002D66AB" w:rsidP="00EA5BBC">
      <w:pPr>
        <w:spacing w:line="360" w:lineRule="auto"/>
        <w:jc w:val="both"/>
        <w:rPr>
          <w:rFonts w:ascii="Times New Roman" w:hAnsi="Times New Roman"/>
        </w:rPr>
      </w:pPr>
    </w:p>
    <w:p w14:paraId="44F6650C" w14:textId="77777777" w:rsidR="00463D55" w:rsidRPr="00EA5BBC" w:rsidRDefault="00463D55" w:rsidP="00EA5BBC">
      <w:pPr>
        <w:pStyle w:val="ListParagraph"/>
        <w:numPr>
          <w:ilvl w:val="0"/>
          <w:numId w:val="1"/>
        </w:numPr>
        <w:spacing w:after="0" w:line="360" w:lineRule="auto"/>
        <w:ind w:left="0" w:firstLine="0"/>
        <w:jc w:val="both"/>
        <w:rPr>
          <w:rFonts w:ascii="Times New Roman" w:hAnsi="Times New Roman" w:cs="Times New Roman"/>
          <w:b/>
          <w:sz w:val="24"/>
          <w:szCs w:val="24"/>
        </w:rPr>
      </w:pPr>
      <w:r w:rsidRPr="00EA5BBC">
        <w:rPr>
          <w:rFonts w:ascii="Times New Roman" w:hAnsi="Times New Roman" w:cs="Times New Roman"/>
          <w:b/>
          <w:sz w:val="24"/>
          <w:szCs w:val="24"/>
        </w:rPr>
        <w:t>INTRODUCTION</w:t>
      </w:r>
    </w:p>
    <w:p w14:paraId="3B8F60B7" w14:textId="77777777" w:rsidR="005C4D6F" w:rsidRPr="00EA5BBC" w:rsidRDefault="005C4D6F" w:rsidP="00EA5BBC">
      <w:pPr>
        <w:pStyle w:val="ListParagraph"/>
        <w:numPr>
          <w:ilvl w:val="1"/>
          <w:numId w:val="1"/>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The Minister of Finance tabled in the National Assembly, the Annual Performance Plan  (APP) of the National Treasury in line with s</w:t>
      </w:r>
      <w:r w:rsidRPr="00EA5BBC">
        <w:rPr>
          <w:rFonts w:ascii="Times New Roman" w:hAnsi="Times New Roman" w:cs="Times New Roman"/>
          <w:sz w:val="24"/>
          <w:szCs w:val="24"/>
          <w:lang w:val="en-US"/>
        </w:rPr>
        <w:t>e</w:t>
      </w:r>
      <w:r w:rsidRPr="00EA5BBC">
        <w:rPr>
          <w:rFonts w:ascii="Times New Roman" w:hAnsi="Times New Roman" w:cs="Times New Roman"/>
          <w:sz w:val="24"/>
          <w:szCs w:val="24"/>
        </w:rPr>
        <w:t xml:space="preserve">ction 10(1)(c) of the Money Bills Amendment Procedures and Related Matters Act (No. 9 of 2009), for consideration and reporting on. </w:t>
      </w:r>
    </w:p>
    <w:p w14:paraId="067E20C7" w14:textId="77777777" w:rsidR="005C4D6F" w:rsidRPr="00EA5BBC" w:rsidRDefault="005C4D6F" w:rsidP="00EA5BBC">
      <w:pPr>
        <w:pStyle w:val="ListParagraph"/>
        <w:numPr>
          <w:ilvl w:val="1"/>
          <w:numId w:val="1"/>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 xml:space="preserve">The Committee was briefed on 08 May on the plans by the Minister of Finance, Mr. Nhlanhla Nene, who was accompanied by the Director General, Mr. Dondo Magajane and senior officials from the National Treasury. </w:t>
      </w:r>
    </w:p>
    <w:p w14:paraId="2FBC3308" w14:textId="77777777" w:rsidR="005C4D6F" w:rsidRPr="00EA5BBC" w:rsidRDefault="005C4D6F" w:rsidP="00EA5BBC">
      <w:pPr>
        <w:pStyle w:val="ListParagraph"/>
        <w:numPr>
          <w:ilvl w:val="1"/>
          <w:numId w:val="1"/>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 xml:space="preserve">The overall legislative mandate of NT is based on section 216 (1) of the Constitution which establishes it to ensure transparency and accountability and sound financial controls in the management of the country’s finances and the Public Finance Management Act (1999).  </w:t>
      </w:r>
    </w:p>
    <w:p w14:paraId="61FE9159" w14:textId="77777777" w:rsidR="005C4D6F" w:rsidRPr="00EA5BBC" w:rsidRDefault="005C4D6F" w:rsidP="00EA5BBC">
      <w:pPr>
        <w:pStyle w:val="ListParagraph"/>
        <w:numPr>
          <w:ilvl w:val="1"/>
          <w:numId w:val="1"/>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 xml:space="preserve">The planning documents are located in terms of the Medium-Term Strategic Framework (MTSF), the government’s 2014-2019 framework to implement the National Development Plan: Vision 2030 (NDP). </w:t>
      </w:r>
    </w:p>
    <w:p w14:paraId="7E1ADC32" w14:textId="77777777" w:rsidR="0012504E" w:rsidRPr="00EA5BBC" w:rsidRDefault="0012504E" w:rsidP="00EA5BBC">
      <w:pPr>
        <w:pStyle w:val="ListParagraph"/>
        <w:spacing w:line="360" w:lineRule="auto"/>
        <w:jc w:val="both"/>
        <w:rPr>
          <w:rFonts w:ascii="Times New Roman" w:hAnsi="Times New Roman" w:cs="Times New Roman"/>
          <w:sz w:val="24"/>
          <w:szCs w:val="24"/>
        </w:rPr>
      </w:pPr>
    </w:p>
    <w:p w14:paraId="677E5456" w14:textId="77777777" w:rsidR="0012504E" w:rsidRPr="00EA5BBC" w:rsidRDefault="0012504E" w:rsidP="00EA5BBC">
      <w:pPr>
        <w:pStyle w:val="ListParagraph"/>
        <w:numPr>
          <w:ilvl w:val="0"/>
          <w:numId w:val="1"/>
        </w:numPr>
        <w:spacing w:after="0"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 xml:space="preserve">POLITICAL OVERVIEW BY THE MINISTER OF FINANCE </w:t>
      </w:r>
    </w:p>
    <w:p w14:paraId="74764FEA" w14:textId="77777777" w:rsidR="00243629" w:rsidRPr="00EA5BBC" w:rsidRDefault="0012504E" w:rsidP="00EA5BBC">
      <w:pPr>
        <w:spacing w:line="360" w:lineRule="auto"/>
        <w:ind w:left="720" w:hanging="720"/>
        <w:jc w:val="both"/>
        <w:rPr>
          <w:rFonts w:ascii="Times New Roman" w:hAnsi="Times New Roman"/>
        </w:rPr>
      </w:pPr>
      <w:r w:rsidRPr="00EA5BBC">
        <w:rPr>
          <w:rFonts w:ascii="Times New Roman" w:hAnsi="Times New Roman"/>
        </w:rPr>
        <w:t>2.1</w:t>
      </w:r>
      <w:r w:rsidRPr="00EA5BBC">
        <w:rPr>
          <w:rFonts w:ascii="Times New Roman" w:hAnsi="Times New Roman"/>
        </w:rPr>
        <w:tab/>
      </w:r>
      <w:r w:rsidR="0004461D" w:rsidRPr="00EA5BBC">
        <w:rPr>
          <w:rFonts w:ascii="Times New Roman" w:hAnsi="Times New Roman"/>
        </w:rPr>
        <w:t xml:space="preserve">The Minister of Finance </w:t>
      </w:r>
      <w:r w:rsidR="00CA1708" w:rsidRPr="00EA5BBC">
        <w:rPr>
          <w:rFonts w:ascii="Times New Roman" w:hAnsi="Times New Roman"/>
        </w:rPr>
        <w:t xml:space="preserve">said that </w:t>
      </w:r>
      <w:r w:rsidR="00E669F7" w:rsidRPr="00EA5BBC">
        <w:rPr>
          <w:rFonts w:ascii="Times New Roman" w:hAnsi="Times New Roman"/>
        </w:rPr>
        <w:t xml:space="preserve">the </w:t>
      </w:r>
      <w:r w:rsidR="00094FEA" w:rsidRPr="00EA5BBC">
        <w:rPr>
          <w:rFonts w:ascii="Times New Roman" w:hAnsi="Times New Roman"/>
        </w:rPr>
        <w:t>N</w:t>
      </w:r>
      <w:r w:rsidR="00E669F7" w:rsidRPr="00EA5BBC">
        <w:rPr>
          <w:rFonts w:ascii="Times New Roman" w:hAnsi="Times New Roman"/>
        </w:rPr>
        <w:t xml:space="preserve">ational </w:t>
      </w:r>
      <w:r w:rsidR="00094FEA" w:rsidRPr="00EA5BBC">
        <w:rPr>
          <w:rFonts w:ascii="Times New Roman" w:hAnsi="Times New Roman"/>
        </w:rPr>
        <w:t>T</w:t>
      </w:r>
      <w:r w:rsidR="00E669F7" w:rsidRPr="00EA5BBC">
        <w:rPr>
          <w:rFonts w:ascii="Times New Roman" w:hAnsi="Times New Roman"/>
        </w:rPr>
        <w:t>reasury</w:t>
      </w:r>
      <w:r w:rsidR="00EC1BE5" w:rsidRPr="00EA5BBC">
        <w:rPr>
          <w:rFonts w:ascii="Times New Roman" w:hAnsi="Times New Roman"/>
        </w:rPr>
        <w:t xml:space="preserve"> is committed </w:t>
      </w:r>
      <w:r w:rsidR="00243629" w:rsidRPr="00EA5BBC">
        <w:rPr>
          <w:rFonts w:ascii="Times New Roman" w:hAnsi="Times New Roman"/>
        </w:rPr>
        <w:t xml:space="preserve">to </w:t>
      </w:r>
      <w:r w:rsidR="00EC1BE5" w:rsidRPr="00EA5BBC">
        <w:rPr>
          <w:rFonts w:ascii="Times New Roman" w:hAnsi="Times New Roman"/>
        </w:rPr>
        <w:t xml:space="preserve">creating and fostering an environment for growth. </w:t>
      </w:r>
      <w:r w:rsidR="00E669F7" w:rsidRPr="00EA5BBC">
        <w:rPr>
          <w:rFonts w:ascii="Times New Roman" w:hAnsi="Times New Roman"/>
        </w:rPr>
        <w:t>He said</w:t>
      </w:r>
      <w:r w:rsidR="00094FEA" w:rsidRPr="00EA5BBC">
        <w:rPr>
          <w:rFonts w:ascii="Times New Roman" w:hAnsi="Times New Roman"/>
        </w:rPr>
        <w:t xml:space="preserve"> that </w:t>
      </w:r>
      <w:r w:rsidR="00E669F7" w:rsidRPr="00EA5BBC">
        <w:rPr>
          <w:rFonts w:ascii="Times New Roman" w:hAnsi="Times New Roman"/>
        </w:rPr>
        <w:t xml:space="preserve">the </w:t>
      </w:r>
      <w:r w:rsidR="00094FEA" w:rsidRPr="00EA5BBC">
        <w:rPr>
          <w:rFonts w:ascii="Times New Roman" w:hAnsi="Times New Roman"/>
        </w:rPr>
        <w:t>p</w:t>
      </w:r>
      <w:r w:rsidR="00243629" w:rsidRPr="00EA5BBC">
        <w:rPr>
          <w:rFonts w:ascii="Times New Roman" w:hAnsi="Times New Roman"/>
        </w:rPr>
        <w:t xml:space="preserve">riority for government in 2018 is </w:t>
      </w:r>
      <w:r w:rsidR="00E669F7" w:rsidRPr="00EA5BBC">
        <w:rPr>
          <w:rFonts w:ascii="Times New Roman" w:hAnsi="Times New Roman"/>
        </w:rPr>
        <w:t xml:space="preserve">to </w:t>
      </w:r>
      <w:r w:rsidR="00094FEA" w:rsidRPr="00EA5BBC">
        <w:rPr>
          <w:rFonts w:ascii="Times New Roman" w:hAnsi="Times New Roman"/>
        </w:rPr>
        <w:t>creat</w:t>
      </w:r>
      <w:r w:rsidR="00E669F7" w:rsidRPr="00EA5BBC">
        <w:rPr>
          <w:rFonts w:ascii="Times New Roman" w:hAnsi="Times New Roman"/>
        </w:rPr>
        <w:t>e</w:t>
      </w:r>
      <w:r w:rsidR="00243629" w:rsidRPr="00EA5BBC">
        <w:rPr>
          <w:rFonts w:ascii="Times New Roman" w:hAnsi="Times New Roman"/>
        </w:rPr>
        <w:t xml:space="preserve"> </w:t>
      </w:r>
      <w:r w:rsidR="00094FEA" w:rsidRPr="00EA5BBC">
        <w:rPr>
          <w:rFonts w:ascii="Times New Roman" w:hAnsi="Times New Roman"/>
        </w:rPr>
        <w:t>jobs</w:t>
      </w:r>
      <w:r w:rsidR="00E669F7" w:rsidRPr="00EA5BBC">
        <w:rPr>
          <w:rFonts w:ascii="Times New Roman" w:hAnsi="Times New Roman"/>
        </w:rPr>
        <w:t>,</w:t>
      </w:r>
      <w:r w:rsidR="00243629" w:rsidRPr="00EA5BBC">
        <w:rPr>
          <w:rFonts w:ascii="Times New Roman" w:hAnsi="Times New Roman"/>
        </w:rPr>
        <w:t xml:space="preserve"> especially for young </w:t>
      </w:r>
      <w:r w:rsidR="00094FEA" w:rsidRPr="00EA5BBC">
        <w:rPr>
          <w:rFonts w:ascii="Times New Roman" w:hAnsi="Times New Roman"/>
        </w:rPr>
        <w:t xml:space="preserve">people. </w:t>
      </w:r>
      <w:r w:rsidR="00243629" w:rsidRPr="00EA5BBC">
        <w:rPr>
          <w:rFonts w:ascii="Times New Roman" w:hAnsi="Times New Roman"/>
        </w:rPr>
        <w:t>There are several initiatives planned to facilitate this goal</w:t>
      </w:r>
      <w:r w:rsidR="00E669F7" w:rsidRPr="00EA5BBC">
        <w:rPr>
          <w:rFonts w:ascii="Times New Roman" w:hAnsi="Times New Roman"/>
        </w:rPr>
        <w:t>, he said</w:t>
      </w:r>
      <w:r w:rsidR="00204960" w:rsidRPr="00EA5BBC">
        <w:rPr>
          <w:rFonts w:ascii="Times New Roman" w:hAnsi="Times New Roman"/>
        </w:rPr>
        <w:t>. T</w:t>
      </w:r>
      <w:r w:rsidR="00094FEA" w:rsidRPr="00EA5BBC">
        <w:rPr>
          <w:rFonts w:ascii="Times New Roman" w:hAnsi="Times New Roman"/>
        </w:rPr>
        <w:t>here is a s</w:t>
      </w:r>
      <w:r w:rsidR="00243629" w:rsidRPr="00EA5BBC">
        <w:rPr>
          <w:rFonts w:ascii="Times New Roman" w:hAnsi="Times New Roman"/>
        </w:rPr>
        <w:t xml:space="preserve">ignificant push to create new </w:t>
      </w:r>
      <w:r w:rsidR="00094FEA" w:rsidRPr="00EA5BBC">
        <w:rPr>
          <w:rFonts w:ascii="Times New Roman" w:hAnsi="Times New Roman"/>
        </w:rPr>
        <w:t>investments</w:t>
      </w:r>
      <w:r w:rsidR="00243629" w:rsidRPr="00EA5BBC">
        <w:rPr>
          <w:rFonts w:ascii="Times New Roman" w:hAnsi="Times New Roman"/>
        </w:rPr>
        <w:t xml:space="preserve"> in the economy</w:t>
      </w:r>
      <w:r w:rsidR="00204960" w:rsidRPr="00EA5BBC">
        <w:rPr>
          <w:rFonts w:ascii="Times New Roman" w:hAnsi="Times New Roman"/>
        </w:rPr>
        <w:t xml:space="preserve"> and t</w:t>
      </w:r>
      <w:r w:rsidR="00E669F7" w:rsidRPr="00EA5BBC">
        <w:rPr>
          <w:rFonts w:ascii="Times New Roman" w:hAnsi="Times New Roman"/>
        </w:rPr>
        <w:t xml:space="preserve">here is an </w:t>
      </w:r>
      <w:r w:rsidR="00243629" w:rsidRPr="00EA5BBC">
        <w:rPr>
          <w:rFonts w:ascii="Times New Roman" w:hAnsi="Times New Roman"/>
        </w:rPr>
        <w:t>investor conference</w:t>
      </w:r>
      <w:r w:rsidR="00E669F7" w:rsidRPr="00EA5BBC">
        <w:rPr>
          <w:rFonts w:ascii="Times New Roman" w:hAnsi="Times New Roman"/>
        </w:rPr>
        <w:t xml:space="preserve"> planned for this year, he said. </w:t>
      </w:r>
    </w:p>
    <w:p w14:paraId="79E4BAB1" w14:textId="77777777" w:rsidR="00243629" w:rsidRPr="00EA5BBC" w:rsidRDefault="00094FEA" w:rsidP="00EA5BBC">
      <w:pPr>
        <w:spacing w:line="360" w:lineRule="auto"/>
        <w:ind w:left="720" w:hanging="720"/>
        <w:jc w:val="both"/>
        <w:rPr>
          <w:rFonts w:ascii="Times New Roman" w:hAnsi="Times New Roman"/>
        </w:rPr>
      </w:pPr>
      <w:r w:rsidRPr="00EA5BBC">
        <w:rPr>
          <w:rFonts w:ascii="Times New Roman" w:hAnsi="Times New Roman"/>
        </w:rPr>
        <w:t xml:space="preserve">2.2 </w:t>
      </w:r>
      <w:r w:rsidRPr="00EA5BBC">
        <w:rPr>
          <w:rFonts w:ascii="Times New Roman" w:hAnsi="Times New Roman"/>
        </w:rPr>
        <w:tab/>
        <w:t>The Minister pointed out that there is</w:t>
      </w:r>
      <w:r w:rsidR="00243629" w:rsidRPr="00EA5BBC">
        <w:rPr>
          <w:rFonts w:ascii="Times New Roman" w:hAnsi="Times New Roman"/>
        </w:rPr>
        <w:t xml:space="preserve"> focus on municipalities and provinces in ensuring</w:t>
      </w:r>
      <w:r w:rsidRPr="00EA5BBC">
        <w:rPr>
          <w:rFonts w:ascii="Times New Roman" w:hAnsi="Times New Roman"/>
        </w:rPr>
        <w:t xml:space="preserve"> that there is service delivery</w:t>
      </w:r>
      <w:r w:rsidR="00243629" w:rsidRPr="00EA5BBC">
        <w:rPr>
          <w:rFonts w:ascii="Times New Roman" w:hAnsi="Times New Roman"/>
        </w:rPr>
        <w:t xml:space="preserve">. Issues of financial management </w:t>
      </w:r>
      <w:r w:rsidRPr="00EA5BBC">
        <w:rPr>
          <w:rFonts w:ascii="Times New Roman" w:hAnsi="Times New Roman"/>
        </w:rPr>
        <w:t>failures in municipalities have become a challenge.</w:t>
      </w:r>
      <w:r w:rsidR="006F00F9" w:rsidRPr="00EA5BBC">
        <w:rPr>
          <w:rFonts w:ascii="Times New Roman" w:hAnsi="Times New Roman"/>
        </w:rPr>
        <w:t xml:space="preserve">The Minister </w:t>
      </w:r>
      <w:r w:rsidRPr="00EA5BBC">
        <w:rPr>
          <w:rFonts w:ascii="Times New Roman" w:hAnsi="Times New Roman"/>
        </w:rPr>
        <w:t>noted that there is a local government week meeting-taking</w:t>
      </w:r>
      <w:r w:rsidR="00243629" w:rsidRPr="00EA5BBC">
        <w:rPr>
          <w:rFonts w:ascii="Times New Roman" w:hAnsi="Times New Roman"/>
        </w:rPr>
        <w:t xml:space="preserve"> place in Parliament</w:t>
      </w:r>
      <w:r w:rsidR="00E669F7" w:rsidRPr="00EA5BBC">
        <w:rPr>
          <w:rFonts w:ascii="Times New Roman" w:hAnsi="Times New Roman"/>
        </w:rPr>
        <w:t>-</w:t>
      </w:r>
      <w:r w:rsidR="00243629" w:rsidRPr="00EA5BBC">
        <w:rPr>
          <w:rFonts w:ascii="Times New Roman" w:hAnsi="Times New Roman"/>
        </w:rPr>
        <w:t xml:space="preserve"> </w:t>
      </w:r>
      <w:r w:rsidRPr="00EA5BBC">
        <w:rPr>
          <w:rFonts w:ascii="Times New Roman" w:hAnsi="Times New Roman"/>
        </w:rPr>
        <w:t>which will</w:t>
      </w:r>
      <w:r w:rsidR="00243629" w:rsidRPr="00EA5BBC">
        <w:rPr>
          <w:rFonts w:ascii="Times New Roman" w:hAnsi="Times New Roman"/>
        </w:rPr>
        <w:t xml:space="preserve"> address some of the failures taking place in municipalities. While the conference is taking place, NT</w:t>
      </w:r>
      <w:r w:rsidRPr="00EA5BBC">
        <w:rPr>
          <w:rFonts w:ascii="Times New Roman" w:hAnsi="Times New Roman"/>
        </w:rPr>
        <w:t xml:space="preserve"> has</w:t>
      </w:r>
      <w:r w:rsidR="00243629" w:rsidRPr="00EA5BBC">
        <w:rPr>
          <w:rFonts w:ascii="Times New Roman" w:hAnsi="Times New Roman"/>
        </w:rPr>
        <w:t xml:space="preserve"> completed the first phase of the implementation of the Cities Support Program </w:t>
      </w:r>
      <w:r w:rsidR="00204960" w:rsidRPr="00EA5BBC">
        <w:rPr>
          <w:rFonts w:ascii="Times New Roman" w:hAnsi="Times New Roman"/>
        </w:rPr>
        <w:t xml:space="preserve">(CSP) </w:t>
      </w:r>
      <w:r w:rsidR="00243629" w:rsidRPr="00EA5BBC">
        <w:rPr>
          <w:rFonts w:ascii="Times New Roman" w:hAnsi="Times New Roman"/>
        </w:rPr>
        <w:lastRenderedPageBreak/>
        <w:t xml:space="preserve">which was initiated in 2012 </w:t>
      </w:r>
      <w:r w:rsidR="00E669F7" w:rsidRPr="00EA5BBC">
        <w:rPr>
          <w:rFonts w:ascii="Times New Roman" w:hAnsi="Times New Roman"/>
        </w:rPr>
        <w:t xml:space="preserve">together </w:t>
      </w:r>
      <w:r w:rsidR="00243629" w:rsidRPr="00EA5BBC">
        <w:rPr>
          <w:rFonts w:ascii="Times New Roman" w:hAnsi="Times New Roman"/>
        </w:rPr>
        <w:t>with the Department of Planning,</w:t>
      </w:r>
      <w:r w:rsidR="00EE438C" w:rsidRPr="00EA5BBC">
        <w:rPr>
          <w:rFonts w:ascii="Times New Roman" w:hAnsi="Times New Roman"/>
        </w:rPr>
        <w:t xml:space="preserve"> </w:t>
      </w:r>
      <w:r w:rsidR="00243629" w:rsidRPr="00EA5BBC">
        <w:rPr>
          <w:rFonts w:ascii="Times New Roman" w:hAnsi="Times New Roman"/>
        </w:rPr>
        <w:t xml:space="preserve">Monitoring and Evaluation. </w:t>
      </w:r>
      <w:r w:rsidR="006F00F9" w:rsidRPr="00EA5BBC">
        <w:rPr>
          <w:rFonts w:ascii="Times New Roman" w:hAnsi="Times New Roman"/>
        </w:rPr>
        <w:t xml:space="preserve">The Minister </w:t>
      </w:r>
      <w:r w:rsidR="00E669F7" w:rsidRPr="00EA5BBC">
        <w:rPr>
          <w:rFonts w:ascii="Times New Roman" w:hAnsi="Times New Roman"/>
        </w:rPr>
        <w:t xml:space="preserve">reported that </w:t>
      </w:r>
      <w:r w:rsidR="00243629" w:rsidRPr="00EA5BBC">
        <w:rPr>
          <w:rFonts w:ascii="Times New Roman" w:hAnsi="Times New Roman"/>
        </w:rPr>
        <w:t>the program has led</w:t>
      </w:r>
      <w:r w:rsidR="00EE438C" w:rsidRPr="00EA5BBC">
        <w:rPr>
          <w:rFonts w:ascii="Times New Roman" w:hAnsi="Times New Roman"/>
        </w:rPr>
        <w:t xml:space="preserve"> to significant successes in strengthening city led planning and intergovernmental coordination.</w:t>
      </w:r>
    </w:p>
    <w:p w14:paraId="56DB0DB6" w14:textId="77777777" w:rsidR="00204863" w:rsidRPr="00EA5BBC" w:rsidRDefault="00094FEA" w:rsidP="00EA5BBC">
      <w:pPr>
        <w:spacing w:line="360" w:lineRule="auto"/>
        <w:ind w:left="720" w:hanging="720"/>
        <w:jc w:val="both"/>
        <w:rPr>
          <w:rFonts w:ascii="Times New Roman" w:hAnsi="Times New Roman"/>
        </w:rPr>
      </w:pPr>
      <w:r w:rsidRPr="00EA5BBC">
        <w:rPr>
          <w:rFonts w:ascii="Times New Roman" w:hAnsi="Times New Roman"/>
        </w:rPr>
        <w:t xml:space="preserve">2.3 </w:t>
      </w:r>
      <w:r w:rsidRPr="00EA5BBC">
        <w:rPr>
          <w:rFonts w:ascii="Times New Roman" w:hAnsi="Times New Roman"/>
        </w:rPr>
        <w:tab/>
        <w:t>The Minister said that it</w:t>
      </w:r>
      <w:r w:rsidR="00E669F7" w:rsidRPr="00EA5BBC">
        <w:rPr>
          <w:rFonts w:ascii="Times New Roman" w:hAnsi="Times New Roman"/>
        </w:rPr>
        <w:t xml:space="preserve"> is</w:t>
      </w:r>
      <w:r w:rsidRPr="00EA5BBC">
        <w:rPr>
          <w:rFonts w:ascii="Times New Roman" w:hAnsi="Times New Roman"/>
        </w:rPr>
        <w:t xml:space="preserve"> crucial to reinforce</w:t>
      </w:r>
      <w:r w:rsidR="00EE438C" w:rsidRPr="00EA5BBC">
        <w:rPr>
          <w:rFonts w:ascii="Times New Roman" w:hAnsi="Times New Roman"/>
        </w:rPr>
        <w:t xml:space="preserve"> ethical behavior and leadership</w:t>
      </w:r>
      <w:r w:rsidR="00E669F7" w:rsidRPr="00EA5BBC">
        <w:rPr>
          <w:rFonts w:ascii="Times New Roman" w:hAnsi="Times New Roman"/>
        </w:rPr>
        <w:t xml:space="preserve">. He </w:t>
      </w:r>
      <w:r w:rsidR="00204960" w:rsidRPr="00EA5BBC">
        <w:rPr>
          <w:rFonts w:ascii="Times New Roman" w:hAnsi="Times New Roman"/>
        </w:rPr>
        <w:t xml:space="preserve">emphasized </w:t>
      </w:r>
      <w:r w:rsidR="00E669F7" w:rsidRPr="00EA5BBC">
        <w:rPr>
          <w:rFonts w:ascii="Times New Roman" w:hAnsi="Times New Roman"/>
        </w:rPr>
        <w:t xml:space="preserve">that the </w:t>
      </w:r>
      <w:r w:rsidR="00EE438C" w:rsidRPr="00EA5BBC">
        <w:rPr>
          <w:rFonts w:ascii="Times New Roman" w:hAnsi="Times New Roman"/>
        </w:rPr>
        <w:t>N</w:t>
      </w:r>
      <w:r w:rsidR="00E669F7" w:rsidRPr="00EA5BBC">
        <w:rPr>
          <w:rFonts w:ascii="Times New Roman" w:hAnsi="Times New Roman"/>
        </w:rPr>
        <w:t xml:space="preserve">ational </w:t>
      </w:r>
      <w:r w:rsidR="00EE438C" w:rsidRPr="00EA5BBC">
        <w:rPr>
          <w:rFonts w:ascii="Times New Roman" w:hAnsi="Times New Roman"/>
        </w:rPr>
        <w:t>T</w:t>
      </w:r>
      <w:r w:rsidR="00E669F7" w:rsidRPr="00EA5BBC">
        <w:rPr>
          <w:rFonts w:ascii="Times New Roman" w:hAnsi="Times New Roman"/>
        </w:rPr>
        <w:t xml:space="preserve">reasury was committed </w:t>
      </w:r>
      <w:r w:rsidR="00EE438C" w:rsidRPr="00EA5BBC">
        <w:rPr>
          <w:rFonts w:ascii="Times New Roman" w:hAnsi="Times New Roman"/>
        </w:rPr>
        <w:t>to fighting corruption.</w:t>
      </w:r>
      <w:r w:rsidR="00FC4243" w:rsidRPr="00EA5BBC">
        <w:rPr>
          <w:rFonts w:ascii="Times New Roman" w:hAnsi="Times New Roman"/>
        </w:rPr>
        <w:t xml:space="preserve"> </w:t>
      </w:r>
      <w:r w:rsidRPr="00EA5BBC">
        <w:rPr>
          <w:rFonts w:ascii="Times New Roman" w:hAnsi="Times New Roman"/>
        </w:rPr>
        <w:t xml:space="preserve">The Minister said that </w:t>
      </w:r>
      <w:r w:rsidR="00EE438C" w:rsidRPr="00EA5BBC">
        <w:rPr>
          <w:rFonts w:ascii="Times New Roman" w:hAnsi="Times New Roman"/>
        </w:rPr>
        <w:t xml:space="preserve">NT </w:t>
      </w:r>
      <w:r w:rsidRPr="00EA5BBC">
        <w:rPr>
          <w:rFonts w:ascii="Times New Roman" w:hAnsi="Times New Roman"/>
        </w:rPr>
        <w:t xml:space="preserve">is </w:t>
      </w:r>
      <w:r w:rsidR="00EE438C" w:rsidRPr="00EA5BBC">
        <w:rPr>
          <w:rFonts w:ascii="Times New Roman" w:hAnsi="Times New Roman"/>
        </w:rPr>
        <w:t>funding and supporting the Commission of Enquiry into State Capture</w:t>
      </w:r>
      <w:r w:rsidRPr="00EA5BBC">
        <w:rPr>
          <w:rFonts w:ascii="Times New Roman" w:hAnsi="Times New Roman"/>
        </w:rPr>
        <w:t>.</w:t>
      </w:r>
      <w:r w:rsidR="00204863" w:rsidRPr="00EA5BBC">
        <w:rPr>
          <w:rFonts w:ascii="Times New Roman" w:hAnsi="Times New Roman"/>
        </w:rPr>
        <w:t xml:space="preserve"> The Minister said that the National Treasury is determined to r</w:t>
      </w:r>
      <w:r w:rsidR="00EE438C" w:rsidRPr="00EA5BBC">
        <w:rPr>
          <w:rFonts w:ascii="Times New Roman" w:hAnsi="Times New Roman"/>
        </w:rPr>
        <w:t>ebu</w:t>
      </w:r>
      <w:r w:rsidR="00200BF1" w:rsidRPr="00EA5BBC">
        <w:rPr>
          <w:rFonts w:ascii="Times New Roman" w:hAnsi="Times New Roman"/>
        </w:rPr>
        <w:t xml:space="preserve">ild </w:t>
      </w:r>
      <w:r w:rsidR="00A26F85" w:rsidRPr="00EA5BBC">
        <w:rPr>
          <w:rFonts w:ascii="Times New Roman" w:hAnsi="Times New Roman"/>
        </w:rPr>
        <w:t xml:space="preserve">the </w:t>
      </w:r>
      <w:r w:rsidR="00200BF1" w:rsidRPr="00EA5BBC">
        <w:rPr>
          <w:rFonts w:ascii="Times New Roman" w:hAnsi="Times New Roman"/>
        </w:rPr>
        <w:t xml:space="preserve"> </w:t>
      </w:r>
      <w:r w:rsidR="00204863" w:rsidRPr="00EA5BBC">
        <w:rPr>
          <w:rFonts w:ascii="Times New Roman" w:hAnsi="Times New Roman"/>
        </w:rPr>
        <w:t>SARS</w:t>
      </w:r>
      <w:r w:rsidR="00A26F85" w:rsidRPr="00EA5BBC">
        <w:rPr>
          <w:rFonts w:ascii="Times New Roman" w:hAnsi="Times New Roman"/>
        </w:rPr>
        <w:t xml:space="preserve"> brand</w:t>
      </w:r>
      <w:r w:rsidR="00204863" w:rsidRPr="00EA5BBC">
        <w:rPr>
          <w:rFonts w:ascii="Times New Roman" w:hAnsi="Times New Roman"/>
        </w:rPr>
        <w:t>.</w:t>
      </w:r>
      <w:r w:rsidR="00A26F85" w:rsidRPr="00EA5BBC">
        <w:rPr>
          <w:rFonts w:ascii="Times New Roman" w:hAnsi="Times New Roman"/>
        </w:rPr>
        <w:t xml:space="preserve"> The Minister</w:t>
      </w:r>
      <w:r w:rsidR="00204863" w:rsidRPr="00EA5BBC">
        <w:rPr>
          <w:rFonts w:ascii="Times New Roman" w:hAnsi="Times New Roman"/>
        </w:rPr>
        <w:t xml:space="preserve"> stated that it is important to have stable S</w:t>
      </w:r>
      <w:r w:rsidR="00FC4243" w:rsidRPr="00EA5BBC">
        <w:rPr>
          <w:rFonts w:ascii="Times New Roman" w:hAnsi="Times New Roman"/>
        </w:rPr>
        <w:t xml:space="preserve">tate-Owned </w:t>
      </w:r>
      <w:r w:rsidR="00204863" w:rsidRPr="00EA5BBC">
        <w:rPr>
          <w:rFonts w:ascii="Times New Roman" w:hAnsi="Times New Roman"/>
        </w:rPr>
        <w:t>C</w:t>
      </w:r>
      <w:r w:rsidR="00FC4243" w:rsidRPr="00EA5BBC">
        <w:rPr>
          <w:rFonts w:ascii="Times New Roman" w:hAnsi="Times New Roman"/>
        </w:rPr>
        <w:t>ompanies (SOCs)</w:t>
      </w:r>
      <w:r w:rsidR="00204863" w:rsidRPr="00EA5BBC">
        <w:rPr>
          <w:rFonts w:ascii="Times New Roman" w:hAnsi="Times New Roman"/>
        </w:rPr>
        <w:t xml:space="preserve">. </w:t>
      </w:r>
    </w:p>
    <w:p w14:paraId="2CA9F13C" w14:textId="77777777" w:rsidR="00243629" w:rsidRPr="00EA5BBC" w:rsidRDefault="00204863" w:rsidP="00EA5BBC">
      <w:pPr>
        <w:spacing w:line="360" w:lineRule="auto"/>
        <w:ind w:left="720" w:hanging="720"/>
        <w:jc w:val="both"/>
        <w:rPr>
          <w:rFonts w:ascii="Times New Roman" w:hAnsi="Times New Roman"/>
        </w:rPr>
      </w:pPr>
      <w:r w:rsidRPr="00EA5BBC">
        <w:rPr>
          <w:rFonts w:ascii="Times New Roman" w:hAnsi="Times New Roman"/>
        </w:rPr>
        <w:t xml:space="preserve">2.5 </w:t>
      </w:r>
      <w:r w:rsidRPr="00EA5BBC">
        <w:rPr>
          <w:rFonts w:ascii="Times New Roman" w:hAnsi="Times New Roman"/>
        </w:rPr>
        <w:tab/>
      </w:r>
      <w:r w:rsidR="00200BF1" w:rsidRPr="00EA5BBC">
        <w:rPr>
          <w:rFonts w:ascii="Times New Roman" w:hAnsi="Times New Roman"/>
        </w:rPr>
        <w:t>N</w:t>
      </w:r>
      <w:r w:rsidRPr="00EA5BBC">
        <w:rPr>
          <w:rFonts w:ascii="Times New Roman" w:hAnsi="Times New Roman"/>
        </w:rPr>
        <w:t xml:space="preserve">ational </w:t>
      </w:r>
      <w:r w:rsidR="00200BF1" w:rsidRPr="00EA5BBC">
        <w:rPr>
          <w:rFonts w:ascii="Times New Roman" w:hAnsi="Times New Roman"/>
        </w:rPr>
        <w:t>T</w:t>
      </w:r>
      <w:r w:rsidRPr="00EA5BBC">
        <w:rPr>
          <w:rFonts w:ascii="Times New Roman" w:hAnsi="Times New Roman"/>
        </w:rPr>
        <w:t>reasury</w:t>
      </w:r>
      <w:r w:rsidR="00200BF1" w:rsidRPr="00EA5BBC">
        <w:rPr>
          <w:rFonts w:ascii="Times New Roman" w:hAnsi="Times New Roman"/>
        </w:rPr>
        <w:t xml:space="preserve"> is committed to maintain the expenditure ceiling</w:t>
      </w:r>
      <w:r w:rsidR="00FC4243" w:rsidRPr="00EA5BBC">
        <w:rPr>
          <w:rFonts w:ascii="Times New Roman" w:hAnsi="Times New Roman"/>
        </w:rPr>
        <w:t xml:space="preserve"> set by the country’s fiscal framework</w:t>
      </w:r>
      <w:r w:rsidR="00200BF1" w:rsidRPr="00EA5BBC">
        <w:rPr>
          <w:rFonts w:ascii="Times New Roman" w:hAnsi="Times New Roman"/>
        </w:rPr>
        <w:t>.</w:t>
      </w:r>
      <w:r w:rsidR="00FC4243" w:rsidRPr="00EA5BBC">
        <w:rPr>
          <w:rFonts w:ascii="Times New Roman" w:hAnsi="Times New Roman"/>
        </w:rPr>
        <w:t xml:space="preserve"> Expenditure for 2018/19 to 2020</w:t>
      </w:r>
      <w:r w:rsidR="00200BF1" w:rsidRPr="00EA5BBC">
        <w:rPr>
          <w:rFonts w:ascii="Times New Roman" w:hAnsi="Times New Roman"/>
        </w:rPr>
        <w:t>/21 was revised marginally downwards in the current budget.</w:t>
      </w:r>
      <w:r w:rsidRPr="00EA5BBC">
        <w:rPr>
          <w:rFonts w:ascii="Times New Roman" w:hAnsi="Times New Roman"/>
        </w:rPr>
        <w:t xml:space="preserve"> </w:t>
      </w:r>
      <w:r w:rsidR="006F00F9" w:rsidRPr="00EA5BBC">
        <w:rPr>
          <w:rFonts w:ascii="Times New Roman" w:hAnsi="Times New Roman"/>
        </w:rPr>
        <w:t>The Minister</w:t>
      </w:r>
      <w:r w:rsidRPr="00EA5BBC">
        <w:rPr>
          <w:rFonts w:ascii="Times New Roman" w:hAnsi="Times New Roman"/>
        </w:rPr>
        <w:t xml:space="preserve"> emphasised that t</w:t>
      </w:r>
      <w:r w:rsidR="00200BF1" w:rsidRPr="00EA5BBC">
        <w:rPr>
          <w:rFonts w:ascii="Times New Roman" w:hAnsi="Times New Roman"/>
        </w:rPr>
        <w:t>he goal is to maintain the expenditure</w:t>
      </w:r>
      <w:r w:rsidRPr="00EA5BBC">
        <w:rPr>
          <w:rFonts w:ascii="Times New Roman" w:hAnsi="Times New Roman"/>
        </w:rPr>
        <w:t xml:space="preserve"> ceiling over the Medium-</w:t>
      </w:r>
      <w:r w:rsidR="00200BF1" w:rsidRPr="00EA5BBC">
        <w:rPr>
          <w:rFonts w:ascii="Times New Roman" w:hAnsi="Times New Roman"/>
        </w:rPr>
        <w:t>Term</w:t>
      </w:r>
      <w:r w:rsidRPr="00EA5BBC">
        <w:rPr>
          <w:rFonts w:ascii="Times New Roman" w:hAnsi="Times New Roman"/>
        </w:rPr>
        <w:t xml:space="preserve"> that</w:t>
      </w:r>
      <w:r w:rsidR="00200BF1" w:rsidRPr="00EA5BBC">
        <w:rPr>
          <w:rFonts w:ascii="Times New Roman" w:hAnsi="Times New Roman"/>
        </w:rPr>
        <w:t xml:space="preserve"> includes the public service wage agreement and financial commi</w:t>
      </w:r>
      <w:r w:rsidR="00FC4243" w:rsidRPr="00EA5BBC">
        <w:rPr>
          <w:rFonts w:ascii="Times New Roman" w:hAnsi="Times New Roman"/>
        </w:rPr>
        <w:t>tments</w:t>
      </w:r>
      <w:r w:rsidR="00200BF1" w:rsidRPr="00EA5BBC">
        <w:rPr>
          <w:rFonts w:ascii="Times New Roman" w:hAnsi="Times New Roman"/>
        </w:rPr>
        <w:t xml:space="preserve"> of several SOC’s. </w:t>
      </w:r>
    </w:p>
    <w:p w14:paraId="0E9856C7" w14:textId="77777777" w:rsidR="00200BF1" w:rsidRPr="00EA5BBC" w:rsidRDefault="00204863" w:rsidP="00EA5BBC">
      <w:pPr>
        <w:spacing w:line="360" w:lineRule="auto"/>
        <w:ind w:left="720" w:hanging="720"/>
        <w:jc w:val="both"/>
        <w:rPr>
          <w:rFonts w:ascii="Times New Roman" w:hAnsi="Times New Roman"/>
        </w:rPr>
      </w:pPr>
      <w:r w:rsidRPr="00EA5BBC">
        <w:rPr>
          <w:rFonts w:ascii="Times New Roman" w:hAnsi="Times New Roman"/>
        </w:rPr>
        <w:t>2.6</w:t>
      </w:r>
      <w:r w:rsidRPr="00EA5BBC">
        <w:rPr>
          <w:rFonts w:ascii="Times New Roman" w:hAnsi="Times New Roman"/>
        </w:rPr>
        <w:tab/>
      </w:r>
      <w:r w:rsidR="00A26F85" w:rsidRPr="00EA5BBC">
        <w:rPr>
          <w:rFonts w:ascii="Times New Roman" w:hAnsi="Times New Roman"/>
        </w:rPr>
        <w:t xml:space="preserve">The Minister </w:t>
      </w:r>
      <w:r w:rsidRPr="00EA5BBC">
        <w:rPr>
          <w:rFonts w:ascii="Times New Roman" w:hAnsi="Times New Roman"/>
        </w:rPr>
        <w:t>further</w:t>
      </w:r>
      <w:r w:rsidR="0003326D" w:rsidRPr="00EA5BBC">
        <w:rPr>
          <w:rFonts w:ascii="Times New Roman" w:hAnsi="Times New Roman"/>
        </w:rPr>
        <w:t xml:space="preserve"> explained that the </w:t>
      </w:r>
      <w:r w:rsidR="00FC4243" w:rsidRPr="00EA5BBC">
        <w:rPr>
          <w:rFonts w:ascii="Times New Roman" w:hAnsi="Times New Roman"/>
        </w:rPr>
        <w:t>NT’s budget</w:t>
      </w:r>
      <w:r w:rsidR="00200BF1" w:rsidRPr="00EA5BBC">
        <w:rPr>
          <w:rFonts w:ascii="Times New Roman" w:hAnsi="Times New Roman"/>
        </w:rPr>
        <w:t xml:space="preserve"> </w:t>
      </w:r>
      <w:r w:rsidR="00FC4243" w:rsidRPr="00EA5BBC">
        <w:rPr>
          <w:rFonts w:ascii="Times New Roman" w:hAnsi="Times New Roman"/>
        </w:rPr>
        <w:t xml:space="preserve">group </w:t>
      </w:r>
      <w:r w:rsidR="00200BF1" w:rsidRPr="00EA5BBC">
        <w:rPr>
          <w:rFonts w:ascii="Times New Roman" w:hAnsi="Times New Roman"/>
        </w:rPr>
        <w:t>had to conten</w:t>
      </w:r>
      <w:r w:rsidR="00FC4243" w:rsidRPr="00EA5BBC">
        <w:rPr>
          <w:rFonts w:ascii="Times New Roman" w:hAnsi="Times New Roman"/>
        </w:rPr>
        <w:t>d</w:t>
      </w:r>
      <w:r w:rsidR="00200BF1" w:rsidRPr="00EA5BBC">
        <w:rPr>
          <w:rFonts w:ascii="Times New Roman" w:hAnsi="Times New Roman"/>
        </w:rPr>
        <w:t xml:space="preserve"> with the demands of </w:t>
      </w:r>
      <w:r w:rsidR="00FC4243" w:rsidRPr="00EA5BBC">
        <w:rPr>
          <w:rFonts w:ascii="Times New Roman" w:hAnsi="Times New Roman"/>
        </w:rPr>
        <w:t>the R57 billion of</w:t>
      </w:r>
      <w:r w:rsidR="00200BF1" w:rsidRPr="00EA5BBC">
        <w:rPr>
          <w:rFonts w:ascii="Times New Roman" w:hAnsi="Times New Roman"/>
        </w:rPr>
        <w:t xml:space="preserve"> </w:t>
      </w:r>
      <w:r w:rsidR="00FC4243" w:rsidRPr="00EA5BBC">
        <w:rPr>
          <w:rFonts w:ascii="Times New Roman" w:hAnsi="Times New Roman"/>
        </w:rPr>
        <w:t>fee-</w:t>
      </w:r>
      <w:r w:rsidR="00200BF1" w:rsidRPr="00EA5BBC">
        <w:rPr>
          <w:rFonts w:ascii="Times New Roman" w:hAnsi="Times New Roman"/>
        </w:rPr>
        <w:t>free higher education</w:t>
      </w:r>
      <w:r w:rsidR="0003326D" w:rsidRPr="00EA5BBC">
        <w:rPr>
          <w:rFonts w:ascii="Times New Roman" w:hAnsi="Times New Roman"/>
        </w:rPr>
        <w:t xml:space="preserve"> which was placed </w:t>
      </w:r>
      <w:r w:rsidR="00200BF1" w:rsidRPr="00EA5BBC">
        <w:rPr>
          <w:rFonts w:ascii="Times New Roman" w:hAnsi="Times New Roman"/>
        </w:rPr>
        <w:t>on the fiscus at t</w:t>
      </w:r>
      <w:r w:rsidR="0054015C" w:rsidRPr="00EA5BBC">
        <w:rPr>
          <w:rFonts w:ascii="Times New Roman" w:hAnsi="Times New Roman"/>
        </w:rPr>
        <w:t xml:space="preserve">he late stage of </w:t>
      </w:r>
      <w:r w:rsidR="00FC4243" w:rsidRPr="00EA5BBC">
        <w:rPr>
          <w:rFonts w:ascii="Times New Roman" w:hAnsi="Times New Roman"/>
        </w:rPr>
        <w:t xml:space="preserve">the </w:t>
      </w:r>
      <w:r w:rsidR="0054015C" w:rsidRPr="00EA5BBC">
        <w:rPr>
          <w:rFonts w:ascii="Times New Roman" w:hAnsi="Times New Roman"/>
        </w:rPr>
        <w:t>budget process</w:t>
      </w:r>
      <w:r w:rsidR="00FC4243" w:rsidRPr="00EA5BBC">
        <w:rPr>
          <w:rFonts w:ascii="Times New Roman" w:hAnsi="Times New Roman"/>
        </w:rPr>
        <w:t>.</w:t>
      </w:r>
      <w:r w:rsidR="0054015C" w:rsidRPr="00EA5BBC">
        <w:rPr>
          <w:rFonts w:ascii="Times New Roman" w:hAnsi="Times New Roman"/>
        </w:rPr>
        <w:t xml:space="preserve"> NT had to manage the b</w:t>
      </w:r>
      <w:r w:rsidR="00200BF1" w:rsidRPr="00EA5BBC">
        <w:rPr>
          <w:rFonts w:ascii="Times New Roman" w:hAnsi="Times New Roman"/>
        </w:rPr>
        <w:t xml:space="preserve">aseline </w:t>
      </w:r>
      <w:r w:rsidR="00FC4243" w:rsidRPr="00EA5BBC">
        <w:rPr>
          <w:rFonts w:ascii="Times New Roman" w:hAnsi="Times New Roman"/>
        </w:rPr>
        <w:t>reprioritization by</w:t>
      </w:r>
      <w:r w:rsidR="00200BF1" w:rsidRPr="00EA5BBC">
        <w:rPr>
          <w:rFonts w:ascii="Times New Roman" w:hAnsi="Times New Roman"/>
        </w:rPr>
        <w:t xml:space="preserve"> </w:t>
      </w:r>
      <w:r w:rsidR="0054015C" w:rsidRPr="00EA5BBC">
        <w:rPr>
          <w:rFonts w:ascii="Times New Roman" w:hAnsi="Times New Roman"/>
        </w:rPr>
        <w:t xml:space="preserve">making available additional funds while mitigating the impact of service delivery. </w:t>
      </w:r>
    </w:p>
    <w:p w14:paraId="0545CAD1" w14:textId="77777777" w:rsidR="00243629" w:rsidRPr="00EA5BBC" w:rsidRDefault="0003326D" w:rsidP="00EA5BBC">
      <w:pPr>
        <w:spacing w:line="360" w:lineRule="auto"/>
        <w:ind w:left="720" w:hanging="720"/>
        <w:jc w:val="both"/>
        <w:rPr>
          <w:rFonts w:ascii="Times New Roman" w:hAnsi="Times New Roman"/>
        </w:rPr>
      </w:pPr>
      <w:r w:rsidRPr="00EA5BBC">
        <w:rPr>
          <w:rFonts w:ascii="Times New Roman" w:hAnsi="Times New Roman"/>
        </w:rPr>
        <w:t xml:space="preserve">2.7 </w:t>
      </w:r>
      <w:r w:rsidRPr="00EA5BBC">
        <w:rPr>
          <w:rFonts w:ascii="Times New Roman" w:hAnsi="Times New Roman"/>
        </w:rPr>
        <w:tab/>
        <w:t>The Minister stated that a</w:t>
      </w:r>
      <w:r w:rsidR="0054015C" w:rsidRPr="00EA5BBC">
        <w:rPr>
          <w:rFonts w:ascii="Times New Roman" w:hAnsi="Times New Roman"/>
        </w:rPr>
        <w:t>n additional R2.</w:t>
      </w:r>
      <w:r w:rsidR="00736652" w:rsidRPr="00EA5BBC">
        <w:rPr>
          <w:rFonts w:ascii="Times New Roman" w:hAnsi="Times New Roman"/>
        </w:rPr>
        <w:t xml:space="preserve">6 </w:t>
      </w:r>
      <w:r w:rsidR="0054015C" w:rsidRPr="00EA5BBC">
        <w:rPr>
          <w:rFonts w:ascii="Times New Roman" w:hAnsi="Times New Roman"/>
        </w:rPr>
        <w:t>billion was secured over the 2018/19 budget for social grants to offset the likely inflationary impact o</w:t>
      </w:r>
      <w:r w:rsidR="00FC4243" w:rsidRPr="00EA5BBC">
        <w:rPr>
          <w:rFonts w:ascii="Times New Roman" w:hAnsi="Times New Roman"/>
        </w:rPr>
        <w:t>n</w:t>
      </w:r>
      <w:r w:rsidR="0054015C" w:rsidRPr="00EA5BBC">
        <w:rPr>
          <w:rFonts w:ascii="Times New Roman" w:hAnsi="Times New Roman"/>
        </w:rPr>
        <w:t xml:space="preserve"> poor households given the new tax measures</w:t>
      </w:r>
      <w:r w:rsidR="00FC4243" w:rsidRPr="00EA5BBC">
        <w:rPr>
          <w:rFonts w:ascii="Times New Roman" w:hAnsi="Times New Roman"/>
        </w:rPr>
        <w:t xml:space="preserve"> headlined by the 1 percent VAT increase</w:t>
      </w:r>
      <w:r w:rsidR="0054015C" w:rsidRPr="00EA5BBC">
        <w:rPr>
          <w:rFonts w:ascii="Times New Roman" w:hAnsi="Times New Roman"/>
        </w:rPr>
        <w:t xml:space="preserve">. </w:t>
      </w:r>
      <w:r w:rsidR="009D525C" w:rsidRPr="00EA5BBC">
        <w:rPr>
          <w:rFonts w:ascii="Times New Roman" w:hAnsi="Times New Roman"/>
        </w:rPr>
        <w:t>The Minister</w:t>
      </w:r>
      <w:r w:rsidR="00FC4243" w:rsidRPr="00EA5BBC">
        <w:rPr>
          <w:rFonts w:ascii="Times New Roman" w:hAnsi="Times New Roman"/>
        </w:rPr>
        <w:t xml:space="preserve"> said that the </w:t>
      </w:r>
      <w:r w:rsidR="00DD3BFE" w:rsidRPr="00EA5BBC">
        <w:rPr>
          <w:rFonts w:ascii="Times New Roman" w:hAnsi="Times New Roman"/>
        </w:rPr>
        <w:t>N</w:t>
      </w:r>
      <w:r w:rsidR="00FC4243" w:rsidRPr="00EA5BBC">
        <w:rPr>
          <w:rFonts w:ascii="Times New Roman" w:hAnsi="Times New Roman"/>
        </w:rPr>
        <w:t xml:space="preserve">ational </w:t>
      </w:r>
      <w:r w:rsidR="00DD3BFE" w:rsidRPr="00EA5BBC">
        <w:rPr>
          <w:rFonts w:ascii="Times New Roman" w:hAnsi="Times New Roman"/>
        </w:rPr>
        <w:t>T</w:t>
      </w:r>
      <w:r w:rsidR="00FC4243" w:rsidRPr="00EA5BBC">
        <w:rPr>
          <w:rFonts w:ascii="Times New Roman" w:hAnsi="Times New Roman"/>
        </w:rPr>
        <w:t>reasury</w:t>
      </w:r>
      <w:r w:rsidR="00DD3BFE" w:rsidRPr="00EA5BBC">
        <w:rPr>
          <w:rFonts w:ascii="Times New Roman" w:hAnsi="Times New Roman"/>
        </w:rPr>
        <w:t xml:space="preserve"> has also noted with concern the increase in devi</w:t>
      </w:r>
      <w:r w:rsidR="00FC4243" w:rsidRPr="00EA5BBC">
        <w:rPr>
          <w:rFonts w:ascii="Times New Roman" w:hAnsi="Times New Roman"/>
        </w:rPr>
        <w:t>ations. It was</w:t>
      </w:r>
      <w:r w:rsidR="00736652" w:rsidRPr="00EA5BBC">
        <w:rPr>
          <w:rFonts w:ascii="Times New Roman" w:hAnsi="Times New Roman"/>
        </w:rPr>
        <w:t xml:space="preserve"> paying particular attention to strengthening oversight, tightening stipulations and addressing gaps in the process. </w:t>
      </w:r>
      <w:r w:rsidR="00683D42" w:rsidRPr="00EA5BBC">
        <w:rPr>
          <w:rFonts w:ascii="Times New Roman" w:hAnsi="Times New Roman"/>
        </w:rPr>
        <w:t xml:space="preserve">The </w:t>
      </w:r>
      <w:r w:rsidR="009D525C" w:rsidRPr="00EA5BBC">
        <w:rPr>
          <w:rFonts w:ascii="Times New Roman" w:hAnsi="Times New Roman"/>
        </w:rPr>
        <w:t xml:space="preserve"> Minister </w:t>
      </w:r>
      <w:r w:rsidR="00FC4243" w:rsidRPr="00EA5BBC">
        <w:rPr>
          <w:rFonts w:ascii="Times New Roman" w:hAnsi="Times New Roman"/>
        </w:rPr>
        <w:t>further highlighted that guidelines were</w:t>
      </w:r>
      <w:r w:rsidR="00736652" w:rsidRPr="00EA5BBC">
        <w:rPr>
          <w:rFonts w:ascii="Times New Roman" w:hAnsi="Times New Roman"/>
        </w:rPr>
        <w:t xml:space="preserve"> being developed for the management of deviations with a view to reduce the</w:t>
      </w:r>
      <w:r w:rsidR="00FC4243" w:rsidRPr="00EA5BBC">
        <w:rPr>
          <w:rFonts w:ascii="Times New Roman" w:hAnsi="Times New Roman"/>
        </w:rPr>
        <w:t>m</w:t>
      </w:r>
      <w:r w:rsidR="00736652" w:rsidRPr="00EA5BBC">
        <w:rPr>
          <w:rFonts w:ascii="Times New Roman" w:hAnsi="Times New Roman"/>
        </w:rPr>
        <w:t>.</w:t>
      </w:r>
    </w:p>
    <w:p w14:paraId="61826214" w14:textId="77777777" w:rsidR="00243629" w:rsidRPr="00EA5BBC" w:rsidRDefault="0003326D" w:rsidP="00EA5BBC">
      <w:pPr>
        <w:spacing w:line="360" w:lineRule="auto"/>
        <w:ind w:left="720" w:hanging="720"/>
        <w:jc w:val="both"/>
        <w:rPr>
          <w:rFonts w:ascii="Times New Roman" w:hAnsi="Times New Roman"/>
        </w:rPr>
      </w:pPr>
      <w:r w:rsidRPr="00EA5BBC">
        <w:rPr>
          <w:rFonts w:ascii="Times New Roman" w:hAnsi="Times New Roman"/>
        </w:rPr>
        <w:t xml:space="preserve">2.8 </w:t>
      </w:r>
      <w:r w:rsidRPr="00EA5BBC">
        <w:rPr>
          <w:rFonts w:ascii="Times New Roman" w:hAnsi="Times New Roman"/>
        </w:rPr>
        <w:tab/>
      </w:r>
      <w:r w:rsidR="00736652" w:rsidRPr="00EA5BBC">
        <w:rPr>
          <w:rFonts w:ascii="Times New Roman" w:hAnsi="Times New Roman"/>
        </w:rPr>
        <w:t xml:space="preserve">The Minister also </w:t>
      </w:r>
      <w:r w:rsidR="00FC4243" w:rsidRPr="00EA5BBC">
        <w:rPr>
          <w:rFonts w:ascii="Times New Roman" w:hAnsi="Times New Roman"/>
        </w:rPr>
        <w:t xml:space="preserve">made brief comments </w:t>
      </w:r>
      <w:r w:rsidR="00736652" w:rsidRPr="00EA5BBC">
        <w:rPr>
          <w:rFonts w:ascii="Times New Roman" w:hAnsi="Times New Roman"/>
        </w:rPr>
        <w:t>on the Integrated Financial Management Systems</w:t>
      </w:r>
      <w:r w:rsidR="00FC4243" w:rsidRPr="00EA5BBC">
        <w:rPr>
          <w:rFonts w:ascii="Times New Roman" w:hAnsi="Times New Roman"/>
        </w:rPr>
        <w:t xml:space="preserve"> (IFMS)</w:t>
      </w:r>
      <w:r w:rsidR="00736652" w:rsidRPr="00EA5BBC">
        <w:rPr>
          <w:rFonts w:ascii="Times New Roman" w:hAnsi="Times New Roman"/>
        </w:rPr>
        <w:t xml:space="preserve"> and </w:t>
      </w:r>
      <w:r w:rsidRPr="00EA5BBC">
        <w:rPr>
          <w:rFonts w:ascii="Times New Roman" w:hAnsi="Times New Roman"/>
        </w:rPr>
        <w:t>emphasis</w:t>
      </w:r>
      <w:r w:rsidR="00736652" w:rsidRPr="00EA5BBC">
        <w:rPr>
          <w:rFonts w:ascii="Times New Roman" w:hAnsi="Times New Roman"/>
        </w:rPr>
        <w:t xml:space="preserve">ed that </w:t>
      </w:r>
      <w:r w:rsidR="00FC4243" w:rsidRPr="00EA5BBC">
        <w:rPr>
          <w:rFonts w:ascii="Times New Roman" w:hAnsi="Times New Roman"/>
        </w:rPr>
        <w:t xml:space="preserve">it </w:t>
      </w:r>
      <w:r w:rsidR="00736652" w:rsidRPr="00EA5BBC">
        <w:rPr>
          <w:rFonts w:ascii="Times New Roman" w:hAnsi="Times New Roman"/>
        </w:rPr>
        <w:t>need</w:t>
      </w:r>
      <w:r w:rsidR="00FC4243" w:rsidRPr="00EA5BBC">
        <w:rPr>
          <w:rFonts w:ascii="Times New Roman" w:hAnsi="Times New Roman"/>
        </w:rPr>
        <w:t>ed</w:t>
      </w:r>
      <w:r w:rsidR="00736652" w:rsidRPr="00EA5BBC">
        <w:rPr>
          <w:rFonts w:ascii="Times New Roman" w:hAnsi="Times New Roman"/>
        </w:rPr>
        <w:t xml:space="preserve"> special attention. </w:t>
      </w:r>
      <w:r w:rsidR="00C913E7" w:rsidRPr="00EA5BBC">
        <w:rPr>
          <w:rFonts w:ascii="Times New Roman" w:hAnsi="Times New Roman"/>
        </w:rPr>
        <w:t xml:space="preserve">The Minster </w:t>
      </w:r>
      <w:r w:rsidR="00FC4243" w:rsidRPr="00EA5BBC">
        <w:rPr>
          <w:rFonts w:ascii="Times New Roman" w:hAnsi="Times New Roman"/>
        </w:rPr>
        <w:t xml:space="preserve">said that the </w:t>
      </w:r>
      <w:r w:rsidR="00736652" w:rsidRPr="00EA5BBC">
        <w:rPr>
          <w:rFonts w:ascii="Times New Roman" w:hAnsi="Times New Roman"/>
        </w:rPr>
        <w:t>N</w:t>
      </w:r>
      <w:r w:rsidR="00FC4243" w:rsidRPr="00EA5BBC">
        <w:rPr>
          <w:rFonts w:ascii="Times New Roman" w:hAnsi="Times New Roman"/>
        </w:rPr>
        <w:t xml:space="preserve">ational </w:t>
      </w:r>
      <w:r w:rsidR="00736652" w:rsidRPr="00EA5BBC">
        <w:rPr>
          <w:rFonts w:ascii="Times New Roman" w:hAnsi="Times New Roman"/>
        </w:rPr>
        <w:t>T</w:t>
      </w:r>
      <w:r w:rsidR="00FC4243" w:rsidRPr="00EA5BBC">
        <w:rPr>
          <w:rFonts w:ascii="Times New Roman" w:hAnsi="Times New Roman"/>
        </w:rPr>
        <w:t>reasury</w:t>
      </w:r>
      <w:r w:rsidR="00736652" w:rsidRPr="00EA5BBC">
        <w:rPr>
          <w:rFonts w:ascii="Times New Roman" w:hAnsi="Times New Roman"/>
        </w:rPr>
        <w:t xml:space="preserve"> has put in place </w:t>
      </w:r>
      <w:r w:rsidR="00FC4243" w:rsidRPr="00EA5BBC">
        <w:rPr>
          <w:rFonts w:ascii="Times New Roman" w:hAnsi="Times New Roman"/>
        </w:rPr>
        <w:t>measures</w:t>
      </w:r>
      <w:r w:rsidR="00DE4938" w:rsidRPr="00EA5BBC">
        <w:rPr>
          <w:rFonts w:ascii="Times New Roman" w:hAnsi="Times New Roman"/>
        </w:rPr>
        <w:t>, which include a steering committee</w:t>
      </w:r>
      <w:r w:rsidR="00736652" w:rsidRPr="00EA5BBC">
        <w:rPr>
          <w:rFonts w:ascii="Times New Roman" w:hAnsi="Times New Roman"/>
        </w:rPr>
        <w:t xml:space="preserve"> chaired by the D</w:t>
      </w:r>
      <w:r w:rsidR="00FC4243" w:rsidRPr="00EA5BBC">
        <w:rPr>
          <w:rFonts w:ascii="Times New Roman" w:hAnsi="Times New Roman"/>
        </w:rPr>
        <w:t xml:space="preserve">irector </w:t>
      </w:r>
      <w:r w:rsidR="00736652" w:rsidRPr="00EA5BBC">
        <w:rPr>
          <w:rFonts w:ascii="Times New Roman" w:hAnsi="Times New Roman"/>
        </w:rPr>
        <w:t>G</w:t>
      </w:r>
      <w:r w:rsidR="00FC4243" w:rsidRPr="00EA5BBC">
        <w:rPr>
          <w:rFonts w:ascii="Times New Roman" w:hAnsi="Times New Roman"/>
        </w:rPr>
        <w:t>eneral of National Treasury and</w:t>
      </w:r>
      <w:r w:rsidR="00736652" w:rsidRPr="00EA5BBC">
        <w:rPr>
          <w:rFonts w:ascii="Times New Roman" w:hAnsi="Times New Roman"/>
        </w:rPr>
        <w:t xml:space="preserve"> includ</w:t>
      </w:r>
      <w:r w:rsidR="00FC4243" w:rsidRPr="00EA5BBC">
        <w:rPr>
          <w:rFonts w:ascii="Times New Roman" w:hAnsi="Times New Roman"/>
        </w:rPr>
        <w:t>ed</w:t>
      </w:r>
      <w:r w:rsidR="00736652" w:rsidRPr="00EA5BBC">
        <w:rPr>
          <w:rFonts w:ascii="Times New Roman" w:hAnsi="Times New Roman"/>
        </w:rPr>
        <w:t xml:space="preserve"> </w:t>
      </w:r>
      <w:r w:rsidR="00DE4938" w:rsidRPr="00EA5BBC">
        <w:rPr>
          <w:rFonts w:ascii="Times New Roman" w:hAnsi="Times New Roman"/>
        </w:rPr>
        <w:t>D</w:t>
      </w:r>
      <w:r w:rsidR="00FC4243" w:rsidRPr="00EA5BBC">
        <w:rPr>
          <w:rFonts w:ascii="Times New Roman" w:hAnsi="Times New Roman"/>
        </w:rPr>
        <w:t xml:space="preserve">irectors </w:t>
      </w:r>
      <w:r w:rsidR="00DE4938" w:rsidRPr="00EA5BBC">
        <w:rPr>
          <w:rFonts w:ascii="Times New Roman" w:hAnsi="Times New Roman"/>
        </w:rPr>
        <w:t>G</w:t>
      </w:r>
      <w:r w:rsidR="00FC4243" w:rsidRPr="00EA5BBC">
        <w:rPr>
          <w:rFonts w:ascii="Times New Roman" w:hAnsi="Times New Roman"/>
        </w:rPr>
        <w:t xml:space="preserve">eneral of the </w:t>
      </w:r>
      <w:r w:rsidR="00DE4938" w:rsidRPr="00EA5BBC">
        <w:rPr>
          <w:rFonts w:ascii="Times New Roman" w:hAnsi="Times New Roman"/>
        </w:rPr>
        <w:t>D</w:t>
      </w:r>
      <w:r w:rsidR="00FC4243" w:rsidRPr="00EA5BBC">
        <w:rPr>
          <w:rFonts w:ascii="Times New Roman" w:hAnsi="Times New Roman"/>
        </w:rPr>
        <w:t xml:space="preserve">epartment of </w:t>
      </w:r>
      <w:r w:rsidR="00DE4938" w:rsidRPr="00EA5BBC">
        <w:rPr>
          <w:rFonts w:ascii="Times New Roman" w:hAnsi="Times New Roman"/>
        </w:rPr>
        <w:t>P</w:t>
      </w:r>
      <w:r w:rsidR="00FC4243" w:rsidRPr="00EA5BBC">
        <w:rPr>
          <w:rFonts w:ascii="Times New Roman" w:hAnsi="Times New Roman"/>
        </w:rPr>
        <w:t xml:space="preserve">ublic </w:t>
      </w:r>
      <w:r w:rsidR="00DE4938" w:rsidRPr="00EA5BBC">
        <w:rPr>
          <w:rFonts w:ascii="Times New Roman" w:hAnsi="Times New Roman"/>
        </w:rPr>
        <w:t>S</w:t>
      </w:r>
      <w:r w:rsidR="00FC4243" w:rsidRPr="00EA5BBC">
        <w:rPr>
          <w:rFonts w:ascii="Times New Roman" w:hAnsi="Times New Roman"/>
        </w:rPr>
        <w:t xml:space="preserve">ervice and </w:t>
      </w:r>
      <w:r w:rsidR="00DE4938" w:rsidRPr="00EA5BBC">
        <w:rPr>
          <w:rFonts w:ascii="Times New Roman" w:hAnsi="Times New Roman"/>
        </w:rPr>
        <w:t>A</w:t>
      </w:r>
      <w:r w:rsidR="00FC4243" w:rsidRPr="00EA5BBC">
        <w:rPr>
          <w:rFonts w:ascii="Times New Roman" w:hAnsi="Times New Roman"/>
        </w:rPr>
        <w:t>dministration</w:t>
      </w:r>
      <w:r w:rsidR="00DE4938" w:rsidRPr="00EA5BBC">
        <w:rPr>
          <w:rFonts w:ascii="Times New Roman" w:hAnsi="Times New Roman"/>
        </w:rPr>
        <w:t xml:space="preserve"> and </w:t>
      </w:r>
      <w:r w:rsidR="005C4D6F" w:rsidRPr="00EA5BBC">
        <w:rPr>
          <w:rFonts w:ascii="Times New Roman" w:hAnsi="Times New Roman"/>
        </w:rPr>
        <w:t xml:space="preserve">the </w:t>
      </w:r>
      <w:r w:rsidR="00DE4938" w:rsidRPr="00EA5BBC">
        <w:rPr>
          <w:rFonts w:ascii="Times New Roman" w:hAnsi="Times New Roman"/>
        </w:rPr>
        <w:t>S</w:t>
      </w:r>
      <w:r w:rsidR="005C4D6F" w:rsidRPr="00EA5BBC">
        <w:rPr>
          <w:rFonts w:ascii="Times New Roman" w:hAnsi="Times New Roman"/>
        </w:rPr>
        <w:t xml:space="preserve">tate </w:t>
      </w:r>
      <w:r w:rsidR="00DE4938" w:rsidRPr="00EA5BBC">
        <w:rPr>
          <w:rFonts w:ascii="Times New Roman" w:hAnsi="Times New Roman"/>
        </w:rPr>
        <w:t>I</w:t>
      </w:r>
      <w:r w:rsidR="005C4D6F" w:rsidRPr="00EA5BBC">
        <w:rPr>
          <w:rFonts w:ascii="Times New Roman" w:hAnsi="Times New Roman"/>
        </w:rPr>
        <w:t xml:space="preserve">nformation </w:t>
      </w:r>
      <w:r w:rsidR="00DE4938" w:rsidRPr="00EA5BBC">
        <w:rPr>
          <w:rFonts w:ascii="Times New Roman" w:hAnsi="Times New Roman"/>
        </w:rPr>
        <w:t>T</w:t>
      </w:r>
      <w:r w:rsidR="005C4D6F" w:rsidRPr="00EA5BBC">
        <w:rPr>
          <w:rFonts w:ascii="Times New Roman" w:hAnsi="Times New Roman"/>
        </w:rPr>
        <w:t xml:space="preserve">echnology </w:t>
      </w:r>
      <w:r w:rsidR="00DE4938" w:rsidRPr="00EA5BBC">
        <w:rPr>
          <w:rFonts w:ascii="Times New Roman" w:hAnsi="Times New Roman"/>
        </w:rPr>
        <w:t>A</w:t>
      </w:r>
      <w:r w:rsidR="005C4D6F" w:rsidRPr="00EA5BBC">
        <w:rPr>
          <w:rFonts w:ascii="Times New Roman" w:hAnsi="Times New Roman"/>
        </w:rPr>
        <w:t>gency</w:t>
      </w:r>
      <w:r w:rsidR="00DE4938" w:rsidRPr="00EA5BBC">
        <w:rPr>
          <w:rFonts w:ascii="Times New Roman" w:hAnsi="Times New Roman"/>
        </w:rPr>
        <w:t xml:space="preserve">. </w:t>
      </w:r>
      <w:r w:rsidR="00C913E7" w:rsidRPr="00EA5BBC">
        <w:rPr>
          <w:rFonts w:ascii="Times New Roman" w:hAnsi="Times New Roman"/>
        </w:rPr>
        <w:t xml:space="preserve">The Minister </w:t>
      </w:r>
      <w:r w:rsidR="005C4D6F" w:rsidRPr="00EA5BBC">
        <w:rPr>
          <w:rFonts w:ascii="Times New Roman" w:hAnsi="Times New Roman"/>
        </w:rPr>
        <w:t>said that a detailed implementation plan and been developed and a</w:t>
      </w:r>
      <w:r w:rsidR="00DE4938" w:rsidRPr="00EA5BBC">
        <w:rPr>
          <w:rFonts w:ascii="Times New Roman" w:hAnsi="Times New Roman"/>
        </w:rPr>
        <w:t xml:space="preserve">pproved. </w:t>
      </w:r>
      <w:r w:rsidR="006F00F9" w:rsidRPr="00EA5BBC">
        <w:rPr>
          <w:rFonts w:ascii="Times New Roman" w:hAnsi="Times New Roman"/>
        </w:rPr>
        <w:t xml:space="preserve">The Minister </w:t>
      </w:r>
      <w:r w:rsidR="005C4D6F" w:rsidRPr="00EA5BBC">
        <w:rPr>
          <w:rFonts w:ascii="Times New Roman" w:hAnsi="Times New Roman"/>
        </w:rPr>
        <w:t xml:space="preserve">explained that the set-up for the Oracle license had been </w:t>
      </w:r>
      <w:r w:rsidR="00DE4938" w:rsidRPr="00EA5BBC">
        <w:rPr>
          <w:rFonts w:ascii="Times New Roman" w:hAnsi="Times New Roman"/>
        </w:rPr>
        <w:t>completed</w:t>
      </w:r>
      <w:r w:rsidRPr="00EA5BBC">
        <w:rPr>
          <w:rFonts w:ascii="Times New Roman" w:hAnsi="Times New Roman"/>
        </w:rPr>
        <w:t>. The first pilot site</w:t>
      </w:r>
      <w:r w:rsidR="005C4D6F" w:rsidRPr="00EA5BBC">
        <w:rPr>
          <w:rFonts w:ascii="Times New Roman" w:hAnsi="Times New Roman"/>
        </w:rPr>
        <w:t>s</w:t>
      </w:r>
      <w:r w:rsidR="00DE4938" w:rsidRPr="00EA5BBC">
        <w:rPr>
          <w:rFonts w:ascii="Times New Roman" w:hAnsi="Times New Roman"/>
        </w:rPr>
        <w:t xml:space="preserve"> </w:t>
      </w:r>
      <w:r w:rsidR="005C4D6F" w:rsidRPr="00EA5BBC">
        <w:rPr>
          <w:rFonts w:ascii="Times New Roman" w:hAnsi="Times New Roman"/>
        </w:rPr>
        <w:t xml:space="preserve">will be </w:t>
      </w:r>
      <w:r w:rsidR="005C4D6F" w:rsidRPr="00EA5BBC">
        <w:rPr>
          <w:rFonts w:ascii="Times New Roman" w:hAnsi="Times New Roman"/>
        </w:rPr>
        <w:lastRenderedPageBreak/>
        <w:t xml:space="preserve">implemented by </w:t>
      </w:r>
      <w:r w:rsidR="00DE4938" w:rsidRPr="00EA5BBC">
        <w:rPr>
          <w:rFonts w:ascii="Times New Roman" w:hAnsi="Times New Roman"/>
        </w:rPr>
        <w:t>November 201</w:t>
      </w:r>
      <w:r w:rsidR="005C4D6F" w:rsidRPr="00EA5BBC">
        <w:rPr>
          <w:rFonts w:ascii="Times New Roman" w:hAnsi="Times New Roman"/>
        </w:rPr>
        <w:t>8 followed by a national roll-out</w:t>
      </w:r>
      <w:r w:rsidR="00DE4938" w:rsidRPr="00EA5BBC">
        <w:rPr>
          <w:rFonts w:ascii="Times New Roman" w:hAnsi="Times New Roman"/>
        </w:rPr>
        <w:t xml:space="preserve">. </w:t>
      </w:r>
      <w:r w:rsidR="005C4D6F" w:rsidRPr="00EA5BBC">
        <w:rPr>
          <w:rFonts w:ascii="Times New Roman" w:hAnsi="Times New Roman"/>
        </w:rPr>
        <w:t>The Minister further explained that a</w:t>
      </w:r>
      <w:r w:rsidR="00DE4938" w:rsidRPr="00EA5BBC">
        <w:rPr>
          <w:rFonts w:ascii="Times New Roman" w:hAnsi="Times New Roman"/>
        </w:rPr>
        <w:t>ll the challenges that ha</w:t>
      </w:r>
      <w:r w:rsidR="005C4D6F" w:rsidRPr="00EA5BBC">
        <w:rPr>
          <w:rFonts w:ascii="Times New Roman" w:hAnsi="Times New Roman"/>
        </w:rPr>
        <w:t>d</w:t>
      </w:r>
      <w:r w:rsidR="00DE4938" w:rsidRPr="00EA5BBC">
        <w:rPr>
          <w:rFonts w:ascii="Times New Roman" w:hAnsi="Times New Roman"/>
        </w:rPr>
        <w:t xml:space="preserve"> been noted in the audit findings</w:t>
      </w:r>
      <w:r w:rsidRPr="00EA5BBC">
        <w:rPr>
          <w:rFonts w:ascii="Times New Roman" w:hAnsi="Times New Roman"/>
        </w:rPr>
        <w:t xml:space="preserve"> have been addressed</w:t>
      </w:r>
      <w:r w:rsidR="00DE4938" w:rsidRPr="00EA5BBC">
        <w:rPr>
          <w:rFonts w:ascii="Times New Roman" w:hAnsi="Times New Roman"/>
        </w:rPr>
        <w:t xml:space="preserve"> and </w:t>
      </w:r>
      <w:r w:rsidR="005C4D6F" w:rsidRPr="00EA5BBC">
        <w:rPr>
          <w:rFonts w:ascii="Times New Roman" w:hAnsi="Times New Roman"/>
        </w:rPr>
        <w:t xml:space="preserve">he </w:t>
      </w:r>
      <w:r w:rsidR="00DE4938" w:rsidRPr="00EA5BBC">
        <w:rPr>
          <w:rFonts w:ascii="Times New Roman" w:hAnsi="Times New Roman"/>
        </w:rPr>
        <w:t>look</w:t>
      </w:r>
      <w:r w:rsidR="005C4D6F" w:rsidRPr="00EA5BBC">
        <w:rPr>
          <w:rFonts w:ascii="Times New Roman" w:hAnsi="Times New Roman"/>
        </w:rPr>
        <w:t>ed forward to the C</w:t>
      </w:r>
      <w:r w:rsidR="00DE4938" w:rsidRPr="00EA5BBC">
        <w:rPr>
          <w:rFonts w:ascii="Times New Roman" w:hAnsi="Times New Roman"/>
        </w:rPr>
        <w:t xml:space="preserve">ommittee holding </w:t>
      </w:r>
      <w:r w:rsidR="005C4D6F" w:rsidRPr="00EA5BBC">
        <w:rPr>
          <w:rFonts w:ascii="Times New Roman" w:hAnsi="Times New Roman"/>
        </w:rPr>
        <w:t xml:space="preserve">the </w:t>
      </w:r>
      <w:r w:rsidR="00DE4938" w:rsidRPr="00EA5BBC">
        <w:rPr>
          <w:rFonts w:ascii="Times New Roman" w:hAnsi="Times New Roman"/>
        </w:rPr>
        <w:t>N</w:t>
      </w:r>
      <w:r w:rsidR="005C4D6F" w:rsidRPr="00EA5BBC">
        <w:rPr>
          <w:rFonts w:ascii="Times New Roman" w:hAnsi="Times New Roman"/>
        </w:rPr>
        <w:t xml:space="preserve">ational </w:t>
      </w:r>
      <w:r w:rsidR="00DE4938" w:rsidRPr="00EA5BBC">
        <w:rPr>
          <w:rFonts w:ascii="Times New Roman" w:hAnsi="Times New Roman"/>
        </w:rPr>
        <w:t>T</w:t>
      </w:r>
      <w:r w:rsidR="005C4D6F" w:rsidRPr="00EA5BBC">
        <w:rPr>
          <w:rFonts w:ascii="Times New Roman" w:hAnsi="Times New Roman"/>
        </w:rPr>
        <w:t xml:space="preserve">reasury to </w:t>
      </w:r>
      <w:r w:rsidR="00DE4938" w:rsidRPr="00EA5BBC">
        <w:rPr>
          <w:rFonts w:ascii="Times New Roman" w:hAnsi="Times New Roman"/>
        </w:rPr>
        <w:t xml:space="preserve">account. </w:t>
      </w:r>
    </w:p>
    <w:p w14:paraId="61F99545" w14:textId="77777777" w:rsidR="00692DAA" w:rsidRPr="00EA5BBC" w:rsidRDefault="005C4D6F" w:rsidP="00EA5BBC">
      <w:pPr>
        <w:spacing w:line="360" w:lineRule="auto"/>
        <w:ind w:left="720" w:hanging="720"/>
        <w:jc w:val="both"/>
        <w:rPr>
          <w:rFonts w:ascii="Times New Roman" w:hAnsi="Times New Roman"/>
        </w:rPr>
      </w:pPr>
      <w:r w:rsidRPr="00EA5BBC">
        <w:rPr>
          <w:rFonts w:ascii="Times New Roman" w:hAnsi="Times New Roman"/>
        </w:rPr>
        <w:t>2.9</w:t>
      </w:r>
      <w:r w:rsidRPr="00EA5BBC">
        <w:rPr>
          <w:rFonts w:ascii="Times New Roman" w:hAnsi="Times New Roman"/>
        </w:rPr>
        <w:tab/>
      </w:r>
      <w:r w:rsidR="0024614F" w:rsidRPr="00EA5BBC">
        <w:rPr>
          <w:rFonts w:ascii="Times New Roman" w:hAnsi="Times New Roman"/>
        </w:rPr>
        <w:t>Adding to the Minister’s overview, the Director-General highlighted the role of National Treasury in terms of Chapter 13 of the Constitution and Chapter 2 of the PFMA.</w:t>
      </w:r>
      <w:r w:rsidR="009D525C" w:rsidRPr="00EA5BBC">
        <w:rPr>
          <w:rFonts w:ascii="Times New Roman" w:hAnsi="Times New Roman"/>
        </w:rPr>
        <w:t>The Director- General</w:t>
      </w:r>
      <w:r w:rsidR="0024614F" w:rsidRPr="00EA5BBC">
        <w:rPr>
          <w:rFonts w:ascii="Times New Roman" w:hAnsi="Times New Roman"/>
        </w:rPr>
        <w:t xml:space="preserve"> </w:t>
      </w:r>
      <w:r w:rsidR="00692DAA" w:rsidRPr="00EA5BBC">
        <w:rPr>
          <w:rFonts w:ascii="Times New Roman" w:hAnsi="Times New Roman"/>
        </w:rPr>
        <w:t xml:space="preserve">said that the Annual Performance Plan for 2018/19 focused on, among others; </w:t>
      </w:r>
      <w:r w:rsidR="0024614F" w:rsidRPr="00EA5BBC">
        <w:rPr>
          <w:rFonts w:ascii="Times New Roman" w:hAnsi="Times New Roman"/>
        </w:rPr>
        <w:t>coordinat</w:t>
      </w:r>
      <w:r w:rsidR="00692DAA" w:rsidRPr="00EA5BBC">
        <w:rPr>
          <w:rFonts w:ascii="Times New Roman" w:hAnsi="Times New Roman"/>
        </w:rPr>
        <w:t>ing</w:t>
      </w:r>
      <w:r w:rsidR="0024614F" w:rsidRPr="00EA5BBC">
        <w:rPr>
          <w:rFonts w:ascii="Times New Roman" w:hAnsi="Times New Roman"/>
        </w:rPr>
        <w:t xml:space="preserve"> inter-govern</w:t>
      </w:r>
      <w:r w:rsidR="00692DAA" w:rsidRPr="00EA5BBC">
        <w:rPr>
          <w:rFonts w:ascii="Times New Roman" w:hAnsi="Times New Roman"/>
        </w:rPr>
        <w:t>mental</w:t>
      </w:r>
      <w:r w:rsidR="0024614F" w:rsidRPr="00EA5BBC">
        <w:rPr>
          <w:rFonts w:ascii="Times New Roman" w:hAnsi="Times New Roman"/>
        </w:rPr>
        <w:t xml:space="preserve"> fiscal relations</w:t>
      </w:r>
      <w:r w:rsidR="00692DAA" w:rsidRPr="00EA5BBC">
        <w:rPr>
          <w:rFonts w:ascii="Times New Roman" w:hAnsi="Times New Roman"/>
        </w:rPr>
        <w:t xml:space="preserve"> and facilitating sound budgetary planning between the national, provincial and local spheres of government;</w:t>
      </w:r>
      <w:r w:rsidR="0024614F" w:rsidRPr="00EA5BBC">
        <w:rPr>
          <w:rFonts w:ascii="Times New Roman" w:hAnsi="Times New Roman"/>
        </w:rPr>
        <w:t xml:space="preserve"> enforc</w:t>
      </w:r>
      <w:r w:rsidR="00692DAA" w:rsidRPr="00EA5BBC">
        <w:rPr>
          <w:rFonts w:ascii="Times New Roman" w:hAnsi="Times New Roman"/>
        </w:rPr>
        <w:t>ing</w:t>
      </w:r>
      <w:r w:rsidR="0024614F" w:rsidRPr="00EA5BBC">
        <w:rPr>
          <w:rFonts w:ascii="Times New Roman" w:hAnsi="Times New Roman"/>
        </w:rPr>
        <w:t xml:space="preserve"> transparency and effective manage</w:t>
      </w:r>
      <w:r w:rsidR="00692DAA" w:rsidRPr="00EA5BBC">
        <w:rPr>
          <w:rFonts w:ascii="Times New Roman" w:hAnsi="Times New Roman"/>
        </w:rPr>
        <w:t>ment on revenue and expenditure,</w:t>
      </w:r>
      <w:r w:rsidR="0024614F" w:rsidRPr="00EA5BBC">
        <w:rPr>
          <w:rFonts w:ascii="Times New Roman" w:hAnsi="Times New Roman"/>
        </w:rPr>
        <w:t xml:space="preserve"> assets and liabilities, public entities and constitutional institutions</w:t>
      </w:r>
      <w:r w:rsidR="00692DAA" w:rsidRPr="00EA5BBC">
        <w:rPr>
          <w:rFonts w:ascii="Times New Roman" w:hAnsi="Times New Roman"/>
        </w:rPr>
        <w:t>;</w:t>
      </w:r>
      <w:r w:rsidR="0024614F" w:rsidRPr="00EA5BBC">
        <w:rPr>
          <w:rFonts w:ascii="Times New Roman" w:hAnsi="Times New Roman"/>
        </w:rPr>
        <w:t xml:space="preserve"> promot</w:t>
      </w:r>
      <w:r w:rsidR="008A08E0" w:rsidRPr="00EA5BBC">
        <w:rPr>
          <w:rFonts w:ascii="Times New Roman" w:hAnsi="Times New Roman"/>
        </w:rPr>
        <w:t>ing</w:t>
      </w:r>
      <w:r w:rsidR="0024614F" w:rsidRPr="00EA5BBC">
        <w:rPr>
          <w:rFonts w:ascii="Times New Roman" w:hAnsi="Times New Roman"/>
        </w:rPr>
        <w:t xml:space="preserve"> national government’s fiscal </w:t>
      </w:r>
      <w:r w:rsidR="00692DAA" w:rsidRPr="00EA5BBC">
        <w:rPr>
          <w:rFonts w:ascii="Times New Roman" w:hAnsi="Times New Roman"/>
        </w:rPr>
        <w:t>policy and macroeconomic policy;</w:t>
      </w:r>
      <w:r w:rsidR="0024614F" w:rsidRPr="00EA5BBC">
        <w:rPr>
          <w:rFonts w:ascii="Times New Roman" w:hAnsi="Times New Roman"/>
        </w:rPr>
        <w:t xml:space="preserve"> manag</w:t>
      </w:r>
      <w:r w:rsidR="00692DAA" w:rsidRPr="00EA5BBC">
        <w:rPr>
          <w:rFonts w:ascii="Times New Roman" w:hAnsi="Times New Roman"/>
        </w:rPr>
        <w:t xml:space="preserve">ing </w:t>
      </w:r>
      <w:r w:rsidR="0024614F" w:rsidRPr="00EA5BBC">
        <w:rPr>
          <w:rFonts w:ascii="Times New Roman" w:hAnsi="Times New Roman"/>
        </w:rPr>
        <w:t xml:space="preserve">the budget preparation </w:t>
      </w:r>
      <w:r w:rsidR="00692DAA" w:rsidRPr="00EA5BBC">
        <w:rPr>
          <w:rFonts w:ascii="Times New Roman" w:hAnsi="Times New Roman"/>
        </w:rPr>
        <w:t>process;</w:t>
      </w:r>
      <w:r w:rsidR="0024614F" w:rsidRPr="00EA5BBC">
        <w:rPr>
          <w:rFonts w:ascii="Times New Roman" w:hAnsi="Times New Roman"/>
        </w:rPr>
        <w:t xml:space="preserve"> ensur</w:t>
      </w:r>
      <w:r w:rsidR="00692DAA" w:rsidRPr="00EA5BBC">
        <w:rPr>
          <w:rFonts w:ascii="Times New Roman" w:hAnsi="Times New Roman"/>
        </w:rPr>
        <w:t>ing</w:t>
      </w:r>
      <w:r w:rsidR="0024614F" w:rsidRPr="00EA5BBC">
        <w:rPr>
          <w:rFonts w:ascii="Times New Roman" w:hAnsi="Times New Roman"/>
        </w:rPr>
        <w:t xml:space="preserve"> the stability and soundness of the financial system and financial services</w:t>
      </w:r>
      <w:r w:rsidR="00692DAA" w:rsidRPr="00EA5BBC">
        <w:rPr>
          <w:rFonts w:ascii="Times New Roman" w:hAnsi="Times New Roman"/>
        </w:rPr>
        <w:t xml:space="preserve">; monitoring the use of scarce public resources; developing the Twin Peaks regulations; conducting relevant economic research that informs economic policy; preparing and publishing the national budget </w:t>
      </w:r>
      <w:r w:rsidR="00B134D6" w:rsidRPr="00EA5BBC">
        <w:rPr>
          <w:rFonts w:ascii="Times New Roman" w:hAnsi="Times New Roman"/>
        </w:rPr>
        <w:t>that ensures alignment of resource allocation and priorities while maintaining the expenditure ceilings.</w:t>
      </w:r>
    </w:p>
    <w:p w14:paraId="3EE06982" w14:textId="77777777" w:rsidR="00B134D6" w:rsidRPr="00EA5BBC" w:rsidRDefault="00B134D6" w:rsidP="00EA5BBC">
      <w:pPr>
        <w:spacing w:line="360" w:lineRule="auto"/>
        <w:ind w:left="720" w:hanging="720"/>
        <w:jc w:val="both"/>
        <w:rPr>
          <w:rFonts w:ascii="Times New Roman" w:hAnsi="Times New Roman"/>
        </w:rPr>
      </w:pPr>
      <w:r w:rsidRPr="00EA5BBC">
        <w:rPr>
          <w:rFonts w:ascii="Times New Roman" w:hAnsi="Times New Roman"/>
        </w:rPr>
        <w:t>2.10</w:t>
      </w:r>
      <w:r w:rsidRPr="00EA5BBC">
        <w:rPr>
          <w:rFonts w:ascii="Times New Roman" w:hAnsi="Times New Roman"/>
        </w:rPr>
        <w:tab/>
      </w:r>
      <w:r w:rsidR="009D525C" w:rsidRPr="00EA5BBC">
        <w:rPr>
          <w:rFonts w:ascii="Times New Roman" w:hAnsi="Times New Roman"/>
        </w:rPr>
        <w:t>The Director- General</w:t>
      </w:r>
      <w:r w:rsidRPr="00EA5BBC">
        <w:rPr>
          <w:rFonts w:ascii="Times New Roman" w:hAnsi="Times New Roman"/>
        </w:rPr>
        <w:t xml:space="preserve"> said that the APP also focusses on tightening oversight over state-owned companies and enabling them to achieve better government policy objectives. In this regard, National Treasury was focused in optimally managing public debt and borrowing requirements and cash resources, building capacity to improve financial management, governance and compliance across all spheres and entities of government; modernizing and automating government supply chain processes; administering and optimizing the Jobs Fund to facilitate employment creation and the municipal finance improvement programme (MFIP) and the Cities Support Programme </w:t>
      </w:r>
    </w:p>
    <w:p w14:paraId="423C7A37" w14:textId="77777777" w:rsidR="005C4D6F" w:rsidRPr="00EA5BBC" w:rsidRDefault="00B134D6" w:rsidP="00EA5BBC">
      <w:pPr>
        <w:spacing w:line="360" w:lineRule="auto"/>
        <w:ind w:left="720" w:hanging="720"/>
        <w:jc w:val="both"/>
        <w:rPr>
          <w:rFonts w:ascii="Times New Roman" w:hAnsi="Times New Roman"/>
        </w:rPr>
      </w:pPr>
      <w:r w:rsidRPr="00EA5BBC">
        <w:rPr>
          <w:rFonts w:ascii="Times New Roman" w:hAnsi="Times New Roman"/>
        </w:rPr>
        <w:t>2.11</w:t>
      </w:r>
      <w:r w:rsidRPr="00EA5BBC">
        <w:rPr>
          <w:rFonts w:ascii="Times New Roman" w:hAnsi="Times New Roman"/>
        </w:rPr>
        <w:tab/>
      </w:r>
      <w:r w:rsidR="009D525C" w:rsidRPr="00EA5BBC">
        <w:rPr>
          <w:rFonts w:ascii="Times New Roman" w:hAnsi="Times New Roman"/>
        </w:rPr>
        <w:t>The Director- General</w:t>
      </w:r>
      <w:r w:rsidR="0024614F" w:rsidRPr="00EA5BBC">
        <w:rPr>
          <w:rFonts w:ascii="Times New Roman" w:hAnsi="Times New Roman"/>
        </w:rPr>
        <w:t xml:space="preserve">said that </w:t>
      </w:r>
      <w:r w:rsidRPr="00EA5BBC">
        <w:rPr>
          <w:rFonts w:ascii="Times New Roman" w:hAnsi="Times New Roman"/>
        </w:rPr>
        <w:t xml:space="preserve">the </w:t>
      </w:r>
      <w:r w:rsidR="0024614F" w:rsidRPr="00EA5BBC">
        <w:rPr>
          <w:rFonts w:ascii="Times New Roman" w:hAnsi="Times New Roman"/>
        </w:rPr>
        <w:t>N</w:t>
      </w:r>
      <w:r w:rsidRPr="00EA5BBC">
        <w:rPr>
          <w:rFonts w:ascii="Times New Roman" w:hAnsi="Times New Roman"/>
        </w:rPr>
        <w:t xml:space="preserve">ational </w:t>
      </w:r>
      <w:r w:rsidR="0024614F" w:rsidRPr="00EA5BBC">
        <w:rPr>
          <w:rFonts w:ascii="Times New Roman" w:hAnsi="Times New Roman"/>
        </w:rPr>
        <w:t>T</w:t>
      </w:r>
      <w:r w:rsidRPr="00EA5BBC">
        <w:rPr>
          <w:rFonts w:ascii="Times New Roman" w:hAnsi="Times New Roman"/>
        </w:rPr>
        <w:t xml:space="preserve">reasury </w:t>
      </w:r>
      <w:r w:rsidR="0024614F" w:rsidRPr="00EA5BBC">
        <w:rPr>
          <w:rFonts w:ascii="Times New Roman" w:hAnsi="Times New Roman"/>
        </w:rPr>
        <w:t xml:space="preserve">will </w:t>
      </w:r>
      <w:r w:rsidRPr="00EA5BBC">
        <w:rPr>
          <w:rFonts w:ascii="Times New Roman" w:hAnsi="Times New Roman"/>
        </w:rPr>
        <w:t xml:space="preserve">further </w:t>
      </w:r>
      <w:r w:rsidR="0024614F" w:rsidRPr="00EA5BBC">
        <w:rPr>
          <w:rFonts w:ascii="Times New Roman" w:hAnsi="Times New Roman"/>
        </w:rPr>
        <w:t xml:space="preserve">focus on developing of new policies and reviewing existing ones. In that regard, </w:t>
      </w:r>
      <w:r w:rsidRPr="00EA5BBC">
        <w:rPr>
          <w:rFonts w:ascii="Times New Roman" w:hAnsi="Times New Roman"/>
        </w:rPr>
        <w:t xml:space="preserve">the </w:t>
      </w:r>
      <w:r w:rsidR="0024614F" w:rsidRPr="00EA5BBC">
        <w:rPr>
          <w:rFonts w:ascii="Times New Roman" w:hAnsi="Times New Roman"/>
        </w:rPr>
        <w:t>N</w:t>
      </w:r>
      <w:r w:rsidRPr="00EA5BBC">
        <w:rPr>
          <w:rFonts w:ascii="Times New Roman" w:hAnsi="Times New Roman"/>
        </w:rPr>
        <w:t xml:space="preserve">ational </w:t>
      </w:r>
      <w:r w:rsidR="0024614F" w:rsidRPr="00EA5BBC">
        <w:rPr>
          <w:rFonts w:ascii="Times New Roman" w:hAnsi="Times New Roman"/>
        </w:rPr>
        <w:t>T</w:t>
      </w:r>
      <w:r w:rsidRPr="00EA5BBC">
        <w:rPr>
          <w:rFonts w:ascii="Times New Roman" w:hAnsi="Times New Roman"/>
        </w:rPr>
        <w:t>reasury</w:t>
      </w:r>
      <w:r w:rsidR="0024614F" w:rsidRPr="00EA5BBC">
        <w:rPr>
          <w:rFonts w:ascii="Times New Roman" w:hAnsi="Times New Roman"/>
        </w:rPr>
        <w:t xml:space="preserve"> intended to bring the following new legislation </w:t>
      </w:r>
      <w:r w:rsidRPr="00EA5BBC">
        <w:rPr>
          <w:rFonts w:ascii="Times New Roman" w:hAnsi="Times New Roman"/>
        </w:rPr>
        <w:t xml:space="preserve">to Parliament </w:t>
      </w:r>
      <w:r w:rsidR="0040217E" w:rsidRPr="00EA5BBC">
        <w:rPr>
          <w:rFonts w:ascii="Times New Roman" w:hAnsi="Times New Roman"/>
        </w:rPr>
        <w:t>for processing</w:t>
      </w:r>
      <w:r w:rsidR="0024614F" w:rsidRPr="00EA5BBC">
        <w:rPr>
          <w:rFonts w:ascii="Times New Roman" w:hAnsi="Times New Roman"/>
        </w:rPr>
        <w:t xml:space="preserve">; </w:t>
      </w:r>
      <w:r w:rsidR="0040217E" w:rsidRPr="00EA5BBC">
        <w:rPr>
          <w:rFonts w:ascii="Times New Roman" w:hAnsi="Times New Roman"/>
        </w:rPr>
        <w:t xml:space="preserve">the </w:t>
      </w:r>
      <w:r w:rsidR="0024614F" w:rsidRPr="00EA5BBC">
        <w:rPr>
          <w:rFonts w:ascii="Times New Roman" w:hAnsi="Times New Roman"/>
        </w:rPr>
        <w:t xml:space="preserve">Public Procurement Bill, </w:t>
      </w:r>
      <w:r w:rsidR="0040217E" w:rsidRPr="00EA5BBC">
        <w:rPr>
          <w:rFonts w:ascii="Times New Roman" w:hAnsi="Times New Roman"/>
        </w:rPr>
        <w:t xml:space="preserve">the </w:t>
      </w:r>
      <w:r w:rsidR="0024614F" w:rsidRPr="00EA5BBC">
        <w:rPr>
          <w:rFonts w:ascii="Times New Roman" w:hAnsi="Times New Roman"/>
        </w:rPr>
        <w:t xml:space="preserve">Financial Matters Laws Amendment Bill, </w:t>
      </w:r>
      <w:r w:rsidR="0040217E" w:rsidRPr="00EA5BBC">
        <w:rPr>
          <w:rFonts w:ascii="Times New Roman" w:hAnsi="Times New Roman"/>
        </w:rPr>
        <w:t xml:space="preserve">the </w:t>
      </w:r>
      <w:r w:rsidR="0024614F" w:rsidRPr="00EA5BBC">
        <w:rPr>
          <w:rFonts w:ascii="Times New Roman" w:hAnsi="Times New Roman"/>
        </w:rPr>
        <w:t xml:space="preserve">Financial Services Laws General Amendment Bill, </w:t>
      </w:r>
      <w:r w:rsidR="0040217E" w:rsidRPr="00EA5BBC">
        <w:rPr>
          <w:rFonts w:ascii="Times New Roman" w:hAnsi="Times New Roman"/>
        </w:rPr>
        <w:t xml:space="preserve">the </w:t>
      </w:r>
      <w:r w:rsidR="0024614F" w:rsidRPr="00EA5BBC">
        <w:rPr>
          <w:rFonts w:ascii="Times New Roman" w:hAnsi="Times New Roman"/>
        </w:rPr>
        <w:t xml:space="preserve">Municipal and Fiscal Powers and Functions Amendment Bill, </w:t>
      </w:r>
      <w:r w:rsidR="0040217E" w:rsidRPr="00EA5BBC">
        <w:rPr>
          <w:rFonts w:ascii="Times New Roman" w:hAnsi="Times New Roman"/>
        </w:rPr>
        <w:t xml:space="preserve">the </w:t>
      </w:r>
      <w:r w:rsidR="0024614F" w:rsidRPr="00EA5BBC">
        <w:rPr>
          <w:rFonts w:ascii="Times New Roman" w:hAnsi="Times New Roman"/>
        </w:rPr>
        <w:t xml:space="preserve">Conduct of Financial Institutions Bill, </w:t>
      </w:r>
      <w:r w:rsidR="0040217E" w:rsidRPr="00EA5BBC">
        <w:rPr>
          <w:rFonts w:ascii="Times New Roman" w:hAnsi="Times New Roman"/>
        </w:rPr>
        <w:t xml:space="preserve">the </w:t>
      </w:r>
      <w:r w:rsidR="0024614F" w:rsidRPr="00EA5BBC">
        <w:rPr>
          <w:rFonts w:ascii="Times New Roman" w:hAnsi="Times New Roman"/>
        </w:rPr>
        <w:t xml:space="preserve">National Payment System Amendment Bill, and other annually recurring laws on </w:t>
      </w:r>
      <w:r w:rsidR="0024614F" w:rsidRPr="00EA5BBC">
        <w:rPr>
          <w:rFonts w:ascii="Times New Roman" w:hAnsi="Times New Roman"/>
        </w:rPr>
        <w:lastRenderedPageBreak/>
        <w:t>appropriation, division of revenue, rates and monetary amount</w:t>
      </w:r>
      <w:r w:rsidR="0040217E" w:rsidRPr="00EA5BBC">
        <w:rPr>
          <w:rFonts w:ascii="Times New Roman" w:hAnsi="Times New Roman"/>
        </w:rPr>
        <w:t>s</w:t>
      </w:r>
      <w:r w:rsidR="0024614F" w:rsidRPr="00EA5BBC">
        <w:rPr>
          <w:rFonts w:ascii="Times New Roman" w:hAnsi="Times New Roman"/>
        </w:rPr>
        <w:t xml:space="preserve">, tax administration and taxation laws. </w:t>
      </w:r>
    </w:p>
    <w:p w14:paraId="25296F97" w14:textId="77777777" w:rsidR="002F7BA0" w:rsidRPr="00EA5BBC" w:rsidRDefault="002F7BA0" w:rsidP="00EA5BBC">
      <w:pPr>
        <w:spacing w:line="360" w:lineRule="auto"/>
        <w:ind w:left="720" w:hanging="720"/>
        <w:jc w:val="both"/>
        <w:rPr>
          <w:rFonts w:ascii="Times New Roman" w:hAnsi="Times New Roman"/>
        </w:rPr>
      </w:pPr>
    </w:p>
    <w:p w14:paraId="41AAC501" w14:textId="77777777" w:rsidR="0056672A" w:rsidRDefault="0056672A" w:rsidP="00EA5BBC">
      <w:pPr>
        <w:spacing w:line="360" w:lineRule="auto"/>
        <w:ind w:left="720" w:hanging="720"/>
        <w:jc w:val="both"/>
        <w:rPr>
          <w:rFonts w:ascii="Times New Roman" w:hAnsi="Times New Roman"/>
        </w:rPr>
      </w:pPr>
    </w:p>
    <w:p w14:paraId="4F548656" w14:textId="77777777" w:rsidR="00F51BA9" w:rsidRPr="00EA5BBC" w:rsidRDefault="00F51BA9" w:rsidP="00EA5BBC">
      <w:pPr>
        <w:spacing w:line="360" w:lineRule="auto"/>
        <w:ind w:left="720" w:hanging="720"/>
        <w:jc w:val="both"/>
        <w:rPr>
          <w:rFonts w:ascii="Times New Roman" w:hAnsi="Times New Roman"/>
        </w:rPr>
      </w:pPr>
    </w:p>
    <w:p w14:paraId="78B27C50" w14:textId="77777777" w:rsidR="006A4AAA" w:rsidRPr="00EA5BBC" w:rsidRDefault="006A4AAA" w:rsidP="00EA5BBC">
      <w:pPr>
        <w:pStyle w:val="ListParagraph"/>
        <w:numPr>
          <w:ilvl w:val="0"/>
          <w:numId w:val="1"/>
        </w:numPr>
        <w:spacing w:after="0"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OVERVIEW OF THE NATIONAL TREASURY BUDGET</w:t>
      </w:r>
      <w:r w:rsidR="0090547C" w:rsidRPr="00EA5BBC">
        <w:rPr>
          <w:rFonts w:ascii="Times New Roman" w:hAnsi="Times New Roman" w:cs="Times New Roman"/>
          <w:sz w:val="24"/>
          <w:szCs w:val="24"/>
        </w:rPr>
        <w:t xml:space="preserve"> </w:t>
      </w:r>
    </w:p>
    <w:p w14:paraId="7257F88E" w14:textId="77777777" w:rsidR="0090547C" w:rsidRPr="00EA5BBC" w:rsidRDefault="0090547C" w:rsidP="00EA5BBC">
      <w:pPr>
        <w:pStyle w:val="ListParagraph"/>
        <w:numPr>
          <w:ilvl w:val="1"/>
          <w:numId w:val="1"/>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A total of R29 billion was allocated to National Treasury. The allocation for transfers and subsidies’ decreases by R1.1 billion from R23.5 billion to R22.4 billion. The allocat</w:t>
      </w:r>
      <w:r w:rsidR="00646D4B" w:rsidRPr="00EA5BBC">
        <w:rPr>
          <w:rFonts w:ascii="Times New Roman" w:hAnsi="Times New Roman" w:cs="Times New Roman"/>
          <w:sz w:val="24"/>
          <w:szCs w:val="24"/>
        </w:rPr>
        <w:t>ion for capital assets increases</w:t>
      </w:r>
      <w:r w:rsidRPr="00EA5BBC">
        <w:rPr>
          <w:rFonts w:ascii="Times New Roman" w:hAnsi="Times New Roman" w:cs="Times New Roman"/>
          <w:sz w:val="24"/>
          <w:szCs w:val="24"/>
        </w:rPr>
        <w:t xml:space="preserve"> by R415 million from R2.1 billion in 2017/18 to R2.5 billion in 2018/19.</w:t>
      </w:r>
      <w:r w:rsidR="00ED27A9" w:rsidRPr="00EA5BBC">
        <w:rPr>
          <w:rFonts w:ascii="Times New Roman" w:hAnsi="Times New Roman" w:cs="Times New Roman"/>
          <w:sz w:val="24"/>
          <w:szCs w:val="24"/>
        </w:rPr>
        <w:t xml:space="preserve">  The table below summarises the budget for the National Treasury over the medium-term. </w:t>
      </w:r>
    </w:p>
    <w:p w14:paraId="33E74437" w14:textId="77777777" w:rsidR="00ED27A9" w:rsidRPr="00EA5BBC" w:rsidRDefault="00ED27A9" w:rsidP="00EA5BBC">
      <w:pPr>
        <w:pStyle w:val="ListParagraph"/>
        <w:spacing w:line="360" w:lineRule="auto"/>
        <w:ind w:left="360"/>
        <w:jc w:val="both"/>
        <w:rPr>
          <w:rFonts w:ascii="Times New Roman" w:hAnsi="Times New Roman" w:cs="Times New Roman"/>
          <w:sz w:val="24"/>
          <w:szCs w:val="24"/>
        </w:rPr>
      </w:pPr>
    </w:p>
    <w:p w14:paraId="4A30C9B9" w14:textId="77777777" w:rsidR="00ED27A9" w:rsidRPr="0056672A" w:rsidRDefault="00ED27A9" w:rsidP="00EA5BBC">
      <w:pPr>
        <w:spacing w:line="360" w:lineRule="auto"/>
        <w:rPr>
          <w:rFonts w:ascii="Arial Narrow" w:eastAsiaTheme="minorHAnsi" w:hAnsi="Arial Narrow" w:cs="Arial"/>
          <w:b/>
          <w:sz w:val="20"/>
          <w:szCs w:val="20"/>
          <w:lang w:val="en-ZA"/>
        </w:rPr>
      </w:pPr>
      <w:r w:rsidRPr="00EA5BBC">
        <w:rPr>
          <w:rFonts w:ascii="Times New Roman" w:hAnsi="Times New Roman"/>
          <w:b/>
        </w:rPr>
        <w:t xml:space="preserve">Table 1: </w:t>
      </w:r>
      <w:r w:rsidR="0029629B" w:rsidRPr="00EA5BBC">
        <w:rPr>
          <w:rFonts w:ascii="Times New Roman" w:hAnsi="Times New Roman"/>
          <w:b/>
        </w:rPr>
        <w:t xml:space="preserve">National Treasury </w:t>
      </w:r>
      <w:r w:rsidRPr="00EA5BBC">
        <w:rPr>
          <w:rFonts w:ascii="Times New Roman" w:hAnsi="Times New Roman"/>
          <w:b/>
        </w:rPr>
        <w:t>Budget Summary</w:t>
      </w:r>
      <w:r w:rsidR="0029629B" w:rsidRPr="00EA5BBC">
        <w:rPr>
          <w:rFonts w:ascii="Times New Roman" w:hAnsi="Times New Roman"/>
          <w:b/>
        </w:rPr>
        <w:t xml:space="preserve"> 2018/19 MTEF</w:t>
      </w:r>
    </w:p>
    <w:tbl>
      <w:tblPr>
        <w:tblW w:w="9056" w:type="dxa"/>
        <w:tblLook w:val="04A0" w:firstRow="1" w:lastRow="0" w:firstColumn="1" w:lastColumn="0" w:noHBand="0" w:noVBand="1"/>
      </w:tblPr>
      <w:tblGrid>
        <w:gridCol w:w="1705"/>
        <w:gridCol w:w="776"/>
        <w:gridCol w:w="906"/>
        <w:gridCol w:w="1122"/>
        <w:gridCol w:w="1260"/>
        <w:gridCol w:w="1350"/>
        <w:gridCol w:w="900"/>
        <w:gridCol w:w="1086"/>
      </w:tblGrid>
      <w:tr w:rsidR="009D525C" w:rsidRPr="0056672A" w14:paraId="56068B6D" w14:textId="77777777" w:rsidTr="009D525C">
        <w:trPr>
          <w:trHeight w:val="300"/>
        </w:trPr>
        <w:tc>
          <w:tcPr>
            <w:tcW w:w="1705" w:type="dxa"/>
            <w:tcBorders>
              <w:top w:val="single" w:sz="4" w:space="0" w:color="auto"/>
              <w:left w:val="single" w:sz="4" w:space="0" w:color="auto"/>
              <w:bottom w:val="single" w:sz="4" w:space="0" w:color="auto"/>
              <w:right w:val="single" w:sz="4" w:space="0" w:color="auto"/>
            </w:tcBorders>
            <w:vAlign w:val="bottom"/>
            <w:hideMark/>
          </w:tcPr>
          <w:p w14:paraId="4CB78C95"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 </w:t>
            </w:r>
          </w:p>
        </w:tc>
        <w:tc>
          <w:tcPr>
            <w:tcW w:w="4015" w:type="dxa"/>
            <w:gridSpan w:val="4"/>
            <w:tcBorders>
              <w:top w:val="single" w:sz="4" w:space="0" w:color="auto"/>
              <w:left w:val="single" w:sz="4" w:space="0" w:color="auto"/>
              <w:bottom w:val="single" w:sz="4" w:space="0" w:color="auto"/>
              <w:right w:val="single" w:sz="4" w:space="0" w:color="auto"/>
            </w:tcBorders>
            <w:noWrap/>
            <w:vAlign w:val="bottom"/>
            <w:hideMark/>
          </w:tcPr>
          <w:p w14:paraId="389909D2" w14:textId="77777777" w:rsidR="009D525C" w:rsidRPr="00EA5BBC" w:rsidRDefault="009D525C" w:rsidP="00CC6E34">
            <w:pPr>
              <w:spacing w:line="360" w:lineRule="auto"/>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                                                                                  2018/19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21A8106" w14:textId="77777777" w:rsidR="009D525C" w:rsidRPr="00EA5BBC" w:rsidRDefault="009D525C" w:rsidP="00CC6E34">
            <w:pPr>
              <w:spacing w:line="360" w:lineRule="auto"/>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14:paraId="2DD4A4D0"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 2019/20 </w:t>
            </w:r>
          </w:p>
        </w:tc>
        <w:tc>
          <w:tcPr>
            <w:tcW w:w="1086" w:type="dxa"/>
            <w:tcBorders>
              <w:top w:val="single" w:sz="4" w:space="0" w:color="auto"/>
              <w:left w:val="single" w:sz="4" w:space="0" w:color="auto"/>
              <w:bottom w:val="single" w:sz="4" w:space="0" w:color="auto"/>
              <w:right w:val="single" w:sz="4" w:space="0" w:color="auto"/>
            </w:tcBorders>
            <w:vAlign w:val="bottom"/>
            <w:hideMark/>
          </w:tcPr>
          <w:p w14:paraId="51C38D0A"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 2020/21 </w:t>
            </w:r>
          </w:p>
        </w:tc>
      </w:tr>
      <w:tr w:rsidR="009D525C" w:rsidRPr="0056672A" w14:paraId="02899D26" w14:textId="77777777" w:rsidTr="009D525C">
        <w:trPr>
          <w:trHeight w:val="575"/>
        </w:trPr>
        <w:tc>
          <w:tcPr>
            <w:tcW w:w="1705" w:type="dxa"/>
            <w:tcBorders>
              <w:top w:val="single" w:sz="4" w:space="0" w:color="auto"/>
              <w:left w:val="single" w:sz="4" w:space="0" w:color="auto"/>
              <w:bottom w:val="single" w:sz="4" w:space="0" w:color="auto"/>
              <w:right w:val="single" w:sz="4" w:space="0" w:color="auto"/>
            </w:tcBorders>
            <w:noWrap/>
            <w:vAlign w:val="bottom"/>
            <w:hideMark/>
          </w:tcPr>
          <w:p w14:paraId="541FC9C9"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R million</w:t>
            </w:r>
          </w:p>
        </w:tc>
        <w:tc>
          <w:tcPr>
            <w:tcW w:w="727" w:type="dxa"/>
            <w:tcBorders>
              <w:top w:val="single" w:sz="4" w:space="0" w:color="auto"/>
              <w:left w:val="single" w:sz="4" w:space="0" w:color="auto"/>
              <w:bottom w:val="single" w:sz="4" w:space="0" w:color="auto"/>
              <w:right w:val="single" w:sz="4" w:space="0" w:color="auto"/>
            </w:tcBorders>
            <w:vAlign w:val="bottom"/>
            <w:hideMark/>
          </w:tcPr>
          <w:p w14:paraId="628D0127"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 Total  </w:t>
            </w:r>
          </w:p>
        </w:tc>
        <w:tc>
          <w:tcPr>
            <w:tcW w:w="906" w:type="dxa"/>
            <w:tcBorders>
              <w:top w:val="single" w:sz="4" w:space="0" w:color="auto"/>
              <w:left w:val="single" w:sz="4" w:space="0" w:color="auto"/>
              <w:bottom w:val="single" w:sz="4" w:space="0" w:color="auto"/>
              <w:right w:val="single" w:sz="4" w:space="0" w:color="auto"/>
            </w:tcBorders>
            <w:vAlign w:val="bottom"/>
            <w:hideMark/>
          </w:tcPr>
          <w:p w14:paraId="56722CE7" w14:textId="77777777" w:rsidR="009D525C" w:rsidRPr="00EA5BBC" w:rsidRDefault="009D525C" w:rsidP="00CC6E34">
            <w:pPr>
              <w:spacing w:line="360" w:lineRule="auto"/>
              <w:jc w:val="center"/>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Current   </w:t>
            </w:r>
            <w:r w:rsidRPr="00EA5BBC">
              <w:rPr>
                <w:rFonts w:ascii="Times New Roman" w:eastAsia="Times New Roman" w:hAnsi="Times New Roman"/>
                <w:b/>
                <w:bCs/>
                <w:sz w:val="16"/>
                <w:szCs w:val="16"/>
              </w:rPr>
              <w:br/>
              <w:t>payments</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5317DCB" w14:textId="77777777" w:rsidR="009D525C" w:rsidRPr="00EA5BBC" w:rsidRDefault="009D525C" w:rsidP="00CC6E34">
            <w:pPr>
              <w:spacing w:line="360" w:lineRule="auto"/>
              <w:jc w:val="center"/>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Transfers and </w:t>
            </w:r>
            <w:r w:rsidRPr="00EA5BBC">
              <w:rPr>
                <w:rFonts w:ascii="Times New Roman" w:eastAsia="Times New Roman" w:hAnsi="Times New Roman"/>
                <w:b/>
                <w:bCs/>
                <w:sz w:val="16"/>
                <w:szCs w:val="16"/>
              </w:rPr>
              <w:br/>
              <w:t>subsidies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6B3D9D3" w14:textId="77777777" w:rsidR="009D525C" w:rsidRPr="00EA5BBC" w:rsidRDefault="009D525C" w:rsidP="00CC6E34">
            <w:pPr>
              <w:spacing w:line="360" w:lineRule="auto"/>
              <w:jc w:val="center"/>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Payments for </w:t>
            </w:r>
            <w:r w:rsidRPr="00EA5BBC">
              <w:rPr>
                <w:rFonts w:ascii="Times New Roman" w:eastAsia="Times New Roman" w:hAnsi="Times New Roman"/>
                <w:b/>
                <w:bCs/>
                <w:sz w:val="16"/>
                <w:szCs w:val="16"/>
              </w:rPr>
              <w:br/>
              <w:t>capital assets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CB8178B" w14:textId="77777777" w:rsidR="009D525C" w:rsidRPr="00EA5BBC" w:rsidRDefault="009D525C" w:rsidP="00CC6E34">
            <w:pPr>
              <w:spacing w:line="360" w:lineRule="auto"/>
              <w:jc w:val="center"/>
              <w:rPr>
                <w:rFonts w:ascii="Times New Roman" w:eastAsia="Times New Roman" w:hAnsi="Times New Roman"/>
                <w:b/>
                <w:bCs/>
                <w:sz w:val="16"/>
                <w:szCs w:val="16"/>
              </w:rPr>
            </w:pPr>
            <w:r w:rsidRPr="00EA5BBC">
              <w:rPr>
                <w:rFonts w:ascii="Times New Roman" w:eastAsia="Times New Roman" w:hAnsi="Times New Roman"/>
                <w:b/>
                <w:bCs/>
                <w:sz w:val="16"/>
                <w:szCs w:val="16"/>
              </w:rPr>
              <w:t xml:space="preserve">Payments for </w:t>
            </w:r>
            <w:r w:rsidRPr="00EA5BBC">
              <w:rPr>
                <w:rFonts w:ascii="Times New Roman" w:eastAsia="Times New Roman" w:hAnsi="Times New Roman"/>
                <w:b/>
                <w:bCs/>
                <w:sz w:val="16"/>
                <w:szCs w:val="16"/>
              </w:rPr>
              <w:br/>
              <w:t>financial assets</w:t>
            </w:r>
          </w:p>
        </w:tc>
        <w:tc>
          <w:tcPr>
            <w:tcW w:w="900" w:type="dxa"/>
            <w:tcBorders>
              <w:top w:val="single" w:sz="4" w:space="0" w:color="auto"/>
              <w:left w:val="single" w:sz="4" w:space="0" w:color="auto"/>
              <w:bottom w:val="single" w:sz="4" w:space="0" w:color="auto"/>
              <w:right w:val="single" w:sz="4" w:space="0" w:color="auto"/>
            </w:tcBorders>
            <w:vAlign w:val="bottom"/>
            <w:hideMark/>
          </w:tcPr>
          <w:p w14:paraId="7D6C098E" w14:textId="77777777" w:rsidR="009D525C" w:rsidRPr="00EA5BBC" w:rsidRDefault="009D525C" w:rsidP="00CC6E34">
            <w:pPr>
              <w:spacing w:line="360" w:lineRule="auto"/>
              <w:jc w:val="center"/>
              <w:rPr>
                <w:rFonts w:ascii="Times New Roman" w:eastAsia="Times New Roman" w:hAnsi="Times New Roman"/>
                <w:b/>
                <w:bCs/>
                <w:sz w:val="16"/>
                <w:szCs w:val="16"/>
              </w:rPr>
            </w:pPr>
            <w:r w:rsidRPr="00EA5BBC">
              <w:rPr>
                <w:rFonts w:ascii="Times New Roman" w:eastAsia="Times New Roman" w:hAnsi="Times New Roman"/>
                <w:b/>
                <w:bCs/>
                <w:sz w:val="16"/>
                <w:szCs w:val="16"/>
              </w:rPr>
              <w:t>Total</w:t>
            </w:r>
          </w:p>
        </w:tc>
        <w:tc>
          <w:tcPr>
            <w:tcW w:w="1086" w:type="dxa"/>
            <w:tcBorders>
              <w:top w:val="single" w:sz="4" w:space="0" w:color="auto"/>
              <w:left w:val="single" w:sz="4" w:space="0" w:color="auto"/>
              <w:bottom w:val="single" w:sz="4" w:space="0" w:color="auto"/>
              <w:right w:val="single" w:sz="4" w:space="0" w:color="auto"/>
            </w:tcBorders>
            <w:vAlign w:val="bottom"/>
            <w:hideMark/>
          </w:tcPr>
          <w:p w14:paraId="34B79987" w14:textId="77777777" w:rsidR="009D525C" w:rsidRPr="00EA5BBC" w:rsidRDefault="009D525C" w:rsidP="00CC6E34">
            <w:pPr>
              <w:spacing w:line="360" w:lineRule="auto"/>
              <w:jc w:val="center"/>
              <w:rPr>
                <w:rFonts w:ascii="Times New Roman" w:eastAsia="Times New Roman" w:hAnsi="Times New Roman"/>
                <w:b/>
                <w:bCs/>
                <w:sz w:val="16"/>
                <w:szCs w:val="16"/>
              </w:rPr>
            </w:pPr>
            <w:r w:rsidRPr="00EA5BBC">
              <w:rPr>
                <w:rFonts w:ascii="Times New Roman" w:eastAsia="Times New Roman" w:hAnsi="Times New Roman"/>
                <w:b/>
                <w:bCs/>
                <w:sz w:val="16"/>
                <w:szCs w:val="16"/>
              </w:rPr>
              <w:t>Total</w:t>
            </w:r>
          </w:p>
        </w:tc>
      </w:tr>
      <w:tr w:rsidR="009D525C" w:rsidRPr="0056672A" w14:paraId="7A571E9F" w14:textId="77777777" w:rsidTr="009D525C">
        <w:trPr>
          <w:trHeight w:val="300"/>
        </w:trPr>
        <w:tc>
          <w:tcPr>
            <w:tcW w:w="1705" w:type="dxa"/>
            <w:tcBorders>
              <w:top w:val="single" w:sz="4" w:space="0" w:color="auto"/>
              <w:left w:val="single" w:sz="4" w:space="0" w:color="auto"/>
              <w:bottom w:val="single" w:sz="4" w:space="0" w:color="auto"/>
              <w:right w:val="single" w:sz="4" w:space="0" w:color="auto"/>
            </w:tcBorders>
            <w:vAlign w:val="bottom"/>
            <w:hideMark/>
          </w:tcPr>
          <w:p w14:paraId="745E6AC2" w14:textId="77777777" w:rsidR="009D525C" w:rsidRPr="00EA5BBC" w:rsidRDefault="009D525C" w:rsidP="00CC6E34">
            <w:pPr>
              <w:spacing w:line="360" w:lineRule="auto"/>
              <w:rPr>
                <w:rFonts w:ascii="Times New Roman" w:eastAsia="Times New Roman" w:hAnsi="Times New Roman"/>
                <w:b/>
                <w:bCs/>
                <w:sz w:val="16"/>
                <w:szCs w:val="16"/>
              </w:rPr>
            </w:pPr>
            <w:r w:rsidRPr="00EA5BBC">
              <w:rPr>
                <w:rFonts w:ascii="Times New Roman" w:eastAsia="Times New Roman" w:hAnsi="Times New Roman"/>
                <w:b/>
                <w:bCs/>
                <w:sz w:val="16"/>
                <w:szCs w:val="16"/>
              </w:rPr>
              <w:t>MTEF allocation</w:t>
            </w:r>
          </w:p>
        </w:tc>
        <w:tc>
          <w:tcPr>
            <w:tcW w:w="727" w:type="dxa"/>
            <w:tcBorders>
              <w:top w:val="single" w:sz="4" w:space="0" w:color="auto"/>
              <w:left w:val="single" w:sz="4" w:space="0" w:color="auto"/>
              <w:bottom w:val="single" w:sz="4" w:space="0" w:color="auto"/>
              <w:right w:val="single" w:sz="4" w:space="0" w:color="auto"/>
            </w:tcBorders>
            <w:noWrap/>
            <w:vAlign w:val="bottom"/>
            <w:hideMark/>
          </w:tcPr>
          <w:p w14:paraId="653277E8"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5C2EF18C"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c>
          <w:tcPr>
            <w:tcW w:w="1122" w:type="dxa"/>
            <w:tcBorders>
              <w:top w:val="single" w:sz="4" w:space="0" w:color="auto"/>
              <w:left w:val="single" w:sz="4" w:space="0" w:color="auto"/>
              <w:bottom w:val="single" w:sz="4" w:space="0" w:color="auto"/>
              <w:right w:val="single" w:sz="4" w:space="0" w:color="auto"/>
            </w:tcBorders>
            <w:noWrap/>
            <w:vAlign w:val="bottom"/>
            <w:hideMark/>
          </w:tcPr>
          <w:p w14:paraId="0FF561C7"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3B4C192"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872D34E"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214C4C"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14:paraId="4078EE34"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 </w:t>
            </w:r>
          </w:p>
        </w:tc>
      </w:tr>
      <w:tr w:rsidR="009D525C" w:rsidRPr="0056672A" w14:paraId="54F45CFC" w14:textId="77777777" w:rsidTr="009D525C">
        <w:trPr>
          <w:trHeight w:val="300"/>
        </w:trPr>
        <w:tc>
          <w:tcPr>
            <w:tcW w:w="1705" w:type="dxa"/>
            <w:tcBorders>
              <w:top w:val="single" w:sz="4" w:space="0" w:color="auto"/>
              <w:left w:val="single" w:sz="4" w:space="0" w:color="auto"/>
              <w:bottom w:val="single" w:sz="4" w:space="0" w:color="auto"/>
              <w:right w:val="single" w:sz="4" w:space="0" w:color="auto"/>
            </w:tcBorders>
            <w:hideMark/>
          </w:tcPr>
          <w:p w14:paraId="7B3EC2E1"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Administration</w:t>
            </w:r>
          </w:p>
        </w:tc>
        <w:tc>
          <w:tcPr>
            <w:tcW w:w="727" w:type="dxa"/>
            <w:tcBorders>
              <w:top w:val="single" w:sz="4" w:space="0" w:color="auto"/>
              <w:left w:val="single" w:sz="4" w:space="0" w:color="auto"/>
              <w:bottom w:val="single" w:sz="4" w:space="0" w:color="auto"/>
              <w:right w:val="single" w:sz="4" w:space="0" w:color="auto"/>
            </w:tcBorders>
            <w:noWrap/>
            <w:hideMark/>
          </w:tcPr>
          <w:p w14:paraId="31C71B2A"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484.7</w:t>
            </w:r>
          </w:p>
        </w:tc>
        <w:tc>
          <w:tcPr>
            <w:tcW w:w="906" w:type="dxa"/>
            <w:tcBorders>
              <w:top w:val="single" w:sz="4" w:space="0" w:color="auto"/>
              <w:left w:val="single" w:sz="4" w:space="0" w:color="auto"/>
              <w:bottom w:val="single" w:sz="4" w:space="0" w:color="auto"/>
              <w:right w:val="single" w:sz="4" w:space="0" w:color="auto"/>
            </w:tcBorders>
            <w:noWrap/>
            <w:hideMark/>
          </w:tcPr>
          <w:p w14:paraId="3E69E39D"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445.5</w:t>
            </w:r>
          </w:p>
        </w:tc>
        <w:tc>
          <w:tcPr>
            <w:tcW w:w="1122" w:type="dxa"/>
            <w:tcBorders>
              <w:top w:val="single" w:sz="4" w:space="0" w:color="auto"/>
              <w:left w:val="single" w:sz="4" w:space="0" w:color="auto"/>
              <w:bottom w:val="single" w:sz="4" w:space="0" w:color="auto"/>
              <w:right w:val="single" w:sz="4" w:space="0" w:color="auto"/>
            </w:tcBorders>
            <w:noWrap/>
            <w:hideMark/>
          </w:tcPr>
          <w:p w14:paraId="7F4DD134"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3.9</w:t>
            </w:r>
          </w:p>
        </w:tc>
        <w:tc>
          <w:tcPr>
            <w:tcW w:w="1260" w:type="dxa"/>
            <w:tcBorders>
              <w:top w:val="single" w:sz="4" w:space="0" w:color="auto"/>
              <w:left w:val="single" w:sz="4" w:space="0" w:color="auto"/>
              <w:bottom w:val="single" w:sz="4" w:space="0" w:color="auto"/>
              <w:right w:val="single" w:sz="4" w:space="0" w:color="auto"/>
            </w:tcBorders>
            <w:noWrap/>
            <w:hideMark/>
          </w:tcPr>
          <w:p w14:paraId="675FA98E"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35.3</w:t>
            </w:r>
          </w:p>
        </w:tc>
        <w:tc>
          <w:tcPr>
            <w:tcW w:w="1350" w:type="dxa"/>
            <w:tcBorders>
              <w:top w:val="single" w:sz="4" w:space="0" w:color="auto"/>
              <w:left w:val="single" w:sz="4" w:space="0" w:color="auto"/>
              <w:bottom w:val="single" w:sz="4" w:space="0" w:color="auto"/>
              <w:right w:val="single" w:sz="4" w:space="0" w:color="auto"/>
            </w:tcBorders>
            <w:noWrap/>
            <w:hideMark/>
          </w:tcPr>
          <w:p w14:paraId="5BF89B8E"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6B7470CC"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555.8</w:t>
            </w:r>
          </w:p>
        </w:tc>
        <w:tc>
          <w:tcPr>
            <w:tcW w:w="1086" w:type="dxa"/>
            <w:tcBorders>
              <w:top w:val="single" w:sz="4" w:space="0" w:color="auto"/>
              <w:left w:val="single" w:sz="4" w:space="0" w:color="auto"/>
              <w:bottom w:val="single" w:sz="4" w:space="0" w:color="auto"/>
              <w:right w:val="single" w:sz="4" w:space="0" w:color="auto"/>
            </w:tcBorders>
            <w:noWrap/>
            <w:hideMark/>
          </w:tcPr>
          <w:p w14:paraId="6D18369F"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590.7</w:t>
            </w:r>
          </w:p>
        </w:tc>
      </w:tr>
      <w:tr w:rsidR="009D525C" w:rsidRPr="0056672A" w14:paraId="0E43332C" w14:textId="77777777" w:rsidTr="009D525C">
        <w:trPr>
          <w:trHeight w:val="540"/>
        </w:trPr>
        <w:tc>
          <w:tcPr>
            <w:tcW w:w="1705" w:type="dxa"/>
            <w:tcBorders>
              <w:top w:val="single" w:sz="4" w:space="0" w:color="auto"/>
              <w:left w:val="single" w:sz="4" w:space="0" w:color="auto"/>
              <w:bottom w:val="single" w:sz="4" w:space="0" w:color="auto"/>
              <w:right w:val="single" w:sz="4" w:space="0" w:color="auto"/>
            </w:tcBorders>
            <w:hideMark/>
          </w:tcPr>
          <w:p w14:paraId="3DA006B0"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Economic Policy, Tax, Financial Regulation and Research</w:t>
            </w:r>
          </w:p>
        </w:tc>
        <w:tc>
          <w:tcPr>
            <w:tcW w:w="727" w:type="dxa"/>
            <w:tcBorders>
              <w:top w:val="single" w:sz="4" w:space="0" w:color="auto"/>
              <w:left w:val="single" w:sz="4" w:space="0" w:color="auto"/>
              <w:bottom w:val="single" w:sz="4" w:space="0" w:color="auto"/>
              <w:right w:val="single" w:sz="4" w:space="0" w:color="auto"/>
            </w:tcBorders>
            <w:noWrap/>
            <w:hideMark/>
          </w:tcPr>
          <w:p w14:paraId="3F2D714B"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141.0</w:t>
            </w:r>
          </w:p>
        </w:tc>
        <w:tc>
          <w:tcPr>
            <w:tcW w:w="906" w:type="dxa"/>
            <w:tcBorders>
              <w:top w:val="single" w:sz="4" w:space="0" w:color="auto"/>
              <w:left w:val="single" w:sz="4" w:space="0" w:color="auto"/>
              <w:bottom w:val="single" w:sz="4" w:space="0" w:color="auto"/>
              <w:right w:val="single" w:sz="4" w:space="0" w:color="auto"/>
            </w:tcBorders>
            <w:noWrap/>
            <w:hideMark/>
          </w:tcPr>
          <w:p w14:paraId="4D601E8A"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106.9</w:t>
            </w:r>
          </w:p>
        </w:tc>
        <w:tc>
          <w:tcPr>
            <w:tcW w:w="1122" w:type="dxa"/>
            <w:tcBorders>
              <w:top w:val="single" w:sz="4" w:space="0" w:color="auto"/>
              <w:left w:val="single" w:sz="4" w:space="0" w:color="auto"/>
              <w:bottom w:val="single" w:sz="4" w:space="0" w:color="auto"/>
              <w:right w:val="single" w:sz="4" w:space="0" w:color="auto"/>
            </w:tcBorders>
            <w:noWrap/>
            <w:hideMark/>
          </w:tcPr>
          <w:p w14:paraId="7B807B3B"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33.2</w:t>
            </w:r>
          </w:p>
        </w:tc>
        <w:tc>
          <w:tcPr>
            <w:tcW w:w="1260" w:type="dxa"/>
            <w:tcBorders>
              <w:top w:val="single" w:sz="4" w:space="0" w:color="auto"/>
              <w:left w:val="single" w:sz="4" w:space="0" w:color="auto"/>
              <w:bottom w:val="single" w:sz="4" w:space="0" w:color="auto"/>
              <w:right w:val="single" w:sz="4" w:space="0" w:color="auto"/>
            </w:tcBorders>
            <w:noWrap/>
            <w:hideMark/>
          </w:tcPr>
          <w:p w14:paraId="0B04843E"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0.9</w:t>
            </w:r>
          </w:p>
        </w:tc>
        <w:tc>
          <w:tcPr>
            <w:tcW w:w="1350" w:type="dxa"/>
            <w:tcBorders>
              <w:top w:val="single" w:sz="4" w:space="0" w:color="auto"/>
              <w:left w:val="single" w:sz="4" w:space="0" w:color="auto"/>
              <w:bottom w:val="single" w:sz="4" w:space="0" w:color="auto"/>
              <w:right w:val="single" w:sz="4" w:space="0" w:color="auto"/>
            </w:tcBorders>
            <w:noWrap/>
            <w:hideMark/>
          </w:tcPr>
          <w:p w14:paraId="4751F11A"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2D9B3D3A"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148.0</w:t>
            </w:r>
          </w:p>
        </w:tc>
        <w:tc>
          <w:tcPr>
            <w:tcW w:w="1086" w:type="dxa"/>
            <w:tcBorders>
              <w:top w:val="single" w:sz="4" w:space="0" w:color="auto"/>
              <w:left w:val="single" w:sz="4" w:space="0" w:color="auto"/>
              <w:bottom w:val="single" w:sz="4" w:space="0" w:color="auto"/>
              <w:right w:val="single" w:sz="4" w:space="0" w:color="auto"/>
            </w:tcBorders>
            <w:noWrap/>
            <w:hideMark/>
          </w:tcPr>
          <w:p w14:paraId="3788983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158.1</w:t>
            </w:r>
          </w:p>
        </w:tc>
      </w:tr>
      <w:tr w:rsidR="009D525C" w:rsidRPr="0056672A" w14:paraId="22E8EC56" w14:textId="77777777" w:rsidTr="009D525C">
        <w:trPr>
          <w:trHeight w:val="360"/>
        </w:trPr>
        <w:tc>
          <w:tcPr>
            <w:tcW w:w="1705" w:type="dxa"/>
            <w:tcBorders>
              <w:top w:val="single" w:sz="4" w:space="0" w:color="auto"/>
              <w:left w:val="single" w:sz="4" w:space="0" w:color="auto"/>
              <w:bottom w:val="single" w:sz="4" w:space="0" w:color="auto"/>
              <w:right w:val="single" w:sz="4" w:space="0" w:color="auto"/>
            </w:tcBorders>
            <w:hideMark/>
          </w:tcPr>
          <w:p w14:paraId="430EC845"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Public Finance and Budget Management</w:t>
            </w:r>
          </w:p>
        </w:tc>
        <w:tc>
          <w:tcPr>
            <w:tcW w:w="727" w:type="dxa"/>
            <w:tcBorders>
              <w:top w:val="single" w:sz="4" w:space="0" w:color="auto"/>
              <w:left w:val="single" w:sz="4" w:space="0" w:color="auto"/>
              <w:bottom w:val="single" w:sz="4" w:space="0" w:color="auto"/>
              <w:right w:val="single" w:sz="4" w:space="0" w:color="auto"/>
            </w:tcBorders>
            <w:noWrap/>
            <w:hideMark/>
          </w:tcPr>
          <w:p w14:paraId="2925DC21"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290.1</w:t>
            </w:r>
          </w:p>
        </w:tc>
        <w:tc>
          <w:tcPr>
            <w:tcW w:w="906" w:type="dxa"/>
            <w:tcBorders>
              <w:top w:val="single" w:sz="4" w:space="0" w:color="auto"/>
              <w:left w:val="single" w:sz="4" w:space="0" w:color="auto"/>
              <w:bottom w:val="single" w:sz="4" w:space="0" w:color="auto"/>
              <w:right w:val="single" w:sz="4" w:space="0" w:color="auto"/>
            </w:tcBorders>
            <w:noWrap/>
            <w:hideMark/>
          </w:tcPr>
          <w:p w14:paraId="2C7AA865"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236.1</w:t>
            </w:r>
          </w:p>
        </w:tc>
        <w:tc>
          <w:tcPr>
            <w:tcW w:w="1122" w:type="dxa"/>
            <w:tcBorders>
              <w:top w:val="single" w:sz="4" w:space="0" w:color="auto"/>
              <w:left w:val="single" w:sz="4" w:space="0" w:color="auto"/>
              <w:bottom w:val="single" w:sz="4" w:space="0" w:color="auto"/>
              <w:right w:val="single" w:sz="4" w:space="0" w:color="auto"/>
            </w:tcBorders>
            <w:noWrap/>
            <w:hideMark/>
          </w:tcPr>
          <w:p w14:paraId="789AEC53"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51.8</w:t>
            </w:r>
          </w:p>
        </w:tc>
        <w:tc>
          <w:tcPr>
            <w:tcW w:w="1260" w:type="dxa"/>
            <w:tcBorders>
              <w:top w:val="single" w:sz="4" w:space="0" w:color="auto"/>
              <w:left w:val="single" w:sz="4" w:space="0" w:color="auto"/>
              <w:bottom w:val="single" w:sz="4" w:space="0" w:color="auto"/>
              <w:right w:val="single" w:sz="4" w:space="0" w:color="auto"/>
            </w:tcBorders>
            <w:noWrap/>
            <w:hideMark/>
          </w:tcPr>
          <w:p w14:paraId="6A6930D9"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2.2</w:t>
            </w:r>
          </w:p>
        </w:tc>
        <w:tc>
          <w:tcPr>
            <w:tcW w:w="1350" w:type="dxa"/>
            <w:tcBorders>
              <w:top w:val="single" w:sz="4" w:space="0" w:color="auto"/>
              <w:left w:val="single" w:sz="4" w:space="0" w:color="auto"/>
              <w:bottom w:val="single" w:sz="4" w:space="0" w:color="auto"/>
              <w:right w:val="single" w:sz="4" w:space="0" w:color="auto"/>
            </w:tcBorders>
            <w:noWrap/>
            <w:hideMark/>
          </w:tcPr>
          <w:p w14:paraId="6083E90B"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3F9040A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308.9</w:t>
            </w:r>
          </w:p>
        </w:tc>
        <w:tc>
          <w:tcPr>
            <w:tcW w:w="1086" w:type="dxa"/>
            <w:tcBorders>
              <w:top w:val="single" w:sz="4" w:space="0" w:color="auto"/>
              <w:left w:val="single" w:sz="4" w:space="0" w:color="auto"/>
              <w:bottom w:val="single" w:sz="4" w:space="0" w:color="auto"/>
              <w:right w:val="single" w:sz="4" w:space="0" w:color="auto"/>
            </w:tcBorders>
            <w:noWrap/>
            <w:hideMark/>
          </w:tcPr>
          <w:p w14:paraId="1C0C677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330.5</w:t>
            </w:r>
          </w:p>
        </w:tc>
      </w:tr>
      <w:tr w:rsidR="009D525C" w:rsidRPr="0056672A" w14:paraId="55A440FC" w14:textId="77777777" w:rsidTr="009D525C">
        <w:trPr>
          <w:trHeight w:val="360"/>
        </w:trPr>
        <w:tc>
          <w:tcPr>
            <w:tcW w:w="1705" w:type="dxa"/>
            <w:tcBorders>
              <w:top w:val="single" w:sz="4" w:space="0" w:color="auto"/>
              <w:left w:val="single" w:sz="4" w:space="0" w:color="auto"/>
              <w:bottom w:val="single" w:sz="4" w:space="0" w:color="auto"/>
              <w:right w:val="single" w:sz="4" w:space="0" w:color="auto"/>
            </w:tcBorders>
            <w:hideMark/>
          </w:tcPr>
          <w:p w14:paraId="5CBF5F01"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Asset and Liability Management</w:t>
            </w:r>
          </w:p>
        </w:tc>
        <w:tc>
          <w:tcPr>
            <w:tcW w:w="727" w:type="dxa"/>
            <w:tcBorders>
              <w:top w:val="single" w:sz="4" w:space="0" w:color="auto"/>
              <w:left w:val="single" w:sz="4" w:space="0" w:color="auto"/>
              <w:bottom w:val="single" w:sz="4" w:space="0" w:color="auto"/>
              <w:right w:val="single" w:sz="4" w:space="0" w:color="auto"/>
            </w:tcBorders>
            <w:noWrap/>
            <w:hideMark/>
          </w:tcPr>
          <w:p w14:paraId="34AC994F"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110.4</w:t>
            </w:r>
          </w:p>
        </w:tc>
        <w:tc>
          <w:tcPr>
            <w:tcW w:w="906" w:type="dxa"/>
            <w:tcBorders>
              <w:top w:val="single" w:sz="4" w:space="0" w:color="auto"/>
              <w:left w:val="single" w:sz="4" w:space="0" w:color="auto"/>
              <w:bottom w:val="single" w:sz="4" w:space="0" w:color="auto"/>
              <w:right w:val="single" w:sz="4" w:space="0" w:color="auto"/>
            </w:tcBorders>
            <w:noWrap/>
            <w:hideMark/>
          </w:tcPr>
          <w:p w14:paraId="5C822D69"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109.9</w:t>
            </w:r>
          </w:p>
        </w:tc>
        <w:tc>
          <w:tcPr>
            <w:tcW w:w="1122" w:type="dxa"/>
            <w:tcBorders>
              <w:top w:val="single" w:sz="4" w:space="0" w:color="auto"/>
              <w:left w:val="single" w:sz="4" w:space="0" w:color="auto"/>
              <w:bottom w:val="single" w:sz="4" w:space="0" w:color="auto"/>
              <w:right w:val="single" w:sz="4" w:space="0" w:color="auto"/>
            </w:tcBorders>
            <w:noWrap/>
            <w:hideMark/>
          </w:tcPr>
          <w:p w14:paraId="0914FA74"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260" w:type="dxa"/>
            <w:tcBorders>
              <w:top w:val="single" w:sz="4" w:space="0" w:color="auto"/>
              <w:left w:val="single" w:sz="4" w:space="0" w:color="auto"/>
              <w:bottom w:val="single" w:sz="4" w:space="0" w:color="auto"/>
              <w:right w:val="single" w:sz="4" w:space="0" w:color="auto"/>
            </w:tcBorders>
            <w:noWrap/>
            <w:hideMark/>
          </w:tcPr>
          <w:p w14:paraId="04D8D77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0.5</w:t>
            </w:r>
          </w:p>
        </w:tc>
        <w:tc>
          <w:tcPr>
            <w:tcW w:w="1350" w:type="dxa"/>
            <w:tcBorders>
              <w:top w:val="single" w:sz="4" w:space="0" w:color="auto"/>
              <w:left w:val="single" w:sz="4" w:space="0" w:color="auto"/>
              <w:bottom w:val="single" w:sz="4" w:space="0" w:color="auto"/>
              <w:right w:val="single" w:sz="4" w:space="0" w:color="auto"/>
            </w:tcBorders>
            <w:noWrap/>
            <w:hideMark/>
          </w:tcPr>
          <w:p w14:paraId="0DCD860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209AB58C"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111.5</w:t>
            </w:r>
          </w:p>
        </w:tc>
        <w:tc>
          <w:tcPr>
            <w:tcW w:w="1086" w:type="dxa"/>
            <w:tcBorders>
              <w:top w:val="single" w:sz="4" w:space="0" w:color="auto"/>
              <w:left w:val="single" w:sz="4" w:space="0" w:color="auto"/>
              <w:bottom w:val="single" w:sz="4" w:space="0" w:color="auto"/>
              <w:right w:val="single" w:sz="4" w:space="0" w:color="auto"/>
            </w:tcBorders>
            <w:noWrap/>
            <w:hideMark/>
          </w:tcPr>
          <w:p w14:paraId="6A3385E3"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119.4</w:t>
            </w:r>
          </w:p>
        </w:tc>
      </w:tr>
      <w:tr w:rsidR="009D525C" w:rsidRPr="0056672A" w14:paraId="4E07E91C" w14:textId="77777777" w:rsidTr="009D525C">
        <w:trPr>
          <w:trHeight w:val="540"/>
        </w:trPr>
        <w:tc>
          <w:tcPr>
            <w:tcW w:w="1705" w:type="dxa"/>
            <w:tcBorders>
              <w:top w:val="single" w:sz="4" w:space="0" w:color="auto"/>
              <w:left w:val="single" w:sz="4" w:space="0" w:color="auto"/>
              <w:bottom w:val="single" w:sz="4" w:space="0" w:color="auto"/>
              <w:right w:val="single" w:sz="4" w:space="0" w:color="auto"/>
            </w:tcBorders>
            <w:hideMark/>
          </w:tcPr>
          <w:p w14:paraId="195DF67D"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Financial Accounting and Supply Chain Management Systems</w:t>
            </w:r>
          </w:p>
        </w:tc>
        <w:tc>
          <w:tcPr>
            <w:tcW w:w="727" w:type="dxa"/>
            <w:tcBorders>
              <w:top w:val="single" w:sz="4" w:space="0" w:color="auto"/>
              <w:left w:val="single" w:sz="4" w:space="0" w:color="auto"/>
              <w:bottom w:val="single" w:sz="4" w:space="0" w:color="auto"/>
              <w:right w:val="single" w:sz="4" w:space="0" w:color="auto"/>
            </w:tcBorders>
            <w:noWrap/>
            <w:hideMark/>
          </w:tcPr>
          <w:p w14:paraId="44C5E55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1,196.6</w:t>
            </w:r>
          </w:p>
        </w:tc>
        <w:tc>
          <w:tcPr>
            <w:tcW w:w="906" w:type="dxa"/>
            <w:tcBorders>
              <w:top w:val="single" w:sz="4" w:space="0" w:color="auto"/>
              <w:left w:val="single" w:sz="4" w:space="0" w:color="auto"/>
              <w:bottom w:val="single" w:sz="4" w:space="0" w:color="auto"/>
              <w:right w:val="single" w:sz="4" w:space="0" w:color="auto"/>
            </w:tcBorders>
            <w:noWrap/>
            <w:hideMark/>
          </w:tcPr>
          <w:p w14:paraId="76FB07F9"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1,085.9</w:t>
            </w:r>
          </w:p>
        </w:tc>
        <w:tc>
          <w:tcPr>
            <w:tcW w:w="1122" w:type="dxa"/>
            <w:tcBorders>
              <w:top w:val="single" w:sz="4" w:space="0" w:color="auto"/>
              <w:left w:val="single" w:sz="4" w:space="0" w:color="auto"/>
              <w:bottom w:val="single" w:sz="4" w:space="0" w:color="auto"/>
              <w:right w:val="single" w:sz="4" w:space="0" w:color="auto"/>
            </w:tcBorders>
            <w:noWrap/>
            <w:hideMark/>
          </w:tcPr>
          <w:p w14:paraId="176DDA77"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104.3</w:t>
            </w:r>
          </w:p>
        </w:tc>
        <w:tc>
          <w:tcPr>
            <w:tcW w:w="1260" w:type="dxa"/>
            <w:tcBorders>
              <w:top w:val="single" w:sz="4" w:space="0" w:color="auto"/>
              <w:left w:val="single" w:sz="4" w:space="0" w:color="auto"/>
              <w:bottom w:val="single" w:sz="4" w:space="0" w:color="auto"/>
              <w:right w:val="single" w:sz="4" w:space="0" w:color="auto"/>
            </w:tcBorders>
            <w:noWrap/>
            <w:hideMark/>
          </w:tcPr>
          <w:p w14:paraId="6C62B635"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6.4</w:t>
            </w:r>
          </w:p>
        </w:tc>
        <w:tc>
          <w:tcPr>
            <w:tcW w:w="1350" w:type="dxa"/>
            <w:tcBorders>
              <w:top w:val="single" w:sz="4" w:space="0" w:color="auto"/>
              <w:left w:val="single" w:sz="4" w:space="0" w:color="auto"/>
              <w:bottom w:val="single" w:sz="4" w:space="0" w:color="auto"/>
              <w:right w:val="single" w:sz="4" w:space="0" w:color="auto"/>
            </w:tcBorders>
            <w:noWrap/>
            <w:hideMark/>
          </w:tcPr>
          <w:p w14:paraId="21F50B3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50BAF4B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1,080.7</w:t>
            </w:r>
          </w:p>
        </w:tc>
        <w:tc>
          <w:tcPr>
            <w:tcW w:w="1086" w:type="dxa"/>
            <w:tcBorders>
              <w:top w:val="single" w:sz="4" w:space="0" w:color="auto"/>
              <w:left w:val="single" w:sz="4" w:space="0" w:color="auto"/>
              <w:bottom w:val="single" w:sz="4" w:space="0" w:color="auto"/>
              <w:right w:val="single" w:sz="4" w:space="0" w:color="auto"/>
            </w:tcBorders>
            <w:noWrap/>
            <w:hideMark/>
          </w:tcPr>
          <w:p w14:paraId="2F4A3CB6"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1,144.3</w:t>
            </w:r>
          </w:p>
        </w:tc>
      </w:tr>
      <w:tr w:rsidR="009D525C" w:rsidRPr="0056672A" w14:paraId="51BCA93D" w14:textId="77777777" w:rsidTr="009D525C">
        <w:trPr>
          <w:trHeight w:val="360"/>
        </w:trPr>
        <w:tc>
          <w:tcPr>
            <w:tcW w:w="1705" w:type="dxa"/>
            <w:tcBorders>
              <w:top w:val="single" w:sz="4" w:space="0" w:color="auto"/>
              <w:left w:val="single" w:sz="4" w:space="0" w:color="auto"/>
              <w:bottom w:val="single" w:sz="4" w:space="0" w:color="auto"/>
              <w:right w:val="single" w:sz="4" w:space="0" w:color="auto"/>
            </w:tcBorders>
            <w:hideMark/>
          </w:tcPr>
          <w:p w14:paraId="2086AC98"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International Financial Relations</w:t>
            </w:r>
          </w:p>
        </w:tc>
        <w:tc>
          <w:tcPr>
            <w:tcW w:w="727" w:type="dxa"/>
            <w:tcBorders>
              <w:top w:val="single" w:sz="4" w:space="0" w:color="auto"/>
              <w:left w:val="single" w:sz="4" w:space="0" w:color="auto"/>
              <w:bottom w:val="single" w:sz="4" w:space="0" w:color="auto"/>
              <w:right w:val="single" w:sz="4" w:space="0" w:color="auto"/>
            </w:tcBorders>
            <w:noWrap/>
            <w:hideMark/>
          </w:tcPr>
          <w:p w14:paraId="6997F964"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5,402.1</w:t>
            </w:r>
          </w:p>
        </w:tc>
        <w:tc>
          <w:tcPr>
            <w:tcW w:w="906" w:type="dxa"/>
            <w:tcBorders>
              <w:top w:val="single" w:sz="4" w:space="0" w:color="auto"/>
              <w:left w:val="single" w:sz="4" w:space="0" w:color="auto"/>
              <w:bottom w:val="single" w:sz="4" w:space="0" w:color="auto"/>
              <w:right w:val="single" w:sz="4" w:space="0" w:color="auto"/>
            </w:tcBorders>
            <w:noWrap/>
            <w:hideMark/>
          </w:tcPr>
          <w:p w14:paraId="064757AF"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51.5</w:t>
            </w:r>
          </w:p>
        </w:tc>
        <w:tc>
          <w:tcPr>
            <w:tcW w:w="1122" w:type="dxa"/>
            <w:tcBorders>
              <w:top w:val="single" w:sz="4" w:space="0" w:color="auto"/>
              <w:left w:val="single" w:sz="4" w:space="0" w:color="auto"/>
              <w:bottom w:val="single" w:sz="4" w:space="0" w:color="auto"/>
              <w:right w:val="single" w:sz="4" w:space="0" w:color="auto"/>
            </w:tcBorders>
            <w:noWrap/>
            <w:hideMark/>
          </w:tcPr>
          <w:p w14:paraId="79FB8CB1"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972.8</w:t>
            </w:r>
          </w:p>
        </w:tc>
        <w:tc>
          <w:tcPr>
            <w:tcW w:w="1260" w:type="dxa"/>
            <w:tcBorders>
              <w:top w:val="single" w:sz="4" w:space="0" w:color="auto"/>
              <w:left w:val="single" w:sz="4" w:space="0" w:color="auto"/>
              <w:bottom w:val="single" w:sz="4" w:space="0" w:color="auto"/>
              <w:right w:val="single" w:sz="4" w:space="0" w:color="auto"/>
            </w:tcBorders>
            <w:noWrap/>
            <w:hideMark/>
          </w:tcPr>
          <w:p w14:paraId="4251646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0.5</w:t>
            </w:r>
          </w:p>
        </w:tc>
        <w:tc>
          <w:tcPr>
            <w:tcW w:w="1350" w:type="dxa"/>
            <w:tcBorders>
              <w:top w:val="single" w:sz="4" w:space="0" w:color="auto"/>
              <w:left w:val="single" w:sz="4" w:space="0" w:color="auto"/>
              <w:bottom w:val="single" w:sz="4" w:space="0" w:color="auto"/>
              <w:right w:val="single" w:sz="4" w:space="0" w:color="auto"/>
            </w:tcBorders>
            <w:noWrap/>
            <w:hideMark/>
          </w:tcPr>
          <w:p w14:paraId="47849D4D"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4,377.3</w:t>
            </w:r>
          </w:p>
        </w:tc>
        <w:tc>
          <w:tcPr>
            <w:tcW w:w="900" w:type="dxa"/>
            <w:tcBorders>
              <w:top w:val="single" w:sz="4" w:space="0" w:color="auto"/>
              <w:left w:val="single" w:sz="4" w:space="0" w:color="auto"/>
              <w:bottom w:val="single" w:sz="4" w:space="0" w:color="auto"/>
              <w:right w:val="single" w:sz="4" w:space="0" w:color="auto"/>
            </w:tcBorders>
            <w:noWrap/>
            <w:hideMark/>
          </w:tcPr>
          <w:p w14:paraId="4593786D"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5,745.1</w:t>
            </w:r>
          </w:p>
        </w:tc>
        <w:tc>
          <w:tcPr>
            <w:tcW w:w="1086" w:type="dxa"/>
            <w:tcBorders>
              <w:top w:val="single" w:sz="4" w:space="0" w:color="auto"/>
              <w:left w:val="single" w:sz="4" w:space="0" w:color="auto"/>
              <w:bottom w:val="single" w:sz="4" w:space="0" w:color="auto"/>
              <w:right w:val="single" w:sz="4" w:space="0" w:color="auto"/>
            </w:tcBorders>
            <w:noWrap/>
            <w:hideMark/>
          </w:tcPr>
          <w:p w14:paraId="457FC53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6,061.4</w:t>
            </w:r>
          </w:p>
        </w:tc>
      </w:tr>
      <w:tr w:rsidR="009D525C" w:rsidRPr="0056672A" w14:paraId="0AD6F998" w14:textId="77777777" w:rsidTr="009D525C">
        <w:trPr>
          <w:trHeight w:val="720"/>
        </w:trPr>
        <w:tc>
          <w:tcPr>
            <w:tcW w:w="1705" w:type="dxa"/>
            <w:tcBorders>
              <w:top w:val="single" w:sz="4" w:space="0" w:color="auto"/>
              <w:left w:val="single" w:sz="4" w:space="0" w:color="auto"/>
              <w:bottom w:val="single" w:sz="4" w:space="0" w:color="auto"/>
              <w:right w:val="single" w:sz="4" w:space="0" w:color="auto"/>
            </w:tcBorders>
            <w:hideMark/>
          </w:tcPr>
          <w:p w14:paraId="4DB56B17"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Civil and Military Pensions, Contributions to Funds and Other Benefits</w:t>
            </w:r>
          </w:p>
        </w:tc>
        <w:tc>
          <w:tcPr>
            <w:tcW w:w="727" w:type="dxa"/>
            <w:tcBorders>
              <w:top w:val="single" w:sz="4" w:space="0" w:color="auto"/>
              <w:left w:val="single" w:sz="4" w:space="0" w:color="auto"/>
              <w:bottom w:val="single" w:sz="4" w:space="0" w:color="auto"/>
              <w:right w:val="single" w:sz="4" w:space="0" w:color="auto"/>
            </w:tcBorders>
            <w:noWrap/>
            <w:hideMark/>
          </w:tcPr>
          <w:p w14:paraId="43DA3AB4"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5,163.8</w:t>
            </w:r>
          </w:p>
        </w:tc>
        <w:tc>
          <w:tcPr>
            <w:tcW w:w="906" w:type="dxa"/>
            <w:tcBorders>
              <w:top w:val="single" w:sz="4" w:space="0" w:color="auto"/>
              <w:left w:val="single" w:sz="4" w:space="0" w:color="auto"/>
              <w:bottom w:val="single" w:sz="4" w:space="0" w:color="auto"/>
              <w:right w:val="single" w:sz="4" w:space="0" w:color="auto"/>
            </w:tcBorders>
            <w:noWrap/>
            <w:hideMark/>
          </w:tcPr>
          <w:p w14:paraId="260AF411"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68.9</w:t>
            </w:r>
          </w:p>
        </w:tc>
        <w:tc>
          <w:tcPr>
            <w:tcW w:w="1122" w:type="dxa"/>
            <w:tcBorders>
              <w:top w:val="single" w:sz="4" w:space="0" w:color="auto"/>
              <w:left w:val="single" w:sz="4" w:space="0" w:color="auto"/>
              <w:bottom w:val="single" w:sz="4" w:space="0" w:color="auto"/>
              <w:right w:val="single" w:sz="4" w:space="0" w:color="auto"/>
            </w:tcBorders>
            <w:noWrap/>
            <w:hideMark/>
          </w:tcPr>
          <w:p w14:paraId="0D420081"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5,094.9</w:t>
            </w:r>
          </w:p>
        </w:tc>
        <w:tc>
          <w:tcPr>
            <w:tcW w:w="1260" w:type="dxa"/>
            <w:tcBorders>
              <w:top w:val="single" w:sz="4" w:space="0" w:color="auto"/>
              <w:left w:val="single" w:sz="4" w:space="0" w:color="auto"/>
              <w:bottom w:val="single" w:sz="4" w:space="0" w:color="auto"/>
              <w:right w:val="single" w:sz="4" w:space="0" w:color="auto"/>
            </w:tcBorders>
            <w:noWrap/>
            <w:hideMark/>
          </w:tcPr>
          <w:p w14:paraId="3819FD8D"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noWrap/>
            <w:hideMark/>
          </w:tcPr>
          <w:p w14:paraId="5820D5E6"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7EBAC3EC"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5,574.5</w:t>
            </w:r>
          </w:p>
        </w:tc>
        <w:tc>
          <w:tcPr>
            <w:tcW w:w="1086" w:type="dxa"/>
            <w:tcBorders>
              <w:top w:val="single" w:sz="4" w:space="0" w:color="auto"/>
              <w:left w:val="single" w:sz="4" w:space="0" w:color="auto"/>
              <w:bottom w:val="single" w:sz="4" w:space="0" w:color="auto"/>
              <w:right w:val="single" w:sz="4" w:space="0" w:color="auto"/>
            </w:tcBorders>
            <w:noWrap/>
            <w:hideMark/>
          </w:tcPr>
          <w:p w14:paraId="5DFB4019"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5,881.2</w:t>
            </w:r>
          </w:p>
        </w:tc>
      </w:tr>
      <w:tr w:rsidR="009D525C" w:rsidRPr="0056672A" w14:paraId="26635F58" w14:textId="77777777" w:rsidTr="009D525C">
        <w:trPr>
          <w:trHeight w:val="360"/>
        </w:trPr>
        <w:tc>
          <w:tcPr>
            <w:tcW w:w="1705" w:type="dxa"/>
            <w:tcBorders>
              <w:top w:val="single" w:sz="4" w:space="0" w:color="auto"/>
              <w:left w:val="single" w:sz="4" w:space="0" w:color="auto"/>
              <w:bottom w:val="single" w:sz="4" w:space="0" w:color="auto"/>
              <w:right w:val="single" w:sz="4" w:space="0" w:color="auto"/>
            </w:tcBorders>
            <w:hideMark/>
          </w:tcPr>
          <w:p w14:paraId="7431EF04"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Technical Support and Development Finance</w:t>
            </w:r>
          </w:p>
        </w:tc>
        <w:tc>
          <w:tcPr>
            <w:tcW w:w="727" w:type="dxa"/>
            <w:tcBorders>
              <w:top w:val="single" w:sz="4" w:space="0" w:color="auto"/>
              <w:left w:val="single" w:sz="4" w:space="0" w:color="auto"/>
              <w:bottom w:val="single" w:sz="4" w:space="0" w:color="auto"/>
              <w:right w:val="single" w:sz="4" w:space="0" w:color="auto"/>
            </w:tcBorders>
            <w:noWrap/>
            <w:hideMark/>
          </w:tcPr>
          <w:p w14:paraId="3AAB728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2,798.8</w:t>
            </w:r>
          </w:p>
        </w:tc>
        <w:tc>
          <w:tcPr>
            <w:tcW w:w="906" w:type="dxa"/>
            <w:tcBorders>
              <w:top w:val="single" w:sz="4" w:space="0" w:color="auto"/>
              <w:left w:val="single" w:sz="4" w:space="0" w:color="auto"/>
              <w:bottom w:val="single" w:sz="4" w:space="0" w:color="auto"/>
              <w:right w:val="single" w:sz="4" w:space="0" w:color="auto"/>
            </w:tcBorders>
            <w:noWrap/>
            <w:hideMark/>
          </w:tcPr>
          <w:p w14:paraId="5E5470B0"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407.8</w:t>
            </w:r>
          </w:p>
        </w:tc>
        <w:tc>
          <w:tcPr>
            <w:tcW w:w="1122" w:type="dxa"/>
            <w:tcBorders>
              <w:top w:val="single" w:sz="4" w:space="0" w:color="auto"/>
              <w:left w:val="single" w:sz="4" w:space="0" w:color="auto"/>
              <w:bottom w:val="single" w:sz="4" w:space="0" w:color="auto"/>
              <w:right w:val="single" w:sz="4" w:space="0" w:color="auto"/>
            </w:tcBorders>
            <w:noWrap/>
            <w:hideMark/>
          </w:tcPr>
          <w:p w14:paraId="6874081F"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2,391.1</w:t>
            </w:r>
          </w:p>
        </w:tc>
        <w:tc>
          <w:tcPr>
            <w:tcW w:w="1260" w:type="dxa"/>
            <w:tcBorders>
              <w:top w:val="single" w:sz="4" w:space="0" w:color="auto"/>
              <w:left w:val="single" w:sz="4" w:space="0" w:color="auto"/>
              <w:bottom w:val="single" w:sz="4" w:space="0" w:color="auto"/>
              <w:right w:val="single" w:sz="4" w:space="0" w:color="auto"/>
            </w:tcBorders>
            <w:noWrap/>
            <w:hideMark/>
          </w:tcPr>
          <w:p w14:paraId="46687496"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noWrap/>
            <w:hideMark/>
          </w:tcPr>
          <w:p w14:paraId="304D8AD7"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29D4269C"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2,987.8</w:t>
            </w:r>
          </w:p>
        </w:tc>
        <w:tc>
          <w:tcPr>
            <w:tcW w:w="1086" w:type="dxa"/>
            <w:tcBorders>
              <w:top w:val="single" w:sz="4" w:space="0" w:color="auto"/>
              <w:left w:val="single" w:sz="4" w:space="0" w:color="auto"/>
              <w:bottom w:val="single" w:sz="4" w:space="0" w:color="auto"/>
              <w:right w:val="single" w:sz="4" w:space="0" w:color="auto"/>
            </w:tcBorders>
            <w:noWrap/>
            <w:hideMark/>
          </w:tcPr>
          <w:p w14:paraId="4AD9F39B"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3,726.9</w:t>
            </w:r>
          </w:p>
        </w:tc>
      </w:tr>
      <w:tr w:rsidR="009D525C" w:rsidRPr="0056672A" w14:paraId="068FC143" w14:textId="77777777" w:rsidTr="009D525C">
        <w:trPr>
          <w:trHeight w:val="360"/>
        </w:trPr>
        <w:tc>
          <w:tcPr>
            <w:tcW w:w="1705" w:type="dxa"/>
            <w:tcBorders>
              <w:top w:val="single" w:sz="4" w:space="0" w:color="auto"/>
              <w:left w:val="single" w:sz="4" w:space="0" w:color="auto"/>
              <w:bottom w:val="single" w:sz="4" w:space="0" w:color="auto"/>
              <w:right w:val="single" w:sz="4" w:space="0" w:color="auto"/>
            </w:tcBorders>
            <w:hideMark/>
          </w:tcPr>
          <w:p w14:paraId="4D4D8B3C"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Revenue Administration</w:t>
            </w:r>
          </w:p>
        </w:tc>
        <w:tc>
          <w:tcPr>
            <w:tcW w:w="727" w:type="dxa"/>
            <w:tcBorders>
              <w:top w:val="single" w:sz="4" w:space="0" w:color="auto"/>
              <w:left w:val="single" w:sz="4" w:space="0" w:color="auto"/>
              <w:bottom w:val="single" w:sz="4" w:space="0" w:color="auto"/>
              <w:right w:val="single" w:sz="4" w:space="0" w:color="auto"/>
            </w:tcBorders>
            <w:noWrap/>
            <w:hideMark/>
          </w:tcPr>
          <w:p w14:paraId="32E35597"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9,007.2</w:t>
            </w:r>
          </w:p>
        </w:tc>
        <w:tc>
          <w:tcPr>
            <w:tcW w:w="906" w:type="dxa"/>
            <w:tcBorders>
              <w:top w:val="single" w:sz="4" w:space="0" w:color="auto"/>
              <w:left w:val="single" w:sz="4" w:space="0" w:color="auto"/>
              <w:bottom w:val="single" w:sz="4" w:space="0" w:color="auto"/>
              <w:right w:val="single" w:sz="4" w:space="0" w:color="auto"/>
            </w:tcBorders>
            <w:noWrap/>
            <w:hideMark/>
          </w:tcPr>
          <w:p w14:paraId="56573EB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122" w:type="dxa"/>
            <w:tcBorders>
              <w:top w:val="single" w:sz="4" w:space="0" w:color="auto"/>
              <w:left w:val="single" w:sz="4" w:space="0" w:color="auto"/>
              <w:bottom w:val="single" w:sz="4" w:space="0" w:color="auto"/>
              <w:right w:val="single" w:sz="4" w:space="0" w:color="auto"/>
            </w:tcBorders>
            <w:noWrap/>
            <w:hideMark/>
          </w:tcPr>
          <w:p w14:paraId="6C0D1F6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9,007.2</w:t>
            </w:r>
          </w:p>
        </w:tc>
        <w:tc>
          <w:tcPr>
            <w:tcW w:w="1260" w:type="dxa"/>
            <w:tcBorders>
              <w:top w:val="single" w:sz="4" w:space="0" w:color="auto"/>
              <w:left w:val="single" w:sz="4" w:space="0" w:color="auto"/>
              <w:bottom w:val="single" w:sz="4" w:space="0" w:color="auto"/>
              <w:right w:val="single" w:sz="4" w:space="0" w:color="auto"/>
            </w:tcBorders>
            <w:noWrap/>
            <w:hideMark/>
          </w:tcPr>
          <w:p w14:paraId="4E79E1F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noWrap/>
            <w:hideMark/>
          </w:tcPr>
          <w:p w14:paraId="34DDD7C2"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3DAAF4F5"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9,130.3</w:t>
            </w:r>
          </w:p>
        </w:tc>
        <w:tc>
          <w:tcPr>
            <w:tcW w:w="1086" w:type="dxa"/>
            <w:tcBorders>
              <w:top w:val="single" w:sz="4" w:space="0" w:color="auto"/>
              <w:left w:val="single" w:sz="4" w:space="0" w:color="auto"/>
              <w:bottom w:val="single" w:sz="4" w:space="0" w:color="auto"/>
              <w:right w:val="single" w:sz="4" w:space="0" w:color="auto"/>
            </w:tcBorders>
            <w:noWrap/>
            <w:hideMark/>
          </w:tcPr>
          <w:p w14:paraId="62843FC8"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9,630.9</w:t>
            </w:r>
          </w:p>
        </w:tc>
      </w:tr>
      <w:tr w:rsidR="009D525C" w:rsidRPr="0056672A" w14:paraId="431B961C" w14:textId="77777777" w:rsidTr="009D525C">
        <w:trPr>
          <w:trHeight w:val="360"/>
        </w:trPr>
        <w:tc>
          <w:tcPr>
            <w:tcW w:w="1705" w:type="dxa"/>
            <w:tcBorders>
              <w:top w:val="single" w:sz="4" w:space="0" w:color="auto"/>
              <w:left w:val="single" w:sz="4" w:space="0" w:color="auto"/>
              <w:bottom w:val="single" w:sz="4" w:space="0" w:color="auto"/>
              <w:right w:val="single" w:sz="4" w:space="0" w:color="auto"/>
            </w:tcBorders>
            <w:hideMark/>
          </w:tcPr>
          <w:p w14:paraId="53F5E681" w14:textId="77777777" w:rsidR="009D525C" w:rsidRPr="00EA5BBC" w:rsidRDefault="009D525C" w:rsidP="00CC6E34">
            <w:pPr>
              <w:spacing w:line="360" w:lineRule="auto"/>
              <w:rPr>
                <w:rFonts w:ascii="Times New Roman" w:eastAsia="Times New Roman" w:hAnsi="Times New Roman"/>
                <w:sz w:val="16"/>
                <w:szCs w:val="16"/>
              </w:rPr>
            </w:pPr>
            <w:r w:rsidRPr="00EA5BBC">
              <w:rPr>
                <w:rFonts w:ascii="Times New Roman" w:eastAsia="Times New Roman" w:hAnsi="Times New Roman"/>
                <w:sz w:val="16"/>
                <w:szCs w:val="16"/>
              </w:rPr>
              <w:t>Financial Intelligence and State Security</w:t>
            </w:r>
          </w:p>
        </w:tc>
        <w:tc>
          <w:tcPr>
            <w:tcW w:w="727" w:type="dxa"/>
            <w:tcBorders>
              <w:top w:val="single" w:sz="4" w:space="0" w:color="auto"/>
              <w:left w:val="single" w:sz="4" w:space="0" w:color="auto"/>
              <w:bottom w:val="single" w:sz="4" w:space="0" w:color="auto"/>
              <w:right w:val="single" w:sz="4" w:space="0" w:color="auto"/>
            </w:tcBorders>
            <w:noWrap/>
            <w:hideMark/>
          </w:tcPr>
          <w:p w14:paraId="1B98C16D"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4,763.5</w:t>
            </w:r>
          </w:p>
        </w:tc>
        <w:tc>
          <w:tcPr>
            <w:tcW w:w="906" w:type="dxa"/>
            <w:tcBorders>
              <w:top w:val="single" w:sz="4" w:space="0" w:color="auto"/>
              <w:left w:val="single" w:sz="4" w:space="0" w:color="auto"/>
              <w:bottom w:val="single" w:sz="4" w:space="0" w:color="auto"/>
              <w:right w:val="single" w:sz="4" w:space="0" w:color="auto"/>
            </w:tcBorders>
            <w:noWrap/>
            <w:hideMark/>
          </w:tcPr>
          <w:p w14:paraId="4E412EEA"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122" w:type="dxa"/>
            <w:tcBorders>
              <w:top w:val="single" w:sz="4" w:space="0" w:color="auto"/>
              <w:left w:val="single" w:sz="4" w:space="0" w:color="auto"/>
              <w:bottom w:val="single" w:sz="4" w:space="0" w:color="auto"/>
              <w:right w:val="single" w:sz="4" w:space="0" w:color="auto"/>
            </w:tcBorders>
            <w:noWrap/>
            <w:hideMark/>
          </w:tcPr>
          <w:p w14:paraId="35B1A951"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4,763.5</w:t>
            </w:r>
          </w:p>
        </w:tc>
        <w:tc>
          <w:tcPr>
            <w:tcW w:w="1260" w:type="dxa"/>
            <w:tcBorders>
              <w:top w:val="single" w:sz="4" w:space="0" w:color="auto"/>
              <w:left w:val="single" w:sz="4" w:space="0" w:color="auto"/>
              <w:bottom w:val="single" w:sz="4" w:space="0" w:color="auto"/>
              <w:right w:val="single" w:sz="4" w:space="0" w:color="auto"/>
            </w:tcBorders>
            <w:noWrap/>
            <w:hideMark/>
          </w:tcPr>
          <w:p w14:paraId="7BB947E3"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noWrap/>
            <w:hideMark/>
          </w:tcPr>
          <w:p w14:paraId="0E07C9E7"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 xml:space="preserve">  – </w:t>
            </w:r>
          </w:p>
        </w:tc>
        <w:tc>
          <w:tcPr>
            <w:tcW w:w="900" w:type="dxa"/>
            <w:tcBorders>
              <w:top w:val="single" w:sz="4" w:space="0" w:color="auto"/>
              <w:left w:val="single" w:sz="4" w:space="0" w:color="auto"/>
              <w:bottom w:val="single" w:sz="4" w:space="0" w:color="auto"/>
              <w:right w:val="single" w:sz="4" w:space="0" w:color="auto"/>
            </w:tcBorders>
            <w:noWrap/>
            <w:hideMark/>
          </w:tcPr>
          <w:p w14:paraId="5BD94EE6"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4,951.1</w:t>
            </w:r>
          </w:p>
        </w:tc>
        <w:tc>
          <w:tcPr>
            <w:tcW w:w="1086" w:type="dxa"/>
            <w:tcBorders>
              <w:top w:val="single" w:sz="4" w:space="0" w:color="auto"/>
              <w:left w:val="single" w:sz="4" w:space="0" w:color="auto"/>
              <w:bottom w:val="single" w:sz="4" w:space="0" w:color="auto"/>
              <w:right w:val="single" w:sz="4" w:space="0" w:color="auto"/>
            </w:tcBorders>
            <w:noWrap/>
            <w:hideMark/>
          </w:tcPr>
          <w:p w14:paraId="3AB4BF4C" w14:textId="77777777" w:rsidR="009D525C" w:rsidRPr="00EA5BBC" w:rsidRDefault="009D525C" w:rsidP="00CC6E34">
            <w:pPr>
              <w:spacing w:line="360" w:lineRule="auto"/>
              <w:jc w:val="right"/>
              <w:rPr>
                <w:rFonts w:ascii="Times New Roman" w:eastAsia="Times New Roman" w:hAnsi="Times New Roman"/>
                <w:sz w:val="16"/>
                <w:szCs w:val="16"/>
              </w:rPr>
            </w:pPr>
            <w:r w:rsidRPr="00EA5BBC">
              <w:rPr>
                <w:rFonts w:ascii="Times New Roman" w:eastAsia="Times New Roman" w:hAnsi="Times New Roman"/>
                <w:sz w:val="16"/>
                <w:szCs w:val="16"/>
              </w:rPr>
              <w:t>5,223.2</w:t>
            </w:r>
          </w:p>
        </w:tc>
      </w:tr>
      <w:tr w:rsidR="009D525C" w:rsidRPr="0056672A" w14:paraId="6FD3B954" w14:textId="77777777" w:rsidTr="009D525C">
        <w:trPr>
          <w:trHeight w:val="300"/>
        </w:trPr>
        <w:tc>
          <w:tcPr>
            <w:tcW w:w="1705" w:type="dxa"/>
            <w:tcBorders>
              <w:top w:val="single" w:sz="4" w:space="0" w:color="auto"/>
              <w:left w:val="single" w:sz="4" w:space="0" w:color="auto"/>
              <w:bottom w:val="single" w:sz="4" w:space="0" w:color="auto"/>
              <w:right w:val="single" w:sz="4" w:space="0" w:color="auto"/>
            </w:tcBorders>
            <w:hideMark/>
          </w:tcPr>
          <w:p w14:paraId="145A7F4D" w14:textId="77777777" w:rsidR="009D525C" w:rsidRPr="00EA5BBC" w:rsidRDefault="009D525C" w:rsidP="00CC6E34">
            <w:pPr>
              <w:spacing w:line="360" w:lineRule="auto"/>
              <w:rPr>
                <w:rFonts w:ascii="Times New Roman" w:eastAsia="Times New Roman" w:hAnsi="Times New Roman"/>
                <w:b/>
                <w:bCs/>
                <w:sz w:val="16"/>
                <w:szCs w:val="16"/>
              </w:rPr>
            </w:pPr>
            <w:r w:rsidRPr="00EA5BBC">
              <w:rPr>
                <w:rFonts w:ascii="Times New Roman" w:eastAsia="Times New Roman" w:hAnsi="Times New Roman"/>
                <w:b/>
                <w:bCs/>
                <w:sz w:val="16"/>
                <w:szCs w:val="16"/>
              </w:rPr>
              <w:t>Subtotal</w:t>
            </w:r>
          </w:p>
        </w:tc>
        <w:tc>
          <w:tcPr>
            <w:tcW w:w="727" w:type="dxa"/>
            <w:tcBorders>
              <w:top w:val="single" w:sz="4" w:space="0" w:color="auto"/>
              <w:left w:val="single" w:sz="4" w:space="0" w:color="auto"/>
              <w:bottom w:val="single" w:sz="4" w:space="0" w:color="auto"/>
              <w:right w:val="single" w:sz="4" w:space="0" w:color="auto"/>
            </w:tcBorders>
            <w:noWrap/>
            <w:hideMark/>
          </w:tcPr>
          <w:p w14:paraId="6ED25941"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29,358.4</w:t>
            </w:r>
          </w:p>
        </w:tc>
        <w:tc>
          <w:tcPr>
            <w:tcW w:w="906" w:type="dxa"/>
            <w:tcBorders>
              <w:top w:val="single" w:sz="4" w:space="0" w:color="auto"/>
              <w:left w:val="single" w:sz="4" w:space="0" w:color="auto"/>
              <w:bottom w:val="single" w:sz="4" w:space="0" w:color="auto"/>
              <w:right w:val="single" w:sz="4" w:space="0" w:color="auto"/>
            </w:tcBorders>
            <w:noWrap/>
            <w:hideMark/>
          </w:tcPr>
          <w:p w14:paraId="16B6F9DE"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2,512.5</w:t>
            </w:r>
          </w:p>
        </w:tc>
        <w:tc>
          <w:tcPr>
            <w:tcW w:w="1122" w:type="dxa"/>
            <w:tcBorders>
              <w:top w:val="single" w:sz="4" w:space="0" w:color="auto"/>
              <w:left w:val="single" w:sz="4" w:space="0" w:color="auto"/>
              <w:bottom w:val="single" w:sz="4" w:space="0" w:color="auto"/>
              <w:right w:val="single" w:sz="4" w:space="0" w:color="auto"/>
            </w:tcBorders>
            <w:noWrap/>
            <w:hideMark/>
          </w:tcPr>
          <w:p w14:paraId="049C78D1"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22,422.8</w:t>
            </w:r>
          </w:p>
        </w:tc>
        <w:tc>
          <w:tcPr>
            <w:tcW w:w="1260" w:type="dxa"/>
            <w:tcBorders>
              <w:top w:val="single" w:sz="4" w:space="0" w:color="auto"/>
              <w:left w:val="single" w:sz="4" w:space="0" w:color="auto"/>
              <w:bottom w:val="single" w:sz="4" w:space="0" w:color="auto"/>
              <w:right w:val="single" w:sz="4" w:space="0" w:color="auto"/>
            </w:tcBorders>
            <w:noWrap/>
            <w:hideMark/>
          </w:tcPr>
          <w:p w14:paraId="01D3A220"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45.8</w:t>
            </w:r>
          </w:p>
        </w:tc>
        <w:tc>
          <w:tcPr>
            <w:tcW w:w="1350" w:type="dxa"/>
            <w:tcBorders>
              <w:top w:val="single" w:sz="4" w:space="0" w:color="auto"/>
              <w:left w:val="single" w:sz="4" w:space="0" w:color="auto"/>
              <w:bottom w:val="single" w:sz="4" w:space="0" w:color="auto"/>
              <w:right w:val="single" w:sz="4" w:space="0" w:color="auto"/>
            </w:tcBorders>
            <w:noWrap/>
            <w:hideMark/>
          </w:tcPr>
          <w:p w14:paraId="2EFF61F2"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4,377.3</w:t>
            </w:r>
          </w:p>
        </w:tc>
        <w:tc>
          <w:tcPr>
            <w:tcW w:w="900" w:type="dxa"/>
            <w:tcBorders>
              <w:top w:val="single" w:sz="4" w:space="0" w:color="auto"/>
              <w:left w:val="single" w:sz="4" w:space="0" w:color="auto"/>
              <w:bottom w:val="single" w:sz="4" w:space="0" w:color="auto"/>
              <w:right w:val="single" w:sz="4" w:space="0" w:color="auto"/>
            </w:tcBorders>
            <w:noWrap/>
            <w:hideMark/>
          </w:tcPr>
          <w:p w14:paraId="165D3CDD"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30,593.7</w:t>
            </w:r>
          </w:p>
        </w:tc>
        <w:tc>
          <w:tcPr>
            <w:tcW w:w="1086" w:type="dxa"/>
            <w:tcBorders>
              <w:top w:val="single" w:sz="4" w:space="0" w:color="auto"/>
              <w:left w:val="single" w:sz="4" w:space="0" w:color="auto"/>
              <w:bottom w:val="single" w:sz="4" w:space="0" w:color="auto"/>
              <w:right w:val="single" w:sz="4" w:space="0" w:color="auto"/>
            </w:tcBorders>
            <w:noWrap/>
            <w:hideMark/>
          </w:tcPr>
          <w:p w14:paraId="11F49A64" w14:textId="77777777" w:rsidR="009D525C" w:rsidRPr="00EA5BBC" w:rsidRDefault="009D525C" w:rsidP="00CC6E34">
            <w:pPr>
              <w:spacing w:line="360" w:lineRule="auto"/>
              <w:jc w:val="right"/>
              <w:rPr>
                <w:rFonts w:ascii="Times New Roman" w:eastAsia="Times New Roman" w:hAnsi="Times New Roman"/>
                <w:b/>
                <w:bCs/>
                <w:sz w:val="16"/>
                <w:szCs w:val="16"/>
              </w:rPr>
            </w:pPr>
            <w:r w:rsidRPr="00EA5BBC">
              <w:rPr>
                <w:rFonts w:ascii="Times New Roman" w:eastAsia="Times New Roman" w:hAnsi="Times New Roman"/>
                <w:b/>
                <w:bCs/>
                <w:sz w:val="16"/>
                <w:szCs w:val="16"/>
              </w:rPr>
              <w:t>32,866.5</w:t>
            </w:r>
          </w:p>
        </w:tc>
      </w:tr>
    </w:tbl>
    <w:p w14:paraId="2879C4E7" w14:textId="77777777" w:rsidR="0040217E" w:rsidRPr="00EA5BBC" w:rsidRDefault="00ED27A9" w:rsidP="00EA5BBC">
      <w:pPr>
        <w:spacing w:line="360" w:lineRule="auto"/>
        <w:jc w:val="both"/>
        <w:rPr>
          <w:rFonts w:ascii="Times New Roman" w:hAnsi="Times New Roman"/>
        </w:rPr>
      </w:pPr>
      <w:r w:rsidRPr="00EA5BBC">
        <w:rPr>
          <w:rFonts w:ascii="Times New Roman" w:hAnsi="Times New Roman"/>
        </w:rPr>
        <w:lastRenderedPageBreak/>
        <w:t xml:space="preserve">Source: National Treasury 2018 Annual Perfomance Plan, page 8. </w:t>
      </w:r>
    </w:p>
    <w:p w14:paraId="62838F48" w14:textId="77777777" w:rsidR="00ED27A9" w:rsidRDefault="00ED27A9" w:rsidP="00EA5BBC">
      <w:pPr>
        <w:spacing w:line="360" w:lineRule="auto"/>
        <w:jc w:val="both"/>
        <w:rPr>
          <w:rFonts w:ascii="Times New Roman" w:hAnsi="Times New Roman"/>
        </w:rPr>
      </w:pPr>
    </w:p>
    <w:p w14:paraId="6C1CB44A" w14:textId="77777777" w:rsidR="00F51BA9" w:rsidRPr="00EA5BBC" w:rsidRDefault="00F51BA9" w:rsidP="00EA5BBC">
      <w:pPr>
        <w:spacing w:line="360" w:lineRule="auto"/>
        <w:jc w:val="both"/>
        <w:rPr>
          <w:rFonts w:ascii="Times New Roman" w:hAnsi="Times New Roman"/>
        </w:rPr>
      </w:pPr>
    </w:p>
    <w:p w14:paraId="243D73BF" w14:textId="77777777" w:rsidR="00B4632B" w:rsidRDefault="00B4632B" w:rsidP="00EA5BBC">
      <w:pPr>
        <w:spacing w:line="360" w:lineRule="auto"/>
        <w:jc w:val="both"/>
        <w:rPr>
          <w:rFonts w:ascii="Times New Roman" w:hAnsi="Times New Roman"/>
        </w:rPr>
      </w:pPr>
    </w:p>
    <w:p w14:paraId="648E1969" w14:textId="77777777" w:rsidR="00F51BA9" w:rsidRPr="00EA5BBC" w:rsidRDefault="00F51BA9" w:rsidP="00EA5BBC">
      <w:pPr>
        <w:spacing w:line="360" w:lineRule="auto"/>
        <w:jc w:val="both"/>
        <w:rPr>
          <w:rFonts w:ascii="Times New Roman" w:hAnsi="Times New Roman"/>
        </w:rPr>
      </w:pPr>
    </w:p>
    <w:p w14:paraId="3A71C5BC" w14:textId="77777777" w:rsidR="00646D4B" w:rsidRPr="00EA5BBC" w:rsidRDefault="003910BF" w:rsidP="00EA5BBC">
      <w:pPr>
        <w:pStyle w:val="ListParagraph"/>
        <w:numPr>
          <w:ilvl w:val="0"/>
          <w:numId w:val="1"/>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OVERVIEW OF PROGRAMME</w:t>
      </w:r>
      <w:r w:rsidR="0029629B" w:rsidRPr="00EA5BBC">
        <w:rPr>
          <w:rFonts w:ascii="Times New Roman" w:hAnsi="Times New Roman" w:cs="Times New Roman"/>
          <w:b/>
          <w:sz w:val="24"/>
          <w:szCs w:val="24"/>
        </w:rPr>
        <w:t>S AND ALLOCATIONS</w:t>
      </w:r>
    </w:p>
    <w:p w14:paraId="39BB890D" w14:textId="77777777" w:rsidR="003910BF" w:rsidRPr="00EA5BBC" w:rsidRDefault="0090547C"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1: Administration</w:t>
      </w:r>
    </w:p>
    <w:p w14:paraId="6A8583B3" w14:textId="77777777" w:rsidR="003910BF" w:rsidRPr="00EA5BBC" w:rsidRDefault="0090547C"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eastAsia="MS Mincho" w:hAnsi="Times New Roman" w:cs="Times New Roman"/>
          <w:sz w:val="24"/>
          <w:szCs w:val="24"/>
          <w:lang w:val="en-US"/>
        </w:rPr>
        <w:t>The Administration programme provides strategic leadership, management and administrative support and capacity building to the Department. A budget of R484.7 million is allocated for 2018/19, up by R45.6 millio</w:t>
      </w:r>
      <w:r w:rsidR="003910BF" w:rsidRPr="00EA5BBC">
        <w:rPr>
          <w:rFonts w:ascii="Times New Roman" w:eastAsia="MS Mincho" w:hAnsi="Times New Roman" w:cs="Times New Roman"/>
          <w:sz w:val="24"/>
          <w:szCs w:val="24"/>
          <w:lang w:val="en-US"/>
        </w:rPr>
        <w:t>n from R439.1 million in 2017/18</w:t>
      </w:r>
    </w:p>
    <w:p w14:paraId="1F1A4AE9"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4EB8A12A" w14:textId="77777777" w:rsidR="003910BF" w:rsidRPr="00EA5BBC" w:rsidRDefault="0090547C"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2: Economic Policy, Tax, Financial Regulation and Research</w:t>
      </w:r>
    </w:p>
    <w:p w14:paraId="1C0B9DE7" w14:textId="77777777" w:rsidR="003910BF" w:rsidRPr="00EA5BBC" w:rsidRDefault="0090547C"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 xml:space="preserve">This programme provides economic research, maintains economic models and draft appropriate economic policies and legislation through its internal capacity and where necessary through consultancy services. The 2018/19 budget allocation is R141 million. </w:t>
      </w:r>
    </w:p>
    <w:p w14:paraId="04B57200" w14:textId="77777777" w:rsidR="003910BF" w:rsidRPr="00EA5BBC" w:rsidRDefault="0090547C"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Over the medium term, the department aims to conclude proposals for tax policy amendments. Spending on implementing these tax measures over the medium term is projected to be R30 million in 2018/19, R31 million in 2019/20 and R33.2 million in 2020/21.</w:t>
      </w:r>
    </w:p>
    <w:p w14:paraId="3FE31DA0"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06F462BD" w14:textId="77777777" w:rsidR="003910BF" w:rsidRPr="00EA5BBC" w:rsidRDefault="0090547C"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3: Public Finance and Budget Management</w:t>
      </w:r>
    </w:p>
    <w:p w14:paraId="687C9771" w14:textId="77777777" w:rsidR="003910BF" w:rsidRPr="00EA5BBC" w:rsidRDefault="0090547C"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This programme provides analysis and advice on fiscal policy and public finances and intergovernmental financial relations and manages the annual budget process and public finance management support. A total of R290 million is allocated for 2018/19.</w:t>
      </w:r>
    </w:p>
    <w:p w14:paraId="0ECABF64"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131D240A" w14:textId="77777777" w:rsidR="003910BF" w:rsidRPr="00EA5BBC" w:rsidRDefault="0090547C"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4: Asset and Liability Management</w:t>
      </w:r>
    </w:p>
    <w:p w14:paraId="5FFC5CC3" w14:textId="77777777" w:rsidR="003910BF" w:rsidRPr="00EA5BBC" w:rsidRDefault="0090547C"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The Asset and Liability Management programme manages financial assets, national debt and liquidity requirements of the fiscus to facilitate national expenditure and maintain favourable sovereign debt ratings.  Over the medium term, the strategic focus of this programme is to continue its oversight of state owned entities (SOEs) by enabling the SOEs to meet government’s policy objectives in a financially and fiscally sustainable manner, as well as promote sound corporate governance in SOEs. The programme’s budget allocation for 2018/19 amounted to R110 million</w:t>
      </w:r>
      <w:r w:rsidR="003910BF" w:rsidRPr="00EA5BBC">
        <w:rPr>
          <w:rFonts w:ascii="Times New Roman" w:hAnsi="Times New Roman" w:cs="Times New Roman"/>
          <w:sz w:val="24"/>
          <w:szCs w:val="24"/>
        </w:rPr>
        <w:t xml:space="preserve">. </w:t>
      </w:r>
    </w:p>
    <w:p w14:paraId="6F7F8977"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0AC99843" w14:textId="77777777" w:rsidR="003910BF" w:rsidRPr="00EA5BBC" w:rsidRDefault="00051C74"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5: Financial Accounting and Supply Chain Management System</w:t>
      </w:r>
    </w:p>
    <w:p w14:paraId="72E309E5" w14:textId="77777777" w:rsidR="003910BF" w:rsidRPr="00EA5BBC" w:rsidRDefault="00051C74"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The Financial Accounting and Supply Chain Management programme is allocated R1,2 billion for 2018/19 to promote effective and efficient government financial management and accountability across the three spheres of government.</w:t>
      </w:r>
    </w:p>
    <w:p w14:paraId="0AFF81F1" w14:textId="77777777" w:rsidR="003910BF" w:rsidRPr="00EA5BBC" w:rsidRDefault="00051C74"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Spending on activities related to government procurement processes is projected to be R196.5 million in 2018/19, R143.2 million in 2019/20 and R150.9 million in 2020/21 in the Programme Management for Financial Accounting and Supply Chain Management Systems.</w:t>
      </w:r>
    </w:p>
    <w:p w14:paraId="0728B5D3"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3FD406C4" w14:textId="77777777" w:rsidR="003910BF" w:rsidRPr="00EA5BBC" w:rsidRDefault="00051C74"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6: International Financial</w:t>
      </w:r>
      <w:r w:rsidRPr="00EA5BBC">
        <w:rPr>
          <w:rFonts w:ascii="Times New Roman" w:hAnsi="Times New Roman" w:cs="Times New Roman"/>
          <w:sz w:val="24"/>
          <w:szCs w:val="24"/>
        </w:rPr>
        <w:t xml:space="preserve"> </w:t>
      </w:r>
      <w:r w:rsidRPr="00EA5BBC">
        <w:rPr>
          <w:rFonts w:ascii="Times New Roman" w:hAnsi="Times New Roman" w:cs="Times New Roman"/>
          <w:b/>
          <w:sz w:val="24"/>
          <w:szCs w:val="24"/>
        </w:rPr>
        <w:t>Relations</w:t>
      </w:r>
    </w:p>
    <w:p w14:paraId="44146000" w14:textId="77777777" w:rsidR="003910BF" w:rsidRPr="00EA5BBC" w:rsidRDefault="003910BF"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International Financial Relations</w:t>
      </w:r>
      <w:r w:rsidR="00051C74" w:rsidRPr="00EA5BBC">
        <w:rPr>
          <w:rFonts w:ascii="Times New Roman" w:hAnsi="Times New Roman" w:cs="Times New Roman"/>
          <w:sz w:val="24"/>
          <w:szCs w:val="24"/>
        </w:rPr>
        <w:t xml:space="preserve"> will receive R5.4 billion in 2018/19, down by R429.3 million from R5.8 billion in 2017/18. This allocation is aligned to the programme’s mandate, which is to manage South Africa’s interests in shaping regional and global policies that advance the economic, financial and development objectives of the country and the African continent.</w:t>
      </w:r>
    </w:p>
    <w:p w14:paraId="5CB3AED3"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7446B1C9" w14:textId="77777777" w:rsidR="003910BF" w:rsidRPr="00EA5BBC" w:rsidRDefault="00051C74"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7: Civil and Military Pensions, Contribution to Funds and Other Benefits</w:t>
      </w:r>
    </w:p>
    <w:p w14:paraId="571F63C1" w14:textId="77777777" w:rsidR="003910BF" w:rsidRPr="00EA5BBC" w:rsidRDefault="00051C74"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The mandate of this programme is to ensure that government’s pension and post-retirement medical benefit obligations to former employees of the state and retired military members are fulfilled. Its allocation amounts to R5.2 billion in 2018/19, up by R329 million</w:t>
      </w:r>
      <w:r w:rsidR="003910BF" w:rsidRPr="00EA5BBC">
        <w:rPr>
          <w:rFonts w:ascii="Times New Roman" w:hAnsi="Times New Roman" w:cs="Times New Roman"/>
          <w:sz w:val="24"/>
          <w:szCs w:val="24"/>
        </w:rPr>
        <w:t xml:space="preserve"> the previous year</w:t>
      </w:r>
      <w:r w:rsidRPr="00EA5BBC">
        <w:rPr>
          <w:rFonts w:ascii="Times New Roman" w:hAnsi="Times New Roman" w:cs="Times New Roman"/>
          <w:sz w:val="24"/>
          <w:szCs w:val="24"/>
        </w:rPr>
        <w:t>.</w:t>
      </w:r>
    </w:p>
    <w:p w14:paraId="6A42C724" w14:textId="77777777" w:rsidR="003910BF" w:rsidRPr="00EA5BBC" w:rsidRDefault="003910BF" w:rsidP="00EA5BBC">
      <w:pPr>
        <w:pStyle w:val="ListParagraph"/>
        <w:spacing w:line="360" w:lineRule="auto"/>
        <w:jc w:val="both"/>
        <w:rPr>
          <w:rFonts w:ascii="Times New Roman" w:hAnsi="Times New Roman" w:cs="Times New Roman"/>
          <w:b/>
          <w:sz w:val="24"/>
          <w:szCs w:val="24"/>
        </w:rPr>
      </w:pPr>
    </w:p>
    <w:p w14:paraId="1EDE9CBA" w14:textId="77777777" w:rsidR="003910BF" w:rsidRPr="00EA5BBC" w:rsidRDefault="00051C74"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8: Technical Support and Development Finance</w:t>
      </w:r>
    </w:p>
    <w:p w14:paraId="5D2F4D95" w14:textId="77777777" w:rsidR="003910BF" w:rsidRPr="00EA5BBC" w:rsidRDefault="00051C74"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Th</w:t>
      </w:r>
      <w:r w:rsidR="003910BF" w:rsidRPr="00EA5BBC">
        <w:rPr>
          <w:rFonts w:ascii="Times New Roman" w:hAnsi="Times New Roman" w:cs="Times New Roman"/>
          <w:sz w:val="24"/>
          <w:szCs w:val="24"/>
        </w:rPr>
        <w:t>is</w:t>
      </w:r>
      <w:r w:rsidRPr="00EA5BBC">
        <w:rPr>
          <w:rFonts w:ascii="Times New Roman" w:hAnsi="Times New Roman" w:cs="Times New Roman"/>
          <w:sz w:val="24"/>
          <w:szCs w:val="24"/>
        </w:rPr>
        <w:t xml:space="preserve"> programme is responsible for providing advisory services, programme management and development finance support to improve public finance management, as well as support high-impact government initiatives. It is also responsible for facilitating employment creation and strengthening infrastructure planning and delivery across the three spheres of government. The programme is allocated R2.8 billion for 2018/19, down by R240.3 million from R2 558.5 million in 2017/18</w:t>
      </w:r>
      <w:r w:rsidR="003910BF" w:rsidRPr="00EA5BBC">
        <w:rPr>
          <w:rFonts w:ascii="Times New Roman" w:hAnsi="Times New Roman" w:cs="Times New Roman"/>
          <w:sz w:val="24"/>
          <w:szCs w:val="24"/>
        </w:rPr>
        <w:t xml:space="preserve">. </w:t>
      </w:r>
    </w:p>
    <w:p w14:paraId="7AC027F0" w14:textId="77777777" w:rsidR="003910BF" w:rsidRPr="00EA5BBC" w:rsidRDefault="003910BF" w:rsidP="00EA5BBC">
      <w:pPr>
        <w:pStyle w:val="ListParagraph"/>
        <w:spacing w:line="360" w:lineRule="auto"/>
        <w:ind w:left="360"/>
        <w:jc w:val="both"/>
        <w:rPr>
          <w:rFonts w:ascii="Times New Roman" w:hAnsi="Times New Roman" w:cs="Times New Roman"/>
          <w:b/>
          <w:sz w:val="24"/>
          <w:szCs w:val="24"/>
        </w:rPr>
      </w:pPr>
    </w:p>
    <w:p w14:paraId="38C92816" w14:textId="77777777" w:rsidR="003910BF" w:rsidRPr="00EA5BBC" w:rsidRDefault="00051C74"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Programme 9: Revenue Administration</w:t>
      </w:r>
    </w:p>
    <w:p w14:paraId="18139E40" w14:textId="77777777" w:rsidR="003910BF" w:rsidRPr="00EA5BBC" w:rsidRDefault="00051C74"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lastRenderedPageBreak/>
        <w:t>The Revenue Administration programme receives an allocation of R9.0 billion in 2018/19, down R1.2billion from R10.2 billion in 2017/18. The budget allocation is a transfer payment to the South African Revenue Service, which is responsible for administering the tax system</w:t>
      </w:r>
      <w:r w:rsidR="00646D4B" w:rsidRPr="00EA5BBC">
        <w:rPr>
          <w:rFonts w:ascii="Times New Roman" w:hAnsi="Times New Roman" w:cs="Times New Roman"/>
          <w:sz w:val="24"/>
          <w:szCs w:val="24"/>
        </w:rPr>
        <w:t>.</w:t>
      </w:r>
    </w:p>
    <w:p w14:paraId="43AAB0F3" w14:textId="77777777" w:rsidR="003910BF" w:rsidRDefault="003910BF" w:rsidP="00EA5BBC">
      <w:pPr>
        <w:pStyle w:val="ListParagraph"/>
        <w:spacing w:line="360" w:lineRule="auto"/>
        <w:jc w:val="both"/>
        <w:rPr>
          <w:rFonts w:ascii="Times New Roman" w:hAnsi="Times New Roman" w:cs="Times New Roman"/>
          <w:b/>
          <w:sz w:val="24"/>
          <w:szCs w:val="24"/>
        </w:rPr>
      </w:pPr>
    </w:p>
    <w:p w14:paraId="065340DC" w14:textId="77777777" w:rsidR="00F51BA9" w:rsidRDefault="00F51BA9" w:rsidP="00EA5BBC">
      <w:pPr>
        <w:pStyle w:val="ListParagraph"/>
        <w:spacing w:line="360" w:lineRule="auto"/>
        <w:jc w:val="both"/>
        <w:rPr>
          <w:rFonts w:ascii="Times New Roman" w:hAnsi="Times New Roman" w:cs="Times New Roman"/>
          <w:b/>
          <w:sz w:val="24"/>
          <w:szCs w:val="24"/>
        </w:rPr>
      </w:pPr>
    </w:p>
    <w:p w14:paraId="42EBDE96" w14:textId="77777777" w:rsidR="00F51BA9" w:rsidRPr="00EA5BBC" w:rsidRDefault="00F51BA9" w:rsidP="00EA5BBC">
      <w:pPr>
        <w:pStyle w:val="ListParagraph"/>
        <w:spacing w:line="360" w:lineRule="auto"/>
        <w:jc w:val="both"/>
        <w:rPr>
          <w:rFonts w:ascii="Times New Roman" w:hAnsi="Times New Roman" w:cs="Times New Roman"/>
          <w:b/>
          <w:sz w:val="24"/>
          <w:szCs w:val="24"/>
        </w:rPr>
      </w:pPr>
    </w:p>
    <w:p w14:paraId="6DC6EFD7" w14:textId="77777777" w:rsidR="003910BF" w:rsidRPr="00EA5BBC" w:rsidRDefault="00646D4B" w:rsidP="00EA5BBC">
      <w:pPr>
        <w:pStyle w:val="ListParagraph"/>
        <w:numPr>
          <w:ilvl w:val="1"/>
          <w:numId w:val="16"/>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 xml:space="preserve"> </w:t>
      </w:r>
      <w:r w:rsidR="00051C74" w:rsidRPr="00EA5BBC">
        <w:rPr>
          <w:rFonts w:ascii="Times New Roman" w:hAnsi="Times New Roman" w:cs="Times New Roman"/>
          <w:b/>
          <w:sz w:val="24"/>
          <w:szCs w:val="24"/>
        </w:rPr>
        <w:t>Programme 10: Financial Intelligence and State Security</w:t>
      </w:r>
    </w:p>
    <w:p w14:paraId="03EBF2A9" w14:textId="77777777" w:rsidR="00051C74" w:rsidRPr="00EA5BBC" w:rsidRDefault="00051C74" w:rsidP="00EA5BBC">
      <w:pPr>
        <w:pStyle w:val="ListParagraph"/>
        <w:numPr>
          <w:ilvl w:val="2"/>
          <w:numId w:val="16"/>
        </w:numPr>
        <w:spacing w:line="360" w:lineRule="auto"/>
        <w:jc w:val="both"/>
        <w:rPr>
          <w:rFonts w:ascii="Times New Roman" w:hAnsi="Times New Roman" w:cs="Times New Roman"/>
          <w:sz w:val="24"/>
          <w:szCs w:val="24"/>
        </w:rPr>
      </w:pPr>
      <w:r w:rsidRPr="00EA5BBC">
        <w:rPr>
          <w:rFonts w:ascii="Times New Roman" w:hAnsi="Times New Roman" w:cs="Times New Roman"/>
          <w:sz w:val="24"/>
          <w:szCs w:val="24"/>
        </w:rPr>
        <w:t>Financial Intelligence and State Security essentially comprises transfers made to the Financial Intelligence Centre to combat financial crimes, including money laundering and terror financing activities. The 2018/19 allocation for the Financial Intelligence Centre and the South African Secret Services is R278.7 million (up by R8.5 million from R270.2 million in 2017/18) and R4.5 billion (down by R20.6 million from R4.7 billion in 2017/18), respectively.</w:t>
      </w:r>
      <w:r w:rsidRPr="00EA5BBC">
        <w:rPr>
          <w:rFonts w:ascii="Times New Roman" w:hAnsi="Times New Roman" w:cs="Times New Roman"/>
          <w:sz w:val="24"/>
          <w:szCs w:val="24"/>
        </w:rPr>
        <w:tab/>
      </w:r>
    </w:p>
    <w:p w14:paraId="0DC8F213" w14:textId="77777777" w:rsidR="00646D4B" w:rsidRPr="00EA5BBC" w:rsidRDefault="00646D4B" w:rsidP="00EA5BBC">
      <w:pPr>
        <w:pStyle w:val="ListParagraph"/>
        <w:spacing w:line="360" w:lineRule="auto"/>
        <w:ind w:left="360"/>
        <w:jc w:val="both"/>
        <w:rPr>
          <w:rFonts w:ascii="Times New Roman" w:hAnsi="Times New Roman" w:cs="Times New Roman"/>
          <w:b/>
          <w:sz w:val="24"/>
          <w:szCs w:val="24"/>
        </w:rPr>
      </w:pPr>
    </w:p>
    <w:p w14:paraId="70FB6A9D" w14:textId="77777777" w:rsidR="0029629B" w:rsidRPr="00EA5BBC" w:rsidRDefault="0029629B" w:rsidP="00EA5BBC">
      <w:pPr>
        <w:pStyle w:val="ListParagraph"/>
        <w:spacing w:line="360" w:lineRule="auto"/>
        <w:ind w:left="360"/>
        <w:jc w:val="both"/>
        <w:rPr>
          <w:rFonts w:ascii="Times New Roman" w:hAnsi="Times New Roman" w:cs="Times New Roman"/>
          <w:b/>
          <w:sz w:val="24"/>
          <w:szCs w:val="24"/>
        </w:rPr>
      </w:pPr>
    </w:p>
    <w:p w14:paraId="7835ED36" w14:textId="77777777" w:rsidR="00036A07" w:rsidRPr="00EA5BBC" w:rsidRDefault="00036A07" w:rsidP="00EA5BBC">
      <w:pPr>
        <w:pStyle w:val="ListParagraph"/>
        <w:numPr>
          <w:ilvl w:val="0"/>
          <w:numId w:val="1"/>
        </w:numPr>
        <w:spacing w:line="360" w:lineRule="auto"/>
        <w:jc w:val="both"/>
        <w:rPr>
          <w:rFonts w:ascii="Times New Roman" w:hAnsi="Times New Roman" w:cs="Times New Roman"/>
          <w:b/>
          <w:sz w:val="24"/>
          <w:szCs w:val="24"/>
        </w:rPr>
      </w:pPr>
      <w:r w:rsidRPr="00EA5BBC">
        <w:rPr>
          <w:rFonts w:ascii="Times New Roman" w:hAnsi="Times New Roman" w:cs="Times New Roman"/>
          <w:b/>
          <w:sz w:val="24"/>
          <w:szCs w:val="24"/>
        </w:rPr>
        <w:t>OBSERVATIONS AND RECOMMENDATIONS</w:t>
      </w:r>
    </w:p>
    <w:p w14:paraId="47DA2B46" w14:textId="77777777" w:rsidR="0038004E" w:rsidRPr="00EA5BBC" w:rsidRDefault="0038004E"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w:t>
      </w:r>
      <w:r w:rsidR="00B37A90" w:rsidRPr="00EA5BBC">
        <w:rPr>
          <w:rFonts w:ascii="Times New Roman" w:hAnsi="Times New Roman" w:cs="Times New Roman"/>
          <w:color w:val="000000" w:themeColor="text1"/>
          <w:sz w:val="24"/>
          <w:szCs w:val="24"/>
        </w:rPr>
        <w:t xml:space="preserve">supports </w:t>
      </w:r>
      <w:r w:rsidRPr="00EA5BBC">
        <w:rPr>
          <w:rFonts w:ascii="Times New Roman" w:hAnsi="Times New Roman" w:cs="Times New Roman"/>
          <w:color w:val="000000" w:themeColor="text1"/>
          <w:sz w:val="24"/>
          <w:szCs w:val="24"/>
        </w:rPr>
        <w:t>NT</w:t>
      </w:r>
      <w:r w:rsidR="0029235F" w:rsidRPr="00EA5BBC">
        <w:rPr>
          <w:rFonts w:ascii="Times New Roman" w:hAnsi="Times New Roman" w:cs="Times New Roman"/>
          <w:color w:val="000000" w:themeColor="text1"/>
          <w:sz w:val="24"/>
          <w:szCs w:val="24"/>
        </w:rPr>
        <w:t>’</w:t>
      </w:r>
      <w:r w:rsidRPr="00EA5BBC">
        <w:rPr>
          <w:rFonts w:ascii="Times New Roman" w:hAnsi="Times New Roman" w:cs="Times New Roman"/>
          <w:color w:val="000000" w:themeColor="text1"/>
          <w:sz w:val="24"/>
          <w:szCs w:val="24"/>
        </w:rPr>
        <w:t xml:space="preserve">s </w:t>
      </w:r>
      <w:r w:rsidR="0029235F" w:rsidRPr="00EA5BBC">
        <w:rPr>
          <w:rFonts w:ascii="Times New Roman" w:hAnsi="Times New Roman" w:cs="Times New Roman"/>
          <w:color w:val="000000" w:themeColor="text1"/>
          <w:sz w:val="24"/>
          <w:szCs w:val="24"/>
        </w:rPr>
        <w:t>renew</w:t>
      </w:r>
      <w:r w:rsidR="00A13F44" w:rsidRPr="00EA5BBC">
        <w:rPr>
          <w:rFonts w:ascii="Times New Roman" w:hAnsi="Times New Roman" w:cs="Times New Roman"/>
          <w:color w:val="000000" w:themeColor="text1"/>
          <w:sz w:val="24"/>
          <w:szCs w:val="24"/>
        </w:rPr>
        <w:t>e</w:t>
      </w:r>
      <w:r w:rsidR="0029235F" w:rsidRPr="00EA5BBC">
        <w:rPr>
          <w:rFonts w:ascii="Times New Roman" w:hAnsi="Times New Roman" w:cs="Times New Roman"/>
          <w:color w:val="000000" w:themeColor="text1"/>
          <w:sz w:val="24"/>
          <w:szCs w:val="24"/>
        </w:rPr>
        <w:t xml:space="preserve">d </w:t>
      </w:r>
      <w:r w:rsidRPr="00EA5BBC">
        <w:rPr>
          <w:rFonts w:ascii="Times New Roman" w:hAnsi="Times New Roman" w:cs="Times New Roman"/>
          <w:color w:val="000000" w:themeColor="text1"/>
          <w:sz w:val="24"/>
          <w:szCs w:val="24"/>
        </w:rPr>
        <w:t>focus on fostering economic growth</w:t>
      </w:r>
      <w:r w:rsidR="00771A49" w:rsidRPr="00EA5BBC">
        <w:rPr>
          <w:rFonts w:ascii="Times New Roman" w:hAnsi="Times New Roman" w:cs="Times New Roman"/>
          <w:color w:val="000000" w:themeColor="text1"/>
          <w:sz w:val="24"/>
          <w:szCs w:val="24"/>
        </w:rPr>
        <w:t xml:space="preserve"> through encouraging investment</w:t>
      </w:r>
      <w:r w:rsidRPr="00EA5BBC">
        <w:rPr>
          <w:rFonts w:ascii="Times New Roman" w:hAnsi="Times New Roman" w:cs="Times New Roman"/>
          <w:color w:val="000000" w:themeColor="text1"/>
          <w:sz w:val="24"/>
          <w:szCs w:val="24"/>
        </w:rPr>
        <w:t xml:space="preserve"> and job creation, particularly for the youth. </w:t>
      </w:r>
      <w:r w:rsidR="00A13F44" w:rsidRPr="00EA5BBC">
        <w:rPr>
          <w:rFonts w:ascii="Times New Roman" w:hAnsi="Times New Roman" w:cs="Times New Roman"/>
          <w:color w:val="000000" w:themeColor="text1"/>
          <w:sz w:val="24"/>
          <w:szCs w:val="24"/>
        </w:rPr>
        <w:t xml:space="preserve">The Committee expects the </w:t>
      </w:r>
      <w:r w:rsidRPr="00EA5BBC">
        <w:rPr>
          <w:rFonts w:ascii="Times New Roman" w:hAnsi="Times New Roman" w:cs="Times New Roman"/>
          <w:color w:val="000000" w:themeColor="text1"/>
          <w:sz w:val="24"/>
          <w:szCs w:val="24"/>
        </w:rPr>
        <w:t>upcoming investment conference</w:t>
      </w:r>
      <w:r w:rsidR="00A13F44" w:rsidRPr="00EA5BBC">
        <w:rPr>
          <w:rFonts w:ascii="Times New Roman" w:hAnsi="Times New Roman" w:cs="Times New Roman"/>
          <w:color w:val="000000" w:themeColor="text1"/>
          <w:sz w:val="24"/>
          <w:szCs w:val="24"/>
        </w:rPr>
        <w:t xml:space="preserve"> to be productive and lead to concrete outcomes</w:t>
      </w:r>
      <w:r w:rsidRPr="00EA5BBC">
        <w:rPr>
          <w:rFonts w:ascii="Times New Roman" w:hAnsi="Times New Roman" w:cs="Times New Roman"/>
          <w:color w:val="000000" w:themeColor="text1"/>
          <w:sz w:val="24"/>
          <w:szCs w:val="24"/>
        </w:rPr>
        <w:t>. In the Fiscal Framework and Revenue</w:t>
      </w:r>
      <w:r w:rsidR="00EB0828" w:rsidRPr="00EA5BBC">
        <w:rPr>
          <w:rFonts w:ascii="Times New Roman" w:hAnsi="Times New Roman" w:cs="Times New Roman"/>
          <w:color w:val="000000" w:themeColor="text1"/>
          <w:sz w:val="24"/>
          <w:szCs w:val="24"/>
        </w:rPr>
        <w:t xml:space="preserve"> Proposals R</w:t>
      </w:r>
      <w:r w:rsidRPr="00EA5BBC">
        <w:rPr>
          <w:rFonts w:ascii="Times New Roman" w:hAnsi="Times New Roman" w:cs="Times New Roman"/>
          <w:color w:val="000000" w:themeColor="text1"/>
          <w:sz w:val="24"/>
          <w:szCs w:val="24"/>
        </w:rPr>
        <w:t xml:space="preserve">eport (2018), the Committee noted that some progress had been made in implementing the 14 confidence boosting measures that the Minister of Finance started implementing </w:t>
      </w:r>
      <w:r w:rsidR="00EB0828" w:rsidRPr="00EA5BBC">
        <w:rPr>
          <w:rFonts w:ascii="Times New Roman" w:hAnsi="Times New Roman" w:cs="Times New Roman"/>
          <w:color w:val="000000" w:themeColor="text1"/>
          <w:sz w:val="24"/>
          <w:szCs w:val="24"/>
        </w:rPr>
        <w:t xml:space="preserve">in </w:t>
      </w:r>
      <w:r w:rsidRPr="00EA5BBC">
        <w:rPr>
          <w:rFonts w:ascii="Times New Roman" w:hAnsi="Times New Roman" w:cs="Times New Roman"/>
          <w:color w:val="000000" w:themeColor="text1"/>
          <w:sz w:val="24"/>
          <w:szCs w:val="24"/>
        </w:rPr>
        <w:t xml:space="preserve"> 2017, </w:t>
      </w:r>
      <w:r w:rsidR="006F00F9" w:rsidRPr="00EA5BBC">
        <w:rPr>
          <w:rFonts w:ascii="Times New Roman" w:hAnsi="Times New Roman" w:cs="Times New Roman"/>
          <w:color w:val="000000" w:themeColor="text1"/>
          <w:sz w:val="24"/>
          <w:szCs w:val="24"/>
        </w:rPr>
        <w:t xml:space="preserve">The Committee </w:t>
      </w:r>
      <w:r w:rsidRPr="00EA5BBC">
        <w:rPr>
          <w:rFonts w:ascii="Times New Roman" w:hAnsi="Times New Roman" w:cs="Times New Roman"/>
          <w:color w:val="000000" w:themeColor="text1"/>
          <w:sz w:val="24"/>
          <w:szCs w:val="24"/>
        </w:rPr>
        <w:t xml:space="preserve"> continue</w:t>
      </w:r>
      <w:r w:rsidR="006F00F9"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to urge NT to rigorously implement the confidence boosting measures to unlock S</w:t>
      </w:r>
      <w:r w:rsidR="00EB0828" w:rsidRPr="00EA5BBC">
        <w:rPr>
          <w:rFonts w:ascii="Times New Roman" w:hAnsi="Times New Roman" w:cs="Times New Roman"/>
          <w:color w:val="000000" w:themeColor="text1"/>
          <w:sz w:val="24"/>
          <w:szCs w:val="24"/>
        </w:rPr>
        <w:t xml:space="preserve">outh </w:t>
      </w:r>
      <w:r w:rsidRPr="00EA5BBC">
        <w:rPr>
          <w:rFonts w:ascii="Times New Roman" w:hAnsi="Times New Roman" w:cs="Times New Roman"/>
          <w:color w:val="000000" w:themeColor="text1"/>
          <w:sz w:val="24"/>
          <w:szCs w:val="24"/>
        </w:rPr>
        <w:t>A</w:t>
      </w:r>
      <w:r w:rsidR="00EB0828" w:rsidRPr="00EA5BBC">
        <w:rPr>
          <w:rFonts w:ascii="Times New Roman" w:hAnsi="Times New Roman" w:cs="Times New Roman"/>
          <w:color w:val="000000" w:themeColor="text1"/>
          <w:sz w:val="24"/>
          <w:szCs w:val="24"/>
        </w:rPr>
        <w:t>frica</w:t>
      </w:r>
      <w:r w:rsidRPr="00EA5BBC">
        <w:rPr>
          <w:rFonts w:ascii="Times New Roman" w:hAnsi="Times New Roman" w:cs="Times New Roman"/>
          <w:color w:val="000000" w:themeColor="text1"/>
          <w:sz w:val="24"/>
          <w:szCs w:val="24"/>
        </w:rPr>
        <w:t xml:space="preserve">’s growth potential and report progress quarterly to the Committee, taking into account the President’s </w:t>
      </w:r>
      <w:r w:rsidR="00A13F44" w:rsidRPr="00EA5BBC">
        <w:rPr>
          <w:rFonts w:ascii="Times New Roman" w:hAnsi="Times New Roman" w:cs="Times New Roman"/>
          <w:color w:val="000000" w:themeColor="text1"/>
          <w:sz w:val="24"/>
          <w:szCs w:val="24"/>
        </w:rPr>
        <w:t>10-point plan announced in the State of the Nation A</w:t>
      </w:r>
      <w:r w:rsidRPr="00EA5BBC">
        <w:rPr>
          <w:rFonts w:ascii="Times New Roman" w:hAnsi="Times New Roman" w:cs="Times New Roman"/>
          <w:color w:val="000000" w:themeColor="text1"/>
          <w:sz w:val="24"/>
          <w:szCs w:val="24"/>
        </w:rPr>
        <w:t xml:space="preserve">ddress </w:t>
      </w:r>
      <w:r w:rsidR="00A13F44" w:rsidRPr="00EA5BBC">
        <w:rPr>
          <w:rFonts w:ascii="Times New Roman" w:hAnsi="Times New Roman" w:cs="Times New Roman"/>
          <w:color w:val="000000" w:themeColor="text1"/>
          <w:sz w:val="24"/>
          <w:szCs w:val="24"/>
        </w:rPr>
        <w:t>this year.</w:t>
      </w:r>
    </w:p>
    <w:p w14:paraId="17BB039C" w14:textId="77777777" w:rsidR="005E2FA1" w:rsidRPr="00EA5BBC" w:rsidRDefault="005E2FA1"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welcomes the latest economic information which shows that the </w:t>
      </w:r>
      <w:r w:rsidR="004B79FD" w:rsidRPr="00EA5BBC">
        <w:rPr>
          <w:rFonts w:ascii="Times New Roman" w:hAnsi="Times New Roman" w:cs="Times New Roman"/>
          <w:color w:val="000000" w:themeColor="text1"/>
          <w:sz w:val="24"/>
          <w:szCs w:val="24"/>
        </w:rPr>
        <w:t xml:space="preserve">government  </w:t>
      </w:r>
      <w:r w:rsidRPr="00EA5BBC">
        <w:rPr>
          <w:rFonts w:ascii="Times New Roman" w:hAnsi="Times New Roman" w:cs="Times New Roman"/>
          <w:color w:val="000000" w:themeColor="text1"/>
          <w:sz w:val="24"/>
          <w:szCs w:val="24"/>
        </w:rPr>
        <w:t>did not breach its expenditure ceiling in the 2017/18 financial year</w:t>
      </w:r>
      <w:r w:rsidR="004B79FD" w:rsidRPr="00EA5BBC">
        <w:rPr>
          <w:rFonts w:ascii="Times New Roman" w:hAnsi="Times New Roman" w:cs="Times New Roman"/>
          <w:color w:val="000000" w:themeColor="text1"/>
          <w:sz w:val="24"/>
          <w:szCs w:val="24"/>
        </w:rPr>
        <w:t>.</w:t>
      </w:r>
      <w:r w:rsidRPr="00EA5BBC">
        <w:rPr>
          <w:rFonts w:ascii="Times New Roman" w:hAnsi="Times New Roman" w:cs="Times New Roman"/>
          <w:color w:val="000000" w:themeColor="text1"/>
          <w:sz w:val="24"/>
          <w:szCs w:val="24"/>
        </w:rPr>
        <w:t xml:space="preserve"> </w:t>
      </w:r>
      <w:r w:rsidR="006F00F9" w:rsidRPr="00EA5BBC">
        <w:rPr>
          <w:rFonts w:ascii="Times New Roman" w:hAnsi="Times New Roman" w:cs="Times New Roman"/>
          <w:color w:val="000000" w:themeColor="text1"/>
          <w:sz w:val="24"/>
          <w:szCs w:val="24"/>
        </w:rPr>
        <w:t>The Committee</w:t>
      </w:r>
      <w:r w:rsidR="00350987" w:rsidRPr="00EA5BBC">
        <w:rPr>
          <w:rFonts w:ascii="Times New Roman" w:hAnsi="Times New Roman" w:cs="Times New Roman"/>
          <w:color w:val="000000" w:themeColor="text1"/>
          <w:sz w:val="24"/>
          <w:szCs w:val="24"/>
        </w:rPr>
        <w:t>note</w:t>
      </w:r>
      <w:r w:rsidR="006F00F9" w:rsidRPr="00EA5BBC">
        <w:rPr>
          <w:rFonts w:ascii="Times New Roman" w:hAnsi="Times New Roman" w:cs="Times New Roman"/>
          <w:color w:val="000000" w:themeColor="text1"/>
          <w:sz w:val="24"/>
          <w:szCs w:val="24"/>
        </w:rPr>
        <w:t>s</w:t>
      </w:r>
      <w:r w:rsidR="00350987" w:rsidRPr="00EA5BBC">
        <w:rPr>
          <w:rFonts w:ascii="Times New Roman" w:hAnsi="Times New Roman" w:cs="Times New Roman"/>
          <w:color w:val="000000" w:themeColor="text1"/>
          <w:sz w:val="24"/>
          <w:szCs w:val="24"/>
        </w:rPr>
        <w:t xml:space="preserve"> that the expenditure ceilings have been further reduced over the </w:t>
      </w:r>
      <w:r w:rsidR="00FD53F1" w:rsidRPr="00EA5BBC">
        <w:rPr>
          <w:rFonts w:ascii="Times New Roman" w:hAnsi="Times New Roman" w:cs="Times New Roman"/>
          <w:color w:val="000000" w:themeColor="text1"/>
          <w:sz w:val="24"/>
          <w:szCs w:val="24"/>
        </w:rPr>
        <w:t xml:space="preserve">medium term </w:t>
      </w:r>
      <w:r w:rsidR="00A13F44" w:rsidRPr="00EA5BBC">
        <w:rPr>
          <w:rFonts w:ascii="Times New Roman" w:hAnsi="Times New Roman" w:cs="Times New Roman"/>
          <w:color w:val="000000" w:themeColor="text1"/>
          <w:sz w:val="24"/>
          <w:szCs w:val="24"/>
        </w:rPr>
        <w:t>but</w:t>
      </w:r>
      <w:r w:rsidR="00FD53F1" w:rsidRPr="00EA5BBC">
        <w:rPr>
          <w:rFonts w:ascii="Times New Roman" w:hAnsi="Times New Roman" w:cs="Times New Roman"/>
          <w:color w:val="000000" w:themeColor="text1"/>
          <w:sz w:val="24"/>
          <w:szCs w:val="24"/>
        </w:rPr>
        <w:t xml:space="preserve"> risks to them remain</w:t>
      </w:r>
      <w:r w:rsidR="004B79FD" w:rsidRPr="00EA5BBC">
        <w:rPr>
          <w:rFonts w:ascii="Times New Roman" w:hAnsi="Times New Roman" w:cs="Times New Roman"/>
          <w:color w:val="000000" w:themeColor="text1"/>
          <w:sz w:val="24"/>
          <w:szCs w:val="24"/>
        </w:rPr>
        <w:t xml:space="preserve">, particularly in view of </w:t>
      </w:r>
      <w:r w:rsidR="00350987" w:rsidRPr="00EA5BBC">
        <w:rPr>
          <w:rFonts w:ascii="Times New Roman" w:hAnsi="Times New Roman" w:cs="Times New Roman"/>
          <w:color w:val="000000" w:themeColor="text1"/>
          <w:sz w:val="24"/>
          <w:szCs w:val="24"/>
        </w:rPr>
        <w:t xml:space="preserve"> </w:t>
      </w:r>
      <w:r w:rsidR="00FD53F1" w:rsidRPr="00EA5BBC">
        <w:rPr>
          <w:rFonts w:ascii="Times New Roman" w:hAnsi="Times New Roman" w:cs="Times New Roman"/>
          <w:color w:val="000000" w:themeColor="text1"/>
          <w:sz w:val="24"/>
          <w:szCs w:val="24"/>
        </w:rPr>
        <w:t xml:space="preserve">the </w:t>
      </w:r>
      <w:r w:rsidR="00350987" w:rsidRPr="00EA5BBC">
        <w:rPr>
          <w:rFonts w:ascii="Times New Roman" w:hAnsi="Times New Roman" w:cs="Times New Roman"/>
          <w:color w:val="000000" w:themeColor="text1"/>
          <w:sz w:val="24"/>
          <w:szCs w:val="24"/>
        </w:rPr>
        <w:t xml:space="preserve">financial state of some SOCs. </w:t>
      </w:r>
      <w:r w:rsidR="004B79FD" w:rsidRPr="00EA5BBC">
        <w:rPr>
          <w:rFonts w:ascii="Times New Roman" w:hAnsi="Times New Roman" w:cs="Times New Roman"/>
          <w:color w:val="000000" w:themeColor="text1"/>
          <w:sz w:val="24"/>
          <w:szCs w:val="24"/>
        </w:rPr>
        <w:t>The Committee repeats its concern that the reduction of expenditure ceilings should flow mainly from greater efficiencies in government and reduction of corruption, and should not be at the expense of service delivery to the poor and disadvantaged.</w:t>
      </w:r>
      <w:r w:rsidRPr="00EA5BBC">
        <w:rPr>
          <w:rFonts w:ascii="Times New Roman" w:hAnsi="Times New Roman" w:cs="Times New Roman"/>
          <w:color w:val="000000" w:themeColor="text1"/>
          <w:sz w:val="24"/>
          <w:szCs w:val="24"/>
        </w:rPr>
        <w:t xml:space="preserve"> </w:t>
      </w:r>
    </w:p>
    <w:p w14:paraId="7C862FB7" w14:textId="77777777" w:rsidR="00DA11A3" w:rsidRPr="00EA5BBC" w:rsidRDefault="00204960"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lastRenderedPageBreak/>
        <w:t>The Co</w:t>
      </w:r>
      <w:r w:rsidR="00D62175" w:rsidRPr="00EA5BBC">
        <w:rPr>
          <w:rFonts w:ascii="Times New Roman" w:hAnsi="Times New Roman" w:cs="Times New Roman"/>
          <w:color w:val="000000" w:themeColor="text1"/>
          <w:sz w:val="24"/>
          <w:szCs w:val="24"/>
        </w:rPr>
        <w:t xml:space="preserve">mmittee notes that many state-owned companies (SOCs) continue to pose risks on the government’s balance sheet. </w:t>
      </w:r>
      <w:r w:rsidR="006F00F9" w:rsidRPr="00EA5BBC">
        <w:rPr>
          <w:rFonts w:ascii="Times New Roman" w:hAnsi="Times New Roman" w:cs="Times New Roman"/>
          <w:color w:val="000000" w:themeColor="text1"/>
          <w:sz w:val="24"/>
          <w:szCs w:val="24"/>
        </w:rPr>
        <w:t xml:space="preserve">The Committee </w:t>
      </w:r>
      <w:r w:rsidR="00D62175" w:rsidRPr="00EA5BBC">
        <w:rPr>
          <w:rFonts w:ascii="Times New Roman" w:hAnsi="Times New Roman" w:cs="Times New Roman"/>
          <w:color w:val="000000" w:themeColor="text1"/>
          <w:sz w:val="24"/>
          <w:szCs w:val="24"/>
        </w:rPr>
        <w:t>note</w:t>
      </w:r>
      <w:r w:rsidR="006F00F9" w:rsidRPr="00EA5BBC">
        <w:rPr>
          <w:rFonts w:ascii="Times New Roman" w:hAnsi="Times New Roman" w:cs="Times New Roman"/>
          <w:color w:val="000000" w:themeColor="text1"/>
          <w:sz w:val="24"/>
          <w:szCs w:val="24"/>
        </w:rPr>
        <w:t>s</w:t>
      </w:r>
      <w:r w:rsidR="00D62175" w:rsidRPr="00EA5BBC">
        <w:rPr>
          <w:rFonts w:ascii="Times New Roman" w:hAnsi="Times New Roman" w:cs="Times New Roman"/>
          <w:color w:val="000000" w:themeColor="text1"/>
          <w:sz w:val="24"/>
          <w:szCs w:val="24"/>
        </w:rPr>
        <w:t xml:space="preserve"> governance improvements at Eskom which ha</w:t>
      </w:r>
      <w:r w:rsidR="004B79FD" w:rsidRPr="00EA5BBC">
        <w:rPr>
          <w:rFonts w:ascii="Times New Roman" w:hAnsi="Times New Roman" w:cs="Times New Roman"/>
          <w:color w:val="000000" w:themeColor="text1"/>
          <w:sz w:val="24"/>
          <w:szCs w:val="24"/>
        </w:rPr>
        <w:t>ve</w:t>
      </w:r>
      <w:r w:rsidR="00D62175" w:rsidRPr="00EA5BBC">
        <w:rPr>
          <w:rFonts w:ascii="Times New Roman" w:hAnsi="Times New Roman" w:cs="Times New Roman"/>
          <w:color w:val="000000" w:themeColor="text1"/>
          <w:sz w:val="24"/>
          <w:szCs w:val="24"/>
        </w:rPr>
        <w:t xml:space="preserve"> enabled it to pay back the loan advance</w:t>
      </w:r>
      <w:r w:rsidR="00C93BBC" w:rsidRPr="00EA5BBC">
        <w:rPr>
          <w:rFonts w:ascii="Times New Roman" w:hAnsi="Times New Roman" w:cs="Times New Roman"/>
          <w:color w:val="000000" w:themeColor="text1"/>
          <w:sz w:val="24"/>
          <w:szCs w:val="24"/>
        </w:rPr>
        <w:t>d</w:t>
      </w:r>
      <w:r w:rsidR="00D62175" w:rsidRPr="00EA5BBC">
        <w:rPr>
          <w:rFonts w:ascii="Times New Roman" w:hAnsi="Times New Roman" w:cs="Times New Roman"/>
          <w:color w:val="000000" w:themeColor="text1"/>
          <w:sz w:val="24"/>
          <w:szCs w:val="24"/>
        </w:rPr>
        <w:t xml:space="preserve"> by the PIC early in the year and to access funding from the markets. </w:t>
      </w:r>
      <w:r w:rsidR="006F00F9" w:rsidRPr="00EA5BBC">
        <w:rPr>
          <w:rFonts w:ascii="Times New Roman" w:hAnsi="Times New Roman" w:cs="Times New Roman"/>
          <w:color w:val="000000" w:themeColor="text1"/>
          <w:sz w:val="24"/>
          <w:szCs w:val="24"/>
        </w:rPr>
        <w:t xml:space="preserve">The Committee </w:t>
      </w:r>
      <w:r w:rsidR="00D62175" w:rsidRPr="00EA5BBC">
        <w:rPr>
          <w:rFonts w:ascii="Times New Roman" w:hAnsi="Times New Roman" w:cs="Times New Roman"/>
          <w:color w:val="000000" w:themeColor="text1"/>
          <w:sz w:val="24"/>
          <w:szCs w:val="24"/>
        </w:rPr>
        <w:t>however remain</w:t>
      </w:r>
      <w:r w:rsidR="006F00F9" w:rsidRPr="00EA5BBC">
        <w:rPr>
          <w:rFonts w:ascii="Times New Roman" w:hAnsi="Times New Roman" w:cs="Times New Roman"/>
          <w:color w:val="000000" w:themeColor="text1"/>
          <w:sz w:val="24"/>
          <w:szCs w:val="24"/>
        </w:rPr>
        <w:t>s</w:t>
      </w:r>
      <w:r w:rsidR="00D62175" w:rsidRPr="00EA5BBC">
        <w:rPr>
          <w:rFonts w:ascii="Times New Roman" w:hAnsi="Times New Roman" w:cs="Times New Roman"/>
          <w:color w:val="000000" w:themeColor="text1"/>
          <w:sz w:val="24"/>
          <w:szCs w:val="24"/>
        </w:rPr>
        <w:t xml:space="preserve"> concerned with </w:t>
      </w:r>
      <w:r w:rsidR="00D743BA" w:rsidRPr="00EA5BBC">
        <w:rPr>
          <w:rFonts w:ascii="Times New Roman" w:hAnsi="Times New Roman" w:cs="Times New Roman"/>
          <w:color w:val="000000" w:themeColor="text1"/>
          <w:sz w:val="24"/>
          <w:szCs w:val="24"/>
        </w:rPr>
        <w:t xml:space="preserve">the liquidity challenges at </w:t>
      </w:r>
      <w:r w:rsidR="00D62175" w:rsidRPr="00EA5BBC">
        <w:rPr>
          <w:rFonts w:ascii="Times New Roman" w:hAnsi="Times New Roman" w:cs="Times New Roman"/>
          <w:color w:val="000000" w:themeColor="text1"/>
          <w:sz w:val="24"/>
          <w:szCs w:val="24"/>
        </w:rPr>
        <w:t>South African Airways</w:t>
      </w:r>
      <w:r w:rsidR="00D743BA" w:rsidRPr="00EA5BBC">
        <w:rPr>
          <w:rFonts w:ascii="Times New Roman" w:hAnsi="Times New Roman" w:cs="Times New Roman"/>
          <w:color w:val="000000" w:themeColor="text1"/>
          <w:sz w:val="24"/>
          <w:szCs w:val="24"/>
        </w:rPr>
        <w:t>. The Committee understands that to stay afloat SAA needs about R4.8 billion</w:t>
      </w:r>
      <w:r w:rsidR="00C93BBC" w:rsidRPr="00EA5BBC">
        <w:rPr>
          <w:rFonts w:ascii="Times New Roman" w:hAnsi="Times New Roman" w:cs="Times New Roman"/>
          <w:color w:val="000000" w:themeColor="text1"/>
          <w:sz w:val="24"/>
          <w:szCs w:val="24"/>
        </w:rPr>
        <w:t xml:space="preserve"> </w:t>
      </w:r>
      <w:r w:rsidR="00D743BA" w:rsidRPr="00EA5BBC">
        <w:rPr>
          <w:rFonts w:ascii="Times New Roman" w:hAnsi="Times New Roman" w:cs="Times New Roman"/>
          <w:color w:val="000000" w:themeColor="text1"/>
          <w:sz w:val="24"/>
          <w:szCs w:val="24"/>
        </w:rPr>
        <w:t>immediately and more over the MTEF until it</w:t>
      </w:r>
      <w:r w:rsidR="00DB3498" w:rsidRPr="00EA5BBC">
        <w:rPr>
          <w:rFonts w:ascii="Times New Roman" w:hAnsi="Times New Roman" w:cs="Times New Roman"/>
          <w:color w:val="000000" w:themeColor="text1"/>
          <w:sz w:val="24"/>
          <w:szCs w:val="24"/>
        </w:rPr>
        <w:t xml:space="preserve"> breaks even</w:t>
      </w:r>
      <w:r w:rsidR="00D743BA" w:rsidRPr="00EA5BBC">
        <w:rPr>
          <w:rFonts w:ascii="Times New Roman" w:hAnsi="Times New Roman" w:cs="Times New Roman"/>
          <w:color w:val="000000" w:themeColor="text1"/>
          <w:sz w:val="24"/>
          <w:szCs w:val="24"/>
        </w:rPr>
        <w:t xml:space="preserve"> </w:t>
      </w:r>
      <w:r w:rsidR="00DB3498" w:rsidRPr="00EA5BBC">
        <w:rPr>
          <w:rFonts w:ascii="Times New Roman" w:hAnsi="Times New Roman" w:cs="Times New Roman"/>
          <w:color w:val="000000" w:themeColor="text1"/>
          <w:sz w:val="24"/>
          <w:szCs w:val="24"/>
        </w:rPr>
        <w:t xml:space="preserve">as it implements its </w:t>
      </w:r>
      <w:r w:rsidR="00D743BA" w:rsidRPr="00EA5BBC">
        <w:rPr>
          <w:rFonts w:ascii="Times New Roman" w:hAnsi="Times New Roman" w:cs="Times New Roman"/>
          <w:color w:val="000000" w:themeColor="text1"/>
          <w:sz w:val="24"/>
          <w:szCs w:val="24"/>
        </w:rPr>
        <w:t>turnaround strategy.</w:t>
      </w:r>
      <w:r w:rsidR="00C93BBC" w:rsidRPr="00EA5BBC">
        <w:rPr>
          <w:rFonts w:ascii="Times New Roman" w:hAnsi="Times New Roman" w:cs="Times New Roman"/>
          <w:color w:val="000000" w:themeColor="text1"/>
          <w:sz w:val="24"/>
          <w:szCs w:val="24"/>
        </w:rPr>
        <w:t xml:space="preserve"> We have noted pronouncements from the National Treasury that </w:t>
      </w:r>
      <w:r w:rsidR="00DB3498" w:rsidRPr="00EA5BBC">
        <w:rPr>
          <w:rFonts w:ascii="Times New Roman" w:hAnsi="Times New Roman" w:cs="Times New Roman"/>
          <w:color w:val="000000" w:themeColor="text1"/>
          <w:sz w:val="24"/>
          <w:szCs w:val="24"/>
        </w:rPr>
        <w:t xml:space="preserve">a </w:t>
      </w:r>
      <w:r w:rsidR="00C93BBC" w:rsidRPr="00EA5BBC">
        <w:rPr>
          <w:rFonts w:ascii="Times New Roman" w:hAnsi="Times New Roman" w:cs="Times New Roman"/>
          <w:color w:val="000000" w:themeColor="text1"/>
          <w:sz w:val="24"/>
          <w:szCs w:val="24"/>
        </w:rPr>
        <w:t xml:space="preserve">private sector participation framework is being considered. </w:t>
      </w:r>
      <w:r w:rsidR="006F00F9" w:rsidRPr="00EA5BBC">
        <w:rPr>
          <w:rFonts w:ascii="Times New Roman" w:hAnsi="Times New Roman" w:cs="Times New Roman"/>
          <w:color w:val="000000" w:themeColor="text1"/>
          <w:sz w:val="24"/>
          <w:szCs w:val="24"/>
        </w:rPr>
        <w:t xml:space="preserve">The Committee </w:t>
      </w:r>
      <w:r w:rsidR="00DB3498" w:rsidRPr="00EA5BBC">
        <w:rPr>
          <w:rFonts w:ascii="Times New Roman" w:hAnsi="Times New Roman" w:cs="Times New Roman"/>
          <w:color w:val="000000" w:themeColor="text1"/>
          <w:sz w:val="24"/>
          <w:szCs w:val="24"/>
        </w:rPr>
        <w:t>require</w:t>
      </w:r>
      <w:r w:rsidR="006F00F9" w:rsidRPr="00EA5BBC">
        <w:rPr>
          <w:rFonts w:ascii="Times New Roman" w:hAnsi="Times New Roman" w:cs="Times New Roman"/>
          <w:color w:val="000000" w:themeColor="text1"/>
          <w:sz w:val="24"/>
          <w:szCs w:val="24"/>
        </w:rPr>
        <w:t>s</w:t>
      </w:r>
      <w:r w:rsidR="00DB3498" w:rsidRPr="00EA5BBC">
        <w:rPr>
          <w:rFonts w:ascii="Times New Roman" w:hAnsi="Times New Roman" w:cs="Times New Roman"/>
          <w:color w:val="000000" w:themeColor="text1"/>
          <w:sz w:val="24"/>
          <w:szCs w:val="24"/>
        </w:rPr>
        <w:t xml:space="preserve"> more information on this framework. </w:t>
      </w:r>
      <w:r w:rsidR="00C93BBC" w:rsidRPr="00EA5BBC">
        <w:rPr>
          <w:rFonts w:ascii="Times New Roman" w:hAnsi="Times New Roman" w:cs="Times New Roman"/>
          <w:color w:val="000000" w:themeColor="text1"/>
          <w:sz w:val="24"/>
          <w:szCs w:val="24"/>
        </w:rPr>
        <w:t>As</w:t>
      </w:r>
      <w:r w:rsidR="009D525C" w:rsidRPr="00EA5BBC">
        <w:rPr>
          <w:rFonts w:ascii="Times New Roman" w:hAnsi="Times New Roman" w:cs="Times New Roman"/>
          <w:color w:val="000000" w:themeColor="text1"/>
          <w:sz w:val="24"/>
          <w:szCs w:val="24"/>
        </w:rPr>
        <w:t xml:space="preserve"> the Committee</w:t>
      </w:r>
      <w:r w:rsidR="00C93BBC" w:rsidRPr="00EA5BBC">
        <w:rPr>
          <w:rFonts w:ascii="Times New Roman" w:hAnsi="Times New Roman" w:cs="Times New Roman"/>
          <w:color w:val="000000" w:themeColor="text1"/>
          <w:sz w:val="24"/>
          <w:szCs w:val="24"/>
        </w:rPr>
        <w:t xml:space="preserve"> stated in our Fiscal Framework and Revenue Proposals</w:t>
      </w:r>
      <w:r w:rsidR="00DB3498" w:rsidRPr="00EA5BBC">
        <w:rPr>
          <w:rFonts w:ascii="Times New Roman" w:hAnsi="Times New Roman" w:cs="Times New Roman"/>
          <w:color w:val="000000" w:themeColor="text1"/>
          <w:sz w:val="24"/>
          <w:szCs w:val="24"/>
        </w:rPr>
        <w:t xml:space="preserve"> R</w:t>
      </w:r>
      <w:r w:rsidR="00C93BBC" w:rsidRPr="00EA5BBC">
        <w:rPr>
          <w:rFonts w:ascii="Times New Roman" w:hAnsi="Times New Roman" w:cs="Times New Roman"/>
          <w:color w:val="000000" w:themeColor="text1"/>
          <w:sz w:val="24"/>
          <w:szCs w:val="24"/>
        </w:rPr>
        <w:t>eport</w:t>
      </w:r>
      <w:r w:rsidR="00DB3498" w:rsidRPr="00EA5BBC">
        <w:rPr>
          <w:rFonts w:ascii="Times New Roman" w:hAnsi="Times New Roman" w:cs="Times New Roman"/>
          <w:color w:val="000000" w:themeColor="text1"/>
          <w:sz w:val="24"/>
          <w:szCs w:val="24"/>
        </w:rPr>
        <w:t xml:space="preserve"> (2018)</w:t>
      </w:r>
      <w:r w:rsidR="00C93BBC" w:rsidRPr="00EA5BBC">
        <w:rPr>
          <w:rFonts w:ascii="Times New Roman" w:hAnsi="Times New Roman" w:cs="Times New Roman"/>
          <w:color w:val="000000" w:themeColor="text1"/>
          <w:sz w:val="24"/>
          <w:szCs w:val="24"/>
        </w:rPr>
        <w:t>, the majority in the Committee supports private sector participation in SO</w:t>
      </w:r>
      <w:r w:rsidR="00D3306A" w:rsidRPr="00EA5BBC">
        <w:rPr>
          <w:rFonts w:ascii="Times New Roman" w:hAnsi="Times New Roman" w:cs="Times New Roman"/>
          <w:color w:val="000000" w:themeColor="text1"/>
          <w:sz w:val="24"/>
          <w:szCs w:val="24"/>
        </w:rPr>
        <w:t>C</w:t>
      </w:r>
      <w:r w:rsidR="00C93BBC" w:rsidRPr="00EA5BBC">
        <w:rPr>
          <w:rFonts w:ascii="Times New Roman" w:hAnsi="Times New Roman" w:cs="Times New Roman"/>
          <w:color w:val="000000" w:themeColor="text1"/>
          <w:sz w:val="24"/>
          <w:szCs w:val="24"/>
        </w:rPr>
        <w:t xml:space="preserve">s, including through equity ownership. However </w:t>
      </w:r>
      <w:r w:rsidR="00485214" w:rsidRPr="00EA5BBC">
        <w:rPr>
          <w:rFonts w:ascii="Times New Roman" w:hAnsi="Times New Roman" w:cs="Times New Roman"/>
          <w:color w:val="000000" w:themeColor="text1"/>
          <w:sz w:val="24"/>
          <w:szCs w:val="24"/>
        </w:rPr>
        <w:t>the Committee</w:t>
      </w:r>
      <w:r w:rsidR="00C93BBC" w:rsidRPr="00EA5BBC">
        <w:rPr>
          <w:rFonts w:ascii="Times New Roman" w:hAnsi="Times New Roman" w:cs="Times New Roman"/>
          <w:color w:val="000000" w:themeColor="text1"/>
          <w:sz w:val="24"/>
          <w:szCs w:val="24"/>
        </w:rPr>
        <w:t xml:space="preserve"> do not support wholesale privatization of SO</w:t>
      </w:r>
      <w:r w:rsidR="00D3306A" w:rsidRPr="00EA5BBC">
        <w:rPr>
          <w:rFonts w:ascii="Times New Roman" w:hAnsi="Times New Roman" w:cs="Times New Roman"/>
          <w:color w:val="000000" w:themeColor="text1"/>
          <w:sz w:val="24"/>
          <w:szCs w:val="24"/>
        </w:rPr>
        <w:t>C</w:t>
      </w:r>
      <w:r w:rsidR="00C93BBC" w:rsidRPr="00EA5BBC">
        <w:rPr>
          <w:rFonts w:ascii="Times New Roman" w:hAnsi="Times New Roman" w:cs="Times New Roman"/>
          <w:color w:val="000000" w:themeColor="text1"/>
          <w:sz w:val="24"/>
          <w:szCs w:val="24"/>
        </w:rPr>
        <w:t>s</w:t>
      </w:r>
      <w:r w:rsidR="00A26F85" w:rsidRPr="00EA5BBC">
        <w:rPr>
          <w:rFonts w:ascii="Times New Roman" w:hAnsi="Times New Roman" w:cs="Times New Roman"/>
          <w:color w:val="000000" w:themeColor="text1"/>
          <w:sz w:val="24"/>
          <w:szCs w:val="24"/>
        </w:rPr>
        <w:t>.</w:t>
      </w:r>
      <w:r w:rsidR="00C93BBC" w:rsidRPr="00EA5BBC">
        <w:rPr>
          <w:rFonts w:ascii="Times New Roman" w:hAnsi="Times New Roman" w:cs="Times New Roman"/>
          <w:color w:val="000000" w:themeColor="text1"/>
          <w:sz w:val="24"/>
          <w:szCs w:val="24"/>
        </w:rPr>
        <w:t xml:space="preserve"> </w:t>
      </w:r>
      <w:r w:rsidR="009D525C" w:rsidRPr="00EA5BBC">
        <w:rPr>
          <w:rFonts w:ascii="Times New Roman" w:hAnsi="Times New Roman" w:cs="Times New Roman"/>
          <w:color w:val="000000" w:themeColor="text1"/>
          <w:sz w:val="24"/>
          <w:szCs w:val="24"/>
        </w:rPr>
        <w:t>The Committee</w:t>
      </w:r>
      <w:r w:rsidR="00C93BBC" w:rsidRPr="00EA5BBC">
        <w:rPr>
          <w:rFonts w:ascii="Times New Roman" w:hAnsi="Times New Roman" w:cs="Times New Roman"/>
          <w:color w:val="000000" w:themeColor="text1"/>
          <w:sz w:val="24"/>
          <w:szCs w:val="24"/>
        </w:rPr>
        <w:t>reiterate</w:t>
      </w:r>
      <w:r w:rsidR="009D525C" w:rsidRPr="00EA5BBC">
        <w:rPr>
          <w:rFonts w:ascii="Times New Roman" w:hAnsi="Times New Roman" w:cs="Times New Roman"/>
          <w:color w:val="000000" w:themeColor="text1"/>
          <w:sz w:val="24"/>
          <w:szCs w:val="24"/>
        </w:rPr>
        <w:t>s</w:t>
      </w:r>
      <w:r w:rsidR="00C93BBC" w:rsidRPr="00EA5BBC">
        <w:rPr>
          <w:rFonts w:ascii="Times New Roman" w:hAnsi="Times New Roman" w:cs="Times New Roman"/>
          <w:color w:val="000000" w:themeColor="text1"/>
          <w:sz w:val="24"/>
          <w:szCs w:val="24"/>
        </w:rPr>
        <w:t xml:space="preserve"> that we support NT’s view that financially stable </w:t>
      </w:r>
      <w:r w:rsidR="00DB3498" w:rsidRPr="00EA5BBC">
        <w:rPr>
          <w:rFonts w:ascii="Times New Roman" w:hAnsi="Times New Roman" w:cs="Times New Roman"/>
          <w:color w:val="000000" w:themeColor="text1"/>
          <w:sz w:val="24"/>
          <w:szCs w:val="24"/>
        </w:rPr>
        <w:t xml:space="preserve">SOCs </w:t>
      </w:r>
      <w:r w:rsidR="00C93BBC" w:rsidRPr="00EA5BBC">
        <w:rPr>
          <w:rFonts w:ascii="Times New Roman" w:hAnsi="Times New Roman" w:cs="Times New Roman"/>
          <w:color w:val="000000" w:themeColor="text1"/>
          <w:sz w:val="24"/>
          <w:szCs w:val="24"/>
        </w:rPr>
        <w:t xml:space="preserve">can support economic transformation and strengthen the state’s ability to accelerate national development, rather than impede it. </w:t>
      </w:r>
      <w:r w:rsidR="009D525C" w:rsidRPr="00EA5BBC">
        <w:rPr>
          <w:rFonts w:ascii="Times New Roman" w:hAnsi="Times New Roman" w:cs="Times New Roman"/>
          <w:color w:val="000000" w:themeColor="text1"/>
          <w:sz w:val="24"/>
          <w:szCs w:val="24"/>
        </w:rPr>
        <w:t xml:space="preserve">The Committee </w:t>
      </w:r>
      <w:r w:rsidR="004B79FD" w:rsidRPr="00EA5BBC">
        <w:rPr>
          <w:rFonts w:ascii="Times New Roman" w:hAnsi="Times New Roman" w:cs="Times New Roman"/>
          <w:color w:val="000000" w:themeColor="text1"/>
          <w:sz w:val="24"/>
          <w:szCs w:val="24"/>
        </w:rPr>
        <w:t xml:space="preserve">fully </w:t>
      </w:r>
      <w:r w:rsidR="004A13EA" w:rsidRPr="00EA5BBC">
        <w:rPr>
          <w:rFonts w:ascii="Times New Roman" w:hAnsi="Times New Roman" w:cs="Times New Roman"/>
          <w:color w:val="000000" w:themeColor="text1"/>
          <w:sz w:val="24"/>
          <w:szCs w:val="24"/>
        </w:rPr>
        <w:t>suppor</w:t>
      </w:r>
      <w:r w:rsidR="00DB3498" w:rsidRPr="00EA5BBC">
        <w:rPr>
          <w:rFonts w:ascii="Times New Roman" w:hAnsi="Times New Roman" w:cs="Times New Roman"/>
          <w:color w:val="000000" w:themeColor="text1"/>
          <w:sz w:val="24"/>
          <w:szCs w:val="24"/>
        </w:rPr>
        <w:t xml:space="preserve">t the work of government to root out corruption and maladministration in SOCs </w:t>
      </w:r>
      <w:r w:rsidR="001705AA" w:rsidRPr="00EA5BBC">
        <w:rPr>
          <w:rFonts w:ascii="Times New Roman" w:hAnsi="Times New Roman" w:cs="Times New Roman"/>
          <w:color w:val="000000" w:themeColor="text1"/>
          <w:sz w:val="24"/>
          <w:szCs w:val="24"/>
        </w:rPr>
        <w:t xml:space="preserve">and across government </w:t>
      </w:r>
      <w:r w:rsidR="00DB3498" w:rsidRPr="00EA5BBC">
        <w:rPr>
          <w:rFonts w:ascii="Times New Roman" w:hAnsi="Times New Roman" w:cs="Times New Roman"/>
          <w:color w:val="000000" w:themeColor="text1"/>
          <w:sz w:val="24"/>
          <w:szCs w:val="24"/>
        </w:rPr>
        <w:t xml:space="preserve">and </w:t>
      </w:r>
      <w:r w:rsidR="00DA11A3" w:rsidRPr="00EA5BBC">
        <w:rPr>
          <w:rFonts w:ascii="Times New Roman" w:hAnsi="Times New Roman" w:cs="Times New Roman"/>
          <w:color w:val="000000" w:themeColor="text1"/>
          <w:sz w:val="24"/>
          <w:szCs w:val="24"/>
        </w:rPr>
        <w:t xml:space="preserve">to </w:t>
      </w:r>
      <w:r w:rsidR="00DB3498" w:rsidRPr="00EA5BBC">
        <w:rPr>
          <w:rFonts w:ascii="Times New Roman" w:hAnsi="Times New Roman" w:cs="Times New Roman"/>
          <w:color w:val="000000" w:themeColor="text1"/>
          <w:sz w:val="24"/>
          <w:szCs w:val="24"/>
        </w:rPr>
        <w:t>re</w:t>
      </w:r>
      <w:r w:rsidR="00DA11A3" w:rsidRPr="00EA5BBC">
        <w:rPr>
          <w:rFonts w:ascii="Times New Roman" w:hAnsi="Times New Roman" w:cs="Times New Roman"/>
          <w:color w:val="000000" w:themeColor="text1"/>
          <w:sz w:val="24"/>
          <w:szCs w:val="24"/>
        </w:rPr>
        <w:t>kindle</w:t>
      </w:r>
      <w:r w:rsidR="00DB3498" w:rsidRPr="00EA5BBC">
        <w:rPr>
          <w:rFonts w:ascii="Times New Roman" w:hAnsi="Times New Roman" w:cs="Times New Roman"/>
          <w:color w:val="000000" w:themeColor="text1"/>
          <w:sz w:val="24"/>
          <w:szCs w:val="24"/>
        </w:rPr>
        <w:t xml:space="preserve"> ethical leadership and corporate governance. </w:t>
      </w:r>
      <w:r w:rsidR="009D525C" w:rsidRPr="00EA5BBC">
        <w:rPr>
          <w:rFonts w:ascii="Times New Roman" w:hAnsi="Times New Roman" w:cs="Times New Roman"/>
          <w:color w:val="000000" w:themeColor="text1"/>
          <w:sz w:val="24"/>
          <w:szCs w:val="24"/>
        </w:rPr>
        <w:t>The Committee</w:t>
      </w:r>
      <w:r w:rsidR="00DB3498" w:rsidRPr="00EA5BBC">
        <w:rPr>
          <w:rFonts w:ascii="Times New Roman" w:hAnsi="Times New Roman" w:cs="Times New Roman"/>
          <w:color w:val="000000" w:themeColor="text1"/>
          <w:sz w:val="24"/>
          <w:szCs w:val="24"/>
        </w:rPr>
        <w:t xml:space="preserve"> also welcome</w:t>
      </w:r>
      <w:r w:rsidR="00485214" w:rsidRPr="00EA5BBC">
        <w:rPr>
          <w:rFonts w:ascii="Times New Roman" w:hAnsi="Times New Roman" w:cs="Times New Roman"/>
          <w:color w:val="000000" w:themeColor="text1"/>
          <w:sz w:val="24"/>
          <w:szCs w:val="24"/>
        </w:rPr>
        <w:t>s</w:t>
      </w:r>
      <w:r w:rsidR="00DB3498" w:rsidRPr="00EA5BBC">
        <w:rPr>
          <w:rFonts w:ascii="Times New Roman" w:hAnsi="Times New Roman" w:cs="Times New Roman"/>
          <w:color w:val="000000" w:themeColor="text1"/>
          <w:sz w:val="24"/>
          <w:szCs w:val="24"/>
        </w:rPr>
        <w:t xml:space="preserve"> the funding and </w:t>
      </w:r>
      <w:r w:rsidR="00090B27" w:rsidRPr="00EA5BBC">
        <w:rPr>
          <w:rFonts w:ascii="Times New Roman" w:hAnsi="Times New Roman" w:cs="Times New Roman"/>
          <w:color w:val="000000" w:themeColor="text1"/>
          <w:sz w:val="24"/>
          <w:szCs w:val="24"/>
        </w:rPr>
        <w:t xml:space="preserve">other forms of </w:t>
      </w:r>
      <w:r w:rsidR="00DB3498" w:rsidRPr="00EA5BBC">
        <w:rPr>
          <w:rFonts w:ascii="Times New Roman" w:hAnsi="Times New Roman" w:cs="Times New Roman"/>
          <w:color w:val="000000" w:themeColor="text1"/>
          <w:sz w:val="24"/>
          <w:szCs w:val="24"/>
        </w:rPr>
        <w:t xml:space="preserve">support for the Commission of Inquiry into State Capture. </w:t>
      </w:r>
    </w:p>
    <w:p w14:paraId="42E17A96" w14:textId="77777777" w:rsidR="00DA11A3" w:rsidRPr="00EA5BBC" w:rsidRDefault="00DA11A3"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The Committee requires NT to report quarterly to it on all contingent liabilities, the status of SO</w:t>
      </w:r>
      <w:r w:rsidR="00CC6E34" w:rsidRPr="00EA5BBC">
        <w:rPr>
          <w:rFonts w:ascii="Times New Roman" w:hAnsi="Times New Roman" w:cs="Times New Roman"/>
          <w:color w:val="000000" w:themeColor="text1"/>
          <w:sz w:val="24"/>
          <w:szCs w:val="24"/>
        </w:rPr>
        <w:t>Cs</w:t>
      </w:r>
      <w:r w:rsidRPr="00EA5BBC">
        <w:rPr>
          <w:rFonts w:ascii="Times New Roman" w:hAnsi="Times New Roman" w:cs="Times New Roman"/>
          <w:color w:val="000000" w:themeColor="text1"/>
          <w:sz w:val="24"/>
          <w:szCs w:val="24"/>
        </w:rPr>
        <w:t xml:space="preserve"> guarantees, the extent of the exposure against guarantees and the data on the portfolio of SO</w:t>
      </w:r>
      <w:r w:rsidR="00CC6E34" w:rsidRPr="00EA5BBC">
        <w:rPr>
          <w:rFonts w:ascii="Times New Roman" w:hAnsi="Times New Roman" w:cs="Times New Roman"/>
          <w:color w:val="000000" w:themeColor="text1"/>
          <w:sz w:val="24"/>
          <w:szCs w:val="24"/>
        </w:rPr>
        <w:t>Cs</w:t>
      </w:r>
      <w:r w:rsidRPr="00EA5BBC">
        <w:rPr>
          <w:rFonts w:ascii="Times New Roman" w:hAnsi="Times New Roman" w:cs="Times New Roman"/>
          <w:color w:val="000000" w:themeColor="text1"/>
          <w:sz w:val="24"/>
          <w:szCs w:val="24"/>
        </w:rPr>
        <w:t xml:space="preserve"> assets. </w:t>
      </w:r>
    </w:p>
    <w:p w14:paraId="5F28B71D" w14:textId="77777777" w:rsidR="00090B27" w:rsidRPr="00EA5BBC" w:rsidRDefault="00B27F28"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In the Fiscal Framework and Revenue </w:t>
      </w:r>
      <w:r w:rsidR="00077A21" w:rsidRPr="00EA5BBC">
        <w:rPr>
          <w:rFonts w:ascii="Times New Roman" w:hAnsi="Times New Roman" w:cs="Times New Roman"/>
          <w:color w:val="000000" w:themeColor="text1"/>
          <w:sz w:val="24"/>
          <w:szCs w:val="24"/>
        </w:rPr>
        <w:t xml:space="preserve">Proposal Report, </w:t>
      </w:r>
      <w:r w:rsidR="00D05270" w:rsidRPr="00EA5BBC">
        <w:rPr>
          <w:rFonts w:ascii="Times New Roman" w:hAnsi="Times New Roman" w:cs="Times New Roman"/>
          <w:color w:val="000000" w:themeColor="text1"/>
          <w:sz w:val="24"/>
          <w:szCs w:val="24"/>
        </w:rPr>
        <w:t>the Commitee</w:t>
      </w:r>
      <w:r w:rsidR="00077A21" w:rsidRPr="00EA5BBC">
        <w:rPr>
          <w:rFonts w:ascii="Times New Roman" w:hAnsi="Times New Roman" w:cs="Times New Roman"/>
          <w:color w:val="000000" w:themeColor="text1"/>
          <w:sz w:val="24"/>
          <w:szCs w:val="24"/>
        </w:rPr>
        <w:t xml:space="preserve"> requested the </w:t>
      </w:r>
      <w:r w:rsidRPr="00EA5BBC">
        <w:rPr>
          <w:rFonts w:ascii="Times New Roman" w:hAnsi="Times New Roman" w:cs="Times New Roman"/>
          <w:color w:val="000000" w:themeColor="text1"/>
          <w:sz w:val="24"/>
          <w:szCs w:val="24"/>
        </w:rPr>
        <w:t>National Treasury to provide a detailed analysis in respect of the 2018/19 budgeted annual increases in compensation of employees including</w:t>
      </w:r>
      <w:r w:rsidR="00090B27" w:rsidRPr="00EA5BBC">
        <w:rPr>
          <w:rFonts w:ascii="Times New Roman" w:hAnsi="Times New Roman" w:cs="Times New Roman"/>
          <w:color w:val="000000" w:themeColor="text1"/>
          <w:sz w:val="24"/>
          <w:szCs w:val="24"/>
        </w:rPr>
        <w:t xml:space="preserve"> the</w:t>
      </w:r>
      <w:r w:rsidRPr="00EA5BBC">
        <w:rPr>
          <w:rFonts w:ascii="Times New Roman" w:hAnsi="Times New Roman" w:cs="Times New Roman"/>
          <w:color w:val="000000" w:themeColor="text1"/>
          <w:sz w:val="24"/>
          <w:szCs w:val="24"/>
        </w:rPr>
        <w:t xml:space="preserve"> structural remuneration changes, notch adjustments, promotions, seniority increases, performance bonuses</w:t>
      </w:r>
      <w:r w:rsidR="00090B27" w:rsidRPr="00EA5BBC">
        <w:rPr>
          <w:rFonts w:ascii="Times New Roman" w:hAnsi="Times New Roman" w:cs="Times New Roman"/>
          <w:color w:val="000000" w:themeColor="text1"/>
          <w:sz w:val="24"/>
          <w:szCs w:val="24"/>
        </w:rPr>
        <w:t xml:space="preserve"> and </w:t>
      </w:r>
      <w:r w:rsidRPr="00EA5BBC">
        <w:rPr>
          <w:rFonts w:ascii="Times New Roman" w:hAnsi="Times New Roman" w:cs="Times New Roman"/>
          <w:color w:val="000000" w:themeColor="text1"/>
          <w:sz w:val="24"/>
          <w:szCs w:val="24"/>
        </w:rPr>
        <w:t>annual general adjustments.</w:t>
      </w:r>
      <w:r w:rsidR="00CC6E34" w:rsidRPr="00EA5BBC">
        <w:rPr>
          <w:rFonts w:ascii="Times New Roman" w:hAnsi="Times New Roman" w:cs="Times New Roman"/>
          <w:color w:val="000000" w:themeColor="text1"/>
          <w:sz w:val="24"/>
          <w:szCs w:val="24"/>
        </w:rPr>
        <w:t xml:space="preserve"> </w:t>
      </w:r>
      <w:r w:rsidR="009D525C" w:rsidRPr="00EA5BBC">
        <w:rPr>
          <w:rFonts w:ascii="Times New Roman" w:hAnsi="Times New Roman" w:cs="Times New Roman"/>
          <w:color w:val="000000" w:themeColor="text1"/>
          <w:sz w:val="24"/>
          <w:szCs w:val="24"/>
        </w:rPr>
        <w:t>The Committee</w:t>
      </w:r>
      <w:r w:rsidR="00090B27" w:rsidRPr="00EA5BBC">
        <w:rPr>
          <w:rFonts w:ascii="Times New Roman" w:hAnsi="Times New Roman" w:cs="Times New Roman"/>
          <w:color w:val="000000" w:themeColor="text1"/>
          <w:sz w:val="24"/>
          <w:szCs w:val="24"/>
        </w:rPr>
        <w:t xml:space="preserve"> require</w:t>
      </w:r>
      <w:r w:rsidR="009D525C" w:rsidRPr="00EA5BBC">
        <w:rPr>
          <w:rFonts w:ascii="Times New Roman" w:hAnsi="Times New Roman" w:cs="Times New Roman"/>
          <w:color w:val="000000" w:themeColor="text1"/>
          <w:sz w:val="24"/>
          <w:szCs w:val="24"/>
        </w:rPr>
        <w:t>s</w:t>
      </w:r>
      <w:r w:rsidR="00090B27" w:rsidRPr="00EA5BBC">
        <w:rPr>
          <w:rFonts w:ascii="Times New Roman" w:hAnsi="Times New Roman" w:cs="Times New Roman"/>
          <w:color w:val="000000" w:themeColor="text1"/>
          <w:sz w:val="24"/>
          <w:szCs w:val="24"/>
        </w:rPr>
        <w:t xml:space="preserve"> NT to do this at its quarterly briefings to the Committee.</w:t>
      </w:r>
    </w:p>
    <w:p w14:paraId="3805BF95" w14:textId="77777777" w:rsidR="003638DF" w:rsidRPr="00EA5BBC" w:rsidRDefault="00090B27"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w:t>
      </w:r>
      <w:r w:rsidR="00A13F44" w:rsidRPr="00EA5BBC">
        <w:rPr>
          <w:rFonts w:ascii="Times New Roman" w:hAnsi="Times New Roman" w:cs="Times New Roman"/>
          <w:color w:val="000000" w:themeColor="text1"/>
          <w:sz w:val="24"/>
          <w:szCs w:val="24"/>
        </w:rPr>
        <w:t xml:space="preserve">believes </w:t>
      </w:r>
      <w:r w:rsidR="003E1B61" w:rsidRPr="00EA5BBC">
        <w:rPr>
          <w:rFonts w:ascii="Times New Roman" w:hAnsi="Times New Roman" w:cs="Times New Roman"/>
          <w:color w:val="000000" w:themeColor="text1"/>
          <w:sz w:val="24"/>
          <w:szCs w:val="24"/>
        </w:rPr>
        <w:t xml:space="preserve">that </w:t>
      </w:r>
      <w:r w:rsidR="00A13F44" w:rsidRPr="00EA5BBC">
        <w:rPr>
          <w:rFonts w:ascii="Times New Roman" w:hAnsi="Times New Roman" w:cs="Times New Roman"/>
          <w:color w:val="000000" w:themeColor="text1"/>
          <w:sz w:val="24"/>
          <w:szCs w:val="24"/>
        </w:rPr>
        <w:t xml:space="preserve">in a </w:t>
      </w:r>
      <w:r w:rsidR="003E1B61" w:rsidRPr="00EA5BBC">
        <w:rPr>
          <w:rFonts w:ascii="Times New Roman" w:hAnsi="Times New Roman" w:cs="Times New Roman"/>
          <w:color w:val="000000" w:themeColor="text1"/>
          <w:sz w:val="24"/>
          <w:szCs w:val="24"/>
        </w:rPr>
        <w:t>“</w:t>
      </w:r>
      <w:r w:rsidR="00A13F44" w:rsidRPr="00EA5BBC">
        <w:rPr>
          <w:rFonts w:ascii="Times New Roman" w:hAnsi="Times New Roman" w:cs="Times New Roman"/>
          <w:color w:val="000000" w:themeColor="text1"/>
          <w:sz w:val="24"/>
          <w:szCs w:val="24"/>
        </w:rPr>
        <w:t>give-and-take</w:t>
      </w:r>
      <w:r w:rsidR="003E1B61" w:rsidRPr="00EA5BBC">
        <w:rPr>
          <w:rFonts w:ascii="Times New Roman" w:hAnsi="Times New Roman" w:cs="Times New Roman"/>
          <w:color w:val="000000" w:themeColor="text1"/>
          <w:sz w:val="24"/>
          <w:szCs w:val="24"/>
        </w:rPr>
        <w:t>”</w:t>
      </w:r>
      <w:r w:rsidR="00A13F44" w:rsidRPr="00EA5BBC">
        <w:rPr>
          <w:rFonts w:ascii="Times New Roman" w:hAnsi="Times New Roman" w:cs="Times New Roman"/>
          <w:color w:val="000000" w:themeColor="text1"/>
          <w:sz w:val="24"/>
          <w:szCs w:val="24"/>
        </w:rPr>
        <w:t xml:space="preserve"> approach both the government and the unions should seek compromises on the public sector wage negotiations that take into account both the need for an increase in the wages of public sector workers and the constraints on the budget.  </w:t>
      </w:r>
    </w:p>
    <w:p w14:paraId="4F938E1F" w14:textId="77777777" w:rsidR="00A57619" w:rsidRPr="00EA5BBC" w:rsidRDefault="003638DF"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welcomes measures to </w:t>
      </w:r>
      <w:r w:rsidR="00A13F44" w:rsidRPr="00EA5BBC">
        <w:rPr>
          <w:rFonts w:ascii="Times New Roman" w:hAnsi="Times New Roman" w:cs="Times New Roman"/>
          <w:color w:val="000000" w:themeColor="text1"/>
          <w:sz w:val="24"/>
          <w:szCs w:val="24"/>
        </w:rPr>
        <w:t xml:space="preserve">address major challenges in </w:t>
      </w:r>
      <w:r w:rsidRPr="00EA5BBC">
        <w:rPr>
          <w:rFonts w:ascii="Times New Roman" w:hAnsi="Times New Roman" w:cs="Times New Roman"/>
          <w:color w:val="000000" w:themeColor="text1"/>
          <w:sz w:val="24"/>
          <w:szCs w:val="24"/>
        </w:rPr>
        <w:t xml:space="preserve">the </w:t>
      </w:r>
      <w:r w:rsidR="00A13F44" w:rsidRPr="00EA5BBC">
        <w:rPr>
          <w:rFonts w:ascii="Times New Roman" w:hAnsi="Times New Roman" w:cs="Times New Roman"/>
          <w:color w:val="000000" w:themeColor="text1"/>
          <w:sz w:val="24"/>
          <w:szCs w:val="24"/>
        </w:rPr>
        <w:t xml:space="preserve">SARS. </w:t>
      </w:r>
      <w:r w:rsidRPr="00EA5BBC">
        <w:rPr>
          <w:rFonts w:ascii="Times New Roman" w:hAnsi="Times New Roman" w:cs="Times New Roman"/>
          <w:color w:val="000000" w:themeColor="text1"/>
          <w:sz w:val="24"/>
          <w:szCs w:val="24"/>
        </w:rPr>
        <w:t xml:space="preserve">In </w:t>
      </w:r>
      <w:r w:rsidR="00A13F44" w:rsidRPr="00EA5BBC">
        <w:rPr>
          <w:rFonts w:ascii="Times New Roman" w:hAnsi="Times New Roman" w:cs="Times New Roman"/>
          <w:color w:val="000000" w:themeColor="text1"/>
          <w:sz w:val="24"/>
          <w:szCs w:val="24"/>
        </w:rPr>
        <w:t xml:space="preserve">our 2018 </w:t>
      </w:r>
      <w:r w:rsidRPr="00EA5BBC">
        <w:rPr>
          <w:rFonts w:ascii="Times New Roman" w:hAnsi="Times New Roman" w:cs="Times New Roman"/>
          <w:color w:val="000000" w:themeColor="text1"/>
          <w:sz w:val="24"/>
          <w:szCs w:val="24"/>
        </w:rPr>
        <w:t>Fiscal Framework and Revenue Proposals Report</w:t>
      </w:r>
      <w:r w:rsidR="00A13F44" w:rsidRPr="00EA5BBC">
        <w:rPr>
          <w:rFonts w:ascii="Times New Roman" w:hAnsi="Times New Roman" w:cs="Times New Roman"/>
          <w:color w:val="000000" w:themeColor="text1"/>
          <w:sz w:val="24"/>
          <w:szCs w:val="24"/>
        </w:rPr>
        <w:t>,</w:t>
      </w:r>
      <w:r w:rsidR="00CC6E34" w:rsidRPr="00EA5BBC">
        <w:rPr>
          <w:rFonts w:ascii="Times New Roman" w:hAnsi="Times New Roman" w:cs="Times New Roman"/>
          <w:color w:val="000000" w:themeColor="text1"/>
          <w:sz w:val="24"/>
          <w:szCs w:val="24"/>
        </w:rPr>
        <w:t xml:space="preserve"> </w:t>
      </w:r>
      <w:r w:rsidR="009D525C"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 xml:space="preserve"> said: “We urge </w:t>
      </w:r>
      <w:r w:rsidRPr="00EA5BBC">
        <w:rPr>
          <w:rFonts w:ascii="Times New Roman" w:hAnsi="Times New Roman" w:cs="Times New Roman"/>
          <w:color w:val="000000" w:themeColor="text1"/>
          <w:sz w:val="24"/>
          <w:szCs w:val="24"/>
        </w:rPr>
        <w:lastRenderedPageBreak/>
        <w:t xml:space="preserve">the President to establish the Commission on SARS as soon as possible. Part of its mandate should include investigation into how SARS has managed the allegations against Mr Jonas Makwakwa and Ms Kerry-Ann Elskie. It should also investigate the legitimacy of SARS disbandment of the High Risk Investigation Unit - the so-called “rogue” intelligence unit – including through considering the significance of KPMG’s withdrawal of its recommendations on this unit.  While </w:t>
      </w:r>
      <w:r w:rsidR="00273661"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 xml:space="preserve"> fully support representivity in the senior management and SARS more generally, and have been constantly focusing on the need for this, </w:t>
      </w:r>
      <w:r w:rsidR="00273661" w:rsidRPr="00EA5BBC">
        <w:rPr>
          <w:rFonts w:ascii="Times New Roman" w:hAnsi="Times New Roman" w:cs="Times New Roman"/>
          <w:color w:val="000000" w:themeColor="text1"/>
          <w:sz w:val="24"/>
          <w:szCs w:val="24"/>
        </w:rPr>
        <w:t xml:space="preserve">the Committee </w:t>
      </w:r>
      <w:r w:rsidRPr="00EA5BBC">
        <w:rPr>
          <w:rFonts w:ascii="Times New Roman" w:hAnsi="Times New Roman" w:cs="Times New Roman"/>
          <w:color w:val="000000" w:themeColor="text1"/>
          <w:sz w:val="24"/>
          <w:szCs w:val="24"/>
        </w:rPr>
        <w:t xml:space="preserve"> think</w:t>
      </w:r>
      <w:r w:rsidR="00273661"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the Commission should also look into the exodus of senior staff in recent years.” </w:t>
      </w:r>
      <w:r w:rsidR="00273661"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 xml:space="preserve"> reiterate</w:t>
      </w:r>
      <w:r w:rsidR="00273661"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this</w:t>
      </w:r>
      <w:r w:rsidR="00452C5A" w:rsidRPr="00EA5BBC">
        <w:rPr>
          <w:rFonts w:ascii="Times New Roman" w:hAnsi="Times New Roman" w:cs="Times New Roman"/>
          <w:color w:val="000000" w:themeColor="text1"/>
          <w:sz w:val="24"/>
          <w:szCs w:val="24"/>
        </w:rPr>
        <w:t xml:space="preserve">, and in particular call for the Commission to be established as soon as possible; given the importance of SARS and the gravity of the issues to </w:t>
      </w:r>
      <w:r w:rsidR="00C61B17" w:rsidRPr="00EA5BBC">
        <w:rPr>
          <w:rFonts w:ascii="Times New Roman" w:hAnsi="Times New Roman" w:cs="Times New Roman"/>
          <w:color w:val="000000" w:themeColor="text1"/>
          <w:sz w:val="24"/>
          <w:szCs w:val="24"/>
        </w:rPr>
        <w:t xml:space="preserve">be </w:t>
      </w:r>
      <w:r w:rsidR="00452C5A" w:rsidRPr="00EA5BBC">
        <w:rPr>
          <w:rFonts w:ascii="Times New Roman" w:hAnsi="Times New Roman" w:cs="Times New Roman"/>
          <w:color w:val="000000" w:themeColor="text1"/>
          <w:sz w:val="24"/>
          <w:szCs w:val="24"/>
        </w:rPr>
        <w:t xml:space="preserve">addressed, </w:t>
      </w:r>
      <w:r w:rsidR="00D05270" w:rsidRPr="00EA5BBC">
        <w:rPr>
          <w:rFonts w:ascii="Times New Roman" w:hAnsi="Times New Roman" w:cs="Times New Roman"/>
          <w:color w:val="000000" w:themeColor="text1"/>
          <w:sz w:val="24"/>
          <w:szCs w:val="24"/>
        </w:rPr>
        <w:t>the Committee</w:t>
      </w:r>
      <w:r w:rsidR="00452C5A" w:rsidRPr="00EA5BBC">
        <w:rPr>
          <w:rFonts w:ascii="Times New Roman" w:hAnsi="Times New Roman" w:cs="Times New Roman"/>
          <w:color w:val="000000" w:themeColor="text1"/>
          <w:sz w:val="24"/>
          <w:szCs w:val="24"/>
        </w:rPr>
        <w:t xml:space="preserve"> strongly believe that it is taking far too long to establish the Commission.</w:t>
      </w:r>
    </w:p>
    <w:p w14:paraId="6AC010AD" w14:textId="77777777" w:rsidR="00A57619" w:rsidRPr="00EA5BBC" w:rsidRDefault="00A57619"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In our 2017 Report </w:t>
      </w:r>
      <w:r w:rsidR="00273661"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 xml:space="preserve"> noted</w:t>
      </w:r>
      <w:r w:rsidR="00273661" w:rsidRPr="00EA5BBC">
        <w:rPr>
          <w:rFonts w:ascii="Times New Roman" w:hAnsi="Times New Roman" w:cs="Times New Roman"/>
          <w:color w:val="000000" w:themeColor="text1"/>
          <w:sz w:val="24"/>
          <w:szCs w:val="24"/>
        </w:rPr>
        <w:t xml:space="preserve"> that</w:t>
      </w:r>
      <w:r w:rsidRPr="00EA5BBC">
        <w:rPr>
          <w:rFonts w:ascii="Times New Roman" w:hAnsi="Times New Roman" w:cs="Times New Roman"/>
          <w:color w:val="000000" w:themeColor="text1"/>
          <w:sz w:val="24"/>
          <w:szCs w:val="24"/>
        </w:rPr>
        <w:t xml:space="preserve"> in respect of Illicit Financial Flows (IFFs): “The Committee urges the NT, the FIC and SARS to ensure that they strengthen their human resource and technical capacity to manage IFFs and BEPS. These institutions should also work closely with the Department of Trade and Industry, the Department of Mineral Resources, the South Africa Police Services, the National Prosecuting Authority, the Asset Forfeiture Unit and the Reserve Bank’s Exchange Control Division to develop a coordinated strategy to deal with key aspects of IFFs and BEPS. The Committee requests the Minister to consider looking into the possibilities of an Inter-Ministerial Committee being established to effectively tackle IFFs and BEPS.” Within our constraints, the Committee has been pursuing IFF issues at our </w:t>
      </w:r>
      <w:r w:rsidR="00D3306A" w:rsidRPr="00EA5BBC">
        <w:rPr>
          <w:rFonts w:ascii="Times New Roman" w:hAnsi="Times New Roman" w:cs="Times New Roman"/>
          <w:color w:val="000000" w:themeColor="text1"/>
          <w:sz w:val="24"/>
          <w:szCs w:val="24"/>
        </w:rPr>
        <w:t>q</w:t>
      </w:r>
      <w:r w:rsidRPr="00EA5BBC">
        <w:rPr>
          <w:rFonts w:ascii="Times New Roman" w:hAnsi="Times New Roman" w:cs="Times New Roman"/>
          <w:color w:val="000000" w:themeColor="text1"/>
          <w:sz w:val="24"/>
          <w:szCs w:val="24"/>
        </w:rPr>
        <w:t xml:space="preserve">uarterly </w:t>
      </w:r>
      <w:r w:rsidR="00D3306A" w:rsidRPr="00EA5BBC">
        <w:rPr>
          <w:rFonts w:ascii="Times New Roman" w:hAnsi="Times New Roman" w:cs="Times New Roman"/>
          <w:color w:val="000000" w:themeColor="text1"/>
          <w:sz w:val="24"/>
          <w:szCs w:val="24"/>
        </w:rPr>
        <w:t>b</w:t>
      </w:r>
      <w:r w:rsidRPr="00EA5BBC">
        <w:rPr>
          <w:rFonts w:ascii="Times New Roman" w:hAnsi="Times New Roman" w:cs="Times New Roman"/>
          <w:color w:val="000000" w:themeColor="text1"/>
          <w:sz w:val="24"/>
          <w:szCs w:val="24"/>
        </w:rPr>
        <w:t xml:space="preserve">riefings with NT and SARS, and we believe there has been very little progress since last year, and express our very serious concern about this. Given the VAT and fuel levy increases in this year’s budget and the urgent need to raise revenue for </w:t>
      </w:r>
      <w:r w:rsidR="00C61B17" w:rsidRPr="00EA5BBC">
        <w:rPr>
          <w:rFonts w:ascii="Times New Roman" w:hAnsi="Times New Roman" w:cs="Times New Roman"/>
          <w:color w:val="000000" w:themeColor="text1"/>
          <w:sz w:val="24"/>
          <w:szCs w:val="24"/>
        </w:rPr>
        <w:t>fee-</w:t>
      </w:r>
      <w:r w:rsidRPr="00EA5BBC">
        <w:rPr>
          <w:rFonts w:ascii="Times New Roman" w:hAnsi="Times New Roman" w:cs="Times New Roman"/>
          <w:color w:val="000000" w:themeColor="text1"/>
          <w:sz w:val="24"/>
          <w:szCs w:val="24"/>
        </w:rPr>
        <w:t>free higher education and other pro-poor programmes, it is more unacceptable than ever that such staggering amounts of money leave our sho</w:t>
      </w:r>
      <w:r w:rsidR="00B87A6A" w:rsidRPr="00EA5BBC">
        <w:rPr>
          <w:rFonts w:ascii="Times New Roman" w:hAnsi="Times New Roman" w:cs="Times New Roman"/>
          <w:color w:val="000000" w:themeColor="text1"/>
          <w:sz w:val="24"/>
          <w:szCs w:val="24"/>
        </w:rPr>
        <w:t>r</w:t>
      </w:r>
      <w:r w:rsidRPr="00EA5BBC">
        <w:rPr>
          <w:rFonts w:ascii="Times New Roman" w:hAnsi="Times New Roman" w:cs="Times New Roman"/>
          <w:color w:val="000000" w:themeColor="text1"/>
          <w:sz w:val="24"/>
          <w:szCs w:val="24"/>
        </w:rPr>
        <w:t xml:space="preserve">es illegally, and we insist that NT and SARS do far more than they are to reduce IFFs. Of course, the Committee recognises that it is the President that decides on Inter-Ministerial Committees, but believes that the Minister needs to actively pursue the possibility of this and report in writing to the Committee by the end of June on progress in this regard. </w:t>
      </w:r>
    </w:p>
    <w:p w14:paraId="654CBFBF" w14:textId="77777777" w:rsidR="00787CFF" w:rsidRPr="00EA5BBC" w:rsidRDefault="00A57619"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The Committee recently received a briefing on the huge loss of revenue to the fiscus through the Illicit Tobacco Trade (ITT). Participants included the Tobacco institute of South Africa, the Fair Trade Independent Tobacco</w:t>
      </w:r>
      <w:r w:rsidR="00D3306A" w:rsidRPr="00EA5BBC">
        <w:rPr>
          <w:rFonts w:ascii="Times New Roman" w:hAnsi="Times New Roman" w:cs="Times New Roman"/>
          <w:color w:val="000000" w:themeColor="text1"/>
          <w:sz w:val="24"/>
          <w:szCs w:val="24"/>
        </w:rPr>
        <w:t>,</w:t>
      </w:r>
      <w:r w:rsidRPr="00EA5BBC">
        <w:rPr>
          <w:rFonts w:ascii="Times New Roman" w:hAnsi="Times New Roman" w:cs="Times New Roman"/>
          <w:color w:val="000000" w:themeColor="text1"/>
          <w:sz w:val="24"/>
          <w:szCs w:val="24"/>
        </w:rPr>
        <w:t xml:space="preserve"> NT, SARS, FIC, Hawks and the </w:t>
      </w:r>
      <w:r w:rsidRPr="00EA5BBC">
        <w:rPr>
          <w:rFonts w:ascii="Times New Roman" w:hAnsi="Times New Roman" w:cs="Times New Roman"/>
          <w:color w:val="000000" w:themeColor="text1"/>
          <w:sz w:val="24"/>
          <w:szCs w:val="24"/>
        </w:rPr>
        <w:lastRenderedPageBreak/>
        <w:t xml:space="preserve">National Prosecution Authority (NPA). The Committee is acutely aware of the health hazards of smoking but since smoking is not legally proscribed, feels very strongly that SARS should raise the full revenue it is entitled to from the tobacco industry, now more than ever! Every cent due to SARS has to be raised, especially in view of the revenue shortfalls in recent years and the need to fund major pro-poor programmes. </w:t>
      </w:r>
      <w:r w:rsidR="00787CFF" w:rsidRPr="00EA5BBC">
        <w:rPr>
          <w:rFonts w:ascii="Times New Roman" w:eastAsia="Times New Roman" w:hAnsi="Times New Roman" w:cs="Times New Roman"/>
          <w:color w:val="000000" w:themeColor="text1"/>
          <w:sz w:val="24"/>
          <w:szCs w:val="24"/>
          <w:lang w:eastAsia="en-ZA"/>
        </w:rPr>
        <w:t xml:space="preserve">The Committee notes that in 2017, revenue from tobacco sales decreased by 26% from the estimated R15 billion to R11 billion due to illicit trade. </w:t>
      </w:r>
      <w:r w:rsidRPr="00EA5BBC">
        <w:rPr>
          <w:rFonts w:ascii="Times New Roman" w:hAnsi="Times New Roman" w:cs="Times New Roman"/>
          <w:color w:val="000000" w:themeColor="text1"/>
          <w:sz w:val="24"/>
          <w:szCs w:val="24"/>
        </w:rPr>
        <w:t>By their very nature, the loss of revenue through illegal activities like in the ITT</w:t>
      </w:r>
      <w:r w:rsidR="002E6931"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is difficult to quantify, but it is estimated that a minimum of R5 billion is lost to the fiscus annually. This is completely unacceptable. South Africa ranks among the top 5 countries in the world with the highest incidence of trade in illicit cigarettes. The increase in the illicit tobacco trade makes cigarettes easily accessible even to children and defeats the health promotion regime of the country. The Committee believes that there should be far more effective coordination between SARS, the Hawks, the FIC, NPA and NT in more decisively tackling the ITT</w:t>
      </w:r>
      <w:r w:rsidR="002E6931"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w:t>
      </w:r>
      <w:r w:rsidR="00D05270"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also urge</w:t>
      </w:r>
      <w:r w:rsidR="00D05270"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the Ministers under which these institutions fall to work in a coordinated structure towards this goal.</w:t>
      </w:r>
    </w:p>
    <w:p w14:paraId="4C64E8BD" w14:textId="77777777" w:rsidR="00B27F28" w:rsidRPr="00EA5BBC" w:rsidRDefault="0077758F"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once again expresses its serious concern about the 1% increase in VAT. In </w:t>
      </w:r>
      <w:r w:rsidR="00D05270" w:rsidRPr="00EA5BBC">
        <w:rPr>
          <w:rFonts w:ascii="Times New Roman" w:hAnsi="Times New Roman" w:cs="Times New Roman"/>
          <w:color w:val="000000" w:themeColor="text1"/>
          <w:sz w:val="24"/>
          <w:szCs w:val="24"/>
        </w:rPr>
        <w:t xml:space="preserve">the </w:t>
      </w:r>
      <w:r w:rsidRPr="00EA5BBC">
        <w:rPr>
          <w:rFonts w:ascii="Times New Roman" w:hAnsi="Times New Roman" w:cs="Times New Roman"/>
          <w:color w:val="000000" w:themeColor="text1"/>
          <w:sz w:val="24"/>
          <w:szCs w:val="24"/>
        </w:rPr>
        <w:t xml:space="preserve"> 2018 Fiscal Framework </w:t>
      </w:r>
      <w:r w:rsidR="00D05270"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 xml:space="preserve"> noted: “If there are sufficient measures to offset the negative consequences of the VAT increase, the Committees believe that it might be reasonable to accept the VAT increase provided it is reviewed within 2 years.”</w:t>
      </w:r>
      <w:r w:rsidR="003E1B61" w:rsidRPr="00EA5BBC">
        <w:rPr>
          <w:rFonts w:ascii="Times New Roman" w:hAnsi="Times New Roman" w:cs="Times New Roman"/>
          <w:color w:val="000000" w:themeColor="text1"/>
          <w:sz w:val="24"/>
          <w:szCs w:val="24"/>
        </w:rPr>
        <w:t xml:space="preserve"> Following recent hearings on the </w:t>
      </w:r>
      <w:r w:rsidR="002E6931" w:rsidRPr="00EA5BBC">
        <w:rPr>
          <w:rFonts w:ascii="Times New Roman" w:hAnsi="Times New Roman" w:cs="Times New Roman"/>
          <w:color w:val="000000" w:themeColor="text1"/>
          <w:sz w:val="24"/>
          <w:szCs w:val="24"/>
        </w:rPr>
        <w:t>the Rates and Monetary Amounts and Amendment of Revenue Laws Bill (the “VAT Increase” Bill)</w:t>
      </w:r>
      <w:r w:rsidR="002E6931" w:rsidRPr="00EA5BBC">
        <w:rPr>
          <w:rFonts w:ascii="Times New Roman" w:hAnsi="Times New Roman" w:cs="Times New Roman"/>
          <w:b/>
          <w:color w:val="000000" w:themeColor="text1"/>
          <w:sz w:val="24"/>
          <w:szCs w:val="24"/>
        </w:rPr>
        <w:t>,</w:t>
      </w:r>
      <w:r w:rsidR="003E1B61" w:rsidRPr="00EA5BBC">
        <w:rPr>
          <w:rFonts w:ascii="Times New Roman" w:hAnsi="Times New Roman" w:cs="Times New Roman"/>
          <w:color w:val="000000" w:themeColor="text1"/>
          <w:sz w:val="24"/>
          <w:szCs w:val="24"/>
        </w:rPr>
        <w:t xml:space="preserve"> the Committee urges NT to vigourously engage with the stakeholders and ensure that the Independent Panel </w:t>
      </w:r>
      <w:r w:rsidR="002E6931" w:rsidRPr="00EA5BBC">
        <w:rPr>
          <w:rFonts w:ascii="Times New Roman" w:hAnsi="Times New Roman" w:cs="Times New Roman"/>
          <w:color w:val="000000" w:themeColor="text1"/>
          <w:sz w:val="24"/>
          <w:szCs w:val="24"/>
        </w:rPr>
        <w:t xml:space="preserve">into VAT increase </w:t>
      </w:r>
      <w:r w:rsidR="003E1B61" w:rsidRPr="00EA5BBC">
        <w:rPr>
          <w:rFonts w:ascii="Times New Roman" w:hAnsi="Times New Roman" w:cs="Times New Roman"/>
          <w:color w:val="000000" w:themeColor="text1"/>
          <w:sz w:val="24"/>
          <w:szCs w:val="24"/>
        </w:rPr>
        <w:t>does so too and seek</w:t>
      </w:r>
      <w:r w:rsidR="007C1F5A" w:rsidRPr="00EA5BBC">
        <w:rPr>
          <w:rFonts w:ascii="Times New Roman" w:hAnsi="Times New Roman" w:cs="Times New Roman"/>
          <w:color w:val="000000" w:themeColor="text1"/>
          <w:sz w:val="24"/>
          <w:szCs w:val="24"/>
        </w:rPr>
        <w:t>s</w:t>
      </w:r>
      <w:r w:rsidR="003E1B61" w:rsidRPr="00EA5BBC">
        <w:rPr>
          <w:rFonts w:ascii="Times New Roman" w:hAnsi="Times New Roman" w:cs="Times New Roman"/>
          <w:color w:val="000000" w:themeColor="text1"/>
          <w:sz w:val="24"/>
          <w:szCs w:val="24"/>
        </w:rPr>
        <w:t xml:space="preserve"> to make appropriate compromises. </w:t>
      </w:r>
      <w:r w:rsidR="003E1B61" w:rsidRPr="00EA5BBC">
        <w:rPr>
          <w:rFonts w:ascii="Times New Roman" w:hAnsi="Times New Roman" w:cs="Times New Roman"/>
          <w:b/>
          <w:color w:val="000000" w:themeColor="text1"/>
          <w:sz w:val="24"/>
          <w:szCs w:val="24"/>
        </w:rPr>
        <w:t xml:space="preserve"> </w:t>
      </w:r>
      <w:r w:rsidR="00D05270" w:rsidRPr="00EA5BBC">
        <w:rPr>
          <w:rFonts w:ascii="Times New Roman" w:hAnsi="Times New Roman" w:cs="Times New Roman"/>
          <w:color w:val="000000" w:themeColor="text1"/>
          <w:sz w:val="24"/>
          <w:szCs w:val="24"/>
        </w:rPr>
        <w:t xml:space="preserve">The Committee </w:t>
      </w:r>
      <w:r w:rsidR="007C1F5A" w:rsidRPr="00EA5BBC">
        <w:rPr>
          <w:rFonts w:ascii="Times New Roman" w:hAnsi="Times New Roman" w:cs="Times New Roman"/>
          <w:color w:val="000000" w:themeColor="text1"/>
          <w:sz w:val="24"/>
          <w:szCs w:val="24"/>
        </w:rPr>
        <w:t>also note</w:t>
      </w:r>
      <w:r w:rsidR="00D05270" w:rsidRPr="00EA5BBC">
        <w:rPr>
          <w:rFonts w:ascii="Times New Roman" w:hAnsi="Times New Roman" w:cs="Times New Roman"/>
          <w:color w:val="000000" w:themeColor="text1"/>
          <w:sz w:val="24"/>
          <w:szCs w:val="24"/>
        </w:rPr>
        <w:t>s</w:t>
      </w:r>
      <w:r w:rsidR="007C1F5A" w:rsidRPr="00EA5BBC">
        <w:rPr>
          <w:rFonts w:ascii="Times New Roman" w:hAnsi="Times New Roman" w:cs="Times New Roman"/>
          <w:color w:val="000000" w:themeColor="text1"/>
          <w:sz w:val="24"/>
          <w:szCs w:val="24"/>
        </w:rPr>
        <w:t xml:space="preserve"> and welcome</w:t>
      </w:r>
      <w:r w:rsidR="00D05270" w:rsidRPr="00EA5BBC">
        <w:rPr>
          <w:rFonts w:ascii="Times New Roman" w:hAnsi="Times New Roman" w:cs="Times New Roman"/>
          <w:color w:val="000000" w:themeColor="text1"/>
          <w:sz w:val="24"/>
          <w:szCs w:val="24"/>
        </w:rPr>
        <w:t>s</w:t>
      </w:r>
      <w:r w:rsidR="007C1F5A" w:rsidRPr="00EA5BBC">
        <w:rPr>
          <w:rFonts w:ascii="Times New Roman" w:hAnsi="Times New Roman" w:cs="Times New Roman"/>
          <w:color w:val="000000" w:themeColor="text1"/>
          <w:sz w:val="24"/>
          <w:szCs w:val="24"/>
        </w:rPr>
        <w:t xml:space="preserve"> that NT plans to refer the draft Bill to Nedlac for more consultation and consensus.</w:t>
      </w:r>
      <w:r w:rsidR="007C1F5A" w:rsidRPr="00EA5BBC">
        <w:rPr>
          <w:rFonts w:ascii="Times New Roman" w:hAnsi="Times New Roman" w:cs="Times New Roman"/>
          <w:b/>
          <w:color w:val="000000" w:themeColor="text1"/>
          <w:sz w:val="24"/>
          <w:szCs w:val="24"/>
        </w:rPr>
        <w:t xml:space="preserve"> </w:t>
      </w:r>
      <w:r w:rsidR="007C1F5A" w:rsidRPr="00EA5BBC">
        <w:rPr>
          <w:rFonts w:ascii="Times New Roman" w:hAnsi="Times New Roman" w:cs="Times New Roman"/>
          <w:color w:val="000000" w:themeColor="text1"/>
          <w:sz w:val="24"/>
          <w:szCs w:val="24"/>
        </w:rPr>
        <w:t>T</w:t>
      </w:r>
      <w:r w:rsidR="003E1B61" w:rsidRPr="00EA5BBC">
        <w:rPr>
          <w:rFonts w:ascii="Times New Roman" w:hAnsi="Times New Roman" w:cs="Times New Roman"/>
          <w:color w:val="000000" w:themeColor="text1"/>
          <w:sz w:val="24"/>
          <w:szCs w:val="24"/>
        </w:rPr>
        <w:t>he Committee has decided not to proceed with the Bill until th</w:t>
      </w:r>
      <w:r w:rsidR="007C1F5A" w:rsidRPr="00EA5BBC">
        <w:rPr>
          <w:rFonts w:ascii="Times New Roman" w:hAnsi="Times New Roman" w:cs="Times New Roman"/>
          <w:color w:val="000000" w:themeColor="text1"/>
          <w:sz w:val="24"/>
          <w:szCs w:val="24"/>
        </w:rPr>
        <w:t>ese</w:t>
      </w:r>
      <w:r w:rsidR="003E1B61" w:rsidRPr="00EA5BBC">
        <w:rPr>
          <w:rFonts w:ascii="Times New Roman" w:hAnsi="Times New Roman" w:cs="Times New Roman"/>
          <w:color w:val="000000" w:themeColor="text1"/>
          <w:sz w:val="24"/>
          <w:szCs w:val="24"/>
        </w:rPr>
        <w:t xml:space="preserve"> process</w:t>
      </w:r>
      <w:r w:rsidR="007C1F5A" w:rsidRPr="00EA5BBC">
        <w:rPr>
          <w:rFonts w:ascii="Times New Roman" w:hAnsi="Times New Roman" w:cs="Times New Roman"/>
          <w:color w:val="000000" w:themeColor="text1"/>
          <w:sz w:val="24"/>
          <w:szCs w:val="24"/>
        </w:rPr>
        <w:t>es</w:t>
      </w:r>
      <w:r w:rsidR="003E1B61" w:rsidRPr="00EA5BBC">
        <w:rPr>
          <w:rFonts w:ascii="Times New Roman" w:hAnsi="Times New Roman" w:cs="Times New Roman"/>
          <w:color w:val="000000" w:themeColor="text1"/>
          <w:sz w:val="24"/>
          <w:szCs w:val="24"/>
        </w:rPr>
        <w:t xml:space="preserve"> </w:t>
      </w:r>
      <w:r w:rsidR="007C1F5A" w:rsidRPr="00EA5BBC">
        <w:rPr>
          <w:rFonts w:ascii="Times New Roman" w:hAnsi="Times New Roman" w:cs="Times New Roman"/>
          <w:color w:val="000000" w:themeColor="text1"/>
          <w:sz w:val="24"/>
          <w:szCs w:val="24"/>
        </w:rPr>
        <w:t>are</w:t>
      </w:r>
      <w:r w:rsidR="003E1B61" w:rsidRPr="00EA5BBC">
        <w:rPr>
          <w:rFonts w:ascii="Times New Roman" w:hAnsi="Times New Roman" w:cs="Times New Roman"/>
          <w:color w:val="000000" w:themeColor="text1"/>
          <w:sz w:val="24"/>
          <w:szCs w:val="24"/>
        </w:rPr>
        <w:t xml:space="preserve"> finalised. </w:t>
      </w:r>
    </w:p>
    <w:p w14:paraId="56417925" w14:textId="77777777" w:rsidR="00DE7757" w:rsidRPr="00EA5BBC" w:rsidRDefault="003638DF"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w:t>
      </w:r>
      <w:r w:rsidR="00452C5A" w:rsidRPr="00EA5BBC">
        <w:rPr>
          <w:rFonts w:ascii="Times New Roman" w:hAnsi="Times New Roman" w:cs="Times New Roman"/>
          <w:color w:val="000000" w:themeColor="text1"/>
          <w:sz w:val="24"/>
          <w:szCs w:val="24"/>
        </w:rPr>
        <w:t xml:space="preserve">expresses its strongest concern at the spate of allegations of errant behaviour by audting companies involving, among others, auditors of  Steinhoff, Linkway Trading, Venda Building Society </w:t>
      </w:r>
      <w:r w:rsidR="007C1F5A" w:rsidRPr="00EA5BBC">
        <w:rPr>
          <w:rFonts w:ascii="Times New Roman" w:hAnsi="Times New Roman" w:cs="Times New Roman"/>
          <w:color w:val="000000" w:themeColor="text1"/>
          <w:sz w:val="24"/>
          <w:szCs w:val="24"/>
        </w:rPr>
        <w:t xml:space="preserve">Mutual Bank </w:t>
      </w:r>
      <w:r w:rsidR="00452C5A" w:rsidRPr="00EA5BBC">
        <w:rPr>
          <w:rFonts w:ascii="Times New Roman" w:hAnsi="Times New Roman" w:cs="Times New Roman"/>
          <w:color w:val="000000" w:themeColor="text1"/>
          <w:sz w:val="24"/>
          <w:szCs w:val="24"/>
        </w:rPr>
        <w:t>and those used by the AG’s office.</w:t>
      </w:r>
      <w:r w:rsidR="00FD445D" w:rsidRPr="00EA5BBC">
        <w:rPr>
          <w:rFonts w:ascii="Times New Roman" w:hAnsi="Times New Roman" w:cs="Times New Roman"/>
          <w:color w:val="000000" w:themeColor="text1"/>
          <w:sz w:val="24"/>
          <w:szCs w:val="24"/>
        </w:rPr>
        <w:t xml:space="preserve">The Committee </w:t>
      </w:r>
      <w:r w:rsidR="00452C5A" w:rsidRPr="00EA5BBC">
        <w:rPr>
          <w:rFonts w:ascii="Times New Roman" w:hAnsi="Times New Roman" w:cs="Times New Roman"/>
          <w:color w:val="000000" w:themeColor="text1"/>
          <w:sz w:val="24"/>
          <w:szCs w:val="24"/>
        </w:rPr>
        <w:t xml:space="preserve">strongly </w:t>
      </w:r>
      <w:r w:rsidR="00FD445D" w:rsidRPr="00EA5BBC">
        <w:rPr>
          <w:rFonts w:ascii="Times New Roman" w:hAnsi="Times New Roman" w:cs="Times New Roman"/>
          <w:color w:val="000000" w:themeColor="text1"/>
          <w:sz w:val="24"/>
          <w:szCs w:val="24"/>
        </w:rPr>
        <w:t>believes that</w:t>
      </w:r>
      <w:r w:rsidR="00452C5A" w:rsidRPr="00EA5BBC">
        <w:rPr>
          <w:rFonts w:ascii="Times New Roman" w:hAnsi="Times New Roman" w:cs="Times New Roman"/>
          <w:color w:val="000000" w:themeColor="text1"/>
          <w:sz w:val="24"/>
          <w:szCs w:val="24"/>
        </w:rPr>
        <w:t xml:space="preserve"> the</w:t>
      </w:r>
      <w:r w:rsidR="00FD445D" w:rsidRPr="00EA5BBC">
        <w:rPr>
          <w:rFonts w:ascii="Times New Roman" w:hAnsi="Times New Roman" w:cs="Times New Roman"/>
          <w:color w:val="000000" w:themeColor="text1"/>
          <w:sz w:val="24"/>
          <w:szCs w:val="24"/>
        </w:rPr>
        <w:t xml:space="preserve"> Independent Regulatory Board of Auditors (IRBA) </w:t>
      </w:r>
      <w:r w:rsidR="00452C5A" w:rsidRPr="00EA5BBC">
        <w:rPr>
          <w:rFonts w:ascii="Times New Roman" w:hAnsi="Times New Roman" w:cs="Times New Roman"/>
          <w:color w:val="000000" w:themeColor="text1"/>
          <w:sz w:val="24"/>
          <w:szCs w:val="24"/>
        </w:rPr>
        <w:t xml:space="preserve">needs to </w:t>
      </w:r>
      <w:r w:rsidR="00C61B17" w:rsidRPr="00EA5BBC">
        <w:rPr>
          <w:rFonts w:ascii="Times New Roman" w:hAnsi="Times New Roman" w:cs="Times New Roman"/>
          <w:color w:val="000000" w:themeColor="text1"/>
          <w:sz w:val="24"/>
          <w:szCs w:val="24"/>
        </w:rPr>
        <w:t xml:space="preserve">be </w:t>
      </w:r>
      <w:r w:rsidR="00452C5A" w:rsidRPr="00EA5BBC">
        <w:rPr>
          <w:rFonts w:ascii="Times New Roman" w:hAnsi="Times New Roman" w:cs="Times New Roman"/>
          <w:color w:val="000000" w:themeColor="text1"/>
          <w:sz w:val="24"/>
          <w:szCs w:val="24"/>
        </w:rPr>
        <w:t xml:space="preserve">more effectively resourced and strengthened in other ways. </w:t>
      </w:r>
      <w:r w:rsidR="00D05270" w:rsidRPr="00EA5BBC">
        <w:rPr>
          <w:rFonts w:ascii="Times New Roman" w:hAnsi="Times New Roman" w:cs="Times New Roman"/>
          <w:color w:val="000000" w:themeColor="text1"/>
          <w:sz w:val="24"/>
          <w:szCs w:val="24"/>
        </w:rPr>
        <w:t>The Committee</w:t>
      </w:r>
      <w:r w:rsidR="00452C5A" w:rsidRPr="00EA5BBC">
        <w:rPr>
          <w:rFonts w:ascii="Times New Roman" w:hAnsi="Times New Roman" w:cs="Times New Roman"/>
          <w:color w:val="000000" w:themeColor="text1"/>
          <w:sz w:val="24"/>
          <w:szCs w:val="24"/>
        </w:rPr>
        <w:t xml:space="preserve"> also support amendments to the Auditing Profession</w:t>
      </w:r>
      <w:r w:rsidR="00F438AF" w:rsidRPr="00EA5BBC">
        <w:rPr>
          <w:rFonts w:ascii="Times New Roman" w:hAnsi="Times New Roman" w:cs="Times New Roman"/>
          <w:color w:val="000000" w:themeColor="text1"/>
          <w:sz w:val="24"/>
          <w:szCs w:val="24"/>
        </w:rPr>
        <w:t>s</w:t>
      </w:r>
      <w:r w:rsidR="00452C5A" w:rsidRPr="00EA5BBC">
        <w:rPr>
          <w:rFonts w:ascii="Times New Roman" w:hAnsi="Times New Roman" w:cs="Times New Roman"/>
          <w:color w:val="000000" w:themeColor="text1"/>
          <w:sz w:val="24"/>
          <w:szCs w:val="24"/>
        </w:rPr>
        <w:t xml:space="preserve"> Act</w:t>
      </w:r>
      <w:r w:rsidR="00F438AF" w:rsidRPr="00EA5BBC">
        <w:rPr>
          <w:rFonts w:ascii="Times New Roman" w:hAnsi="Times New Roman" w:cs="Times New Roman"/>
          <w:color w:val="000000" w:themeColor="text1"/>
          <w:sz w:val="24"/>
          <w:szCs w:val="24"/>
        </w:rPr>
        <w:t xml:space="preserve"> </w:t>
      </w:r>
      <w:r w:rsidR="007D37EE" w:rsidRPr="00EA5BBC">
        <w:rPr>
          <w:rFonts w:ascii="Times New Roman" w:hAnsi="Times New Roman" w:cs="Times New Roman"/>
          <w:color w:val="000000" w:themeColor="text1"/>
          <w:sz w:val="24"/>
          <w:szCs w:val="24"/>
        </w:rPr>
        <w:t>(2005)</w:t>
      </w:r>
      <w:r w:rsidR="0082267E" w:rsidRPr="00EA5BBC">
        <w:rPr>
          <w:rFonts w:ascii="Times New Roman" w:hAnsi="Times New Roman" w:cs="Times New Roman"/>
          <w:color w:val="000000" w:themeColor="text1"/>
          <w:sz w:val="24"/>
          <w:szCs w:val="24"/>
        </w:rPr>
        <w:t xml:space="preserve"> to give IRBA the power to apply far more effective sanctions, including suspending auditors </w:t>
      </w:r>
      <w:r w:rsidR="007C1F5A" w:rsidRPr="00EA5BBC">
        <w:rPr>
          <w:rFonts w:ascii="Times New Roman" w:hAnsi="Times New Roman" w:cs="Times New Roman"/>
          <w:color w:val="000000" w:themeColor="text1"/>
          <w:sz w:val="24"/>
          <w:szCs w:val="24"/>
        </w:rPr>
        <w:t xml:space="preserve">who are </w:t>
      </w:r>
      <w:r w:rsidR="0082267E" w:rsidRPr="00EA5BBC">
        <w:rPr>
          <w:rFonts w:ascii="Times New Roman" w:hAnsi="Times New Roman" w:cs="Times New Roman"/>
          <w:color w:val="000000" w:themeColor="text1"/>
          <w:sz w:val="24"/>
          <w:szCs w:val="24"/>
        </w:rPr>
        <w:t xml:space="preserve">found guilty. </w:t>
      </w:r>
      <w:r w:rsidR="0082267E" w:rsidRPr="00EA5BBC">
        <w:rPr>
          <w:rFonts w:ascii="Times New Roman" w:hAnsi="Times New Roman" w:cs="Times New Roman"/>
          <w:color w:val="000000" w:themeColor="text1"/>
          <w:sz w:val="24"/>
          <w:szCs w:val="24"/>
        </w:rPr>
        <w:lastRenderedPageBreak/>
        <w:t>It should also be allowed to take immediate action against auditors who do not cooperate with the regulator. Consideration also needs to be given to IRBA having search and seiz</w:t>
      </w:r>
      <w:r w:rsidR="007C1F5A" w:rsidRPr="00EA5BBC">
        <w:rPr>
          <w:rFonts w:ascii="Times New Roman" w:hAnsi="Times New Roman" w:cs="Times New Roman"/>
          <w:color w:val="000000" w:themeColor="text1"/>
          <w:sz w:val="24"/>
          <w:szCs w:val="24"/>
        </w:rPr>
        <w:t>ure</w:t>
      </w:r>
      <w:r w:rsidR="0082267E" w:rsidRPr="00EA5BBC">
        <w:rPr>
          <w:rFonts w:ascii="Times New Roman" w:hAnsi="Times New Roman" w:cs="Times New Roman"/>
          <w:color w:val="000000" w:themeColor="text1"/>
          <w:sz w:val="24"/>
          <w:szCs w:val="24"/>
        </w:rPr>
        <w:t xml:space="preserve"> powers to deal with </w:t>
      </w:r>
      <w:r w:rsidR="007D37EE" w:rsidRPr="00EA5BBC">
        <w:rPr>
          <w:rFonts w:ascii="Times New Roman" w:hAnsi="Times New Roman" w:cs="Times New Roman"/>
          <w:color w:val="000000" w:themeColor="text1"/>
          <w:sz w:val="24"/>
          <w:szCs w:val="24"/>
        </w:rPr>
        <w:t xml:space="preserve">companies and auditors who do not </w:t>
      </w:r>
      <w:r w:rsidR="0082267E" w:rsidRPr="00EA5BBC">
        <w:rPr>
          <w:rFonts w:ascii="Times New Roman" w:hAnsi="Times New Roman" w:cs="Times New Roman"/>
          <w:color w:val="000000" w:themeColor="text1"/>
          <w:sz w:val="24"/>
          <w:szCs w:val="24"/>
        </w:rPr>
        <w:t xml:space="preserve"> cooperate or seek to tamper with information. IRBA needs to simplify its investigative and decision-making processes. </w:t>
      </w:r>
      <w:r w:rsidR="00DA11A3" w:rsidRPr="00EA5BBC">
        <w:rPr>
          <w:rFonts w:ascii="Times New Roman" w:hAnsi="Times New Roman" w:cs="Times New Roman"/>
          <w:color w:val="000000" w:themeColor="text1"/>
          <w:sz w:val="24"/>
          <w:szCs w:val="24"/>
        </w:rPr>
        <w:t>There is also a need for</w:t>
      </w:r>
      <w:r w:rsidR="007D37EE" w:rsidRPr="00EA5BBC">
        <w:rPr>
          <w:rFonts w:ascii="Times New Roman" w:hAnsi="Times New Roman" w:cs="Times New Roman"/>
          <w:color w:val="000000" w:themeColor="text1"/>
          <w:sz w:val="24"/>
          <w:szCs w:val="24"/>
        </w:rPr>
        <w:t xml:space="preserve"> r</w:t>
      </w:r>
      <w:r w:rsidR="00DA11A3" w:rsidRPr="00EA5BBC">
        <w:rPr>
          <w:rFonts w:ascii="Times New Roman" w:hAnsi="Times New Roman" w:cs="Times New Roman"/>
          <w:color w:val="000000" w:themeColor="text1"/>
          <w:sz w:val="24"/>
          <w:szCs w:val="24"/>
        </w:rPr>
        <w:t>egulation of the accounting profession in line with international standards as, currently, only the auditing profession is regulated.</w:t>
      </w:r>
      <w:r w:rsidR="00FD445D" w:rsidRPr="00EA5BBC">
        <w:rPr>
          <w:rFonts w:ascii="Times New Roman" w:hAnsi="Times New Roman" w:cs="Times New Roman"/>
          <w:color w:val="000000" w:themeColor="text1"/>
          <w:sz w:val="24"/>
          <w:szCs w:val="24"/>
        </w:rPr>
        <w:t xml:space="preserve">  </w:t>
      </w:r>
    </w:p>
    <w:p w14:paraId="28D15C28" w14:textId="77777777" w:rsidR="003638DF" w:rsidRPr="00EA5BBC" w:rsidRDefault="00DE7757"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Together with the Trade and Industry Committee, our Committee organised major hearings last year on Financial Sector Transformation (FST) and the National Assembly adopted the 131-page report of the Committees, including several recommendations, on this. </w:t>
      </w:r>
      <w:r w:rsidR="00263361" w:rsidRPr="00EA5BBC">
        <w:rPr>
          <w:rFonts w:ascii="Times New Roman" w:hAnsi="Times New Roman" w:cs="Times New Roman"/>
          <w:color w:val="000000" w:themeColor="text1"/>
          <w:sz w:val="24"/>
          <w:szCs w:val="24"/>
        </w:rPr>
        <w:t>It was the most extensive hearings on FST ever held since 1994 and the Committees are very clear that NT and the Department of Trade and Industry have to give concerted attention to the recommendations in the report in the lead up to the Financial Sector Summit, as has been communicated to both the Ministers of Finance, and Trade and Industry verbally and in writing by the two Committees’ chairpersons. Our Committee mandates the chairperson to raise this matter again in writing with the Minister of Finance and requires him to respond within 14 days of the adoption of this report.</w:t>
      </w:r>
    </w:p>
    <w:p w14:paraId="02C92A99" w14:textId="77777777" w:rsidR="00F5380F" w:rsidRPr="00EA5BBC" w:rsidRDefault="001705AA"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notes </w:t>
      </w:r>
      <w:r w:rsidR="00533082" w:rsidRPr="00EA5BBC">
        <w:rPr>
          <w:rFonts w:ascii="Times New Roman" w:hAnsi="Times New Roman" w:cs="Times New Roman"/>
          <w:color w:val="000000" w:themeColor="text1"/>
          <w:sz w:val="24"/>
          <w:szCs w:val="24"/>
        </w:rPr>
        <w:t xml:space="preserve">the </w:t>
      </w:r>
      <w:r w:rsidR="004131BB" w:rsidRPr="00EA5BBC">
        <w:rPr>
          <w:rFonts w:ascii="Times New Roman" w:hAnsi="Times New Roman" w:cs="Times New Roman"/>
          <w:color w:val="000000" w:themeColor="text1"/>
          <w:sz w:val="24"/>
          <w:szCs w:val="24"/>
        </w:rPr>
        <w:t>poor</w:t>
      </w:r>
      <w:r w:rsidRPr="00EA5BBC">
        <w:rPr>
          <w:rFonts w:ascii="Times New Roman" w:hAnsi="Times New Roman" w:cs="Times New Roman"/>
          <w:color w:val="000000" w:themeColor="text1"/>
          <w:sz w:val="24"/>
          <w:szCs w:val="24"/>
        </w:rPr>
        <w:t xml:space="preserve"> financial</w:t>
      </w:r>
      <w:r w:rsidR="004131BB" w:rsidRPr="00EA5BBC">
        <w:rPr>
          <w:rFonts w:ascii="Times New Roman" w:hAnsi="Times New Roman" w:cs="Times New Roman"/>
          <w:color w:val="000000" w:themeColor="text1"/>
          <w:sz w:val="24"/>
          <w:szCs w:val="24"/>
        </w:rPr>
        <w:t xml:space="preserve"> management</w:t>
      </w:r>
      <w:r w:rsidRPr="00EA5BBC">
        <w:rPr>
          <w:rFonts w:ascii="Times New Roman" w:hAnsi="Times New Roman" w:cs="Times New Roman"/>
          <w:color w:val="000000" w:themeColor="text1"/>
          <w:sz w:val="24"/>
          <w:szCs w:val="24"/>
        </w:rPr>
        <w:t xml:space="preserve"> of many municipalities</w:t>
      </w:r>
      <w:r w:rsidR="00533082" w:rsidRPr="00EA5BBC">
        <w:rPr>
          <w:rFonts w:ascii="Times New Roman" w:hAnsi="Times New Roman" w:cs="Times New Roman"/>
          <w:color w:val="000000" w:themeColor="text1"/>
          <w:sz w:val="24"/>
          <w:szCs w:val="24"/>
        </w:rPr>
        <w:t>.</w:t>
      </w:r>
      <w:r w:rsidRPr="00EA5BBC">
        <w:rPr>
          <w:rFonts w:ascii="Times New Roman" w:hAnsi="Times New Roman" w:cs="Times New Roman"/>
          <w:color w:val="000000" w:themeColor="text1"/>
          <w:sz w:val="24"/>
          <w:szCs w:val="24"/>
        </w:rPr>
        <w:t xml:space="preserve"> </w:t>
      </w:r>
      <w:r w:rsidR="00D05270" w:rsidRPr="00EA5BBC">
        <w:rPr>
          <w:rFonts w:ascii="Times New Roman" w:hAnsi="Times New Roman" w:cs="Times New Roman"/>
          <w:color w:val="000000" w:themeColor="text1"/>
          <w:sz w:val="24"/>
          <w:szCs w:val="24"/>
        </w:rPr>
        <w:t>The Committee</w:t>
      </w:r>
      <w:r w:rsidRPr="00EA5BBC">
        <w:rPr>
          <w:rFonts w:ascii="Times New Roman" w:hAnsi="Times New Roman" w:cs="Times New Roman"/>
          <w:color w:val="000000" w:themeColor="text1"/>
          <w:sz w:val="24"/>
          <w:szCs w:val="24"/>
        </w:rPr>
        <w:t xml:space="preserve"> support</w:t>
      </w:r>
      <w:r w:rsidR="00D05270" w:rsidRPr="00EA5BBC">
        <w:rPr>
          <w:rFonts w:ascii="Times New Roman" w:hAnsi="Times New Roman" w:cs="Times New Roman"/>
          <w:color w:val="000000" w:themeColor="text1"/>
          <w:sz w:val="24"/>
          <w:szCs w:val="24"/>
        </w:rPr>
        <w:t>s</w:t>
      </w:r>
      <w:r w:rsidRPr="00EA5BBC">
        <w:rPr>
          <w:rFonts w:ascii="Times New Roman" w:hAnsi="Times New Roman" w:cs="Times New Roman"/>
          <w:color w:val="000000" w:themeColor="text1"/>
          <w:sz w:val="24"/>
          <w:szCs w:val="24"/>
        </w:rPr>
        <w:t xml:space="preserve"> the </w:t>
      </w:r>
      <w:r w:rsidR="00A23687" w:rsidRPr="00EA5BBC">
        <w:rPr>
          <w:rFonts w:ascii="Times New Roman" w:hAnsi="Times New Roman" w:cs="Times New Roman"/>
          <w:color w:val="000000" w:themeColor="text1"/>
          <w:sz w:val="24"/>
          <w:szCs w:val="24"/>
        </w:rPr>
        <w:t xml:space="preserve">government-wide </w:t>
      </w:r>
      <w:r w:rsidRPr="00EA5BBC">
        <w:rPr>
          <w:rFonts w:ascii="Times New Roman" w:hAnsi="Times New Roman" w:cs="Times New Roman"/>
          <w:color w:val="000000" w:themeColor="text1"/>
          <w:sz w:val="24"/>
          <w:szCs w:val="24"/>
        </w:rPr>
        <w:t xml:space="preserve">work </w:t>
      </w:r>
      <w:r w:rsidR="00A23687" w:rsidRPr="00EA5BBC">
        <w:rPr>
          <w:rFonts w:ascii="Times New Roman" w:hAnsi="Times New Roman" w:cs="Times New Roman"/>
          <w:color w:val="000000" w:themeColor="text1"/>
          <w:sz w:val="24"/>
          <w:szCs w:val="24"/>
        </w:rPr>
        <w:t xml:space="preserve">to </w:t>
      </w:r>
      <w:r w:rsidR="00533082" w:rsidRPr="00EA5BBC">
        <w:rPr>
          <w:rFonts w:ascii="Times New Roman" w:hAnsi="Times New Roman" w:cs="Times New Roman"/>
          <w:color w:val="000000" w:themeColor="text1"/>
          <w:sz w:val="24"/>
          <w:szCs w:val="24"/>
        </w:rPr>
        <w:t xml:space="preserve">address this, including </w:t>
      </w:r>
      <w:r w:rsidRPr="00EA5BBC">
        <w:rPr>
          <w:rFonts w:ascii="Times New Roman" w:hAnsi="Times New Roman" w:cs="Times New Roman"/>
          <w:color w:val="000000" w:themeColor="text1"/>
          <w:sz w:val="24"/>
          <w:szCs w:val="24"/>
        </w:rPr>
        <w:t>NT</w:t>
      </w:r>
      <w:r w:rsidR="00A23687" w:rsidRPr="00EA5BBC">
        <w:rPr>
          <w:rFonts w:ascii="Times New Roman" w:hAnsi="Times New Roman" w:cs="Times New Roman"/>
          <w:color w:val="000000" w:themeColor="text1"/>
          <w:sz w:val="24"/>
          <w:szCs w:val="24"/>
        </w:rPr>
        <w:t xml:space="preserve">’s </w:t>
      </w:r>
      <w:r w:rsidR="00533082" w:rsidRPr="00EA5BBC">
        <w:rPr>
          <w:rFonts w:ascii="Times New Roman" w:hAnsi="Times New Roman" w:cs="Times New Roman"/>
          <w:color w:val="000000" w:themeColor="text1"/>
          <w:sz w:val="24"/>
          <w:szCs w:val="24"/>
        </w:rPr>
        <w:t xml:space="preserve">efforts </w:t>
      </w:r>
      <w:r w:rsidRPr="00EA5BBC">
        <w:rPr>
          <w:rFonts w:ascii="Times New Roman" w:hAnsi="Times New Roman" w:cs="Times New Roman"/>
          <w:color w:val="000000" w:themeColor="text1"/>
          <w:sz w:val="24"/>
          <w:szCs w:val="24"/>
        </w:rPr>
        <w:t xml:space="preserve">in coordinating fiscal relations and promoting sound and transparent budgetary planning across national, provincial and local spheres. </w:t>
      </w:r>
      <w:r w:rsidR="00533082" w:rsidRPr="00EA5BBC">
        <w:rPr>
          <w:rFonts w:ascii="Times New Roman" w:hAnsi="Times New Roman" w:cs="Times New Roman"/>
          <w:color w:val="000000" w:themeColor="text1"/>
          <w:sz w:val="24"/>
          <w:szCs w:val="24"/>
        </w:rPr>
        <w:t>Th</w:t>
      </w:r>
      <w:r w:rsidR="00A23687" w:rsidRPr="00EA5BBC">
        <w:rPr>
          <w:rFonts w:ascii="Times New Roman" w:hAnsi="Times New Roman" w:cs="Times New Roman"/>
          <w:color w:val="000000" w:themeColor="text1"/>
          <w:sz w:val="24"/>
          <w:szCs w:val="24"/>
        </w:rPr>
        <w:t xml:space="preserve">ere </w:t>
      </w:r>
      <w:r w:rsidR="00533082" w:rsidRPr="00EA5BBC">
        <w:rPr>
          <w:rFonts w:ascii="Times New Roman" w:hAnsi="Times New Roman" w:cs="Times New Roman"/>
          <w:color w:val="000000" w:themeColor="text1"/>
          <w:sz w:val="24"/>
          <w:szCs w:val="24"/>
        </w:rPr>
        <w:t xml:space="preserve">needs to </w:t>
      </w:r>
      <w:r w:rsidR="00A23687" w:rsidRPr="00EA5BBC">
        <w:rPr>
          <w:rFonts w:ascii="Times New Roman" w:hAnsi="Times New Roman" w:cs="Times New Roman"/>
          <w:color w:val="000000" w:themeColor="text1"/>
          <w:sz w:val="24"/>
          <w:szCs w:val="24"/>
        </w:rPr>
        <w:t xml:space="preserve">be </w:t>
      </w:r>
      <w:r w:rsidR="00533082" w:rsidRPr="00EA5BBC">
        <w:rPr>
          <w:rFonts w:ascii="Times New Roman" w:hAnsi="Times New Roman" w:cs="Times New Roman"/>
          <w:color w:val="000000" w:themeColor="text1"/>
          <w:sz w:val="24"/>
          <w:szCs w:val="24"/>
        </w:rPr>
        <w:t xml:space="preserve">far </w:t>
      </w:r>
      <w:r w:rsidR="00A23687" w:rsidRPr="00EA5BBC">
        <w:rPr>
          <w:rFonts w:ascii="Times New Roman" w:hAnsi="Times New Roman" w:cs="Times New Roman"/>
          <w:color w:val="000000" w:themeColor="text1"/>
          <w:sz w:val="24"/>
          <w:szCs w:val="24"/>
        </w:rPr>
        <w:t xml:space="preserve">more coordination of support to municipalities </w:t>
      </w:r>
      <w:r w:rsidR="00E1153C" w:rsidRPr="00EA5BBC">
        <w:rPr>
          <w:rFonts w:ascii="Times New Roman" w:hAnsi="Times New Roman" w:cs="Times New Roman"/>
          <w:color w:val="000000" w:themeColor="text1"/>
          <w:sz w:val="24"/>
          <w:szCs w:val="24"/>
        </w:rPr>
        <w:t>between various national</w:t>
      </w:r>
      <w:r w:rsidR="00BA758F" w:rsidRPr="00EA5BBC">
        <w:rPr>
          <w:rFonts w:ascii="Times New Roman" w:hAnsi="Times New Roman" w:cs="Times New Roman"/>
          <w:color w:val="000000" w:themeColor="text1"/>
          <w:sz w:val="24"/>
          <w:szCs w:val="24"/>
        </w:rPr>
        <w:t xml:space="preserve"> and provincial</w:t>
      </w:r>
      <w:r w:rsidR="00E1153C" w:rsidRPr="00EA5BBC">
        <w:rPr>
          <w:rFonts w:ascii="Times New Roman" w:hAnsi="Times New Roman" w:cs="Times New Roman"/>
          <w:color w:val="000000" w:themeColor="text1"/>
          <w:sz w:val="24"/>
          <w:szCs w:val="24"/>
        </w:rPr>
        <w:t xml:space="preserve"> departments</w:t>
      </w:r>
      <w:r w:rsidR="00533082" w:rsidRPr="00EA5BBC">
        <w:rPr>
          <w:rFonts w:ascii="Times New Roman" w:hAnsi="Times New Roman" w:cs="Times New Roman"/>
          <w:color w:val="000000" w:themeColor="text1"/>
          <w:sz w:val="24"/>
          <w:szCs w:val="24"/>
        </w:rPr>
        <w:t>.</w:t>
      </w:r>
      <w:r w:rsidR="00E1153C" w:rsidRPr="00EA5BBC">
        <w:rPr>
          <w:rFonts w:ascii="Times New Roman" w:hAnsi="Times New Roman" w:cs="Times New Roman"/>
          <w:color w:val="000000" w:themeColor="text1"/>
          <w:sz w:val="24"/>
          <w:szCs w:val="24"/>
        </w:rPr>
        <w:t xml:space="preserve"> This includes the </w:t>
      </w:r>
      <w:r w:rsidR="005F3C04" w:rsidRPr="00EA5BBC">
        <w:rPr>
          <w:rFonts w:ascii="Times New Roman" w:hAnsi="Times New Roman" w:cs="Times New Roman"/>
          <w:color w:val="000000" w:themeColor="text1"/>
          <w:sz w:val="24"/>
          <w:szCs w:val="24"/>
        </w:rPr>
        <w:t xml:space="preserve">coordination </w:t>
      </w:r>
      <w:r w:rsidR="00533082" w:rsidRPr="00EA5BBC">
        <w:rPr>
          <w:rFonts w:ascii="Times New Roman" w:hAnsi="Times New Roman" w:cs="Times New Roman"/>
          <w:color w:val="000000" w:themeColor="text1"/>
          <w:sz w:val="24"/>
          <w:szCs w:val="24"/>
        </w:rPr>
        <w:t>o</w:t>
      </w:r>
      <w:r w:rsidR="00E1153C" w:rsidRPr="00EA5BBC">
        <w:rPr>
          <w:rFonts w:ascii="Times New Roman" w:hAnsi="Times New Roman" w:cs="Times New Roman"/>
          <w:color w:val="000000" w:themeColor="text1"/>
          <w:sz w:val="24"/>
          <w:szCs w:val="24"/>
        </w:rPr>
        <w:t>f NT</w:t>
      </w:r>
      <w:r w:rsidR="00533082" w:rsidRPr="00EA5BBC">
        <w:rPr>
          <w:rFonts w:ascii="Times New Roman" w:hAnsi="Times New Roman" w:cs="Times New Roman"/>
          <w:color w:val="000000" w:themeColor="text1"/>
          <w:sz w:val="24"/>
          <w:szCs w:val="24"/>
        </w:rPr>
        <w:t xml:space="preserve">’s programmes </w:t>
      </w:r>
      <w:r w:rsidR="00E1153C" w:rsidRPr="00EA5BBC">
        <w:rPr>
          <w:rFonts w:ascii="Times New Roman" w:hAnsi="Times New Roman" w:cs="Times New Roman"/>
          <w:color w:val="000000" w:themeColor="text1"/>
          <w:sz w:val="24"/>
          <w:szCs w:val="24"/>
        </w:rPr>
        <w:t xml:space="preserve"> </w:t>
      </w:r>
      <w:r w:rsidR="0033188A" w:rsidRPr="00EA5BBC">
        <w:rPr>
          <w:rFonts w:ascii="Times New Roman" w:hAnsi="Times New Roman" w:cs="Times New Roman"/>
          <w:color w:val="000000" w:themeColor="text1"/>
          <w:sz w:val="24"/>
          <w:szCs w:val="24"/>
        </w:rPr>
        <w:t>on</w:t>
      </w:r>
      <w:r w:rsidR="00E1153C" w:rsidRPr="00EA5BBC">
        <w:rPr>
          <w:rFonts w:ascii="Times New Roman" w:hAnsi="Times New Roman" w:cs="Times New Roman"/>
          <w:color w:val="000000" w:themeColor="text1"/>
          <w:sz w:val="24"/>
          <w:szCs w:val="24"/>
        </w:rPr>
        <w:t xml:space="preserve"> </w:t>
      </w:r>
      <w:r w:rsidR="005F3C04" w:rsidRPr="00EA5BBC">
        <w:rPr>
          <w:rFonts w:ascii="Times New Roman" w:hAnsi="Times New Roman" w:cs="Times New Roman"/>
          <w:color w:val="000000" w:themeColor="text1"/>
          <w:sz w:val="24"/>
          <w:szCs w:val="24"/>
        </w:rPr>
        <w:t xml:space="preserve">strengthening </w:t>
      </w:r>
      <w:r w:rsidR="0038004E" w:rsidRPr="00EA5BBC">
        <w:rPr>
          <w:rFonts w:ascii="Times New Roman" w:hAnsi="Times New Roman" w:cs="Times New Roman"/>
          <w:color w:val="000000" w:themeColor="text1"/>
          <w:sz w:val="24"/>
          <w:szCs w:val="24"/>
        </w:rPr>
        <w:t xml:space="preserve">financial management </w:t>
      </w:r>
      <w:r w:rsidR="00E1153C" w:rsidRPr="00EA5BBC">
        <w:rPr>
          <w:rFonts w:ascii="Times New Roman" w:hAnsi="Times New Roman" w:cs="Times New Roman"/>
          <w:color w:val="000000" w:themeColor="text1"/>
          <w:sz w:val="24"/>
          <w:szCs w:val="24"/>
        </w:rPr>
        <w:t xml:space="preserve">capacity </w:t>
      </w:r>
      <w:r w:rsidR="005F3C04" w:rsidRPr="00EA5BBC">
        <w:rPr>
          <w:rFonts w:ascii="Times New Roman" w:hAnsi="Times New Roman" w:cs="Times New Roman"/>
          <w:color w:val="000000" w:themeColor="text1"/>
          <w:sz w:val="24"/>
          <w:szCs w:val="24"/>
        </w:rPr>
        <w:t xml:space="preserve">and the implementation of financial management legislation through the </w:t>
      </w:r>
      <w:r w:rsidR="00BA758F" w:rsidRPr="00EA5BBC">
        <w:rPr>
          <w:rFonts w:ascii="Times New Roman" w:hAnsi="Times New Roman" w:cs="Times New Roman"/>
          <w:color w:val="000000" w:themeColor="text1"/>
          <w:sz w:val="24"/>
          <w:szCs w:val="24"/>
        </w:rPr>
        <w:t>Municipal Finance Improvement Programme (MFIP</w:t>
      </w:r>
      <w:r w:rsidR="007C1F5A" w:rsidRPr="00EA5BBC">
        <w:rPr>
          <w:rFonts w:ascii="Times New Roman" w:hAnsi="Times New Roman" w:cs="Times New Roman"/>
          <w:color w:val="000000" w:themeColor="text1"/>
          <w:sz w:val="24"/>
          <w:szCs w:val="24"/>
        </w:rPr>
        <w:t xml:space="preserve">). </w:t>
      </w:r>
    </w:p>
    <w:p w14:paraId="7A73EEAB" w14:textId="77777777" w:rsidR="00BA758F" w:rsidRPr="00EA5BBC" w:rsidRDefault="00350987"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urges NT to expedite its work on revising the policy framework </w:t>
      </w:r>
      <w:r w:rsidR="00B95260" w:rsidRPr="00EA5BBC">
        <w:rPr>
          <w:rFonts w:ascii="Times New Roman" w:hAnsi="Times New Roman" w:cs="Times New Roman"/>
          <w:color w:val="000000" w:themeColor="text1"/>
          <w:sz w:val="24"/>
          <w:szCs w:val="24"/>
        </w:rPr>
        <w:t>and modernisation of approvals for expenditure</w:t>
      </w:r>
      <w:r w:rsidRPr="00EA5BBC">
        <w:rPr>
          <w:rFonts w:ascii="Times New Roman" w:hAnsi="Times New Roman" w:cs="Times New Roman"/>
          <w:color w:val="000000" w:themeColor="text1"/>
          <w:sz w:val="24"/>
          <w:szCs w:val="24"/>
        </w:rPr>
        <w:t xml:space="preserve"> deviations. </w:t>
      </w:r>
    </w:p>
    <w:p w14:paraId="4C981414" w14:textId="77777777" w:rsidR="002712B2" w:rsidRPr="00EA5BBC" w:rsidRDefault="00B95260" w:rsidP="00EA5BBC">
      <w:pPr>
        <w:pStyle w:val="ListParagraph"/>
        <w:numPr>
          <w:ilvl w:val="1"/>
          <w:numId w:val="1"/>
        </w:numPr>
        <w:spacing w:after="0"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The Committee notes the Minister</w:t>
      </w:r>
      <w:r w:rsidR="00802D54" w:rsidRPr="00EA5BBC">
        <w:rPr>
          <w:rFonts w:ascii="Times New Roman" w:hAnsi="Times New Roman" w:cs="Times New Roman"/>
          <w:color w:val="000000" w:themeColor="text1"/>
          <w:sz w:val="24"/>
          <w:szCs w:val="24"/>
        </w:rPr>
        <w:t>’</w:t>
      </w:r>
      <w:r w:rsidRPr="00EA5BBC">
        <w:rPr>
          <w:rFonts w:ascii="Times New Roman" w:hAnsi="Times New Roman" w:cs="Times New Roman"/>
          <w:color w:val="000000" w:themeColor="text1"/>
          <w:sz w:val="24"/>
          <w:szCs w:val="24"/>
        </w:rPr>
        <w:t xml:space="preserve">s comments and brief update </w:t>
      </w:r>
      <w:r w:rsidR="00B4632B" w:rsidRPr="00EA5BBC">
        <w:rPr>
          <w:rFonts w:ascii="Times New Roman" w:hAnsi="Times New Roman" w:cs="Times New Roman"/>
          <w:color w:val="000000" w:themeColor="text1"/>
          <w:sz w:val="24"/>
          <w:szCs w:val="24"/>
        </w:rPr>
        <w:t xml:space="preserve">to the Committee </w:t>
      </w:r>
      <w:r w:rsidRPr="00EA5BBC">
        <w:rPr>
          <w:rFonts w:ascii="Times New Roman" w:hAnsi="Times New Roman" w:cs="Times New Roman"/>
          <w:color w:val="000000" w:themeColor="text1"/>
          <w:sz w:val="24"/>
          <w:szCs w:val="24"/>
        </w:rPr>
        <w:t>on the Integrated Financial Management System</w:t>
      </w:r>
      <w:r w:rsidR="00802D54" w:rsidRPr="00EA5BBC">
        <w:rPr>
          <w:rFonts w:ascii="Times New Roman" w:hAnsi="Times New Roman" w:cs="Times New Roman"/>
          <w:color w:val="000000" w:themeColor="text1"/>
          <w:sz w:val="24"/>
          <w:szCs w:val="24"/>
        </w:rPr>
        <w:t xml:space="preserve"> (IFMS). The Committee notes the work done by the Standing Committee on Public Accounts on this matter, particularly on the audit findings of the Auditor-General. The Committee requires to be </w:t>
      </w:r>
      <w:r w:rsidR="00CC6E34" w:rsidRPr="00EA5BBC">
        <w:rPr>
          <w:rFonts w:ascii="Times New Roman" w:hAnsi="Times New Roman" w:cs="Times New Roman"/>
          <w:color w:val="000000" w:themeColor="text1"/>
          <w:sz w:val="24"/>
          <w:szCs w:val="24"/>
        </w:rPr>
        <w:t xml:space="preserve">updated </w:t>
      </w:r>
      <w:r w:rsidR="00787CFF" w:rsidRPr="00EA5BBC">
        <w:rPr>
          <w:rFonts w:ascii="Times New Roman" w:hAnsi="Times New Roman" w:cs="Times New Roman"/>
          <w:color w:val="000000" w:themeColor="text1"/>
          <w:sz w:val="24"/>
          <w:szCs w:val="24"/>
        </w:rPr>
        <w:t xml:space="preserve">at the next quarterly briefing </w:t>
      </w:r>
      <w:r w:rsidR="00802D54" w:rsidRPr="00EA5BBC">
        <w:rPr>
          <w:rFonts w:ascii="Times New Roman" w:hAnsi="Times New Roman" w:cs="Times New Roman"/>
          <w:color w:val="000000" w:themeColor="text1"/>
          <w:sz w:val="24"/>
          <w:szCs w:val="24"/>
        </w:rPr>
        <w:t>on the outcomes of the ongoing forensic investigation into the IFMS and the action</w:t>
      </w:r>
      <w:r w:rsidR="00CC6E34" w:rsidRPr="00EA5BBC">
        <w:rPr>
          <w:rFonts w:ascii="Times New Roman" w:hAnsi="Times New Roman" w:cs="Times New Roman"/>
          <w:color w:val="000000" w:themeColor="text1"/>
          <w:sz w:val="24"/>
          <w:szCs w:val="24"/>
        </w:rPr>
        <w:t>s</w:t>
      </w:r>
      <w:r w:rsidR="00802D54" w:rsidRPr="00EA5BBC">
        <w:rPr>
          <w:rFonts w:ascii="Times New Roman" w:hAnsi="Times New Roman" w:cs="Times New Roman"/>
          <w:color w:val="000000" w:themeColor="text1"/>
          <w:sz w:val="24"/>
          <w:szCs w:val="24"/>
        </w:rPr>
        <w:t xml:space="preserve"> taken against anyone found to have violated the law</w:t>
      </w:r>
      <w:r w:rsidR="00787CFF" w:rsidRPr="00EA5BBC">
        <w:rPr>
          <w:rFonts w:ascii="Times New Roman" w:hAnsi="Times New Roman" w:cs="Times New Roman"/>
          <w:color w:val="000000" w:themeColor="text1"/>
          <w:sz w:val="24"/>
          <w:szCs w:val="24"/>
        </w:rPr>
        <w:t>.</w:t>
      </w:r>
      <w:r w:rsidR="00A00604" w:rsidRPr="00EA5BBC">
        <w:rPr>
          <w:rFonts w:ascii="Times New Roman" w:hAnsi="Times New Roman" w:cs="Times New Roman"/>
          <w:color w:val="000000" w:themeColor="text1"/>
          <w:sz w:val="24"/>
          <w:szCs w:val="24"/>
        </w:rPr>
        <w:t xml:space="preserve"> </w:t>
      </w:r>
      <w:r w:rsidR="00802D54" w:rsidRPr="00EA5BBC">
        <w:rPr>
          <w:rFonts w:ascii="Times New Roman" w:hAnsi="Times New Roman" w:cs="Times New Roman"/>
          <w:color w:val="000000" w:themeColor="text1"/>
          <w:sz w:val="24"/>
          <w:szCs w:val="24"/>
        </w:rPr>
        <w:t>We also require more details into the implementation of the IFMS</w:t>
      </w:r>
      <w:r w:rsidR="00787CFF" w:rsidRPr="00EA5BBC">
        <w:rPr>
          <w:rFonts w:ascii="Times New Roman" w:hAnsi="Times New Roman" w:cs="Times New Roman"/>
          <w:color w:val="000000" w:themeColor="text1"/>
          <w:sz w:val="24"/>
          <w:szCs w:val="24"/>
        </w:rPr>
        <w:t xml:space="preserve"> to be provided by then.</w:t>
      </w:r>
    </w:p>
    <w:p w14:paraId="01471AB6" w14:textId="77777777" w:rsidR="00B95260" w:rsidRPr="00EA5BBC" w:rsidRDefault="002712B2" w:rsidP="00EA5BBC">
      <w:pPr>
        <w:pStyle w:val="ListParagraph"/>
        <w:numPr>
          <w:ilvl w:val="1"/>
          <w:numId w:val="1"/>
        </w:numPr>
        <w:spacing w:after="0"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lastRenderedPageBreak/>
        <w:t xml:space="preserve">The Committee urges NT to expedite the appointment of the </w:t>
      </w:r>
      <w:r w:rsidR="00A00604" w:rsidRPr="00EA5BBC">
        <w:rPr>
          <w:rFonts w:ascii="Times New Roman" w:hAnsi="Times New Roman" w:cs="Times New Roman"/>
          <w:color w:val="000000" w:themeColor="text1"/>
          <w:sz w:val="24"/>
          <w:szCs w:val="24"/>
        </w:rPr>
        <w:t xml:space="preserve">Chief </w:t>
      </w:r>
      <w:r w:rsidRPr="00EA5BBC">
        <w:rPr>
          <w:rFonts w:ascii="Times New Roman" w:hAnsi="Times New Roman" w:cs="Times New Roman"/>
          <w:color w:val="000000" w:themeColor="text1"/>
          <w:sz w:val="24"/>
          <w:szCs w:val="24"/>
        </w:rPr>
        <w:t>Procurement</w:t>
      </w:r>
      <w:r w:rsidR="00A00604" w:rsidRPr="00EA5BBC">
        <w:rPr>
          <w:rFonts w:ascii="Times New Roman" w:hAnsi="Times New Roman" w:cs="Times New Roman"/>
          <w:color w:val="000000" w:themeColor="text1"/>
          <w:sz w:val="24"/>
          <w:szCs w:val="24"/>
        </w:rPr>
        <w:t xml:space="preserve"> Officer and other senior DDG positions within Treasury in order to ensure leadership stability. </w:t>
      </w:r>
      <w:r w:rsidRPr="00EA5BBC">
        <w:rPr>
          <w:rFonts w:ascii="Times New Roman" w:hAnsi="Times New Roman" w:cs="Times New Roman"/>
          <w:color w:val="000000" w:themeColor="text1"/>
          <w:sz w:val="24"/>
          <w:szCs w:val="24"/>
        </w:rPr>
        <w:t xml:space="preserve"> </w:t>
      </w:r>
      <w:r w:rsidR="00802D54" w:rsidRPr="00EA5BBC">
        <w:rPr>
          <w:rFonts w:ascii="Times New Roman" w:hAnsi="Times New Roman" w:cs="Times New Roman"/>
          <w:color w:val="000000" w:themeColor="text1"/>
          <w:sz w:val="24"/>
          <w:szCs w:val="24"/>
        </w:rPr>
        <w:t xml:space="preserve">    </w:t>
      </w:r>
    </w:p>
    <w:p w14:paraId="1FD86A9F" w14:textId="77777777" w:rsidR="00B95260" w:rsidRPr="00EA5BBC" w:rsidRDefault="00D743BA" w:rsidP="00EA5BBC">
      <w:pPr>
        <w:pStyle w:val="ListParagraph"/>
        <w:numPr>
          <w:ilvl w:val="1"/>
          <w:numId w:val="1"/>
        </w:numPr>
        <w:spacing w:after="0"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The Committee requires NT to expedite the review process of the revenue sharing model employed by the South African Customs Union as this has been ongoing since 2016.</w:t>
      </w:r>
      <w:r w:rsidR="00B95260" w:rsidRPr="00EA5BBC">
        <w:rPr>
          <w:rFonts w:ascii="Times New Roman" w:hAnsi="Times New Roman" w:cs="Times New Roman"/>
          <w:color w:val="000000" w:themeColor="text1"/>
          <w:sz w:val="24"/>
          <w:szCs w:val="24"/>
        </w:rPr>
        <w:t xml:space="preserve"> The Committee requires NT to report to it on this process</w:t>
      </w:r>
      <w:r w:rsidR="00B27F28" w:rsidRPr="00EA5BBC">
        <w:rPr>
          <w:rFonts w:ascii="Times New Roman" w:hAnsi="Times New Roman" w:cs="Times New Roman"/>
          <w:color w:val="000000" w:themeColor="text1"/>
          <w:sz w:val="24"/>
          <w:szCs w:val="24"/>
        </w:rPr>
        <w:t xml:space="preserve"> and progress</w:t>
      </w:r>
      <w:r w:rsidR="00B95260" w:rsidRPr="00EA5BBC">
        <w:rPr>
          <w:rFonts w:ascii="Times New Roman" w:hAnsi="Times New Roman" w:cs="Times New Roman"/>
          <w:color w:val="000000" w:themeColor="text1"/>
          <w:sz w:val="24"/>
          <w:szCs w:val="24"/>
        </w:rPr>
        <w:t xml:space="preserve"> in the next quarterly briefing. </w:t>
      </w:r>
    </w:p>
    <w:p w14:paraId="4C7F1993" w14:textId="77777777" w:rsidR="0077463A" w:rsidRPr="00EA5BBC" w:rsidRDefault="0077463A" w:rsidP="00EA5BBC">
      <w:pPr>
        <w:pStyle w:val="ListParagraph"/>
        <w:numPr>
          <w:ilvl w:val="1"/>
          <w:numId w:val="1"/>
        </w:numPr>
        <w:spacing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Bills currently being processed by our Committee are the Rates and Monetary Amounts </w:t>
      </w:r>
      <w:r w:rsidR="00ED7C26" w:rsidRPr="00EA5BBC">
        <w:rPr>
          <w:rFonts w:ascii="Times New Roman" w:hAnsi="Times New Roman" w:cs="Times New Roman"/>
          <w:color w:val="000000" w:themeColor="text1"/>
          <w:sz w:val="24"/>
          <w:szCs w:val="24"/>
        </w:rPr>
        <w:t xml:space="preserve">and Amendment of Revenue Laws </w:t>
      </w:r>
      <w:r w:rsidRPr="00EA5BBC">
        <w:rPr>
          <w:rFonts w:ascii="Times New Roman" w:hAnsi="Times New Roman" w:cs="Times New Roman"/>
          <w:color w:val="000000" w:themeColor="text1"/>
          <w:sz w:val="24"/>
          <w:szCs w:val="24"/>
        </w:rPr>
        <w:t xml:space="preserve">Bill (the “VAT Increase” Bill),  Carbon Tax Bill, Public </w:t>
      </w:r>
      <w:r w:rsidR="00ED7C26" w:rsidRPr="00EA5BBC">
        <w:rPr>
          <w:rFonts w:ascii="Times New Roman" w:hAnsi="Times New Roman" w:cs="Times New Roman"/>
          <w:color w:val="000000" w:themeColor="text1"/>
          <w:sz w:val="24"/>
          <w:szCs w:val="24"/>
        </w:rPr>
        <w:t>I</w:t>
      </w:r>
      <w:r w:rsidRPr="00EA5BBC">
        <w:rPr>
          <w:rFonts w:ascii="Times New Roman" w:hAnsi="Times New Roman" w:cs="Times New Roman"/>
          <w:color w:val="000000" w:themeColor="text1"/>
          <w:sz w:val="24"/>
          <w:szCs w:val="24"/>
        </w:rPr>
        <w:t xml:space="preserve">nvestment Corporation Bill and the Money Bills Amendment </w:t>
      </w:r>
      <w:r w:rsidR="00ED7C26" w:rsidRPr="00EA5BBC">
        <w:rPr>
          <w:rFonts w:ascii="Times New Roman" w:hAnsi="Times New Roman" w:cs="Times New Roman"/>
          <w:color w:val="000000" w:themeColor="text1"/>
          <w:sz w:val="24"/>
          <w:szCs w:val="24"/>
        </w:rPr>
        <w:t>Procedure and Related Mattters Bill</w:t>
      </w:r>
      <w:r w:rsidR="00CF7E56" w:rsidRPr="00EA5BBC">
        <w:rPr>
          <w:rFonts w:ascii="Times New Roman" w:hAnsi="Times New Roman" w:cs="Times New Roman"/>
          <w:color w:val="000000" w:themeColor="text1"/>
          <w:sz w:val="24"/>
          <w:szCs w:val="24"/>
        </w:rPr>
        <w:t>.</w:t>
      </w:r>
      <w:r w:rsidRPr="00EA5BBC">
        <w:rPr>
          <w:rFonts w:ascii="Times New Roman" w:hAnsi="Times New Roman" w:cs="Times New Roman"/>
          <w:color w:val="000000" w:themeColor="text1"/>
          <w:sz w:val="24"/>
          <w:szCs w:val="24"/>
        </w:rPr>
        <w:t xml:space="preserve"> </w:t>
      </w:r>
      <w:r w:rsidR="00D05270" w:rsidRPr="00EA5BBC">
        <w:rPr>
          <w:rFonts w:ascii="Times New Roman" w:hAnsi="Times New Roman" w:cs="Times New Roman"/>
          <w:color w:val="000000" w:themeColor="text1"/>
          <w:sz w:val="24"/>
          <w:szCs w:val="24"/>
        </w:rPr>
        <w:t>The Committee</w:t>
      </w:r>
      <w:r w:rsidR="00CF7E56" w:rsidRPr="00EA5BBC">
        <w:rPr>
          <w:rFonts w:ascii="Times New Roman" w:hAnsi="Times New Roman" w:cs="Times New Roman"/>
          <w:color w:val="000000" w:themeColor="text1"/>
          <w:sz w:val="24"/>
          <w:szCs w:val="24"/>
        </w:rPr>
        <w:t xml:space="preserve"> will also have to process the </w:t>
      </w:r>
      <w:r w:rsidRPr="00EA5BBC">
        <w:rPr>
          <w:rFonts w:ascii="Times New Roman" w:hAnsi="Times New Roman" w:cs="Times New Roman"/>
          <w:color w:val="000000" w:themeColor="text1"/>
          <w:sz w:val="24"/>
          <w:szCs w:val="24"/>
        </w:rPr>
        <w:t>Tax</w:t>
      </w:r>
      <w:r w:rsidR="00ED7C26" w:rsidRPr="00EA5BBC">
        <w:rPr>
          <w:rFonts w:ascii="Times New Roman" w:hAnsi="Times New Roman" w:cs="Times New Roman"/>
          <w:color w:val="000000" w:themeColor="text1"/>
          <w:sz w:val="24"/>
          <w:szCs w:val="24"/>
        </w:rPr>
        <w:t>ation</w:t>
      </w:r>
      <w:r w:rsidRPr="00EA5BBC">
        <w:rPr>
          <w:rFonts w:ascii="Times New Roman" w:hAnsi="Times New Roman" w:cs="Times New Roman"/>
          <w:color w:val="000000" w:themeColor="text1"/>
          <w:sz w:val="24"/>
          <w:szCs w:val="24"/>
        </w:rPr>
        <w:t xml:space="preserve"> Laws Amendment Bill, Tax Administration </w:t>
      </w:r>
      <w:r w:rsidR="00CF7E56" w:rsidRPr="00EA5BBC">
        <w:rPr>
          <w:rFonts w:ascii="Times New Roman" w:hAnsi="Times New Roman" w:cs="Times New Roman"/>
          <w:color w:val="000000" w:themeColor="text1"/>
          <w:sz w:val="24"/>
          <w:szCs w:val="24"/>
        </w:rPr>
        <w:t>Laws Amendment Bill,</w:t>
      </w:r>
      <w:r w:rsidRPr="00EA5BBC">
        <w:rPr>
          <w:rFonts w:ascii="Times New Roman" w:hAnsi="Times New Roman" w:cs="Times New Roman"/>
          <w:color w:val="000000" w:themeColor="text1"/>
          <w:sz w:val="24"/>
          <w:szCs w:val="24"/>
        </w:rPr>
        <w:t xml:space="preserve"> and an EFF private members Bill on a state-owned bank. This is apart </w:t>
      </w:r>
      <w:r w:rsidR="00D05270" w:rsidRPr="00EA5BBC">
        <w:rPr>
          <w:rFonts w:ascii="Times New Roman" w:hAnsi="Times New Roman" w:cs="Times New Roman"/>
          <w:color w:val="000000" w:themeColor="text1"/>
          <w:sz w:val="24"/>
          <w:szCs w:val="24"/>
        </w:rPr>
        <w:t>of the Committees</w:t>
      </w:r>
      <w:r w:rsidRPr="00EA5BBC">
        <w:rPr>
          <w:rFonts w:ascii="Times New Roman" w:hAnsi="Times New Roman" w:cs="Times New Roman"/>
          <w:color w:val="000000" w:themeColor="text1"/>
          <w:sz w:val="24"/>
          <w:szCs w:val="24"/>
        </w:rPr>
        <w:t xml:space="preserve"> extensive oversight work, including on SAA, SAR</w:t>
      </w:r>
      <w:r w:rsidR="00CF7E56" w:rsidRPr="00EA5BBC">
        <w:rPr>
          <w:rFonts w:ascii="Times New Roman" w:hAnsi="Times New Roman" w:cs="Times New Roman"/>
          <w:color w:val="000000" w:themeColor="text1"/>
          <w:sz w:val="24"/>
          <w:szCs w:val="24"/>
        </w:rPr>
        <w:t>S, Steinhoff, Capitec and VBS Mutual</w:t>
      </w:r>
      <w:r w:rsidR="00B4632B" w:rsidRPr="00EA5BBC">
        <w:rPr>
          <w:rFonts w:ascii="Times New Roman" w:hAnsi="Times New Roman" w:cs="Times New Roman"/>
          <w:color w:val="000000" w:themeColor="text1"/>
          <w:sz w:val="24"/>
          <w:szCs w:val="24"/>
        </w:rPr>
        <w:t xml:space="preserve"> Bank</w:t>
      </w:r>
      <w:r w:rsidR="00CF7E56" w:rsidRPr="00EA5BBC">
        <w:rPr>
          <w:rFonts w:ascii="Times New Roman" w:hAnsi="Times New Roman" w:cs="Times New Roman"/>
          <w:color w:val="000000" w:themeColor="text1"/>
          <w:sz w:val="24"/>
          <w:szCs w:val="24"/>
        </w:rPr>
        <w:t xml:space="preserve">. </w:t>
      </w:r>
      <w:r w:rsidR="00D05270" w:rsidRPr="00EA5BBC">
        <w:rPr>
          <w:rFonts w:ascii="Times New Roman" w:hAnsi="Times New Roman" w:cs="Times New Roman"/>
          <w:color w:val="000000" w:themeColor="text1"/>
          <w:sz w:val="24"/>
          <w:szCs w:val="24"/>
        </w:rPr>
        <w:t xml:space="preserve">The Committee </w:t>
      </w:r>
      <w:r w:rsidR="00CF7E56" w:rsidRPr="00EA5BBC">
        <w:rPr>
          <w:rFonts w:ascii="Times New Roman" w:hAnsi="Times New Roman" w:cs="Times New Roman"/>
          <w:color w:val="000000" w:themeColor="text1"/>
          <w:sz w:val="24"/>
          <w:szCs w:val="24"/>
        </w:rPr>
        <w:t>understand</w:t>
      </w:r>
      <w:r w:rsidR="00D05270" w:rsidRPr="00EA5BBC">
        <w:rPr>
          <w:rFonts w:ascii="Times New Roman" w:hAnsi="Times New Roman" w:cs="Times New Roman"/>
          <w:color w:val="000000" w:themeColor="text1"/>
          <w:sz w:val="24"/>
          <w:szCs w:val="24"/>
        </w:rPr>
        <w:t>s</w:t>
      </w:r>
      <w:r w:rsidR="00CF7E56" w:rsidRPr="00EA5BBC">
        <w:rPr>
          <w:rFonts w:ascii="Times New Roman" w:hAnsi="Times New Roman" w:cs="Times New Roman"/>
          <w:color w:val="000000" w:themeColor="text1"/>
          <w:sz w:val="24"/>
          <w:szCs w:val="24"/>
        </w:rPr>
        <w:t xml:space="preserve"> that Ministers and Departments are usually under pressure to finish their legislative programmes before the end of a five-year term, and they often flood parliament with Bills in the final year of the term. Often these Bills are very rushed, without proper consultation with stakeholders and poorly drafted and submitted in  a tick-box, compliance-driven manner. While the executive has every right to introduce Bills, even close to the end of a term, </w:t>
      </w:r>
      <w:r w:rsidR="00D05270" w:rsidRPr="00EA5BBC">
        <w:rPr>
          <w:rFonts w:ascii="Times New Roman" w:hAnsi="Times New Roman" w:cs="Times New Roman"/>
          <w:color w:val="000000" w:themeColor="text1"/>
          <w:sz w:val="24"/>
          <w:szCs w:val="24"/>
        </w:rPr>
        <w:t xml:space="preserve">the </w:t>
      </w:r>
      <w:r w:rsidR="00CF7E56" w:rsidRPr="00EA5BBC">
        <w:rPr>
          <w:rFonts w:ascii="Times New Roman" w:hAnsi="Times New Roman" w:cs="Times New Roman"/>
          <w:color w:val="000000" w:themeColor="text1"/>
          <w:sz w:val="24"/>
          <w:szCs w:val="24"/>
        </w:rPr>
        <w:t xml:space="preserve">Committee, as has been raised before, believes that the legislative programme of parliament is too executive-driven, and parliamentary committees should have a much bigger say in determining which Bills should be prioritised. Given the many Bills </w:t>
      </w:r>
      <w:r w:rsidR="00D05270" w:rsidRPr="00EA5BBC">
        <w:rPr>
          <w:rFonts w:ascii="Times New Roman" w:hAnsi="Times New Roman" w:cs="Times New Roman"/>
          <w:color w:val="000000" w:themeColor="text1"/>
          <w:sz w:val="24"/>
          <w:szCs w:val="24"/>
        </w:rPr>
        <w:t xml:space="preserve">the Committee must </w:t>
      </w:r>
      <w:r w:rsidR="00CF7E56" w:rsidRPr="00EA5BBC">
        <w:rPr>
          <w:rFonts w:ascii="Times New Roman" w:hAnsi="Times New Roman" w:cs="Times New Roman"/>
          <w:color w:val="000000" w:themeColor="text1"/>
          <w:sz w:val="24"/>
          <w:szCs w:val="24"/>
        </w:rPr>
        <w:t xml:space="preserve"> process, </w:t>
      </w:r>
      <w:r w:rsidR="00D05270" w:rsidRPr="00EA5BBC">
        <w:rPr>
          <w:rFonts w:ascii="Times New Roman" w:hAnsi="Times New Roman" w:cs="Times New Roman"/>
          <w:color w:val="000000" w:themeColor="text1"/>
          <w:sz w:val="24"/>
          <w:szCs w:val="24"/>
        </w:rPr>
        <w:t xml:space="preserve">the Committee </w:t>
      </w:r>
      <w:r w:rsidR="00CF7E56" w:rsidRPr="00EA5BBC">
        <w:rPr>
          <w:rFonts w:ascii="Times New Roman" w:hAnsi="Times New Roman" w:cs="Times New Roman"/>
          <w:color w:val="000000" w:themeColor="text1"/>
          <w:sz w:val="24"/>
          <w:szCs w:val="24"/>
        </w:rPr>
        <w:t xml:space="preserve">extensive oversight work and the reduction of the parliamentary terms in the year ahead, </w:t>
      </w:r>
      <w:r w:rsidR="00D05270" w:rsidRPr="00EA5BBC">
        <w:rPr>
          <w:rFonts w:ascii="Times New Roman" w:hAnsi="Times New Roman" w:cs="Times New Roman"/>
          <w:color w:val="000000" w:themeColor="text1"/>
          <w:sz w:val="24"/>
          <w:szCs w:val="24"/>
        </w:rPr>
        <w:t xml:space="preserve">the </w:t>
      </w:r>
      <w:r w:rsidR="00F31C8D" w:rsidRPr="00EA5BBC">
        <w:rPr>
          <w:rFonts w:ascii="Times New Roman" w:hAnsi="Times New Roman" w:cs="Times New Roman"/>
          <w:color w:val="000000" w:themeColor="text1"/>
          <w:sz w:val="24"/>
          <w:szCs w:val="24"/>
        </w:rPr>
        <w:t xml:space="preserve"> Committee strongly believes that, apart from the Bills mentioned here, </w:t>
      </w:r>
      <w:r w:rsidR="00D05270" w:rsidRPr="00EA5BBC">
        <w:rPr>
          <w:rFonts w:ascii="Times New Roman" w:hAnsi="Times New Roman" w:cs="Times New Roman"/>
          <w:color w:val="000000" w:themeColor="text1"/>
          <w:sz w:val="24"/>
          <w:szCs w:val="24"/>
        </w:rPr>
        <w:t xml:space="preserve">the Committee  </w:t>
      </w:r>
      <w:r w:rsidR="00F31C8D" w:rsidRPr="00EA5BBC">
        <w:rPr>
          <w:rFonts w:ascii="Times New Roman" w:hAnsi="Times New Roman" w:cs="Times New Roman"/>
          <w:color w:val="000000" w:themeColor="text1"/>
          <w:sz w:val="24"/>
          <w:szCs w:val="24"/>
        </w:rPr>
        <w:t xml:space="preserve">should only seek to process a Bill dealing with the Postbank, a Bill dealing with amendments to the Auditing Professions Act giving IRBA more powers, as explained above and the </w:t>
      </w:r>
      <w:r w:rsidR="00ED7C26" w:rsidRPr="00EA5BBC">
        <w:rPr>
          <w:rFonts w:ascii="Times New Roman" w:hAnsi="Times New Roman" w:cs="Times New Roman"/>
          <w:color w:val="000000" w:themeColor="text1"/>
          <w:sz w:val="24"/>
          <w:szCs w:val="24"/>
        </w:rPr>
        <w:t xml:space="preserve">Financial Sector </w:t>
      </w:r>
      <w:r w:rsidR="00F31C8D" w:rsidRPr="00EA5BBC">
        <w:rPr>
          <w:rFonts w:ascii="Times New Roman" w:hAnsi="Times New Roman" w:cs="Times New Roman"/>
          <w:color w:val="000000" w:themeColor="text1"/>
          <w:sz w:val="24"/>
          <w:szCs w:val="24"/>
        </w:rPr>
        <w:t>Levies Bill</w:t>
      </w:r>
      <w:r w:rsidR="00ED7C26" w:rsidRPr="00EA5BBC">
        <w:rPr>
          <w:rFonts w:ascii="Times New Roman" w:hAnsi="Times New Roman" w:cs="Times New Roman"/>
          <w:color w:val="000000" w:themeColor="text1"/>
          <w:sz w:val="24"/>
          <w:szCs w:val="24"/>
        </w:rPr>
        <w:t>.</w:t>
      </w:r>
      <w:r w:rsidR="00F31C8D" w:rsidRPr="00EA5BBC">
        <w:rPr>
          <w:rFonts w:ascii="Times New Roman" w:hAnsi="Times New Roman" w:cs="Times New Roman"/>
          <w:b/>
          <w:color w:val="000000" w:themeColor="text1"/>
          <w:sz w:val="24"/>
          <w:szCs w:val="24"/>
        </w:rPr>
        <w:t xml:space="preserve"> </w:t>
      </w:r>
      <w:r w:rsidR="00F31C8D" w:rsidRPr="00EA5BBC">
        <w:rPr>
          <w:rFonts w:ascii="Times New Roman" w:hAnsi="Times New Roman" w:cs="Times New Roman"/>
          <w:color w:val="000000" w:themeColor="text1"/>
          <w:sz w:val="24"/>
          <w:szCs w:val="24"/>
        </w:rPr>
        <w:t xml:space="preserve">Following a discussion in the Committee, the Chairperson communicated this to the Minister, Chief Whip of the Majority Party, the office of the Leader of Government Business and the DG. </w:t>
      </w:r>
      <w:r w:rsidR="006F00F9" w:rsidRPr="00EA5BBC">
        <w:rPr>
          <w:rFonts w:ascii="Times New Roman" w:hAnsi="Times New Roman" w:cs="Times New Roman"/>
          <w:color w:val="000000" w:themeColor="text1"/>
          <w:sz w:val="24"/>
          <w:szCs w:val="24"/>
        </w:rPr>
        <w:t xml:space="preserve">The Committee </w:t>
      </w:r>
      <w:r w:rsidR="00F31C8D" w:rsidRPr="00EA5BBC">
        <w:rPr>
          <w:rFonts w:ascii="Times New Roman" w:hAnsi="Times New Roman" w:cs="Times New Roman"/>
          <w:color w:val="000000" w:themeColor="text1"/>
          <w:sz w:val="24"/>
          <w:szCs w:val="24"/>
        </w:rPr>
        <w:t>note</w:t>
      </w:r>
      <w:r w:rsidR="006F00F9" w:rsidRPr="00EA5BBC">
        <w:rPr>
          <w:rFonts w:ascii="Times New Roman" w:hAnsi="Times New Roman" w:cs="Times New Roman"/>
          <w:color w:val="000000" w:themeColor="text1"/>
          <w:sz w:val="24"/>
          <w:szCs w:val="24"/>
        </w:rPr>
        <w:t>s</w:t>
      </w:r>
      <w:r w:rsidR="00F31C8D" w:rsidRPr="00EA5BBC">
        <w:rPr>
          <w:rFonts w:ascii="Times New Roman" w:hAnsi="Times New Roman" w:cs="Times New Roman"/>
          <w:color w:val="000000" w:themeColor="text1"/>
          <w:sz w:val="24"/>
          <w:szCs w:val="24"/>
        </w:rPr>
        <w:t xml:space="preserve"> that NT insists on introducing several other Bills. </w:t>
      </w:r>
      <w:r w:rsidR="006F00F9" w:rsidRPr="00EA5BBC">
        <w:rPr>
          <w:rFonts w:ascii="Times New Roman" w:hAnsi="Times New Roman" w:cs="Times New Roman"/>
          <w:color w:val="000000" w:themeColor="text1"/>
          <w:sz w:val="24"/>
          <w:szCs w:val="24"/>
        </w:rPr>
        <w:t xml:space="preserve">The Committee </w:t>
      </w:r>
      <w:r w:rsidR="00F31C8D" w:rsidRPr="00EA5BBC">
        <w:rPr>
          <w:rFonts w:ascii="Times New Roman" w:hAnsi="Times New Roman" w:cs="Times New Roman"/>
          <w:color w:val="000000" w:themeColor="text1"/>
          <w:sz w:val="24"/>
          <w:szCs w:val="24"/>
        </w:rPr>
        <w:t xml:space="preserve">simply will not be able to process them. </w:t>
      </w:r>
    </w:p>
    <w:p w14:paraId="4304EA24" w14:textId="77777777" w:rsidR="002C7160" w:rsidRPr="00EA5BBC" w:rsidRDefault="00787CFF" w:rsidP="00EA5BBC">
      <w:pPr>
        <w:pStyle w:val="ListParagraph"/>
        <w:numPr>
          <w:ilvl w:val="1"/>
          <w:numId w:val="1"/>
        </w:numPr>
        <w:spacing w:after="0" w:line="360" w:lineRule="auto"/>
        <w:jc w:val="both"/>
        <w:rPr>
          <w:rFonts w:ascii="Times New Roman" w:hAnsi="Times New Roman" w:cs="Times New Roman"/>
          <w:color w:val="000000" w:themeColor="text1"/>
          <w:sz w:val="24"/>
          <w:szCs w:val="24"/>
        </w:rPr>
      </w:pPr>
      <w:r w:rsidRPr="00EA5BBC">
        <w:rPr>
          <w:rFonts w:ascii="Times New Roman" w:hAnsi="Times New Roman" w:cs="Times New Roman"/>
          <w:color w:val="000000" w:themeColor="text1"/>
          <w:sz w:val="24"/>
          <w:szCs w:val="24"/>
        </w:rPr>
        <w:t xml:space="preserve">The Committee stresses that NT’s programmes and activities should serve overall to contribute to radical socio-economic transformation and expresses concern that there was </w:t>
      </w:r>
      <w:r w:rsidRPr="00EA5BBC">
        <w:rPr>
          <w:rFonts w:ascii="Times New Roman" w:hAnsi="Times New Roman" w:cs="Times New Roman"/>
          <w:color w:val="000000" w:themeColor="text1"/>
          <w:sz w:val="24"/>
          <w:szCs w:val="24"/>
        </w:rPr>
        <w:lastRenderedPageBreak/>
        <w:t xml:space="preserve">not sufficient attention paid to this in NT’s briefing to the Committee on its budget. The Committee requires NT to be more explicit on this in future quarterly briefings. </w:t>
      </w:r>
      <w:r w:rsidR="00FD53F1" w:rsidRPr="00EA5BBC">
        <w:rPr>
          <w:rFonts w:ascii="Times New Roman" w:hAnsi="Times New Roman" w:cs="Times New Roman"/>
          <w:color w:val="000000" w:themeColor="text1"/>
          <w:sz w:val="24"/>
          <w:szCs w:val="24"/>
        </w:rPr>
        <w:t xml:space="preserve"> </w:t>
      </w:r>
    </w:p>
    <w:p w14:paraId="2E973F0C" w14:textId="77777777" w:rsidR="006F00F9" w:rsidRPr="00EA5BBC" w:rsidRDefault="006F00F9" w:rsidP="00EA5BBC">
      <w:pPr>
        <w:spacing w:line="360" w:lineRule="auto"/>
        <w:jc w:val="both"/>
        <w:rPr>
          <w:rFonts w:ascii="Times New Roman" w:hAnsi="Times New Roman"/>
          <w:color w:val="000000" w:themeColor="text1"/>
        </w:rPr>
      </w:pPr>
    </w:p>
    <w:p w14:paraId="7B5A6C46" w14:textId="77777777" w:rsidR="006F00F9" w:rsidRPr="00EA5BBC" w:rsidRDefault="006F00F9" w:rsidP="00EA5BBC">
      <w:pPr>
        <w:spacing w:line="360" w:lineRule="auto"/>
        <w:jc w:val="both"/>
        <w:rPr>
          <w:rFonts w:ascii="Times New Roman" w:hAnsi="Times New Roman"/>
          <w:color w:val="000000" w:themeColor="text1"/>
        </w:rPr>
      </w:pPr>
      <w:r w:rsidRPr="00EA5BBC">
        <w:rPr>
          <w:rFonts w:ascii="Times New Roman" w:hAnsi="Times New Roman"/>
          <w:color w:val="000000" w:themeColor="text1"/>
        </w:rPr>
        <w:t>The Democratic Alliance (DA) reserves their position on the report</w:t>
      </w:r>
    </w:p>
    <w:p w14:paraId="56F8AD1E" w14:textId="77777777" w:rsidR="006F00F9" w:rsidRPr="00EA5BBC" w:rsidRDefault="006F00F9" w:rsidP="00EA5BBC">
      <w:pPr>
        <w:spacing w:line="360" w:lineRule="auto"/>
        <w:jc w:val="both"/>
        <w:rPr>
          <w:rFonts w:ascii="Times New Roman" w:hAnsi="Times New Roman"/>
          <w:color w:val="000000" w:themeColor="text1"/>
        </w:rPr>
      </w:pPr>
    </w:p>
    <w:p w14:paraId="1D164320" w14:textId="77777777" w:rsidR="006F00F9" w:rsidRPr="00EA5BBC" w:rsidRDefault="006F00F9" w:rsidP="00EA5BBC">
      <w:pPr>
        <w:spacing w:line="360" w:lineRule="auto"/>
        <w:jc w:val="both"/>
        <w:rPr>
          <w:rFonts w:ascii="Times New Roman" w:hAnsi="Times New Roman"/>
          <w:color w:val="000000" w:themeColor="text1"/>
        </w:rPr>
      </w:pPr>
      <w:r w:rsidRPr="00EA5BBC">
        <w:rPr>
          <w:rFonts w:ascii="Times New Roman" w:hAnsi="Times New Roman"/>
          <w:color w:val="000000" w:themeColor="text1"/>
        </w:rPr>
        <w:t>Report to be considered</w:t>
      </w:r>
    </w:p>
    <w:sectPr w:rsidR="006F00F9" w:rsidRPr="00EA5BB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60C2" w14:textId="77777777" w:rsidR="00701AA9" w:rsidRDefault="00701AA9" w:rsidP="00E6153B">
      <w:r>
        <w:separator/>
      </w:r>
    </w:p>
  </w:endnote>
  <w:endnote w:type="continuationSeparator" w:id="0">
    <w:p w14:paraId="3F0824B3" w14:textId="77777777" w:rsidR="00701AA9" w:rsidRDefault="00701AA9" w:rsidP="00E6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5596"/>
      <w:docPartObj>
        <w:docPartGallery w:val="Page Numbers (Bottom of Page)"/>
        <w:docPartUnique/>
      </w:docPartObj>
    </w:sdtPr>
    <w:sdtEndPr>
      <w:rPr>
        <w:noProof/>
      </w:rPr>
    </w:sdtEndPr>
    <w:sdtContent>
      <w:p w14:paraId="373A8047" w14:textId="7DC26B85" w:rsidR="00DB3498" w:rsidRDefault="00DB3498">
        <w:pPr>
          <w:pStyle w:val="Footer"/>
          <w:jc w:val="center"/>
        </w:pPr>
        <w:r>
          <w:fldChar w:fldCharType="begin"/>
        </w:r>
        <w:r>
          <w:instrText xml:space="preserve"> PAGE   \* MERGEFORMAT </w:instrText>
        </w:r>
        <w:r>
          <w:fldChar w:fldCharType="separate"/>
        </w:r>
        <w:r w:rsidR="00A36D7A">
          <w:rPr>
            <w:noProof/>
          </w:rPr>
          <w:t>1</w:t>
        </w:r>
        <w:r>
          <w:rPr>
            <w:noProof/>
          </w:rPr>
          <w:fldChar w:fldCharType="end"/>
        </w:r>
      </w:p>
    </w:sdtContent>
  </w:sdt>
  <w:p w14:paraId="5A580799" w14:textId="77777777" w:rsidR="00DB3498" w:rsidRDefault="00DB3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2297" w14:textId="77777777" w:rsidR="00701AA9" w:rsidRDefault="00701AA9" w:rsidP="00E6153B">
      <w:r>
        <w:separator/>
      </w:r>
    </w:p>
  </w:footnote>
  <w:footnote w:type="continuationSeparator" w:id="0">
    <w:p w14:paraId="6C2EB831" w14:textId="77777777" w:rsidR="00701AA9" w:rsidRDefault="00701AA9" w:rsidP="00E61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A90"/>
    <w:multiLevelType w:val="multilevel"/>
    <w:tmpl w:val="D722BA7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49D06A2"/>
    <w:multiLevelType w:val="multilevel"/>
    <w:tmpl w:val="6BF05E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8E23C75"/>
    <w:multiLevelType w:val="hybridMultilevel"/>
    <w:tmpl w:val="278C70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DB1220"/>
    <w:multiLevelType w:val="hybridMultilevel"/>
    <w:tmpl w:val="F6E2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DD4D62"/>
    <w:multiLevelType w:val="multilevel"/>
    <w:tmpl w:val="B83A0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A3619E2"/>
    <w:multiLevelType w:val="multilevel"/>
    <w:tmpl w:val="4FC0F3C0"/>
    <w:lvl w:ilvl="0">
      <w:start w:val="4"/>
      <w:numFmt w:val="decimal"/>
      <w:lvlText w:val="%1"/>
      <w:lvlJc w:val="left"/>
      <w:pPr>
        <w:ind w:left="360" w:hanging="360"/>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2160" w:hanging="2160"/>
      </w:pPr>
      <w:rPr>
        <w:rFonts w:cs="Tahoma" w:hint="default"/>
      </w:rPr>
    </w:lvl>
    <w:lvl w:ilvl="8">
      <w:start w:val="1"/>
      <w:numFmt w:val="decimal"/>
      <w:lvlText w:val="%1.%2.%3.%4.%5.%6.%7.%8.%9"/>
      <w:lvlJc w:val="left"/>
      <w:pPr>
        <w:ind w:left="2160" w:hanging="2160"/>
      </w:pPr>
      <w:rPr>
        <w:rFonts w:cs="Tahoma" w:hint="default"/>
      </w:rPr>
    </w:lvl>
  </w:abstractNum>
  <w:abstractNum w:abstractNumId="7">
    <w:nsid w:val="2F0C0FFF"/>
    <w:multiLevelType w:val="multilevel"/>
    <w:tmpl w:val="768078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98B5727"/>
    <w:multiLevelType w:val="multilevel"/>
    <w:tmpl w:val="951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AC3"/>
    <w:multiLevelType w:val="multilevel"/>
    <w:tmpl w:val="F87C45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296A66"/>
    <w:multiLevelType w:val="multilevel"/>
    <w:tmpl w:val="36B894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4D97A1E"/>
    <w:multiLevelType w:val="hybridMultilevel"/>
    <w:tmpl w:val="DD72E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48AD46E6"/>
    <w:multiLevelType w:val="multilevel"/>
    <w:tmpl w:val="53B6B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E457C67"/>
    <w:multiLevelType w:val="multilevel"/>
    <w:tmpl w:val="ADCA98E8"/>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nsid w:val="52B93F3B"/>
    <w:multiLevelType w:val="hybridMultilevel"/>
    <w:tmpl w:val="8F4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F54F7"/>
    <w:multiLevelType w:val="multilevel"/>
    <w:tmpl w:val="81AAFE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8112BC"/>
    <w:multiLevelType w:val="hybridMultilevel"/>
    <w:tmpl w:val="E910AC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6A616AA"/>
    <w:multiLevelType w:val="multilevel"/>
    <w:tmpl w:val="7C24F756"/>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1"/>
  </w:num>
  <w:num w:numId="2">
    <w:abstractNumId w:val="5"/>
  </w:num>
  <w:num w:numId="3">
    <w:abstractNumId w:val="12"/>
  </w:num>
  <w:num w:numId="4">
    <w:abstractNumId w:val="4"/>
  </w:num>
  <w:num w:numId="5">
    <w:abstractNumId w:val="10"/>
  </w:num>
  <w:num w:numId="6">
    <w:abstractNumId w:val="17"/>
  </w:num>
  <w:num w:numId="7">
    <w:abstractNumId w:val="6"/>
  </w:num>
  <w:num w:numId="8">
    <w:abstractNumId w:val="0"/>
  </w:num>
  <w:num w:numId="9">
    <w:abstractNumId w:val="14"/>
  </w:num>
  <w:num w:numId="10">
    <w:abstractNumId w:val="11"/>
  </w:num>
  <w:num w:numId="11">
    <w:abstractNumId w:val="15"/>
  </w:num>
  <w:num w:numId="12">
    <w:abstractNumId w:val="18"/>
  </w:num>
  <w:num w:numId="13">
    <w:abstractNumId w:val="3"/>
  </w:num>
  <w:num w:numId="14">
    <w:abstractNumId w:val="9"/>
  </w:num>
  <w:num w:numId="15">
    <w:abstractNumId w:val="13"/>
  </w:num>
  <w:num w:numId="16">
    <w:abstractNumId w:val="16"/>
  </w:num>
  <w:num w:numId="17">
    <w:abstractNumId w:val="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AF"/>
    <w:rsid w:val="0002028C"/>
    <w:rsid w:val="00021B98"/>
    <w:rsid w:val="0003326D"/>
    <w:rsid w:val="00036A07"/>
    <w:rsid w:val="00040762"/>
    <w:rsid w:val="0004461D"/>
    <w:rsid w:val="00051C74"/>
    <w:rsid w:val="0006770A"/>
    <w:rsid w:val="00077A21"/>
    <w:rsid w:val="00090B27"/>
    <w:rsid w:val="00090BFE"/>
    <w:rsid w:val="00094FEA"/>
    <w:rsid w:val="000A06C6"/>
    <w:rsid w:val="000B1639"/>
    <w:rsid w:val="00104C23"/>
    <w:rsid w:val="0012504E"/>
    <w:rsid w:val="0013757C"/>
    <w:rsid w:val="00162387"/>
    <w:rsid w:val="001644DD"/>
    <w:rsid w:val="001705AA"/>
    <w:rsid w:val="00182E8A"/>
    <w:rsid w:val="00192010"/>
    <w:rsid w:val="001A3E50"/>
    <w:rsid w:val="001A4E91"/>
    <w:rsid w:val="001C5BEE"/>
    <w:rsid w:val="00200BF1"/>
    <w:rsid w:val="00201FF5"/>
    <w:rsid w:val="002035DF"/>
    <w:rsid w:val="00204863"/>
    <w:rsid w:val="00204960"/>
    <w:rsid w:val="00213590"/>
    <w:rsid w:val="0023232F"/>
    <w:rsid w:val="00243629"/>
    <w:rsid w:val="0024614F"/>
    <w:rsid w:val="00263361"/>
    <w:rsid w:val="00270E2F"/>
    <w:rsid w:val="002712B2"/>
    <w:rsid w:val="00273661"/>
    <w:rsid w:val="0029235F"/>
    <w:rsid w:val="0029629B"/>
    <w:rsid w:val="002A5A4A"/>
    <w:rsid w:val="002C7160"/>
    <w:rsid w:val="002D66AB"/>
    <w:rsid w:val="002E6931"/>
    <w:rsid w:val="002F7BA0"/>
    <w:rsid w:val="00323FF0"/>
    <w:rsid w:val="0033188A"/>
    <w:rsid w:val="00345D17"/>
    <w:rsid w:val="00350987"/>
    <w:rsid w:val="003638DF"/>
    <w:rsid w:val="00376486"/>
    <w:rsid w:val="0038004E"/>
    <w:rsid w:val="003849FC"/>
    <w:rsid w:val="003910BF"/>
    <w:rsid w:val="00391EDC"/>
    <w:rsid w:val="003A2FB9"/>
    <w:rsid w:val="003A5D88"/>
    <w:rsid w:val="003C556D"/>
    <w:rsid w:val="003E1B61"/>
    <w:rsid w:val="00400137"/>
    <w:rsid w:val="0040217E"/>
    <w:rsid w:val="00405BE4"/>
    <w:rsid w:val="004131BB"/>
    <w:rsid w:val="004163CF"/>
    <w:rsid w:val="00417BA5"/>
    <w:rsid w:val="00427570"/>
    <w:rsid w:val="00452C5A"/>
    <w:rsid w:val="00463D55"/>
    <w:rsid w:val="00466EE1"/>
    <w:rsid w:val="0047171E"/>
    <w:rsid w:val="0048475B"/>
    <w:rsid w:val="00485214"/>
    <w:rsid w:val="004A13EA"/>
    <w:rsid w:val="004B79FD"/>
    <w:rsid w:val="004D2FB8"/>
    <w:rsid w:val="004E2E9B"/>
    <w:rsid w:val="004E3D73"/>
    <w:rsid w:val="00533082"/>
    <w:rsid w:val="0054015C"/>
    <w:rsid w:val="00550885"/>
    <w:rsid w:val="0056672A"/>
    <w:rsid w:val="00582129"/>
    <w:rsid w:val="005A1411"/>
    <w:rsid w:val="005A514B"/>
    <w:rsid w:val="005C4D6F"/>
    <w:rsid w:val="005E2FA1"/>
    <w:rsid w:val="005F3C04"/>
    <w:rsid w:val="005F5C72"/>
    <w:rsid w:val="005F7441"/>
    <w:rsid w:val="00636FAD"/>
    <w:rsid w:val="00642F9A"/>
    <w:rsid w:val="00646D4B"/>
    <w:rsid w:val="00665F42"/>
    <w:rsid w:val="00683D42"/>
    <w:rsid w:val="00687CDF"/>
    <w:rsid w:val="00692DAA"/>
    <w:rsid w:val="006A4AAA"/>
    <w:rsid w:val="006C3F30"/>
    <w:rsid w:val="006D156B"/>
    <w:rsid w:val="006D2BA3"/>
    <w:rsid w:val="006F00F9"/>
    <w:rsid w:val="00701AA9"/>
    <w:rsid w:val="00736652"/>
    <w:rsid w:val="00747032"/>
    <w:rsid w:val="007568DF"/>
    <w:rsid w:val="007620F6"/>
    <w:rsid w:val="00771A49"/>
    <w:rsid w:val="0077463A"/>
    <w:rsid w:val="0077758F"/>
    <w:rsid w:val="00785414"/>
    <w:rsid w:val="00787CFF"/>
    <w:rsid w:val="007942C4"/>
    <w:rsid w:val="007B630D"/>
    <w:rsid w:val="007C1F5A"/>
    <w:rsid w:val="007D37EE"/>
    <w:rsid w:val="007E24DD"/>
    <w:rsid w:val="0080295C"/>
    <w:rsid w:val="00802D54"/>
    <w:rsid w:val="0082267E"/>
    <w:rsid w:val="00834382"/>
    <w:rsid w:val="008526A8"/>
    <w:rsid w:val="00893776"/>
    <w:rsid w:val="00894860"/>
    <w:rsid w:val="008A08E0"/>
    <w:rsid w:val="008C52EB"/>
    <w:rsid w:val="008D5149"/>
    <w:rsid w:val="008F1D9F"/>
    <w:rsid w:val="008F67E7"/>
    <w:rsid w:val="0090547C"/>
    <w:rsid w:val="00917180"/>
    <w:rsid w:val="00917599"/>
    <w:rsid w:val="00920A87"/>
    <w:rsid w:val="00922252"/>
    <w:rsid w:val="00922D4D"/>
    <w:rsid w:val="0092641A"/>
    <w:rsid w:val="009528CA"/>
    <w:rsid w:val="009640B6"/>
    <w:rsid w:val="00981C7C"/>
    <w:rsid w:val="009857AF"/>
    <w:rsid w:val="009A15F7"/>
    <w:rsid w:val="009C1C0B"/>
    <w:rsid w:val="009C5CC3"/>
    <w:rsid w:val="009D1E37"/>
    <w:rsid w:val="009D525C"/>
    <w:rsid w:val="009F559D"/>
    <w:rsid w:val="00A00604"/>
    <w:rsid w:val="00A13D9F"/>
    <w:rsid w:val="00A13F44"/>
    <w:rsid w:val="00A23687"/>
    <w:rsid w:val="00A26F85"/>
    <w:rsid w:val="00A36D7A"/>
    <w:rsid w:val="00A57619"/>
    <w:rsid w:val="00AB20B7"/>
    <w:rsid w:val="00AB7EFA"/>
    <w:rsid w:val="00AD5D87"/>
    <w:rsid w:val="00AD675E"/>
    <w:rsid w:val="00B134D6"/>
    <w:rsid w:val="00B155AC"/>
    <w:rsid w:val="00B2129D"/>
    <w:rsid w:val="00B25C44"/>
    <w:rsid w:val="00B27F28"/>
    <w:rsid w:val="00B33730"/>
    <w:rsid w:val="00B37A90"/>
    <w:rsid w:val="00B4632B"/>
    <w:rsid w:val="00B87A6A"/>
    <w:rsid w:val="00B95260"/>
    <w:rsid w:val="00BA758F"/>
    <w:rsid w:val="00BB19A8"/>
    <w:rsid w:val="00BC7771"/>
    <w:rsid w:val="00C269AA"/>
    <w:rsid w:val="00C302B3"/>
    <w:rsid w:val="00C451EA"/>
    <w:rsid w:val="00C45F86"/>
    <w:rsid w:val="00C4728F"/>
    <w:rsid w:val="00C61B17"/>
    <w:rsid w:val="00C72049"/>
    <w:rsid w:val="00C76168"/>
    <w:rsid w:val="00C913E7"/>
    <w:rsid w:val="00C93BBC"/>
    <w:rsid w:val="00C9460D"/>
    <w:rsid w:val="00CA1708"/>
    <w:rsid w:val="00CA3E4D"/>
    <w:rsid w:val="00CB6304"/>
    <w:rsid w:val="00CC6E34"/>
    <w:rsid w:val="00CF7E56"/>
    <w:rsid w:val="00D02AD8"/>
    <w:rsid w:val="00D05270"/>
    <w:rsid w:val="00D075EB"/>
    <w:rsid w:val="00D07B63"/>
    <w:rsid w:val="00D13BE2"/>
    <w:rsid w:val="00D3306A"/>
    <w:rsid w:val="00D42714"/>
    <w:rsid w:val="00D62175"/>
    <w:rsid w:val="00D743BA"/>
    <w:rsid w:val="00D927A1"/>
    <w:rsid w:val="00D9281A"/>
    <w:rsid w:val="00D972D3"/>
    <w:rsid w:val="00DA11A3"/>
    <w:rsid w:val="00DA4610"/>
    <w:rsid w:val="00DA5557"/>
    <w:rsid w:val="00DA6706"/>
    <w:rsid w:val="00DB3498"/>
    <w:rsid w:val="00DD3BFE"/>
    <w:rsid w:val="00DE29CB"/>
    <w:rsid w:val="00DE4938"/>
    <w:rsid w:val="00DE7757"/>
    <w:rsid w:val="00DF6B2C"/>
    <w:rsid w:val="00E1153C"/>
    <w:rsid w:val="00E40D9F"/>
    <w:rsid w:val="00E50BBE"/>
    <w:rsid w:val="00E6153B"/>
    <w:rsid w:val="00E62F65"/>
    <w:rsid w:val="00E669F7"/>
    <w:rsid w:val="00E87B43"/>
    <w:rsid w:val="00E907F6"/>
    <w:rsid w:val="00E92D98"/>
    <w:rsid w:val="00EA5BBC"/>
    <w:rsid w:val="00EB0828"/>
    <w:rsid w:val="00EC1BE5"/>
    <w:rsid w:val="00ED27A9"/>
    <w:rsid w:val="00ED7C26"/>
    <w:rsid w:val="00EE438C"/>
    <w:rsid w:val="00F033A7"/>
    <w:rsid w:val="00F11718"/>
    <w:rsid w:val="00F141B8"/>
    <w:rsid w:val="00F31C8D"/>
    <w:rsid w:val="00F37898"/>
    <w:rsid w:val="00F438AF"/>
    <w:rsid w:val="00F43E33"/>
    <w:rsid w:val="00F45A15"/>
    <w:rsid w:val="00F51BA9"/>
    <w:rsid w:val="00F5380F"/>
    <w:rsid w:val="00F70A9E"/>
    <w:rsid w:val="00F924D3"/>
    <w:rsid w:val="00FC1044"/>
    <w:rsid w:val="00FC4243"/>
    <w:rsid w:val="00FD445D"/>
    <w:rsid w:val="00FD53F1"/>
    <w:rsid w:val="00FE2F25"/>
    <w:rsid w:val="00FF139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C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AF"/>
    <w:pPr>
      <w:spacing w:after="0" w:line="240" w:lineRule="auto"/>
    </w:pPr>
    <w:rPr>
      <w:rFonts w:ascii="Tahoma" w:eastAsia="MS Mincho" w:hAnsi="Tahoma" w:cs="Times New Roman"/>
      <w:sz w:val="24"/>
      <w:szCs w:val="24"/>
      <w:lang w:val="en-US"/>
    </w:rPr>
  </w:style>
  <w:style w:type="paragraph" w:styleId="Heading1">
    <w:name w:val="heading 1"/>
    <w:basedOn w:val="Normal"/>
    <w:next w:val="Normal"/>
    <w:link w:val="Heading1Char"/>
    <w:qFormat/>
    <w:rsid w:val="00C93BBC"/>
    <w:pPr>
      <w:numPr>
        <w:numId w:val="18"/>
      </w:numPr>
      <w:spacing w:before="1800" w:after="1800" w:line="480" w:lineRule="exact"/>
      <w:ind w:right="1418"/>
      <w:jc w:val="center"/>
      <w:outlineLvl w:val="0"/>
    </w:pPr>
    <w:rPr>
      <w:rFonts w:ascii="Times New Roman" w:eastAsia="Times New Roman" w:hAnsi="Times New Roman"/>
      <w:b/>
      <w:sz w:val="48"/>
      <w:szCs w:val="20"/>
      <w:lang w:val="en-GB"/>
    </w:rPr>
  </w:style>
  <w:style w:type="paragraph" w:styleId="Heading2">
    <w:name w:val="heading 2"/>
    <w:basedOn w:val="Normal"/>
    <w:next w:val="Normal"/>
    <w:link w:val="Heading2Char"/>
    <w:qFormat/>
    <w:rsid w:val="00C93BBC"/>
    <w:pPr>
      <w:keepNext/>
      <w:numPr>
        <w:ilvl w:val="1"/>
        <w:numId w:val="18"/>
      </w:numPr>
      <w:spacing w:before="240" w:line="480" w:lineRule="exact"/>
      <w:outlineLvl w:val="1"/>
    </w:pPr>
    <w:rPr>
      <w:rFonts w:ascii="Times New Roman" w:eastAsia="Times New Roman" w:hAnsi="Times New Roman"/>
      <w:b/>
      <w:szCs w:val="20"/>
      <w:lang w:val="en-GB"/>
    </w:rPr>
  </w:style>
  <w:style w:type="paragraph" w:styleId="Heading3">
    <w:name w:val="heading 3"/>
    <w:basedOn w:val="Normal"/>
    <w:next w:val="Normal"/>
    <w:link w:val="Heading3Char"/>
    <w:qFormat/>
    <w:rsid w:val="00C93BBC"/>
    <w:pPr>
      <w:keepNext/>
      <w:numPr>
        <w:ilvl w:val="2"/>
        <w:numId w:val="18"/>
      </w:numPr>
      <w:spacing w:before="240" w:line="360" w:lineRule="exact"/>
      <w:outlineLvl w:val="2"/>
    </w:pPr>
    <w:rPr>
      <w:rFonts w:ascii="Times New Roman" w:eastAsia="Times New Roman" w:hAnsi="Times New Roman"/>
      <w:szCs w:val="20"/>
      <w:u w:val="single"/>
      <w:lang w:val="en-GB"/>
    </w:rPr>
  </w:style>
  <w:style w:type="paragraph" w:styleId="Heading4">
    <w:name w:val="heading 4"/>
    <w:basedOn w:val="Normal"/>
    <w:next w:val="Normal"/>
    <w:link w:val="Heading4Char"/>
    <w:qFormat/>
    <w:rsid w:val="00C93BBC"/>
    <w:pPr>
      <w:keepNext/>
      <w:numPr>
        <w:ilvl w:val="3"/>
        <w:numId w:val="18"/>
      </w:numPr>
      <w:spacing w:before="240" w:line="360" w:lineRule="exact"/>
      <w:outlineLvl w:val="3"/>
    </w:pPr>
    <w:rPr>
      <w:rFonts w:ascii="Times New Roman" w:eastAsia="Times New Roman" w:hAnsi="Times New Roman"/>
      <w:i/>
      <w:szCs w:val="20"/>
      <w:lang w:val="en-GB"/>
    </w:rPr>
  </w:style>
  <w:style w:type="paragraph" w:styleId="Heading5">
    <w:name w:val="heading 5"/>
    <w:basedOn w:val="Normal"/>
    <w:next w:val="Normal"/>
    <w:link w:val="Heading5Char"/>
    <w:qFormat/>
    <w:rsid w:val="00C93BBC"/>
    <w:pPr>
      <w:keepNext/>
      <w:numPr>
        <w:ilvl w:val="4"/>
        <w:numId w:val="18"/>
      </w:numPr>
      <w:outlineLvl w:val="4"/>
    </w:pPr>
    <w:rPr>
      <w:rFonts w:ascii="Times New Roman" w:eastAsia="Times New Roman" w:hAnsi="Times New Roman"/>
      <w:b/>
      <w:bCs/>
      <w:sz w:val="20"/>
      <w:szCs w:val="20"/>
    </w:rPr>
  </w:style>
  <w:style w:type="paragraph" w:styleId="Heading6">
    <w:name w:val="heading 6"/>
    <w:basedOn w:val="Normal"/>
    <w:next w:val="Normal"/>
    <w:link w:val="Heading6Char"/>
    <w:qFormat/>
    <w:rsid w:val="00C93BBC"/>
    <w:pPr>
      <w:keepNext/>
      <w:numPr>
        <w:ilvl w:val="5"/>
        <w:numId w:val="18"/>
      </w:numPr>
      <w:jc w:val="center"/>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C93BBC"/>
    <w:pPr>
      <w:numPr>
        <w:ilvl w:val="6"/>
        <w:numId w:val="18"/>
      </w:numPr>
      <w:outlineLvl w:val="6"/>
    </w:pPr>
    <w:rPr>
      <w:rFonts w:ascii="Arial" w:eastAsia="Times New Roman" w:hAnsi="Arial"/>
      <w:i/>
      <w:sz w:val="20"/>
      <w:szCs w:val="20"/>
      <w:lang w:val="en-GB"/>
    </w:rPr>
  </w:style>
  <w:style w:type="paragraph" w:styleId="Heading8">
    <w:name w:val="heading 8"/>
    <w:basedOn w:val="Normal"/>
    <w:next w:val="Normal"/>
    <w:link w:val="Heading8Char"/>
    <w:qFormat/>
    <w:rsid w:val="00C93BBC"/>
    <w:pPr>
      <w:keepNext/>
      <w:numPr>
        <w:ilvl w:val="7"/>
        <w:numId w:val="18"/>
      </w:numPr>
      <w:spacing w:before="240" w:after="240" w:line="360" w:lineRule="atLeast"/>
      <w:outlineLvl w:val="7"/>
    </w:pPr>
    <w:rPr>
      <w:rFonts w:ascii="Times New Roman" w:eastAsia="Times New Roman" w:hAnsi="Times New Roman"/>
      <w:b/>
      <w:szCs w:val="20"/>
      <w:lang w:val="en-GB"/>
    </w:rPr>
  </w:style>
  <w:style w:type="paragraph" w:styleId="Heading9">
    <w:name w:val="heading 9"/>
    <w:basedOn w:val="Normal"/>
    <w:next w:val="Normal"/>
    <w:link w:val="Heading9Char"/>
    <w:qFormat/>
    <w:rsid w:val="00C93BBC"/>
    <w:pPr>
      <w:keepNext/>
      <w:numPr>
        <w:ilvl w:val="8"/>
        <w:numId w:val="18"/>
      </w:numPr>
      <w:tabs>
        <w:tab w:val="left" w:pos="1701"/>
      </w:tabs>
      <w:spacing w:before="120" w:after="120" w:line="360" w:lineRule="auto"/>
      <w:outlineLvl w:val="8"/>
    </w:pPr>
    <w:rPr>
      <w:rFonts w:ascii="Times New Roman" w:eastAsia="Times New Roman" w:hAnsi="Times New Roman"/>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55"/>
    <w:pPr>
      <w:spacing w:after="160" w:line="259" w:lineRule="auto"/>
      <w:ind w:left="720"/>
      <w:contextualSpacing/>
    </w:pPr>
    <w:rPr>
      <w:rFonts w:asciiTheme="minorHAnsi" w:eastAsiaTheme="minorHAnsi" w:hAnsiTheme="minorHAnsi" w:cstheme="minorBidi"/>
      <w:sz w:val="22"/>
      <w:szCs w:val="22"/>
      <w:lang w:val="en-ZA"/>
    </w:rPr>
  </w:style>
  <w:style w:type="paragraph" w:styleId="Header">
    <w:name w:val="header"/>
    <w:basedOn w:val="Normal"/>
    <w:link w:val="HeaderChar"/>
    <w:uiPriority w:val="99"/>
    <w:unhideWhenUsed/>
    <w:rsid w:val="00FC1044"/>
    <w:pPr>
      <w:tabs>
        <w:tab w:val="center" w:pos="4513"/>
        <w:tab w:val="right" w:pos="9026"/>
      </w:tabs>
      <w:jc w:val="both"/>
    </w:pPr>
    <w:rPr>
      <w:rFonts w:ascii="Arial" w:eastAsiaTheme="minorHAnsi" w:hAnsi="Arial" w:cstheme="minorBidi"/>
      <w:sz w:val="22"/>
      <w:szCs w:val="22"/>
      <w:lang w:val="en-ZA"/>
    </w:rPr>
  </w:style>
  <w:style w:type="character" w:customStyle="1" w:styleId="HeaderChar">
    <w:name w:val="Header Char"/>
    <w:basedOn w:val="DefaultParagraphFont"/>
    <w:link w:val="Header"/>
    <w:uiPriority w:val="99"/>
    <w:rsid w:val="00FC1044"/>
    <w:rPr>
      <w:rFonts w:ascii="Arial" w:hAnsi="Arial"/>
    </w:rPr>
  </w:style>
  <w:style w:type="paragraph" w:styleId="Footer">
    <w:name w:val="footer"/>
    <w:basedOn w:val="Normal"/>
    <w:link w:val="FooterChar"/>
    <w:uiPriority w:val="99"/>
    <w:unhideWhenUsed/>
    <w:rsid w:val="00E6153B"/>
    <w:pPr>
      <w:tabs>
        <w:tab w:val="center" w:pos="4680"/>
        <w:tab w:val="right" w:pos="9360"/>
      </w:tabs>
    </w:pPr>
  </w:style>
  <w:style w:type="character" w:customStyle="1" w:styleId="FooterChar">
    <w:name w:val="Footer Char"/>
    <w:basedOn w:val="DefaultParagraphFont"/>
    <w:link w:val="Footer"/>
    <w:uiPriority w:val="99"/>
    <w:rsid w:val="00E6153B"/>
    <w:rPr>
      <w:rFonts w:ascii="Tahoma" w:eastAsia="MS Mincho" w:hAnsi="Tahoma" w:cs="Times New Roman"/>
      <w:sz w:val="24"/>
      <w:szCs w:val="24"/>
      <w:lang w:val="en-US"/>
    </w:rPr>
  </w:style>
  <w:style w:type="paragraph" w:styleId="NormalWeb">
    <w:name w:val="Normal (Web)"/>
    <w:basedOn w:val="Normal"/>
    <w:uiPriority w:val="99"/>
    <w:semiHidden/>
    <w:unhideWhenUsed/>
    <w:rsid w:val="00C76168"/>
    <w:pPr>
      <w:spacing w:before="100" w:beforeAutospacing="1" w:after="100" w:afterAutospacing="1"/>
    </w:pPr>
    <w:rPr>
      <w:rFonts w:ascii="Times New Roman" w:eastAsia="Times New Roman" w:hAnsi="Times New Roman"/>
      <w:lang w:val="en-ZA" w:eastAsia="en-ZA"/>
    </w:rPr>
  </w:style>
  <w:style w:type="paragraph" w:styleId="BalloonText">
    <w:name w:val="Balloon Text"/>
    <w:basedOn w:val="Normal"/>
    <w:link w:val="BalloonTextChar"/>
    <w:uiPriority w:val="99"/>
    <w:semiHidden/>
    <w:unhideWhenUsed/>
    <w:rsid w:val="009F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59D"/>
    <w:rPr>
      <w:rFonts w:ascii="Lucida Grande" w:eastAsia="MS Mincho" w:hAnsi="Lucida Grande" w:cs="Lucida Grande"/>
      <w:sz w:val="18"/>
      <w:szCs w:val="18"/>
      <w:lang w:val="en-US"/>
    </w:rPr>
  </w:style>
  <w:style w:type="character" w:customStyle="1" w:styleId="Heading1Char">
    <w:name w:val="Heading 1 Char"/>
    <w:basedOn w:val="DefaultParagraphFont"/>
    <w:link w:val="Heading1"/>
    <w:rsid w:val="00C93BBC"/>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C93BB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C93BBC"/>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C93BBC"/>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C93BBC"/>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C93BBC"/>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C93BBC"/>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C93BBC"/>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C93BBC"/>
    <w:rPr>
      <w:rFonts w:ascii="Times New Roman" w:eastAsia="Times New Roman" w:hAnsi="Times New Roman" w:cs="Times New Roman"/>
      <w:b/>
      <w:bCs/>
      <w:sz w:val="24"/>
      <w:lang w:val="en-GB"/>
    </w:rPr>
  </w:style>
  <w:style w:type="paragraph" w:styleId="BodyText3">
    <w:name w:val="Body Text 3"/>
    <w:basedOn w:val="Normal"/>
    <w:link w:val="BodyText3Char"/>
    <w:rsid w:val="00B27F28"/>
    <w:pPr>
      <w:pBdr>
        <w:top w:val="single" w:sz="18" w:space="1" w:color="auto"/>
      </w:pBdr>
      <w:overflowPunct w:val="0"/>
      <w:autoSpaceDE w:val="0"/>
      <w:autoSpaceDN w:val="0"/>
      <w:adjustRightInd w:val="0"/>
      <w:textAlignment w:val="baseline"/>
    </w:pPr>
    <w:rPr>
      <w:rFonts w:ascii="Times New Roman" w:eastAsia="Times New Roman" w:hAnsi="Times New Roman"/>
      <w:b/>
      <w:szCs w:val="20"/>
      <w:lang w:val="en-GB"/>
    </w:rPr>
  </w:style>
  <w:style w:type="character" w:customStyle="1" w:styleId="BodyText3Char">
    <w:name w:val="Body Text 3 Char"/>
    <w:basedOn w:val="DefaultParagraphFont"/>
    <w:link w:val="BodyText3"/>
    <w:rsid w:val="00B27F28"/>
    <w:rPr>
      <w:rFonts w:ascii="Times New Roman" w:eastAsia="Times New Roman" w:hAnsi="Times New Roman" w:cs="Times New Roman"/>
      <w:b/>
      <w:sz w:val="24"/>
      <w:szCs w:val="20"/>
      <w:lang w:val="en-GB"/>
    </w:rPr>
  </w:style>
  <w:style w:type="character" w:styleId="Strong">
    <w:name w:val="Strong"/>
    <w:basedOn w:val="DefaultParagraphFont"/>
    <w:uiPriority w:val="22"/>
    <w:qFormat/>
    <w:rsid w:val="00345D17"/>
    <w:rPr>
      <w:b/>
      <w:bCs/>
    </w:rPr>
  </w:style>
  <w:style w:type="character" w:styleId="CommentReference">
    <w:name w:val="annotation reference"/>
    <w:basedOn w:val="DefaultParagraphFont"/>
    <w:uiPriority w:val="99"/>
    <w:semiHidden/>
    <w:unhideWhenUsed/>
    <w:rsid w:val="006D2BA3"/>
    <w:rPr>
      <w:sz w:val="16"/>
      <w:szCs w:val="16"/>
    </w:rPr>
  </w:style>
  <w:style w:type="paragraph" w:styleId="CommentText">
    <w:name w:val="annotation text"/>
    <w:basedOn w:val="Normal"/>
    <w:link w:val="CommentTextChar"/>
    <w:uiPriority w:val="99"/>
    <w:semiHidden/>
    <w:unhideWhenUsed/>
    <w:rsid w:val="006D2BA3"/>
    <w:rPr>
      <w:sz w:val="20"/>
      <w:szCs w:val="20"/>
    </w:rPr>
  </w:style>
  <w:style w:type="character" w:customStyle="1" w:styleId="CommentTextChar">
    <w:name w:val="Comment Text Char"/>
    <w:basedOn w:val="DefaultParagraphFont"/>
    <w:link w:val="CommentText"/>
    <w:uiPriority w:val="99"/>
    <w:semiHidden/>
    <w:rsid w:val="006D2BA3"/>
    <w:rPr>
      <w:rFonts w:ascii="Tahoma" w:eastAsia="MS Mincho"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D2BA3"/>
    <w:rPr>
      <w:b/>
      <w:bCs/>
    </w:rPr>
  </w:style>
  <w:style w:type="character" w:customStyle="1" w:styleId="CommentSubjectChar">
    <w:name w:val="Comment Subject Char"/>
    <w:basedOn w:val="CommentTextChar"/>
    <w:link w:val="CommentSubject"/>
    <w:uiPriority w:val="99"/>
    <w:semiHidden/>
    <w:rsid w:val="006D2BA3"/>
    <w:rPr>
      <w:rFonts w:ascii="Tahoma" w:eastAsia="MS Mincho" w:hAnsi="Tahom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AF"/>
    <w:pPr>
      <w:spacing w:after="0" w:line="240" w:lineRule="auto"/>
    </w:pPr>
    <w:rPr>
      <w:rFonts w:ascii="Tahoma" w:eastAsia="MS Mincho" w:hAnsi="Tahoma" w:cs="Times New Roman"/>
      <w:sz w:val="24"/>
      <w:szCs w:val="24"/>
      <w:lang w:val="en-US"/>
    </w:rPr>
  </w:style>
  <w:style w:type="paragraph" w:styleId="Heading1">
    <w:name w:val="heading 1"/>
    <w:basedOn w:val="Normal"/>
    <w:next w:val="Normal"/>
    <w:link w:val="Heading1Char"/>
    <w:qFormat/>
    <w:rsid w:val="00C93BBC"/>
    <w:pPr>
      <w:numPr>
        <w:numId w:val="18"/>
      </w:numPr>
      <w:spacing w:before="1800" w:after="1800" w:line="480" w:lineRule="exact"/>
      <w:ind w:right="1418"/>
      <w:jc w:val="center"/>
      <w:outlineLvl w:val="0"/>
    </w:pPr>
    <w:rPr>
      <w:rFonts w:ascii="Times New Roman" w:eastAsia="Times New Roman" w:hAnsi="Times New Roman"/>
      <w:b/>
      <w:sz w:val="48"/>
      <w:szCs w:val="20"/>
      <w:lang w:val="en-GB"/>
    </w:rPr>
  </w:style>
  <w:style w:type="paragraph" w:styleId="Heading2">
    <w:name w:val="heading 2"/>
    <w:basedOn w:val="Normal"/>
    <w:next w:val="Normal"/>
    <w:link w:val="Heading2Char"/>
    <w:qFormat/>
    <w:rsid w:val="00C93BBC"/>
    <w:pPr>
      <w:keepNext/>
      <w:numPr>
        <w:ilvl w:val="1"/>
        <w:numId w:val="18"/>
      </w:numPr>
      <w:spacing w:before="240" w:line="480" w:lineRule="exact"/>
      <w:outlineLvl w:val="1"/>
    </w:pPr>
    <w:rPr>
      <w:rFonts w:ascii="Times New Roman" w:eastAsia="Times New Roman" w:hAnsi="Times New Roman"/>
      <w:b/>
      <w:szCs w:val="20"/>
      <w:lang w:val="en-GB"/>
    </w:rPr>
  </w:style>
  <w:style w:type="paragraph" w:styleId="Heading3">
    <w:name w:val="heading 3"/>
    <w:basedOn w:val="Normal"/>
    <w:next w:val="Normal"/>
    <w:link w:val="Heading3Char"/>
    <w:qFormat/>
    <w:rsid w:val="00C93BBC"/>
    <w:pPr>
      <w:keepNext/>
      <w:numPr>
        <w:ilvl w:val="2"/>
        <w:numId w:val="18"/>
      </w:numPr>
      <w:spacing w:before="240" w:line="360" w:lineRule="exact"/>
      <w:outlineLvl w:val="2"/>
    </w:pPr>
    <w:rPr>
      <w:rFonts w:ascii="Times New Roman" w:eastAsia="Times New Roman" w:hAnsi="Times New Roman"/>
      <w:szCs w:val="20"/>
      <w:u w:val="single"/>
      <w:lang w:val="en-GB"/>
    </w:rPr>
  </w:style>
  <w:style w:type="paragraph" w:styleId="Heading4">
    <w:name w:val="heading 4"/>
    <w:basedOn w:val="Normal"/>
    <w:next w:val="Normal"/>
    <w:link w:val="Heading4Char"/>
    <w:qFormat/>
    <w:rsid w:val="00C93BBC"/>
    <w:pPr>
      <w:keepNext/>
      <w:numPr>
        <w:ilvl w:val="3"/>
        <w:numId w:val="18"/>
      </w:numPr>
      <w:spacing w:before="240" w:line="360" w:lineRule="exact"/>
      <w:outlineLvl w:val="3"/>
    </w:pPr>
    <w:rPr>
      <w:rFonts w:ascii="Times New Roman" w:eastAsia="Times New Roman" w:hAnsi="Times New Roman"/>
      <w:i/>
      <w:szCs w:val="20"/>
      <w:lang w:val="en-GB"/>
    </w:rPr>
  </w:style>
  <w:style w:type="paragraph" w:styleId="Heading5">
    <w:name w:val="heading 5"/>
    <w:basedOn w:val="Normal"/>
    <w:next w:val="Normal"/>
    <w:link w:val="Heading5Char"/>
    <w:qFormat/>
    <w:rsid w:val="00C93BBC"/>
    <w:pPr>
      <w:keepNext/>
      <w:numPr>
        <w:ilvl w:val="4"/>
        <w:numId w:val="18"/>
      </w:numPr>
      <w:outlineLvl w:val="4"/>
    </w:pPr>
    <w:rPr>
      <w:rFonts w:ascii="Times New Roman" w:eastAsia="Times New Roman" w:hAnsi="Times New Roman"/>
      <w:b/>
      <w:bCs/>
      <w:sz w:val="20"/>
      <w:szCs w:val="20"/>
    </w:rPr>
  </w:style>
  <w:style w:type="paragraph" w:styleId="Heading6">
    <w:name w:val="heading 6"/>
    <w:basedOn w:val="Normal"/>
    <w:next w:val="Normal"/>
    <w:link w:val="Heading6Char"/>
    <w:qFormat/>
    <w:rsid w:val="00C93BBC"/>
    <w:pPr>
      <w:keepNext/>
      <w:numPr>
        <w:ilvl w:val="5"/>
        <w:numId w:val="18"/>
      </w:numPr>
      <w:jc w:val="center"/>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C93BBC"/>
    <w:pPr>
      <w:numPr>
        <w:ilvl w:val="6"/>
        <w:numId w:val="18"/>
      </w:numPr>
      <w:outlineLvl w:val="6"/>
    </w:pPr>
    <w:rPr>
      <w:rFonts w:ascii="Arial" w:eastAsia="Times New Roman" w:hAnsi="Arial"/>
      <w:i/>
      <w:sz w:val="20"/>
      <w:szCs w:val="20"/>
      <w:lang w:val="en-GB"/>
    </w:rPr>
  </w:style>
  <w:style w:type="paragraph" w:styleId="Heading8">
    <w:name w:val="heading 8"/>
    <w:basedOn w:val="Normal"/>
    <w:next w:val="Normal"/>
    <w:link w:val="Heading8Char"/>
    <w:qFormat/>
    <w:rsid w:val="00C93BBC"/>
    <w:pPr>
      <w:keepNext/>
      <w:numPr>
        <w:ilvl w:val="7"/>
        <w:numId w:val="18"/>
      </w:numPr>
      <w:spacing w:before="240" w:after="240" w:line="360" w:lineRule="atLeast"/>
      <w:outlineLvl w:val="7"/>
    </w:pPr>
    <w:rPr>
      <w:rFonts w:ascii="Times New Roman" w:eastAsia="Times New Roman" w:hAnsi="Times New Roman"/>
      <w:b/>
      <w:szCs w:val="20"/>
      <w:lang w:val="en-GB"/>
    </w:rPr>
  </w:style>
  <w:style w:type="paragraph" w:styleId="Heading9">
    <w:name w:val="heading 9"/>
    <w:basedOn w:val="Normal"/>
    <w:next w:val="Normal"/>
    <w:link w:val="Heading9Char"/>
    <w:qFormat/>
    <w:rsid w:val="00C93BBC"/>
    <w:pPr>
      <w:keepNext/>
      <w:numPr>
        <w:ilvl w:val="8"/>
        <w:numId w:val="18"/>
      </w:numPr>
      <w:tabs>
        <w:tab w:val="left" w:pos="1701"/>
      </w:tabs>
      <w:spacing w:before="120" w:after="120" w:line="360" w:lineRule="auto"/>
      <w:outlineLvl w:val="8"/>
    </w:pPr>
    <w:rPr>
      <w:rFonts w:ascii="Times New Roman" w:eastAsia="Times New Roman" w:hAnsi="Times New Roman"/>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55"/>
    <w:pPr>
      <w:spacing w:after="160" w:line="259" w:lineRule="auto"/>
      <w:ind w:left="720"/>
      <w:contextualSpacing/>
    </w:pPr>
    <w:rPr>
      <w:rFonts w:asciiTheme="minorHAnsi" w:eastAsiaTheme="minorHAnsi" w:hAnsiTheme="minorHAnsi" w:cstheme="minorBidi"/>
      <w:sz w:val="22"/>
      <w:szCs w:val="22"/>
      <w:lang w:val="en-ZA"/>
    </w:rPr>
  </w:style>
  <w:style w:type="paragraph" w:styleId="Header">
    <w:name w:val="header"/>
    <w:basedOn w:val="Normal"/>
    <w:link w:val="HeaderChar"/>
    <w:uiPriority w:val="99"/>
    <w:unhideWhenUsed/>
    <w:rsid w:val="00FC1044"/>
    <w:pPr>
      <w:tabs>
        <w:tab w:val="center" w:pos="4513"/>
        <w:tab w:val="right" w:pos="9026"/>
      </w:tabs>
      <w:jc w:val="both"/>
    </w:pPr>
    <w:rPr>
      <w:rFonts w:ascii="Arial" w:eastAsiaTheme="minorHAnsi" w:hAnsi="Arial" w:cstheme="minorBidi"/>
      <w:sz w:val="22"/>
      <w:szCs w:val="22"/>
      <w:lang w:val="en-ZA"/>
    </w:rPr>
  </w:style>
  <w:style w:type="character" w:customStyle="1" w:styleId="HeaderChar">
    <w:name w:val="Header Char"/>
    <w:basedOn w:val="DefaultParagraphFont"/>
    <w:link w:val="Header"/>
    <w:uiPriority w:val="99"/>
    <w:rsid w:val="00FC1044"/>
    <w:rPr>
      <w:rFonts w:ascii="Arial" w:hAnsi="Arial"/>
    </w:rPr>
  </w:style>
  <w:style w:type="paragraph" w:styleId="Footer">
    <w:name w:val="footer"/>
    <w:basedOn w:val="Normal"/>
    <w:link w:val="FooterChar"/>
    <w:uiPriority w:val="99"/>
    <w:unhideWhenUsed/>
    <w:rsid w:val="00E6153B"/>
    <w:pPr>
      <w:tabs>
        <w:tab w:val="center" w:pos="4680"/>
        <w:tab w:val="right" w:pos="9360"/>
      </w:tabs>
    </w:pPr>
  </w:style>
  <w:style w:type="character" w:customStyle="1" w:styleId="FooterChar">
    <w:name w:val="Footer Char"/>
    <w:basedOn w:val="DefaultParagraphFont"/>
    <w:link w:val="Footer"/>
    <w:uiPriority w:val="99"/>
    <w:rsid w:val="00E6153B"/>
    <w:rPr>
      <w:rFonts w:ascii="Tahoma" w:eastAsia="MS Mincho" w:hAnsi="Tahoma" w:cs="Times New Roman"/>
      <w:sz w:val="24"/>
      <w:szCs w:val="24"/>
      <w:lang w:val="en-US"/>
    </w:rPr>
  </w:style>
  <w:style w:type="paragraph" w:styleId="NormalWeb">
    <w:name w:val="Normal (Web)"/>
    <w:basedOn w:val="Normal"/>
    <w:uiPriority w:val="99"/>
    <w:semiHidden/>
    <w:unhideWhenUsed/>
    <w:rsid w:val="00C76168"/>
    <w:pPr>
      <w:spacing w:before="100" w:beforeAutospacing="1" w:after="100" w:afterAutospacing="1"/>
    </w:pPr>
    <w:rPr>
      <w:rFonts w:ascii="Times New Roman" w:eastAsia="Times New Roman" w:hAnsi="Times New Roman"/>
      <w:lang w:val="en-ZA" w:eastAsia="en-ZA"/>
    </w:rPr>
  </w:style>
  <w:style w:type="paragraph" w:styleId="BalloonText">
    <w:name w:val="Balloon Text"/>
    <w:basedOn w:val="Normal"/>
    <w:link w:val="BalloonTextChar"/>
    <w:uiPriority w:val="99"/>
    <w:semiHidden/>
    <w:unhideWhenUsed/>
    <w:rsid w:val="009F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59D"/>
    <w:rPr>
      <w:rFonts w:ascii="Lucida Grande" w:eastAsia="MS Mincho" w:hAnsi="Lucida Grande" w:cs="Lucida Grande"/>
      <w:sz w:val="18"/>
      <w:szCs w:val="18"/>
      <w:lang w:val="en-US"/>
    </w:rPr>
  </w:style>
  <w:style w:type="character" w:customStyle="1" w:styleId="Heading1Char">
    <w:name w:val="Heading 1 Char"/>
    <w:basedOn w:val="DefaultParagraphFont"/>
    <w:link w:val="Heading1"/>
    <w:rsid w:val="00C93BBC"/>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C93BB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C93BBC"/>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C93BBC"/>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C93BBC"/>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C93BBC"/>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C93BBC"/>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C93BBC"/>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C93BBC"/>
    <w:rPr>
      <w:rFonts w:ascii="Times New Roman" w:eastAsia="Times New Roman" w:hAnsi="Times New Roman" w:cs="Times New Roman"/>
      <w:b/>
      <w:bCs/>
      <w:sz w:val="24"/>
      <w:lang w:val="en-GB"/>
    </w:rPr>
  </w:style>
  <w:style w:type="paragraph" w:styleId="BodyText3">
    <w:name w:val="Body Text 3"/>
    <w:basedOn w:val="Normal"/>
    <w:link w:val="BodyText3Char"/>
    <w:rsid w:val="00B27F28"/>
    <w:pPr>
      <w:pBdr>
        <w:top w:val="single" w:sz="18" w:space="1" w:color="auto"/>
      </w:pBdr>
      <w:overflowPunct w:val="0"/>
      <w:autoSpaceDE w:val="0"/>
      <w:autoSpaceDN w:val="0"/>
      <w:adjustRightInd w:val="0"/>
      <w:textAlignment w:val="baseline"/>
    </w:pPr>
    <w:rPr>
      <w:rFonts w:ascii="Times New Roman" w:eastAsia="Times New Roman" w:hAnsi="Times New Roman"/>
      <w:b/>
      <w:szCs w:val="20"/>
      <w:lang w:val="en-GB"/>
    </w:rPr>
  </w:style>
  <w:style w:type="character" w:customStyle="1" w:styleId="BodyText3Char">
    <w:name w:val="Body Text 3 Char"/>
    <w:basedOn w:val="DefaultParagraphFont"/>
    <w:link w:val="BodyText3"/>
    <w:rsid w:val="00B27F28"/>
    <w:rPr>
      <w:rFonts w:ascii="Times New Roman" w:eastAsia="Times New Roman" w:hAnsi="Times New Roman" w:cs="Times New Roman"/>
      <w:b/>
      <w:sz w:val="24"/>
      <w:szCs w:val="20"/>
      <w:lang w:val="en-GB"/>
    </w:rPr>
  </w:style>
  <w:style w:type="character" w:styleId="Strong">
    <w:name w:val="Strong"/>
    <w:basedOn w:val="DefaultParagraphFont"/>
    <w:uiPriority w:val="22"/>
    <w:qFormat/>
    <w:rsid w:val="00345D17"/>
    <w:rPr>
      <w:b/>
      <w:bCs/>
    </w:rPr>
  </w:style>
  <w:style w:type="character" w:styleId="CommentReference">
    <w:name w:val="annotation reference"/>
    <w:basedOn w:val="DefaultParagraphFont"/>
    <w:uiPriority w:val="99"/>
    <w:semiHidden/>
    <w:unhideWhenUsed/>
    <w:rsid w:val="006D2BA3"/>
    <w:rPr>
      <w:sz w:val="16"/>
      <w:szCs w:val="16"/>
    </w:rPr>
  </w:style>
  <w:style w:type="paragraph" w:styleId="CommentText">
    <w:name w:val="annotation text"/>
    <w:basedOn w:val="Normal"/>
    <w:link w:val="CommentTextChar"/>
    <w:uiPriority w:val="99"/>
    <w:semiHidden/>
    <w:unhideWhenUsed/>
    <w:rsid w:val="006D2BA3"/>
    <w:rPr>
      <w:sz w:val="20"/>
      <w:szCs w:val="20"/>
    </w:rPr>
  </w:style>
  <w:style w:type="character" w:customStyle="1" w:styleId="CommentTextChar">
    <w:name w:val="Comment Text Char"/>
    <w:basedOn w:val="DefaultParagraphFont"/>
    <w:link w:val="CommentText"/>
    <w:uiPriority w:val="99"/>
    <w:semiHidden/>
    <w:rsid w:val="006D2BA3"/>
    <w:rPr>
      <w:rFonts w:ascii="Tahoma" w:eastAsia="MS Mincho"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D2BA3"/>
    <w:rPr>
      <w:b/>
      <w:bCs/>
    </w:rPr>
  </w:style>
  <w:style w:type="character" w:customStyle="1" w:styleId="CommentSubjectChar">
    <w:name w:val="Comment Subject Char"/>
    <w:basedOn w:val="CommentTextChar"/>
    <w:link w:val="CommentSubject"/>
    <w:uiPriority w:val="99"/>
    <w:semiHidden/>
    <w:rsid w:val="006D2BA3"/>
    <w:rPr>
      <w:rFonts w:ascii="Tahoma" w:eastAsia="MS Mincho" w:hAnsi="Tahom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7519">
      <w:bodyDiv w:val="1"/>
      <w:marLeft w:val="0"/>
      <w:marRight w:val="0"/>
      <w:marTop w:val="0"/>
      <w:marBottom w:val="0"/>
      <w:divBdr>
        <w:top w:val="none" w:sz="0" w:space="0" w:color="auto"/>
        <w:left w:val="none" w:sz="0" w:space="0" w:color="auto"/>
        <w:bottom w:val="none" w:sz="0" w:space="0" w:color="auto"/>
        <w:right w:val="none" w:sz="0" w:space="0" w:color="auto"/>
      </w:divBdr>
    </w:div>
    <w:div w:id="418142487">
      <w:bodyDiv w:val="1"/>
      <w:marLeft w:val="0"/>
      <w:marRight w:val="0"/>
      <w:marTop w:val="0"/>
      <w:marBottom w:val="0"/>
      <w:divBdr>
        <w:top w:val="none" w:sz="0" w:space="0" w:color="auto"/>
        <w:left w:val="none" w:sz="0" w:space="0" w:color="auto"/>
        <w:bottom w:val="none" w:sz="0" w:space="0" w:color="auto"/>
        <w:right w:val="none" w:sz="0" w:space="0" w:color="auto"/>
      </w:divBdr>
    </w:div>
    <w:div w:id="930162536">
      <w:bodyDiv w:val="1"/>
      <w:marLeft w:val="0"/>
      <w:marRight w:val="0"/>
      <w:marTop w:val="0"/>
      <w:marBottom w:val="0"/>
      <w:divBdr>
        <w:top w:val="none" w:sz="0" w:space="0" w:color="auto"/>
        <w:left w:val="none" w:sz="0" w:space="0" w:color="auto"/>
        <w:bottom w:val="none" w:sz="0" w:space="0" w:color="auto"/>
        <w:right w:val="none" w:sz="0" w:space="0" w:color="auto"/>
      </w:divBdr>
      <w:divsChild>
        <w:div w:id="238712557">
          <w:marLeft w:val="547"/>
          <w:marRight w:val="0"/>
          <w:marTop w:val="0"/>
          <w:marBottom w:val="0"/>
          <w:divBdr>
            <w:top w:val="none" w:sz="0" w:space="0" w:color="auto"/>
            <w:left w:val="none" w:sz="0" w:space="0" w:color="auto"/>
            <w:bottom w:val="none" w:sz="0" w:space="0" w:color="auto"/>
            <w:right w:val="none" w:sz="0" w:space="0" w:color="auto"/>
          </w:divBdr>
        </w:div>
        <w:div w:id="569387200">
          <w:marLeft w:val="547"/>
          <w:marRight w:val="0"/>
          <w:marTop w:val="0"/>
          <w:marBottom w:val="0"/>
          <w:divBdr>
            <w:top w:val="none" w:sz="0" w:space="0" w:color="auto"/>
            <w:left w:val="none" w:sz="0" w:space="0" w:color="auto"/>
            <w:bottom w:val="none" w:sz="0" w:space="0" w:color="auto"/>
            <w:right w:val="none" w:sz="0" w:space="0" w:color="auto"/>
          </w:divBdr>
        </w:div>
        <w:div w:id="801388356">
          <w:marLeft w:val="547"/>
          <w:marRight w:val="0"/>
          <w:marTop w:val="0"/>
          <w:marBottom w:val="0"/>
          <w:divBdr>
            <w:top w:val="none" w:sz="0" w:space="0" w:color="auto"/>
            <w:left w:val="none" w:sz="0" w:space="0" w:color="auto"/>
            <w:bottom w:val="none" w:sz="0" w:space="0" w:color="auto"/>
            <w:right w:val="none" w:sz="0" w:space="0" w:color="auto"/>
          </w:divBdr>
        </w:div>
        <w:div w:id="1600529313">
          <w:marLeft w:val="547"/>
          <w:marRight w:val="0"/>
          <w:marTop w:val="0"/>
          <w:marBottom w:val="0"/>
          <w:divBdr>
            <w:top w:val="none" w:sz="0" w:space="0" w:color="auto"/>
            <w:left w:val="none" w:sz="0" w:space="0" w:color="auto"/>
            <w:bottom w:val="none" w:sz="0" w:space="0" w:color="auto"/>
            <w:right w:val="none" w:sz="0" w:space="0" w:color="auto"/>
          </w:divBdr>
        </w:div>
        <w:div w:id="2070492459">
          <w:marLeft w:val="547"/>
          <w:marRight w:val="0"/>
          <w:marTop w:val="0"/>
          <w:marBottom w:val="0"/>
          <w:divBdr>
            <w:top w:val="none" w:sz="0" w:space="0" w:color="auto"/>
            <w:left w:val="none" w:sz="0" w:space="0" w:color="auto"/>
            <w:bottom w:val="none" w:sz="0" w:space="0" w:color="auto"/>
            <w:right w:val="none" w:sz="0" w:space="0" w:color="auto"/>
          </w:divBdr>
        </w:div>
        <w:div w:id="2120567206">
          <w:marLeft w:val="547"/>
          <w:marRight w:val="0"/>
          <w:marTop w:val="0"/>
          <w:marBottom w:val="0"/>
          <w:divBdr>
            <w:top w:val="none" w:sz="0" w:space="0" w:color="auto"/>
            <w:left w:val="none" w:sz="0" w:space="0" w:color="auto"/>
            <w:bottom w:val="none" w:sz="0" w:space="0" w:color="auto"/>
            <w:right w:val="none" w:sz="0" w:space="0" w:color="auto"/>
          </w:divBdr>
        </w:div>
      </w:divsChild>
    </w:div>
    <w:div w:id="1005664699">
      <w:bodyDiv w:val="1"/>
      <w:marLeft w:val="0"/>
      <w:marRight w:val="0"/>
      <w:marTop w:val="0"/>
      <w:marBottom w:val="0"/>
      <w:divBdr>
        <w:top w:val="none" w:sz="0" w:space="0" w:color="auto"/>
        <w:left w:val="none" w:sz="0" w:space="0" w:color="auto"/>
        <w:bottom w:val="none" w:sz="0" w:space="0" w:color="auto"/>
        <w:right w:val="none" w:sz="0" w:space="0" w:color="auto"/>
      </w:divBdr>
      <w:divsChild>
        <w:div w:id="701436784">
          <w:marLeft w:val="720"/>
          <w:marRight w:val="0"/>
          <w:marTop w:val="0"/>
          <w:marBottom w:val="0"/>
          <w:divBdr>
            <w:top w:val="none" w:sz="0" w:space="0" w:color="auto"/>
            <w:left w:val="none" w:sz="0" w:space="0" w:color="auto"/>
            <w:bottom w:val="none" w:sz="0" w:space="0" w:color="auto"/>
            <w:right w:val="none" w:sz="0" w:space="0" w:color="auto"/>
          </w:divBdr>
        </w:div>
      </w:divsChild>
    </w:div>
    <w:div w:id="1219517100">
      <w:bodyDiv w:val="1"/>
      <w:marLeft w:val="0"/>
      <w:marRight w:val="0"/>
      <w:marTop w:val="0"/>
      <w:marBottom w:val="0"/>
      <w:divBdr>
        <w:top w:val="none" w:sz="0" w:space="0" w:color="auto"/>
        <w:left w:val="none" w:sz="0" w:space="0" w:color="auto"/>
        <w:bottom w:val="none" w:sz="0" w:space="0" w:color="auto"/>
        <w:right w:val="none" w:sz="0" w:space="0" w:color="auto"/>
      </w:divBdr>
    </w:div>
    <w:div w:id="1632594219">
      <w:bodyDiv w:val="1"/>
      <w:marLeft w:val="0"/>
      <w:marRight w:val="0"/>
      <w:marTop w:val="0"/>
      <w:marBottom w:val="0"/>
      <w:divBdr>
        <w:top w:val="none" w:sz="0" w:space="0" w:color="auto"/>
        <w:left w:val="none" w:sz="0" w:space="0" w:color="auto"/>
        <w:bottom w:val="none" w:sz="0" w:space="0" w:color="auto"/>
        <w:right w:val="none" w:sz="0" w:space="0" w:color="auto"/>
      </w:divBdr>
      <w:divsChild>
        <w:div w:id="573660402">
          <w:marLeft w:val="547"/>
          <w:marRight w:val="0"/>
          <w:marTop w:val="0"/>
          <w:marBottom w:val="0"/>
          <w:divBdr>
            <w:top w:val="none" w:sz="0" w:space="0" w:color="auto"/>
            <w:left w:val="none" w:sz="0" w:space="0" w:color="auto"/>
            <w:bottom w:val="none" w:sz="0" w:space="0" w:color="auto"/>
            <w:right w:val="none" w:sz="0" w:space="0" w:color="auto"/>
          </w:divBdr>
        </w:div>
        <w:div w:id="948513022">
          <w:marLeft w:val="547"/>
          <w:marRight w:val="0"/>
          <w:marTop w:val="0"/>
          <w:marBottom w:val="0"/>
          <w:divBdr>
            <w:top w:val="none" w:sz="0" w:space="0" w:color="auto"/>
            <w:left w:val="none" w:sz="0" w:space="0" w:color="auto"/>
            <w:bottom w:val="none" w:sz="0" w:space="0" w:color="auto"/>
            <w:right w:val="none" w:sz="0" w:space="0" w:color="auto"/>
          </w:divBdr>
        </w:div>
        <w:div w:id="1315186194">
          <w:marLeft w:val="547"/>
          <w:marRight w:val="0"/>
          <w:marTop w:val="0"/>
          <w:marBottom w:val="0"/>
          <w:divBdr>
            <w:top w:val="none" w:sz="0" w:space="0" w:color="auto"/>
            <w:left w:val="none" w:sz="0" w:space="0" w:color="auto"/>
            <w:bottom w:val="none" w:sz="0" w:space="0" w:color="auto"/>
            <w:right w:val="none" w:sz="0" w:space="0" w:color="auto"/>
          </w:divBdr>
        </w:div>
        <w:div w:id="1318798328">
          <w:marLeft w:val="547"/>
          <w:marRight w:val="0"/>
          <w:marTop w:val="0"/>
          <w:marBottom w:val="0"/>
          <w:divBdr>
            <w:top w:val="none" w:sz="0" w:space="0" w:color="auto"/>
            <w:left w:val="none" w:sz="0" w:space="0" w:color="auto"/>
            <w:bottom w:val="none" w:sz="0" w:space="0" w:color="auto"/>
            <w:right w:val="none" w:sz="0" w:space="0" w:color="auto"/>
          </w:divBdr>
        </w:div>
        <w:div w:id="1878005691">
          <w:marLeft w:val="547"/>
          <w:marRight w:val="0"/>
          <w:marTop w:val="0"/>
          <w:marBottom w:val="0"/>
          <w:divBdr>
            <w:top w:val="none" w:sz="0" w:space="0" w:color="auto"/>
            <w:left w:val="none" w:sz="0" w:space="0" w:color="auto"/>
            <w:bottom w:val="none" w:sz="0" w:space="0" w:color="auto"/>
            <w:right w:val="none" w:sz="0" w:space="0" w:color="auto"/>
          </w:divBdr>
        </w:div>
        <w:div w:id="2063282712">
          <w:marLeft w:val="547"/>
          <w:marRight w:val="0"/>
          <w:marTop w:val="0"/>
          <w:marBottom w:val="0"/>
          <w:divBdr>
            <w:top w:val="none" w:sz="0" w:space="0" w:color="auto"/>
            <w:left w:val="none" w:sz="0" w:space="0" w:color="auto"/>
            <w:bottom w:val="none" w:sz="0" w:space="0" w:color="auto"/>
            <w:right w:val="none" w:sz="0" w:space="0" w:color="auto"/>
          </w:divBdr>
        </w:div>
      </w:divsChild>
    </w:div>
    <w:div w:id="17209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0361-BC0F-491D-886B-2B582C03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4336</Words>
  <Characters>24719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cp:lastPrinted>2018-05-15T12:37:00Z</cp:lastPrinted>
  <dcterms:created xsi:type="dcterms:W3CDTF">2018-05-17T08:31:00Z</dcterms:created>
  <dcterms:modified xsi:type="dcterms:W3CDTF">2018-05-17T08:31:00Z</dcterms:modified>
</cp:coreProperties>
</file>